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7A0" w:rsidRPr="00BB1D0C" w:rsidRDefault="00FE78EC" w:rsidP="00440C3A">
      <w:pPr>
        <w:pStyle w:val="Subtitle"/>
        <w:rPr>
          <w:rFonts w:asciiTheme="minorHAnsi" w:hAnsiTheme="minorHAnsi" w:cstheme="minorHAnsi"/>
          <w:b/>
          <w:sz w:val="28"/>
          <w:szCs w:val="28"/>
        </w:rPr>
      </w:pPr>
      <w:bookmarkStart w:id="0" w:name="_GoBack"/>
      <w:bookmarkEnd w:id="0"/>
      <w:r w:rsidRPr="00BB1D0C">
        <w:rPr>
          <w:rFonts w:asciiTheme="minorHAnsi" w:hAnsiTheme="minorHAnsi" w:cstheme="minorHAnsi"/>
          <w:b/>
          <w:sz w:val="28"/>
          <w:szCs w:val="28"/>
        </w:rPr>
        <w:t>April</w:t>
      </w:r>
      <w:r w:rsidR="00ED7CCB" w:rsidRPr="00BB1D0C">
        <w:rPr>
          <w:rFonts w:asciiTheme="minorHAnsi" w:hAnsiTheme="minorHAnsi" w:cstheme="minorHAnsi"/>
          <w:b/>
          <w:sz w:val="28"/>
          <w:szCs w:val="28"/>
        </w:rPr>
        <w:t xml:space="preserve"> 2017</w:t>
      </w:r>
    </w:p>
    <w:p w:rsidR="002751C4" w:rsidRPr="002751C4" w:rsidRDefault="002751C4" w:rsidP="002751C4">
      <w:pPr>
        <w:sectPr w:rsidR="002751C4" w:rsidRPr="002751C4" w:rsidSect="004B3EB7">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3572" w:right="1134" w:bottom="1134" w:left="1134" w:header="709" w:footer="567" w:gutter="0"/>
          <w:cols w:num="2" w:space="567" w:equalWidth="0">
            <w:col w:w="2858" w:space="567"/>
            <w:col w:w="6213"/>
          </w:cols>
          <w:docGrid w:linePitch="360"/>
        </w:sectPr>
      </w:pPr>
    </w:p>
    <w:tbl>
      <w:tblPr>
        <w:tblW w:w="10456" w:type="dxa"/>
        <w:tblLayout w:type="fixed"/>
        <w:tblLook w:val="04A0" w:firstRow="1" w:lastRow="0" w:firstColumn="1" w:lastColumn="0" w:noHBand="0" w:noVBand="1"/>
      </w:tblPr>
      <w:tblGrid>
        <w:gridCol w:w="2992"/>
        <w:gridCol w:w="7464"/>
      </w:tblGrid>
      <w:tr w:rsidR="002751C4" w:rsidTr="002751C4">
        <w:trPr>
          <w:trHeight w:val="492"/>
        </w:trPr>
        <w:tc>
          <w:tcPr>
            <w:tcW w:w="2992" w:type="dxa"/>
          </w:tcPr>
          <w:p w:rsidR="002751C4" w:rsidRPr="00833E9D" w:rsidRDefault="002751C4" w:rsidP="00103711">
            <w:pPr>
              <w:pStyle w:val="Note"/>
              <w:spacing w:after="0"/>
            </w:pPr>
            <w:r w:rsidRPr="00103711">
              <w:rPr>
                <w:b/>
              </w:rPr>
              <w:lastRenderedPageBreak/>
              <w:t>Scope:</w:t>
            </w:r>
            <w:r>
              <w:t xml:space="preserve"> This monthly newsletter outlines economic and financial developments in Victoria, nationally and globally.</w:t>
            </w:r>
          </w:p>
        </w:tc>
        <w:tc>
          <w:tcPr>
            <w:tcW w:w="7464" w:type="dxa"/>
          </w:tcPr>
          <w:p w:rsidR="002751C4" w:rsidRPr="006469B4" w:rsidRDefault="00293A6B" w:rsidP="00293A6B">
            <w:pPr>
              <w:pStyle w:val="Note"/>
              <w:spacing w:after="0"/>
              <w:jc w:val="center"/>
              <w:rPr>
                <w:b/>
                <w:color w:val="707068" w:themeColor="background2" w:themeShade="80"/>
              </w:rPr>
            </w:pPr>
            <w:r>
              <w:rPr>
                <w:b/>
                <w:color w:val="707068" w:themeColor="background2" w:themeShade="80"/>
              </w:rPr>
              <w:t xml:space="preserve">     </w:t>
            </w:r>
            <w:r w:rsidR="002751C4" w:rsidRPr="006469B4">
              <w:rPr>
                <w:b/>
                <w:color w:val="707068" w:themeColor="background2" w:themeShade="80"/>
              </w:rPr>
              <w:t xml:space="preserve">By David Martine, Secretary, Department of Treasury and Finance </w:t>
            </w:r>
          </w:p>
        </w:tc>
      </w:tr>
    </w:tbl>
    <w:p w:rsidR="009B0BE4" w:rsidRDefault="009B0BE4" w:rsidP="00D847A0">
      <w:pPr>
        <w:pStyle w:val="Note"/>
        <w:jc w:val="right"/>
        <w:rPr>
          <w:b/>
          <w:color w:val="53565A" w:themeColor="text2"/>
        </w:rPr>
        <w:sectPr w:rsidR="009B0BE4" w:rsidSect="00D847A0">
          <w:type w:val="continuous"/>
          <w:pgSz w:w="11906" w:h="16838" w:code="9"/>
          <w:pgMar w:top="3572" w:right="1134" w:bottom="1134" w:left="1134" w:header="709" w:footer="567" w:gutter="0"/>
          <w:cols w:space="567"/>
          <w:docGrid w:linePitch="360"/>
        </w:sectPr>
      </w:pPr>
    </w:p>
    <w:p w:rsidR="00BB0BF9" w:rsidRDefault="00BB0BF9" w:rsidP="00103711">
      <w:pPr>
        <w:pStyle w:val="Bullet-highlight"/>
        <w:numPr>
          <w:ilvl w:val="0"/>
          <w:numId w:val="0"/>
        </w:numPr>
        <w:spacing w:after="0"/>
      </w:pPr>
    </w:p>
    <w:p w:rsidR="00BB0BF9" w:rsidRDefault="00BB0BF9" w:rsidP="00103711">
      <w:pPr>
        <w:pStyle w:val="Bullet-highlight"/>
        <w:numPr>
          <w:ilvl w:val="0"/>
          <w:numId w:val="0"/>
        </w:numPr>
        <w:spacing w:after="0"/>
        <w:sectPr w:rsidR="00BB0BF9" w:rsidSect="00D847A0">
          <w:type w:val="continuous"/>
          <w:pgSz w:w="11906" w:h="16838" w:code="9"/>
          <w:pgMar w:top="3572" w:right="1134" w:bottom="1134" w:left="1134" w:header="709" w:footer="567" w:gutter="0"/>
          <w:cols w:space="567"/>
          <w:docGrid w:linePitch="360"/>
        </w:sectPr>
      </w:pPr>
    </w:p>
    <w:tbl>
      <w:tblPr>
        <w:tblW w:w="5899" w:type="dxa"/>
        <w:shd w:val="clear" w:color="auto" w:fill="99B8DC" w:themeFill="accent5"/>
        <w:tblLook w:val="04A0" w:firstRow="1" w:lastRow="0" w:firstColumn="1" w:lastColumn="0" w:noHBand="0" w:noVBand="1"/>
      </w:tblPr>
      <w:tblGrid>
        <w:gridCol w:w="1101"/>
        <w:gridCol w:w="2247"/>
        <w:gridCol w:w="2551"/>
      </w:tblGrid>
      <w:tr w:rsidR="002751C4" w:rsidRPr="00BB0BF9" w:rsidTr="008D6A2F">
        <w:trPr>
          <w:gridAfter w:val="1"/>
          <w:wAfter w:w="2551" w:type="dxa"/>
          <w:trHeight w:val="9620"/>
        </w:trPr>
        <w:tc>
          <w:tcPr>
            <w:tcW w:w="3348" w:type="dxa"/>
            <w:gridSpan w:val="2"/>
            <w:shd w:val="clear" w:color="auto" w:fill="CCE3F5" w:themeFill="accent6"/>
          </w:tcPr>
          <w:p w:rsidR="002751C4" w:rsidRPr="00103711" w:rsidRDefault="008D6A2F" w:rsidP="00BB1D0C">
            <w:pPr>
              <w:tabs>
                <w:tab w:val="left" w:pos="360"/>
              </w:tabs>
              <w:spacing w:before="200"/>
              <w:rPr>
                <w:b/>
                <w:color w:val="201547" w:themeColor="accent1"/>
                <w:sz w:val="32"/>
              </w:rPr>
            </w:pPr>
            <w:r>
              <w:rPr>
                <w:b/>
                <w:color w:val="201547" w:themeColor="accent1"/>
                <w:sz w:val="32"/>
              </w:rPr>
              <w:lastRenderedPageBreak/>
              <w:tab/>
            </w:r>
            <w:r w:rsidR="002751C4" w:rsidRPr="00103711">
              <w:rPr>
                <w:b/>
                <w:color w:val="201547" w:themeColor="accent1"/>
                <w:sz w:val="32"/>
              </w:rPr>
              <w:t>Highlights</w:t>
            </w:r>
          </w:p>
          <w:p w:rsidR="000E08E5" w:rsidRPr="00BB1D0C" w:rsidRDefault="000E08E5" w:rsidP="00BB1D0C">
            <w:pPr>
              <w:pStyle w:val="Bullet-highlight"/>
              <w:spacing w:line="288" w:lineRule="auto"/>
              <w:ind w:left="357" w:hanging="357"/>
              <w:rPr>
                <w:szCs w:val="22"/>
              </w:rPr>
            </w:pPr>
            <w:r w:rsidRPr="00BB1D0C">
              <w:rPr>
                <w:szCs w:val="22"/>
              </w:rPr>
              <w:t xml:space="preserve">Victorian </w:t>
            </w:r>
            <w:r w:rsidRPr="00BB1D0C">
              <w:rPr>
                <w:b/>
                <w:szCs w:val="22"/>
              </w:rPr>
              <w:t>employment</w:t>
            </w:r>
            <w:r w:rsidRPr="00BB1D0C">
              <w:rPr>
                <w:szCs w:val="22"/>
              </w:rPr>
              <w:t xml:space="preserve"> rose by 95 300 persons over the year to March, the highest growth amongst the states.</w:t>
            </w:r>
          </w:p>
          <w:p w:rsidR="000E08E5" w:rsidRPr="00BB1D0C" w:rsidRDefault="000E08E5" w:rsidP="00BB1D0C">
            <w:pPr>
              <w:pStyle w:val="Bullet-highlight"/>
              <w:spacing w:line="288" w:lineRule="auto"/>
              <w:ind w:left="357" w:hanging="357"/>
              <w:rPr>
                <w:szCs w:val="22"/>
              </w:rPr>
            </w:pPr>
            <w:r w:rsidRPr="00BB1D0C">
              <w:rPr>
                <w:szCs w:val="22"/>
              </w:rPr>
              <w:t xml:space="preserve">Victoria’s </w:t>
            </w:r>
            <w:r w:rsidRPr="00BB1D0C">
              <w:rPr>
                <w:b/>
                <w:szCs w:val="22"/>
              </w:rPr>
              <w:t>population</w:t>
            </w:r>
            <w:r w:rsidRPr="00BB1D0C">
              <w:rPr>
                <w:szCs w:val="22"/>
              </w:rPr>
              <w:t xml:space="preserve"> growth is the highest among the states.</w:t>
            </w:r>
          </w:p>
          <w:p w:rsidR="000E08E5" w:rsidRPr="00BB1D0C" w:rsidRDefault="000E08E5" w:rsidP="00BB1D0C">
            <w:pPr>
              <w:pStyle w:val="Bullet-highlight"/>
              <w:spacing w:line="288" w:lineRule="auto"/>
              <w:ind w:left="357" w:hanging="357"/>
              <w:rPr>
                <w:szCs w:val="22"/>
              </w:rPr>
            </w:pPr>
            <w:r w:rsidRPr="00BB1D0C">
              <w:rPr>
                <w:szCs w:val="22"/>
              </w:rPr>
              <w:t xml:space="preserve">There could be economic disruptions from </w:t>
            </w:r>
            <w:r w:rsidRPr="00BB1D0C">
              <w:rPr>
                <w:b/>
                <w:szCs w:val="22"/>
              </w:rPr>
              <w:t>Cyclone Debbie</w:t>
            </w:r>
            <w:r w:rsidRPr="00BB1D0C">
              <w:rPr>
                <w:szCs w:val="22"/>
              </w:rPr>
              <w:t xml:space="preserve"> in the June quarter.</w:t>
            </w:r>
          </w:p>
          <w:p w:rsidR="008437E6" w:rsidRPr="00BB1D0C" w:rsidRDefault="008437E6" w:rsidP="00BB1D0C">
            <w:pPr>
              <w:pStyle w:val="Bullet-highlight"/>
              <w:spacing w:line="288" w:lineRule="auto"/>
              <w:ind w:left="357" w:hanging="357"/>
              <w:rPr>
                <w:szCs w:val="22"/>
              </w:rPr>
            </w:pPr>
            <w:r w:rsidRPr="00BB1D0C">
              <w:rPr>
                <w:szCs w:val="22"/>
              </w:rPr>
              <w:t xml:space="preserve">Victoria’s </w:t>
            </w:r>
            <w:r w:rsidRPr="00BB1D0C">
              <w:rPr>
                <w:b/>
                <w:szCs w:val="22"/>
              </w:rPr>
              <w:t>manufacturing</w:t>
            </w:r>
            <w:r w:rsidRPr="00BB1D0C">
              <w:rPr>
                <w:szCs w:val="22"/>
              </w:rPr>
              <w:t xml:space="preserve"> </w:t>
            </w:r>
            <w:r w:rsidR="000E08E5" w:rsidRPr="00BB1D0C">
              <w:rPr>
                <w:szCs w:val="22"/>
              </w:rPr>
              <w:t xml:space="preserve">continues to </w:t>
            </w:r>
            <w:r w:rsidR="00F92615" w:rsidRPr="00BB1D0C">
              <w:rPr>
                <w:szCs w:val="22"/>
              </w:rPr>
              <w:t>expan</w:t>
            </w:r>
            <w:r w:rsidR="000E08E5" w:rsidRPr="00BB1D0C">
              <w:rPr>
                <w:szCs w:val="22"/>
              </w:rPr>
              <w:t>d.</w:t>
            </w:r>
            <w:r w:rsidRPr="00BB1D0C">
              <w:rPr>
                <w:szCs w:val="22"/>
              </w:rPr>
              <w:t xml:space="preserve"> </w:t>
            </w:r>
          </w:p>
          <w:p w:rsidR="000E08E5" w:rsidRPr="00BB1D0C" w:rsidRDefault="000E08E5" w:rsidP="00BB1D0C">
            <w:pPr>
              <w:pStyle w:val="Bullet-highlight"/>
              <w:spacing w:line="288" w:lineRule="auto"/>
              <w:ind w:left="357" w:hanging="357"/>
              <w:rPr>
                <w:szCs w:val="22"/>
              </w:rPr>
            </w:pPr>
            <w:r w:rsidRPr="00BB1D0C">
              <w:rPr>
                <w:szCs w:val="22"/>
              </w:rPr>
              <w:t xml:space="preserve">The </w:t>
            </w:r>
            <w:proofErr w:type="spellStart"/>
            <w:r w:rsidRPr="00BB1D0C">
              <w:rPr>
                <w:b/>
                <w:szCs w:val="22"/>
              </w:rPr>
              <w:t>CoreLogic</w:t>
            </w:r>
            <w:proofErr w:type="spellEnd"/>
            <w:r w:rsidRPr="00BB1D0C">
              <w:rPr>
                <w:b/>
                <w:szCs w:val="22"/>
              </w:rPr>
              <w:t xml:space="preserve"> </w:t>
            </w:r>
            <w:proofErr w:type="spellStart"/>
            <w:r w:rsidRPr="00BB1D0C">
              <w:rPr>
                <w:b/>
                <w:szCs w:val="22"/>
              </w:rPr>
              <w:t>RPData</w:t>
            </w:r>
            <w:proofErr w:type="spellEnd"/>
            <w:r w:rsidRPr="00BB1D0C">
              <w:rPr>
                <w:b/>
                <w:szCs w:val="22"/>
              </w:rPr>
              <w:t xml:space="preserve"> Home Value Index</w:t>
            </w:r>
            <w:r w:rsidRPr="00BB1D0C">
              <w:rPr>
                <w:szCs w:val="22"/>
              </w:rPr>
              <w:t xml:space="preserve"> increased 15.9 per cent over the year to March, the second highest rate amongst the states.</w:t>
            </w:r>
          </w:p>
          <w:p w:rsidR="007364C8" w:rsidRPr="00BB0BF9" w:rsidRDefault="000E08E5" w:rsidP="00BB1D0C">
            <w:pPr>
              <w:pStyle w:val="Bullet-highlight"/>
              <w:spacing w:line="288" w:lineRule="auto"/>
              <w:ind w:left="357" w:hanging="357"/>
            </w:pPr>
            <w:r w:rsidRPr="00BB1D0C">
              <w:rPr>
                <w:szCs w:val="22"/>
              </w:rPr>
              <w:t>The Australian Prudential Regulation Authority (</w:t>
            </w:r>
            <w:r w:rsidRPr="00BB1D0C">
              <w:rPr>
                <w:b/>
                <w:szCs w:val="22"/>
              </w:rPr>
              <w:t>APRA</w:t>
            </w:r>
            <w:r w:rsidRPr="00BB1D0C">
              <w:rPr>
                <w:szCs w:val="22"/>
              </w:rPr>
              <w:t>) has instructed banks that interest-only loans must now account for less than 30 per cent of all new loans.</w:t>
            </w:r>
          </w:p>
        </w:tc>
      </w:tr>
      <w:tr w:rsidR="002751C4" w:rsidTr="005164C2">
        <w:tblPrEx>
          <w:shd w:val="clear" w:color="auto" w:fill="auto"/>
        </w:tblPrEx>
        <w:tc>
          <w:tcPr>
            <w:tcW w:w="1101" w:type="dxa"/>
          </w:tcPr>
          <w:p w:rsidR="002751C4" w:rsidRDefault="002751C4" w:rsidP="005164C2">
            <w:pPr>
              <w:keepNext/>
            </w:pPr>
            <w:r>
              <w:rPr>
                <w:noProof/>
                <w:lang w:eastAsia="en-AU"/>
              </w:rPr>
              <w:lastRenderedPageBreak/>
              <w:drawing>
                <wp:inline distT="0" distB="0" distL="0" distR="0" wp14:anchorId="4BF084EB" wp14:editId="6527F865">
                  <wp:extent cx="512935" cy="360000"/>
                  <wp:effectExtent l="0" t="0" r="190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2935" cy="360000"/>
                          </a:xfrm>
                          <a:prstGeom prst="rect">
                            <a:avLst/>
                          </a:prstGeom>
                          <a:noFill/>
                          <a:ln>
                            <a:noFill/>
                          </a:ln>
                        </pic:spPr>
                      </pic:pic>
                    </a:graphicData>
                  </a:graphic>
                </wp:inline>
              </w:drawing>
            </w:r>
          </w:p>
        </w:tc>
        <w:tc>
          <w:tcPr>
            <w:tcW w:w="4798" w:type="dxa"/>
            <w:gridSpan w:val="2"/>
            <w:vAlign w:val="bottom"/>
          </w:tcPr>
          <w:p w:rsidR="002751C4" w:rsidRDefault="002751C4" w:rsidP="005164C2">
            <w:pPr>
              <w:pStyle w:val="Heading1"/>
            </w:pPr>
            <w:r>
              <w:t>Domestic developments</w:t>
            </w:r>
          </w:p>
        </w:tc>
      </w:tr>
    </w:tbl>
    <w:p w:rsidR="004844FA" w:rsidRPr="00EE6C9D" w:rsidRDefault="004844FA" w:rsidP="004844FA">
      <w:r w:rsidRPr="00EE6C9D">
        <w:t xml:space="preserve">Macroeconomic indicators released </w:t>
      </w:r>
      <w:r>
        <w:t>over</w:t>
      </w:r>
      <w:r w:rsidRPr="00EE6C9D">
        <w:t xml:space="preserve"> the past four weeks point to ongoing </w:t>
      </w:r>
      <w:r w:rsidR="005A4B21">
        <w:t>strength</w:t>
      </w:r>
      <w:r w:rsidR="005A4B21" w:rsidRPr="00EE6C9D">
        <w:t xml:space="preserve"> </w:t>
      </w:r>
      <w:r w:rsidRPr="00EE6C9D">
        <w:t>in the Victorian economy.</w:t>
      </w:r>
      <w:r>
        <w:t xml:space="preserve"> </w:t>
      </w:r>
      <w:r w:rsidR="00C63FC2">
        <w:t xml:space="preserve">The impact of </w:t>
      </w:r>
      <w:r w:rsidR="00F7661A">
        <w:t xml:space="preserve">Cyclone Debbie </w:t>
      </w:r>
      <w:r w:rsidR="00C63FC2">
        <w:t xml:space="preserve">is likely to cause some economic disruptions to the national economy </w:t>
      </w:r>
      <w:r w:rsidR="00F7661A">
        <w:t>in the June quarter.</w:t>
      </w:r>
    </w:p>
    <w:p w:rsidR="000E08E5" w:rsidRDefault="002C0FDE" w:rsidP="005A4B21">
      <w:r w:rsidRPr="000D6C80">
        <w:t xml:space="preserve">Victorian </w:t>
      </w:r>
      <w:r w:rsidRPr="000D6C80">
        <w:rPr>
          <w:b/>
        </w:rPr>
        <w:t>employment</w:t>
      </w:r>
      <w:r w:rsidRPr="000D6C80">
        <w:t xml:space="preserve"> </w:t>
      </w:r>
      <w:r w:rsidR="005A4B21">
        <w:t>grew</w:t>
      </w:r>
      <w:r w:rsidR="005A4B21" w:rsidRPr="000D6C80">
        <w:t xml:space="preserve"> </w:t>
      </w:r>
      <w:r w:rsidRPr="000D6C80">
        <w:t xml:space="preserve">by </w:t>
      </w:r>
      <w:r w:rsidR="00E34BBD" w:rsidRPr="000D6C80">
        <w:t>9</w:t>
      </w:r>
      <w:r w:rsidR="00377BE8">
        <w:t xml:space="preserve"> </w:t>
      </w:r>
      <w:r w:rsidR="00E34BBD" w:rsidRPr="000D6C80">
        <w:t>800 persons in March</w:t>
      </w:r>
      <w:r w:rsidRPr="000D6C80">
        <w:t xml:space="preserve">, </w:t>
      </w:r>
      <w:r w:rsidR="00E34BBD" w:rsidRPr="000D6C80">
        <w:t xml:space="preserve">mainly </w:t>
      </w:r>
      <w:r w:rsidR="0027024A">
        <w:t>driven by</w:t>
      </w:r>
      <w:r w:rsidRPr="000D6C80">
        <w:t xml:space="preserve"> gains in </w:t>
      </w:r>
      <w:r w:rsidR="005A4B21" w:rsidRPr="000D6C80">
        <w:t>full</w:t>
      </w:r>
      <w:r w:rsidR="005A4B21">
        <w:t>-</w:t>
      </w:r>
      <w:r w:rsidRPr="000D6C80">
        <w:t>time</w:t>
      </w:r>
      <w:r w:rsidR="00E34BBD" w:rsidRPr="000D6C80">
        <w:t xml:space="preserve"> employment</w:t>
      </w:r>
      <w:r w:rsidRPr="000D6C80">
        <w:t xml:space="preserve">. Over the year, employment rose by </w:t>
      </w:r>
      <w:r w:rsidR="005A4B21" w:rsidRPr="000D6C80">
        <w:t>95</w:t>
      </w:r>
      <w:r w:rsidR="005A4B21">
        <w:t> </w:t>
      </w:r>
      <w:r w:rsidR="005A4B21" w:rsidRPr="000D6C80">
        <w:t>300</w:t>
      </w:r>
      <w:r w:rsidR="005A4B21">
        <w:t> </w:t>
      </w:r>
      <w:r w:rsidRPr="000D6C80">
        <w:t xml:space="preserve">persons, the highest </w:t>
      </w:r>
      <w:r w:rsidR="005A4B21">
        <w:t xml:space="preserve">growth </w:t>
      </w:r>
      <w:r w:rsidRPr="000D6C80">
        <w:t>among the states</w:t>
      </w:r>
      <w:r w:rsidR="000D6C80" w:rsidRPr="000D6C80">
        <w:t xml:space="preserve"> in both absolute and percentage terms</w:t>
      </w:r>
      <w:r w:rsidRPr="000D6C80">
        <w:t xml:space="preserve">. </w:t>
      </w:r>
      <w:r w:rsidR="00D041F4">
        <w:t>Despite</w:t>
      </w:r>
      <w:r w:rsidR="00551D3E">
        <w:t xml:space="preserve"> </w:t>
      </w:r>
      <w:r w:rsidR="005A4B21">
        <w:t xml:space="preserve">strong jobs growth, </w:t>
      </w:r>
      <w:r w:rsidRPr="000D6C80">
        <w:t xml:space="preserve">Victoria's unemployment rate </w:t>
      </w:r>
      <w:r w:rsidR="000D6C80" w:rsidRPr="000D6C80">
        <w:t>rose</w:t>
      </w:r>
      <w:r w:rsidRPr="000D6C80">
        <w:t xml:space="preserve"> to 6.1 per cent in </w:t>
      </w:r>
      <w:r w:rsidR="00E34BBD" w:rsidRPr="000D6C80">
        <w:t>March</w:t>
      </w:r>
      <w:r w:rsidRPr="000D6C80">
        <w:t xml:space="preserve">, </w:t>
      </w:r>
      <w:r w:rsidR="005A4B21">
        <w:t xml:space="preserve">mostly </w:t>
      </w:r>
      <w:r w:rsidR="00551D3E">
        <w:t>reflecting</w:t>
      </w:r>
      <w:r w:rsidR="005A4B21">
        <w:t xml:space="preserve"> </w:t>
      </w:r>
      <w:r w:rsidR="0027024A">
        <w:t xml:space="preserve">a </w:t>
      </w:r>
      <w:r w:rsidR="00377BE8">
        <w:t>rise in the participation rate.</w:t>
      </w:r>
      <w:r w:rsidR="00377BE8" w:rsidRPr="000D6C80">
        <w:t xml:space="preserve"> </w:t>
      </w:r>
    </w:p>
    <w:p w:rsidR="005A4B21" w:rsidRDefault="00377BE8" w:rsidP="005A4B21">
      <w:r>
        <w:t>In the three months to February,</w:t>
      </w:r>
      <w:r w:rsidR="005A4B21" w:rsidRPr="005A4B21">
        <w:t xml:space="preserve"> </w:t>
      </w:r>
      <w:r w:rsidR="000E08E5">
        <w:t xml:space="preserve">employment in </w:t>
      </w:r>
      <w:r w:rsidR="000E08E5" w:rsidRPr="00C63FC2">
        <w:rPr>
          <w:b/>
        </w:rPr>
        <w:t xml:space="preserve">regional Victoria </w:t>
      </w:r>
      <w:r w:rsidR="000E08E5">
        <w:t xml:space="preserve">grew by </w:t>
      </w:r>
      <w:r w:rsidR="005A4B21">
        <w:t xml:space="preserve">3 400 </w:t>
      </w:r>
      <w:r w:rsidR="000E08E5">
        <w:t>persons</w:t>
      </w:r>
      <w:r w:rsidR="005A4B21">
        <w:t xml:space="preserve"> and the Victorian regional unemployment rate is below the national average. </w:t>
      </w:r>
    </w:p>
    <w:p w:rsidR="005A4B21" w:rsidRDefault="000E08E5" w:rsidP="00834D07">
      <w:r w:rsidRPr="008412FA">
        <w:rPr>
          <w:rFonts w:ascii="Arial" w:hAnsi="Arial" w:cs="Arial"/>
          <w:color w:val="000000"/>
        </w:rPr>
        <w:t>Victoria</w:t>
      </w:r>
      <w:r>
        <w:rPr>
          <w:rFonts w:ascii="Arial" w:hAnsi="Arial" w:cs="Arial"/>
          <w:color w:val="000000"/>
        </w:rPr>
        <w:t>’s</w:t>
      </w:r>
      <w:r w:rsidRPr="008412FA">
        <w:rPr>
          <w:rFonts w:ascii="Arial" w:hAnsi="Arial" w:cs="Arial"/>
          <w:color w:val="000000"/>
        </w:rPr>
        <w:t xml:space="preserve"> </w:t>
      </w:r>
      <w:r w:rsidRPr="00C63FC2">
        <w:rPr>
          <w:rFonts w:ascii="Arial" w:hAnsi="Arial" w:cs="Arial"/>
          <w:b/>
          <w:color w:val="000000"/>
        </w:rPr>
        <w:t>population</w:t>
      </w:r>
      <w:r w:rsidRPr="008412FA">
        <w:rPr>
          <w:rFonts w:ascii="Arial" w:hAnsi="Arial" w:cs="Arial"/>
          <w:color w:val="000000"/>
        </w:rPr>
        <w:t xml:space="preserve"> grew by </w:t>
      </w:r>
      <w:r>
        <w:rPr>
          <w:rFonts w:ascii="Arial" w:hAnsi="Arial" w:cs="Arial"/>
          <w:color w:val="000000"/>
        </w:rPr>
        <w:t xml:space="preserve">127 498 persons </w:t>
      </w:r>
      <w:r w:rsidRPr="008412FA">
        <w:rPr>
          <w:rFonts w:ascii="Arial" w:hAnsi="Arial" w:cs="Arial"/>
          <w:color w:val="000000"/>
        </w:rPr>
        <w:t xml:space="preserve">over the year to September 2016, the highest of all states. </w:t>
      </w:r>
      <w:r>
        <w:rPr>
          <w:rFonts w:ascii="Arial" w:hAnsi="Arial" w:cs="Arial"/>
          <w:color w:val="000000"/>
        </w:rPr>
        <w:t xml:space="preserve">The main driver of the growth was </w:t>
      </w:r>
      <w:r w:rsidRPr="008412FA">
        <w:rPr>
          <w:rFonts w:ascii="Arial" w:hAnsi="Arial" w:cs="Arial"/>
          <w:color w:val="000000"/>
        </w:rPr>
        <w:t xml:space="preserve">net overseas migration </w:t>
      </w:r>
      <w:r w:rsidR="00E12022">
        <w:rPr>
          <w:rFonts w:ascii="Arial" w:hAnsi="Arial" w:cs="Arial"/>
          <w:color w:val="000000"/>
        </w:rPr>
        <w:t>and</w:t>
      </w:r>
      <w:r>
        <w:rPr>
          <w:rFonts w:ascii="Arial" w:hAnsi="Arial" w:cs="Arial"/>
          <w:color w:val="000000"/>
        </w:rPr>
        <w:t xml:space="preserve"> net interstate migration </w:t>
      </w:r>
      <w:r w:rsidR="007A0687">
        <w:rPr>
          <w:rFonts w:ascii="Arial" w:hAnsi="Arial" w:cs="Arial"/>
          <w:color w:val="000000"/>
        </w:rPr>
        <w:t xml:space="preserve">also </w:t>
      </w:r>
      <w:r>
        <w:rPr>
          <w:rFonts w:ascii="Arial" w:hAnsi="Arial" w:cs="Arial"/>
          <w:color w:val="000000"/>
        </w:rPr>
        <w:t xml:space="preserve">contributed </w:t>
      </w:r>
      <w:r w:rsidR="007A0687">
        <w:rPr>
          <w:rFonts w:ascii="Arial" w:hAnsi="Arial" w:cs="Arial"/>
          <w:color w:val="000000"/>
        </w:rPr>
        <w:t>to</w:t>
      </w:r>
      <w:r>
        <w:rPr>
          <w:rFonts w:ascii="Arial" w:hAnsi="Arial" w:cs="Arial"/>
          <w:color w:val="000000"/>
        </w:rPr>
        <w:t xml:space="preserve"> growth</w:t>
      </w:r>
      <w:r w:rsidRPr="008412FA">
        <w:rPr>
          <w:rFonts w:ascii="Arial" w:hAnsi="Arial" w:cs="Arial"/>
          <w:color w:val="000000"/>
        </w:rPr>
        <w:t>.</w:t>
      </w:r>
    </w:p>
    <w:p w:rsidR="00D041F4" w:rsidRDefault="00D041F4" w:rsidP="00D041F4">
      <w:r w:rsidRPr="006F49D7">
        <w:t xml:space="preserve">The Victorian </w:t>
      </w:r>
      <w:r w:rsidRPr="006F49D7">
        <w:rPr>
          <w:b/>
        </w:rPr>
        <w:t>Consumer Sentiment Index</w:t>
      </w:r>
      <w:r w:rsidRPr="006F49D7">
        <w:t xml:space="preserve"> declined 1.8 per cent to 99.1 in April, indicating that pessimists slightly outnumber optimists. </w:t>
      </w:r>
      <w:r>
        <w:t xml:space="preserve">The main decline was in the </w:t>
      </w:r>
      <w:r w:rsidRPr="000F62D1">
        <w:t>'Economic Conditions next 12 months'</w:t>
      </w:r>
      <w:r>
        <w:t xml:space="preserve"> sub-index.</w:t>
      </w:r>
    </w:p>
    <w:p w:rsidR="00D041F4" w:rsidRDefault="00D041F4" w:rsidP="00834D07"/>
    <w:p w:rsidR="00D041F4" w:rsidRDefault="00D041F4" w:rsidP="00834D07"/>
    <w:p w:rsidR="00D041F4" w:rsidRPr="000D6C80" w:rsidRDefault="00D041F4" w:rsidP="00834D07">
      <w:pPr>
        <w:sectPr w:rsidR="00D041F4" w:rsidRPr="000D6C80" w:rsidSect="002751C4">
          <w:headerReference w:type="default" r:id="rId16"/>
          <w:footerReference w:type="default" r:id="rId17"/>
          <w:type w:val="continuous"/>
          <w:pgSz w:w="11906" w:h="16838" w:code="9"/>
          <w:pgMar w:top="964" w:right="1134" w:bottom="794" w:left="1134" w:header="709" w:footer="567" w:gutter="0"/>
          <w:cols w:num="2" w:space="562" w:equalWidth="0">
            <w:col w:w="3355" w:space="562"/>
            <w:col w:w="5721"/>
          </w:cols>
          <w:docGrid w:linePitch="360"/>
        </w:sectPr>
      </w:pPr>
    </w:p>
    <w:p w:rsidR="00D041F4" w:rsidRPr="00D041F4" w:rsidRDefault="006E0EDE" w:rsidP="00FE78EC">
      <w:pPr>
        <w:rPr>
          <w:rFonts w:cstheme="minorHAnsi"/>
        </w:rPr>
      </w:pPr>
      <w:r w:rsidRPr="00D041F4">
        <w:rPr>
          <w:rFonts w:cstheme="minorHAnsi"/>
        </w:rPr>
        <w:lastRenderedPageBreak/>
        <w:t xml:space="preserve">The value of Victoria’s </w:t>
      </w:r>
      <w:r w:rsidRPr="00D041F4">
        <w:rPr>
          <w:rFonts w:cstheme="minorHAnsi"/>
          <w:b/>
        </w:rPr>
        <w:t>retail sales</w:t>
      </w:r>
      <w:r w:rsidRPr="00D041F4">
        <w:rPr>
          <w:rFonts w:cstheme="minorHAnsi"/>
        </w:rPr>
        <w:t xml:space="preserve"> increased </w:t>
      </w:r>
      <w:r w:rsidR="00C932E9" w:rsidRPr="00D041F4">
        <w:rPr>
          <w:rFonts w:cstheme="minorHAnsi"/>
        </w:rPr>
        <w:t xml:space="preserve">by </w:t>
      </w:r>
      <w:r w:rsidRPr="00D041F4">
        <w:rPr>
          <w:rFonts w:cstheme="minorHAnsi"/>
        </w:rPr>
        <w:t xml:space="preserve">2.6 per cent over the year to February 2017, roughly in line with the national growth rate. </w:t>
      </w:r>
    </w:p>
    <w:p w:rsidR="001210AB" w:rsidRPr="00D041F4" w:rsidRDefault="001210AB" w:rsidP="001210AB">
      <w:pPr>
        <w:rPr>
          <w:rFonts w:cstheme="minorHAnsi"/>
        </w:rPr>
      </w:pPr>
      <w:r w:rsidRPr="00D041F4">
        <w:rPr>
          <w:rFonts w:cstheme="minorHAnsi"/>
        </w:rPr>
        <w:t xml:space="preserve">Victoria's </w:t>
      </w:r>
      <w:r w:rsidRPr="00D041F4">
        <w:rPr>
          <w:rFonts w:cstheme="minorHAnsi"/>
          <w:b/>
        </w:rPr>
        <w:t>Performance of Manufacturing Index</w:t>
      </w:r>
      <w:r w:rsidRPr="00D041F4">
        <w:rPr>
          <w:rFonts w:cstheme="minorHAnsi"/>
        </w:rPr>
        <w:t xml:space="preserve"> decreased in March but remain</w:t>
      </w:r>
      <w:r w:rsidR="00551D3E">
        <w:rPr>
          <w:rFonts w:cstheme="minorHAnsi"/>
        </w:rPr>
        <w:t>s</w:t>
      </w:r>
      <w:r w:rsidRPr="00D041F4">
        <w:rPr>
          <w:rFonts w:cstheme="minorHAnsi"/>
        </w:rPr>
        <w:t xml:space="preserve"> above 50 points indicating expansion</w:t>
      </w:r>
      <w:r w:rsidR="00AD4424">
        <w:rPr>
          <w:rFonts w:cstheme="minorHAnsi"/>
        </w:rPr>
        <w:t xml:space="preserve"> in manufacturing activity</w:t>
      </w:r>
      <w:r w:rsidRPr="00D041F4">
        <w:rPr>
          <w:rFonts w:cstheme="minorHAnsi"/>
        </w:rPr>
        <w:t xml:space="preserve">. Survey measures of Victorian </w:t>
      </w:r>
      <w:r w:rsidRPr="00D041F4">
        <w:rPr>
          <w:rFonts w:cstheme="minorHAnsi"/>
          <w:b/>
        </w:rPr>
        <w:t>business conditions and confidence</w:t>
      </w:r>
      <w:r w:rsidRPr="00D041F4">
        <w:rPr>
          <w:rFonts w:cstheme="minorHAnsi"/>
        </w:rPr>
        <w:t xml:space="preserve"> remain above long-run averages, consistent with ongoing growth in business investment. </w:t>
      </w:r>
    </w:p>
    <w:p w:rsidR="006E0EDE" w:rsidRPr="00D041F4" w:rsidRDefault="006E0EDE" w:rsidP="006E0EDE">
      <w:pPr>
        <w:rPr>
          <w:rFonts w:cstheme="minorHAnsi"/>
        </w:rPr>
      </w:pPr>
      <w:r w:rsidRPr="00D041F4">
        <w:rPr>
          <w:rFonts w:cstheme="minorHAnsi"/>
        </w:rPr>
        <w:t xml:space="preserve">House prices in Melbourne continue to grow strongly. The ABS </w:t>
      </w:r>
      <w:r w:rsidRPr="00D041F4">
        <w:rPr>
          <w:rFonts w:cstheme="minorHAnsi"/>
          <w:b/>
        </w:rPr>
        <w:t>Residential Property Price Index</w:t>
      </w:r>
      <w:r w:rsidRPr="00D041F4">
        <w:rPr>
          <w:rFonts w:cstheme="minorHAnsi"/>
        </w:rPr>
        <w:t xml:space="preserve"> increased by 10.8 per cent over the year to the December quarter 2016, the highest growth rate amongst the states. The more timely </w:t>
      </w:r>
      <w:proofErr w:type="spellStart"/>
      <w:r w:rsidRPr="00D041F4">
        <w:rPr>
          <w:rFonts w:cstheme="minorHAnsi"/>
          <w:b/>
        </w:rPr>
        <w:t>CoreLogic</w:t>
      </w:r>
      <w:proofErr w:type="spellEnd"/>
      <w:r w:rsidRPr="00D041F4">
        <w:rPr>
          <w:rFonts w:cstheme="minorHAnsi"/>
          <w:b/>
        </w:rPr>
        <w:t xml:space="preserve"> RP</w:t>
      </w:r>
      <w:r w:rsidR="00C932E9" w:rsidRPr="00D041F4">
        <w:rPr>
          <w:rFonts w:cstheme="minorHAnsi"/>
          <w:b/>
        </w:rPr>
        <w:t xml:space="preserve"> </w:t>
      </w:r>
      <w:r w:rsidRPr="00D041F4">
        <w:rPr>
          <w:rFonts w:cstheme="minorHAnsi"/>
          <w:b/>
        </w:rPr>
        <w:t>Data Home Value Index</w:t>
      </w:r>
      <w:r w:rsidRPr="00D041F4">
        <w:rPr>
          <w:rFonts w:cstheme="minorHAnsi"/>
        </w:rPr>
        <w:t xml:space="preserve"> increased 15.9 per cent over the year to March, the second highest rate amongst the states. </w:t>
      </w:r>
    </w:p>
    <w:p w:rsidR="000C595B" w:rsidRPr="00D041F4" w:rsidRDefault="006E0EDE" w:rsidP="000C595B">
      <w:pPr>
        <w:rPr>
          <w:rFonts w:cstheme="minorHAnsi"/>
        </w:rPr>
      </w:pPr>
      <w:r w:rsidRPr="00D041F4">
        <w:rPr>
          <w:rFonts w:cstheme="minorHAnsi"/>
        </w:rPr>
        <w:t xml:space="preserve">The value of Victorian </w:t>
      </w:r>
      <w:r w:rsidRPr="00D041F4">
        <w:rPr>
          <w:rFonts w:cstheme="minorHAnsi"/>
          <w:b/>
        </w:rPr>
        <w:t>building approvals</w:t>
      </w:r>
      <w:r w:rsidRPr="00D041F4">
        <w:rPr>
          <w:rFonts w:cstheme="minorHAnsi"/>
        </w:rPr>
        <w:t xml:space="preserve"> increased 8.2 per cent in February with strong growth in non-residential approvals, partly offset by a fall in residential approvals. The value of </w:t>
      </w:r>
      <w:r w:rsidRPr="00D041F4">
        <w:rPr>
          <w:rFonts w:cstheme="minorHAnsi"/>
          <w:b/>
        </w:rPr>
        <w:t>building work done</w:t>
      </w:r>
      <w:r w:rsidRPr="00D041F4">
        <w:rPr>
          <w:rFonts w:cstheme="minorHAnsi"/>
        </w:rPr>
        <w:t xml:space="preserve"> in Victoria increased in the December quarter 2016, led by growth in factories and other secondary production buildings. </w:t>
      </w:r>
      <w:r w:rsidR="000C595B" w:rsidRPr="00D041F4">
        <w:rPr>
          <w:rFonts w:cstheme="minorHAnsi"/>
        </w:rPr>
        <w:t xml:space="preserve"> </w:t>
      </w:r>
    </w:p>
    <w:p w:rsidR="006E0EDE" w:rsidRPr="00D041F4" w:rsidRDefault="006E0EDE" w:rsidP="00FE78EC">
      <w:pPr>
        <w:rPr>
          <w:rFonts w:cstheme="minorHAnsi"/>
        </w:rPr>
      </w:pPr>
      <w:r w:rsidRPr="00D041F4">
        <w:rPr>
          <w:rFonts w:cstheme="minorHAnsi"/>
        </w:rPr>
        <w:t xml:space="preserve">The value of Australian </w:t>
      </w:r>
      <w:r w:rsidRPr="00D041F4">
        <w:rPr>
          <w:rFonts w:cstheme="minorHAnsi"/>
          <w:b/>
        </w:rPr>
        <w:t>housing finance commitments</w:t>
      </w:r>
      <w:r w:rsidRPr="00D041F4">
        <w:rPr>
          <w:rFonts w:cstheme="minorHAnsi"/>
        </w:rPr>
        <w:t xml:space="preserve"> fell in February, with a decrease in investor commitments offsetting a slight rise in owner-occupier commitments. </w:t>
      </w:r>
    </w:p>
    <w:p w:rsidR="00ED1748" w:rsidRPr="00D041F4" w:rsidRDefault="00D041F4" w:rsidP="00FE78EC">
      <w:pPr>
        <w:rPr>
          <w:rFonts w:cstheme="minorHAnsi"/>
        </w:rPr>
      </w:pPr>
      <w:r>
        <w:rPr>
          <w:rFonts w:cstheme="minorHAnsi"/>
          <w:color w:val="000000"/>
          <w:shd w:val="clear" w:color="auto" w:fill="FFFFFF"/>
        </w:rPr>
        <w:t xml:space="preserve">The </w:t>
      </w:r>
      <w:r w:rsidR="004844FA" w:rsidRPr="001210AB">
        <w:rPr>
          <w:rFonts w:cstheme="minorHAnsi"/>
          <w:b/>
          <w:color w:val="000000"/>
          <w:shd w:val="clear" w:color="auto" w:fill="FFFFFF"/>
        </w:rPr>
        <w:t>RBA</w:t>
      </w:r>
      <w:r w:rsidR="004844FA" w:rsidRPr="00D041F4">
        <w:rPr>
          <w:rFonts w:cstheme="minorHAnsi"/>
          <w:color w:val="000000"/>
          <w:shd w:val="clear" w:color="auto" w:fill="FFFFFF"/>
        </w:rPr>
        <w:t xml:space="preserve"> highlighted </w:t>
      </w:r>
      <w:r w:rsidR="001210AB">
        <w:rPr>
          <w:rFonts w:cstheme="minorHAnsi"/>
          <w:color w:val="000000"/>
          <w:shd w:val="clear" w:color="auto" w:fill="FFFFFF"/>
        </w:rPr>
        <w:t>the</w:t>
      </w:r>
      <w:r w:rsidR="004844FA" w:rsidRPr="00D041F4">
        <w:rPr>
          <w:rFonts w:cstheme="minorHAnsi"/>
          <w:color w:val="000000"/>
          <w:shd w:val="clear" w:color="auto" w:fill="FFFFFF"/>
        </w:rPr>
        <w:t xml:space="preserve"> build-up of risks in the property market</w:t>
      </w:r>
      <w:r w:rsidR="001210AB">
        <w:rPr>
          <w:rFonts w:cstheme="minorHAnsi"/>
          <w:color w:val="000000"/>
          <w:shd w:val="clear" w:color="auto" w:fill="FFFFFF"/>
        </w:rPr>
        <w:t xml:space="preserve"> </w:t>
      </w:r>
      <w:r w:rsidR="00551D3E">
        <w:rPr>
          <w:rFonts w:cstheme="minorHAnsi"/>
          <w:color w:val="000000"/>
          <w:shd w:val="clear" w:color="auto" w:fill="FFFFFF"/>
        </w:rPr>
        <w:t>during</w:t>
      </w:r>
      <w:r w:rsidR="001210AB">
        <w:rPr>
          <w:rFonts w:cstheme="minorHAnsi"/>
          <w:color w:val="000000"/>
          <w:shd w:val="clear" w:color="auto" w:fill="FFFFFF"/>
        </w:rPr>
        <w:t xml:space="preserve"> the month</w:t>
      </w:r>
      <w:r w:rsidR="008155C1">
        <w:rPr>
          <w:rFonts w:cstheme="minorHAnsi"/>
          <w:color w:val="000000"/>
          <w:shd w:val="clear" w:color="auto" w:fill="FFFFFF"/>
        </w:rPr>
        <w:t xml:space="preserve"> as g</w:t>
      </w:r>
      <w:r w:rsidR="004844FA" w:rsidRPr="00D041F4">
        <w:rPr>
          <w:rFonts w:cstheme="minorHAnsi"/>
          <w:color w:val="000000"/>
          <w:shd w:val="clear" w:color="auto" w:fill="FFFFFF"/>
        </w:rPr>
        <w:t xml:space="preserve">rowth in household borrowing continues to outpace growth in household income. </w:t>
      </w:r>
      <w:r w:rsidR="001210AB">
        <w:rPr>
          <w:rFonts w:cstheme="minorHAnsi"/>
          <w:color w:val="000000"/>
          <w:shd w:val="clear" w:color="auto" w:fill="FFFFFF"/>
        </w:rPr>
        <w:t>In response, t</w:t>
      </w:r>
      <w:r w:rsidR="006E0EDE" w:rsidRPr="00D041F4">
        <w:rPr>
          <w:rFonts w:cstheme="minorHAnsi"/>
        </w:rPr>
        <w:t>he Australian Prudential Regulation Authority (</w:t>
      </w:r>
      <w:r w:rsidR="006E0EDE" w:rsidRPr="00D041F4">
        <w:rPr>
          <w:rFonts w:cstheme="minorHAnsi"/>
          <w:b/>
        </w:rPr>
        <w:t>APRA</w:t>
      </w:r>
      <w:r w:rsidR="006E0EDE" w:rsidRPr="00D041F4">
        <w:rPr>
          <w:rFonts w:cstheme="minorHAnsi"/>
        </w:rPr>
        <w:t xml:space="preserve">) has instructed banks that interest-only loans </w:t>
      </w:r>
      <w:r w:rsidR="006E0EDE" w:rsidRPr="00D041F4">
        <w:rPr>
          <w:rFonts w:cstheme="minorHAnsi"/>
        </w:rPr>
        <w:lastRenderedPageBreak/>
        <w:t>must n</w:t>
      </w:r>
      <w:r w:rsidR="00DA164A">
        <w:rPr>
          <w:rFonts w:cstheme="minorHAnsi"/>
        </w:rPr>
        <w:t>ow account for less than 30 per </w:t>
      </w:r>
      <w:r w:rsidR="006E0EDE" w:rsidRPr="00D041F4">
        <w:rPr>
          <w:rFonts w:cstheme="minorHAnsi"/>
        </w:rPr>
        <w:t>cent of all new loans.</w:t>
      </w:r>
    </w:p>
    <w:p w:rsidR="005A4B21" w:rsidRDefault="005A4B21" w:rsidP="00FE78EC">
      <w:pPr>
        <w:rPr>
          <w:rFonts w:cstheme="minorHAnsi"/>
        </w:rPr>
      </w:pPr>
      <w:r w:rsidRPr="00D041F4">
        <w:rPr>
          <w:rFonts w:cstheme="minorHAnsi"/>
        </w:rPr>
        <w:t xml:space="preserve">Tropical </w:t>
      </w:r>
      <w:r w:rsidRPr="00C63FC2">
        <w:rPr>
          <w:rFonts w:cstheme="minorHAnsi"/>
          <w:b/>
        </w:rPr>
        <w:t>Cyclone Debbie</w:t>
      </w:r>
      <w:r w:rsidRPr="00D041F4">
        <w:rPr>
          <w:rFonts w:cstheme="minorHAnsi"/>
        </w:rPr>
        <w:t xml:space="preserve"> hit Queensland in late March. The cyclone is expected to detract from national GDP growth in the June quarter as coal production is interrupted from flooding in mines and exports are disrupted from the closure of rail systems. The cyclone is expected to add to headline inflation in the short term, mostly due to higher food prices.</w:t>
      </w:r>
      <w:r w:rsidR="00551D3E">
        <w:rPr>
          <w:rFonts w:cstheme="minorHAnsi"/>
        </w:rPr>
        <w:t xml:space="preserve"> These impacts are likely to be temporary, and </w:t>
      </w:r>
      <w:r w:rsidR="003228B5">
        <w:rPr>
          <w:rFonts w:cstheme="minorHAnsi"/>
        </w:rPr>
        <w:t>partly offset by</w:t>
      </w:r>
      <w:r w:rsidR="00551D3E">
        <w:rPr>
          <w:rFonts w:cstheme="minorHAnsi"/>
        </w:rPr>
        <w:t xml:space="preserve"> reconstruct</w:t>
      </w:r>
      <w:r w:rsidR="009666A2">
        <w:rPr>
          <w:rFonts w:cstheme="minorHAnsi"/>
        </w:rPr>
        <w:t>ion</w:t>
      </w:r>
      <w:r w:rsidR="003228B5">
        <w:rPr>
          <w:rFonts w:cstheme="minorHAnsi"/>
        </w:rPr>
        <w:t xml:space="preserve"> activity.</w:t>
      </w:r>
    </w:p>
    <w:p w:rsidR="003228B5" w:rsidRPr="00105622" w:rsidRDefault="00E12022" w:rsidP="00105622">
      <w:pPr>
        <w:spacing w:after="320"/>
      </w:pPr>
      <w:r>
        <w:t xml:space="preserve">The RBA </w:t>
      </w:r>
      <w:r w:rsidRPr="007A0687">
        <w:rPr>
          <w:b/>
        </w:rPr>
        <w:t>commodity price index</w:t>
      </w:r>
      <w:r>
        <w:t xml:space="preserve"> increased 0.5 per cent in March. Over the year, the index has increased 43.2 </w:t>
      </w:r>
      <w:r w:rsidR="00BC43BB">
        <w:br/>
      </w:r>
      <w:r>
        <w:t xml:space="preserve">per cent, led by </w:t>
      </w:r>
      <w:r w:rsidR="000F59FA">
        <w:t xml:space="preserve">a </w:t>
      </w:r>
      <w:r w:rsidR="00BC43BB">
        <w:t>doubl</w:t>
      </w:r>
      <w:r w:rsidR="000F59FA">
        <w:t>ing in the</w:t>
      </w:r>
      <w:r>
        <w:t xml:space="preserve"> coking coal </w:t>
      </w:r>
      <w:r w:rsidR="00BC43BB">
        <w:t xml:space="preserve">price </w:t>
      </w:r>
      <w:r w:rsidR="003E7560">
        <w:t xml:space="preserve">to AU$211 per tonne </w:t>
      </w:r>
      <w:r>
        <w:t xml:space="preserve">and </w:t>
      </w:r>
      <w:r w:rsidR="000F59FA">
        <w:t xml:space="preserve">a </w:t>
      </w:r>
      <w:r w:rsidR="00BC43BB">
        <w:t>5</w:t>
      </w:r>
      <w:r w:rsidR="006A63A8">
        <w:t>1</w:t>
      </w:r>
      <w:r w:rsidR="00BC43BB">
        <w:t xml:space="preserve"> per cent increase </w:t>
      </w:r>
      <w:r w:rsidR="00B94CFD">
        <w:t>in</w:t>
      </w:r>
      <w:r w:rsidR="00BC43BB">
        <w:t xml:space="preserve"> </w:t>
      </w:r>
      <w:r w:rsidR="000F59FA">
        <w:t xml:space="preserve">the </w:t>
      </w:r>
      <w:r>
        <w:t xml:space="preserve">iron ore </w:t>
      </w:r>
      <w:r w:rsidR="006A63A8">
        <w:t>price</w:t>
      </w:r>
      <w:r>
        <w:t xml:space="preserve">. </w:t>
      </w:r>
    </w:p>
    <w:tbl>
      <w:tblPr>
        <w:tblW w:w="4698" w:type="dxa"/>
        <w:tblLook w:val="04A0" w:firstRow="1" w:lastRow="0" w:firstColumn="1" w:lastColumn="0" w:noHBand="0" w:noVBand="1"/>
      </w:tblPr>
      <w:tblGrid>
        <w:gridCol w:w="988"/>
        <w:gridCol w:w="3710"/>
      </w:tblGrid>
      <w:tr w:rsidR="00047DD7" w:rsidRPr="00405FBA" w:rsidTr="002751C4">
        <w:tc>
          <w:tcPr>
            <w:tcW w:w="988" w:type="dxa"/>
          </w:tcPr>
          <w:p w:rsidR="00047DD7" w:rsidRPr="00405FBA" w:rsidRDefault="002868CD" w:rsidP="00EE60CF">
            <w:r w:rsidRPr="00405FBA">
              <w:br w:type="column"/>
            </w:r>
            <w:r w:rsidR="00047DD7" w:rsidRPr="00405FBA">
              <w:rPr>
                <w:noProof/>
                <w:lang w:eastAsia="en-AU"/>
              </w:rPr>
              <w:drawing>
                <wp:inline distT="0" distB="0" distL="0" distR="0" wp14:anchorId="49713067" wp14:editId="165AC6F9">
                  <wp:extent cx="468000" cy="468000"/>
                  <wp:effectExtent l="0" t="0" r="8255" b="8255"/>
                  <wp:docPr id="14" name="Picture 14" descr="H:\temp\Economic Policy Newsletter\Stockmark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emp\Economic Policy Newsletter\Stockmarket.png"/>
                          <pic:cNvPicPr>
                            <a:picLocks noChangeAspect="1" noChangeArrowheads="1"/>
                          </pic:cNvPicPr>
                        </pic:nvPicPr>
                        <pic:blipFill>
                          <a:blip r:embed="rId18"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tc>
        <w:tc>
          <w:tcPr>
            <w:tcW w:w="3710" w:type="dxa"/>
            <w:vAlign w:val="bottom"/>
          </w:tcPr>
          <w:p w:rsidR="00047DD7" w:rsidRPr="00405FBA" w:rsidRDefault="008B2D78" w:rsidP="00EE60CF">
            <w:pPr>
              <w:pStyle w:val="Heading1"/>
            </w:pPr>
            <w:r>
              <w:t>Global developments</w:t>
            </w:r>
          </w:p>
        </w:tc>
      </w:tr>
    </w:tbl>
    <w:p w:rsidR="00565B8B" w:rsidRDefault="00565B8B" w:rsidP="00565B8B">
      <w:r w:rsidRPr="00ED1748">
        <w:t xml:space="preserve">Economic conditions in the global economy </w:t>
      </w:r>
      <w:r>
        <w:t xml:space="preserve">remained solid </w:t>
      </w:r>
      <w:r w:rsidRPr="00ED1748">
        <w:t xml:space="preserve">in the month with </w:t>
      </w:r>
      <w:r>
        <w:t>positive developments in</w:t>
      </w:r>
      <w:r w:rsidRPr="00ED1748">
        <w:t xml:space="preserve"> </w:t>
      </w:r>
      <w:r>
        <w:t xml:space="preserve">the </w:t>
      </w:r>
      <w:r w:rsidRPr="00ED1748">
        <w:t>US</w:t>
      </w:r>
      <w:r>
        <w:rPr>
          <w:rFonts w:ascii="Verdana" w:hAnsi="Verdana"/>
          <w:color w:val="000000"/>
          <w:sz w:val="20"/>
          <w:szCs w:val="20"/>
          <w:shd w:val="clear" w:color="auto" w:fill="FFFFFF"/>
        </w:rPr>
        <w:t xml:space="preserve">. </w:t>
      </w:r>
    </w:p>
    <w:p w:rsidR="001210AB" w:rsidRDefault="00565B8B" w:rsidP="00565B8B">
      <w:r>
        <w:t>T</w:t>
      </w:r>
      <w:r w:rsidRPr="009577E8">
        <w:t xml:space="preserve">he </w:t>
      </w:r>
      <w:r w:rsidRPr="009577E8">
        <w:rPr>
          <w:b/>
        </w:rPr>
        <w:t>US Fed</w:t>
      </w:r>
      <w:r w:rsidRPr="009577E8">
        <w:t xml:space="preserve"> raised interest rates by 25</w:t>
      </w:r>
      <w:r>
        <w:t> </w:t>
      </w:r>
      <w:r w:rsidRPr="009577E8">
        <w:t>basis points in March</w:t>
      </w:r>
      <w:r>
        <w:t xml:space="preserve"> to </w:t>
      </w:r>
      <w:r w:rsidRPr="009577E8">
        <w:t xml:space="preserve">1.0 per cent. </w:t>
      </w:r>
      <w:r>
        <w:t xml:space="preserve">The Fed is also considering its options for reducing the size of its balance sheet following years of quantitative easing. </w:t>
      </w:r>
    </w:p>
    <w:p w:rsidR="00565B8B" w:rsidRDefault="00565B8B" w:rsidP="00105622">
      <w:pPr>
        <w:spacing w:after="160"/>
      </w:pPr>
      <w:r w:rsidRPr="00C63FC2">
        <w:rPr>
          <w:b/>
        </w:rPr>
        <w:t>US GDP growth</w:t>
      </w:r>
      <w:r w:rsidRPr="009577E8">
        <w:t xml:space="preserve"> was revised up to 2.1 </w:t>
      </w:r>
      <w:r>
        <w:t>percent</w:t>
      </w:r>
      <w:r w:rsidR="001210AB" w:rsidRPr="001210AB">
        <w:t xml:space="preserve"> </w:t>
      </w:r>
      <w:r w:rsidR="001210AB" w:rsidRPr="009577E8">
        <w:t>in the December quarter</w:t>
      </w:r>
      <w:r>
        <w:t>.</w:t>
      </w:r>
      <w:r w:rsidRPr="009577E8">
        <w:t xml:space="preserve"> </w:t>
      </w:r>
      <w:r>
        <w:t>The unemployment rate fell to a 10 year low of 4.5 per cent in March</w:t>
      </w:r>
      <w:r w:rsidR="001210AB">
        <w:t>, although</w:t>
      </w:r>
      <w:r w:rsidR="007A0687">
        <w:t xml:space="preserve"> </w:t>
      </w:r>
      <w:r w:rsidR="00AD4424">
        <w:t>employment</w:t>
      </w:r>
      <w:r w:rsidR="001210AB">
        <w:t xml:space="preserve"> growth slowed from the pace recorded in </w:t>
      </w:r>
      <w:r>
        <w:t xml:space="preserve">February. </w:t>
      </w:r>
    </w:p>
    <w:p w:rsidR="00565B8B" w:rsidRDefault="00565B8B" w:rsidP="00565B8B">
      <w:r>
        <w:t>Economic growth</w:t>
      </w:r>
      <w:r w:rsidRPr="008E6D15">
        <w:t xml:space="preserve"> </w:t>
      </w:r>
      <w:r>
        <w:t xml:space="preserve">in the </w:t>
      </w:r>
      <w:r w:rsidRPr="00526AA9">
        <w:rPr>
          <w:b/>
        </w:rPr>
        <w:t>Euro</w:t>
      </w:r>
      <w:r w:rsidR="00D85276">
        <w:rPr>
          <w:b/>
        </w:rPr>
        <w:t>zone</w:t>
      </w:r>
      <w:r>
        <w:t xml:space="preserve"> </w:t>
      </w:r>
      <w:r w:rsidRPr="008E6D15">
        <w:t xml:space="preserve">remains </w:t>
      </w:r>
      <w:r>
        <w:t>moderate,</w:t>
      </w:r>
      <w:r w:rsidRPr="008E6D15">
        <w:t xml:space="preserve"> with GDP growing 0.4</w:t>
      </w:r>
      <w:r w:rsidR="001210AB">
        <w:t> </w:t>
      </w:r>
      <w:r w:rsidRPr="008E6D15">
        <w:t>per cent in the December quarter</w:t>
      </w:r>
      <w:r>
        <w:t>.</w:t>
      </w:r>
      <w:r w:rsidRPr="008E6D15">
        <w:t xml:space="preserve"> </w:t>
      </w:r>
      <w:r>
        <w:t>P</w:t>
      </w:r>
      <w:r w:rsidRPr="00526AA9">
        <w:t xml:space="preserve">rivate consumption </w:t>
      </w:r>
      <w:r>
        <w:t xml:space="preserve">was the main driver of </w:t>
      </w:r>
      <w:r w:rsidRPr="00526AA9">
        <w:t>growth</w:t>
      </w:r>
      <w:r>
        <w:t>, followed by i</w:t>
      </w:r>
      <w:r w:rsidRPr="00526AA9">
        <w:t>nvestment</w:t>
      </w:r>
      <w:r>
        <w:t xml:space="preserve">. The unemployment rate has </w:t>
      </w:r>
      <w:r w:rsidRPr="008E6D15">
        <w:t xml:space="preserve">steadily </w:t>
      </w:r>
      <w:r w:rsidRPr="008E6D15">
        <w:lastRenderedPageBreak/>
        <w:t xml:space="preserve">decreased </w:t>
      </w:r>
      <w:r>
        <w:t xml:space="preserve">over the past few years and reached </w:t>
      </w:r>
      <w:r w:rsidRPr="008E6D15">
        <w:t>9.5 per cent in February</w:t>
      </w:r>
      <w:r>
        <w:t xml:space="preserve">, although it remains above the pre-crisis average rate. </w:t>
      </w:r>
      <w:r w:rsidRPr="00F31D70">
        <w:t>Inflation has recently picked up</w:t>
      </w:r>
      <w:r w:rsidRPr="008E6D15">
        <w:t xml:space="preserve"> </w:t>
      </w:r>
      <w:r>
        <w:t xml:space="preserve">from low levels and </w:t>
      </w:r>
      <w:r w:rsidRPr="00F31D70">
        <w:t xml:space="preserve">is expected to </w:t>
      </w:r>
      <w:r w:rsidR="001210AB">
        <w:t>gradually</w:t>
      </w:r>
      <w:r w:rsidR="001210AB" w:rsidRPr="00F31D70">
        <w:t xml:space="preserve"> </w:t>
      </w:r>
      <w:r w:rsidRPr="00F31D70">
        <w:t>increase</w:t>
      </w:r>
      <w:r>
        <w:t>.</w:t>
      </w:r>
      <w:r w:rsidRPr="008E6D15">
        <w:t xml:space="preserve"> </w:t>
      </w:r>
    </w:p>
    <w:p w:rsidR="00565B8B" w:rsidRPr="00052AE1" w:rsidRDefault="00565B8B" w:rsidP="00565B8B">
      <w:pPr>
        <w:rPr>
          <w:bCs/>
        </w:rPr>
      </w:pPr>
      <w:r w:rsidRPr="008E6D15">
        <w:t xml:space="preserve">The </w:t>
      </w:r>
      <w:r w:rsidRPr="008E6D15">
        <w:rPr>
          <w:b/>
        </w:rPr>
        <w:t>UK</w:t>
      </w:r>
      <w:r w:rsidRPr="008E6D15">
        <w:t xml:space="preserve"> prime minister triggered article 50 of the Treaty of Lisbon, formally signalling Britain’s dep</w:t>
      </w:r>
      <w:r>
        <w:t xml:space="preserve">arture from EU. </w:t>
      </w:r>
      <w:r w:rsidR="00551D3E">
        <w:t>A</w:t>
      </w:r>
      <w:r w:rsidR="00551D3E" w:rsidRPr="00551D3E">
        <w:t xml:space="preserve"> </w:t>
      </w:r>
      <w:r w:rsidR="008155C1">
        <w:t xml:space="preserve">surprise </w:t>
      </w:r>
      <w:r w:rsidR="00551D3E" w:rsidRPr="00551D3E">
        <w:t xml:space="preserve">early election </w:t>
      </w:r>
      <w:r w:rsidR="008155C1">
        <w:t xml:space="preserve">was called </w:t>
      </w:r>
      <w:r w:rsidR="007A0687">
        <w:t xml:space="preserve">for </w:t>
      </w:r>
      <w:r w:rsidR="00551D3E" w:rsidRPr="00551D3E">
        <w:t>June 8</w:t>
      </w:r>
      <w:r w:rsidR="00551D3E">
        <w:t xml:space="preserve"> </w:t>
      </w:r>
      <w:r w:rsidR="00551D3E" w:rsidRPr="00551D3E">
        <w:t xml:space="preserve">to strengthen </w:t>
      </w:r>
      <w:r w:rsidR="008155C1">
        <w:t xml:space="preserve">the government’s political position during </w:t>
      </w:r>
      <w:r w:rsidR="00551D3E" w:rsidRPr="00551D3E">
        <w:t>Brexit</w:t>
      </w:r>
      <w:r w:rsidR="00551D3E">
        <w:t xml:space="preserve">. </w:t>
      </w:r>
      <w:r>
        <w:rPr>
          <w:bCs/>
        </w:rPr>
        <w:t xml:space="preserve">Although the UK has not experienced an abrupt economic slowdown because of </w:t>
      </w:r>
      <w:r w:rsidR="008155C1">
        <w:rPr>
          <w:bCs/>
        </w:rPr>
        <w:t>Brexit</w:t>
      </w:r>
      <w:r>
        <w:rPr>
          <w:bCs/>
        </w:rPr>
        <w:t xml:space="preserve">, expectations are for a decrease in investment and </w:t>
      </w:r>
      <w:r w:rsidR="008155C1">
        <w:rPr>
          <w:bCs/>
        </w:rPr>
        <w:t>higher</w:t>
      </w:r>
      <w:r>
        <w:rPr>
          <w:bCs/>
        </w:rPr>
        <w:t xml:space="preserve"> inflation </w:t>
      </w:r>
      <w:r w:rsidR="008155C1">
        <w:rPr>
          <w:bCs/>
        </w:rPr>
        <w:t xml:space="preserve">that will impact </w:t>
      </w:r>
      <w:r>
        <w:rPr>
          <w:bCs/>
        </w:rPr>
        <w:t>consumer spending.</w:t>
      </w:r>
    </w:p>
    <w:p w:rsidR="001210AB" w:rsidRDefault="00565B8B" w:rsidP="001E141A">
      <w:r>
        <w:lastRenderedPageBreak/>
        <w:t xml:space="preserve">The </w:t>
      </w:r>
      <w:r w:rsidRPr="00C63FC2">
        <w:rPr>
          <w:b/>
        </w:rPr>
        <w:t>Chinese economic data</w:t>
      </w:r>
      <w:r>
        <w:t xml:space="preserve"> was generally positive over the past four weeks. </w:t>
      </w:r>
      <w:r w:rsidRPr="00C63FC2">
        <w:t>China’s</w:t>
      </w:r>
      <w:r w:rsidRPr="009577E8">
        <w:t xml:space="preserve"> official manufacturing PMI rose to 51.8</w:t>
      </w:r>
      <w:r>
        <w:t xml:space="preserve"> in March,</w:t>
      </w:r>
      <w:r w:rsidRPr="004C07B5">
        <w:t xml:space="preserve"> </w:t>
      </w:r>
      <w:r>
        <w:t xml:space="preserve">remaining </w:t>
      </w:r>
      <w:r w:rsidRPr="004C07B5">
        <w:t xml:space="preserve">above 50 for eight </w:t>
      </w:r>
      <w:r>
        <w:t xml:space="preserve">consecutive </w:t>
      </w:r>
      <w:r w:rsidRPr="004C07B5">
        <w:t>months.</w:t>
      </w:r>
      <w:r>
        <w:t xml:space="preserve"> P</w:t>
      </w:r>
      <w:r w:rsidRPr="00A319EA">
        <w:t>roducer</w:t>
      </w:r>
      <w:r>
        <w:t xml:space="preserve"> </w:t>
      </w:r>
      <w:r w:rsidRPr="00A319EA">
        <w:t xml:space="preserve">prices </w:t>
      </w:r>
      <w:r>
        <w:t>increased 7.6 per cent over the year and</w:t>
      </w:r>
      <w:r w:rsidR="001210AB">
        <w:t xml:space="preserve"> </w:t>
      </w:r>
      <w:r w:rsidR="00E568E8">
        <w:t>h</w:t>
      </w:r>
      <w:r w:rsidR="00E568E8" w:rsidRPr="00A319EA">
        <w:t xml:space="preserve">igher </w:t>
      </w:r>
      <w:r w:rsidR="00E568E8">
        <w:t>Chinese inflation is</w:t>
      </w:r>
      <w:r w:rsidR="00E568E8" w:rsidRPr="00A319EA">
        <w:t xml:space="preserve"> expected to </w:t>
      </w:r>
      <w:r w:rsidR="00E568E8">
        <w:t xml:space="preserve">add </w:t>
      </w:r>
      <w:r w:rsidR="00E568E8" w:rsidRPr="00A319EA">
        <w:t xml:space="preserve">to </w:t>
      </w:r>
      <w:r w:rsidR="00E568E8">
        <w:t xml:space="preserve">global </w:t>
      </w:r>
      <w:r w:rsidR="00E568E8" w:rsidRPr="00A319EA">
        <w:t>inflation</w:t>
      </w:r>
      <w:r w:rsidR="00E568E8">
        <w:t xml:space="preserve"> as import prices rise. </w:t>
      </w:r>
    </w:p>
    <w:p w:rsidR="009531E2" w:rsidRPr="00565B8B" w:rsidRDefault="00246C5C" w:rsidP="001E141A">
      <w:r w:rsidRPr="00D041F4">
        <w:rPr>
          <w:i/>
          <w:sz w:val="20"/>
        </w:rPr>
        <w:t xml:space="preserve">Note: all data reported in the newsletter is as at </w:t>
      </w:r>
      <w:r w:rsidR="00407DB0" w:rsidRPr="00D041F4">
        <w:rPr>
          <w:i/>
          <w:sz w:val="20"/>
        </w:rPr>
        <w:t>1</w:t>
      </w:r>
      <w:r w:rsidR="00551D3E">
        <w:rPr>
          <w:i/>
          <w:sz w:val="20"/>
        </w:rPr>
        <w:t>9</w:t>
      </w:r>
      <w:r w:rsidR="00407DB0" w:rsidRPr="00D041F4">
        <w:rPr>
          <w:i/>
          <w:sz w:val="20"/>
        </w:rPr>
        <w:t xml:space="preserve"> </w:t>
      </w:r>
      <w:r w:rsidR="00CA77D7" w:rsidRPr="00D041F4">
        <w:rPr>
          <w:i/>
          <w:sz w:val="20"/>
        </w:rPr>
        <w:t>April</w:t>
      </w:r>
      <w:r w:rsidRPr="00D041F4">
        <w:rPr>
          <w:i/>
          <w:sz w:val="20"/>
        </w:rPr>
        <w:t xml:space="preserve"> 2017.</w:t>
      </w:r>
    </w:p>
    <w:p w:rsidR="009531E2" w:rsidRDefault="009531E2" w:rsidP="001E141A">
      <w:pPr>
        <w:rPr>
          <w:i/>
          <w:sz w:val="20"/>
        </w:rPr>
      </w:pPr>
    </w:p>
    <w:p w:rsidR="00D041F4" w:rsidRDefault="00D041F4" w:rsidP="001E141A">
      <w:pPr>
        <w:rPr>
          <w:highlight w:val="green"/>
        </w:rPr>
      </w:pPr>
    </w:p>
    <w:p w:rsidR="00ED5782" w:rsidRDefault="00ED5782" w:rsidP="001E141A">
      <w:pPr>
        <w:rPr>
          <w:highlight w:val="green"/>
        </w:rPr>
      </w:pPr>
    </w:p>
    <w:p w:rsidR="00003CAA" w:rsidRDefault="00003CAA" w:rsidP="001E141A">
      <w:pPr>
        <w:rPr>
          <w:highlight w:val="green"/>
        </w:rPr>
        <w:sectPr w:rsidR="00003CAA" w:rsidSect="002751C4">
          <w:type w:val="continuous"/>
          <w:pgSz w:w="11906" w:h="16838" w:code="9"/>
          <w:pgMar w:top="964" w:right="1134" w:bottom="794" w:left="1134" w:header="709" w:footer="567" w:gutter="0"/>
          <w:cols w:num="2" w:space="562"/>
          <w:docGrid w:linePitch="360"/>
        </w:sectPr>
      </w:pPr>
    </w:p>
    <w:p w:rsidR="00E12022" w:rsidRPr="00E12022" w:rsidRDefault="00E12022" w:rsidP="00E12022"/>
    <w:p w:rsidR="00AD4424" w:rsidRDefault="00AD4424" w:rsidP="00FE78EC">
      <w:pPr>
        <w:pStyle w:val="Caption"/>
      </w:pPr>
    </w:p>
    <w:p w:rsidR="00FE78EC" w:rsidRPr="00105622" w:rsidRDefault="00FE78EC" w:rsidP="00105622">
      <w:pPr>
        <w:pStyle w:val="Caption"/>
        <w:spacing w:after="200"/>
        <w:rPr>
          <w:sz w:val="24"/>
        </w:rPr>
      </w:pPr>
      <w:r w:rsidRPr="00105622">
        <w:rPr>
          <w:sz w:val="24"/>
        </w:rPr>
        <w:t xml:space="preserve">Movements in financial data </w:t>
      </w:r>
    </w:p>
    <w:tbl>
      <w:tblPr>
        <w:tblStyle w:val="TableGrid"/>
        <w:tblW w:w="4960" w:type="pct"/>
        <w:tblLook w:val="0420" w:firstRow="1" w:lastRow="0" w:firstColumn="0" w:lastColumn="0" w:noHBand="0" w:noVBand="1"/>
      </w:tblPr>
      <w:tblGrid>
        <w:gridCol w:w="3442"/>
        <w:gridCol w:w="1718"/>
        <w:gridCol w:w="1701"/>
        <w:gridCol w:w="2813"/>
      </w:tblGrid>
      <w:tr w:rsidR="002421B4" w:rsidTr="002421B4">
        <w:trPr>
          <w:cnfStyle w:val="100000000000" w:firstRow="1" w:lastRow="0" w:firstColumn="0" w:lastColumn="0" w:oddVBand="0" w:evenVBand="0" w:oddHBand="0" w:evenHBand="0" w:firstRowFirstColumn="0" w:firstRowLastColumn="0" w:lastRowFirstColumn="0" w:lastRowLastColumn="0"/>
        </w:trPr>
        <w:tc>
          <w:tcPr>
            <w:tcW w:w="1779" w:type="pct"/>
          </w:tcPr>
          <w:p w:rsidR="002421B4" w:rsidRDefault="002421B4" w:rsidP="00EB6895"/>
        </w:tc>
        <w:tc>
          <w:tcPr>
            <w:tcW w:w="888" w:type="pct"/>
          </w:tcPr>
          <w:p w:rsidR="002421B4" w:rsidRDefault="002421B4" w:rsidP="00EB6895">
            <w:pPr>
              <w:ind w:left="267" w:hanging="267"/>
              <w:jc w:val="right"/>
            </w:pPr>
            <w:r>
              <w:t>31 Mar 2017</w:t>
            </w:r>
          </w:p>
        </w:tc>
        <w:tc>
          <w:tcPr>
            <w:tcW w:w="879" w:type="pct"/>
          </w:tcPr>
          <w:p w:rsidR="002421B4" w:rsidRDefault="002421B4" w:rsidP="006821A4">
            <w:pPr>
              <w:jc w:val="right"/>
            </w:pPr>
            <w:r>
              <w:t>1</w:t>
            </w:r>
            <w:r w:rsidR="006821A4">
              <w:t>9</w:t>
            </w:r>
            <w:r>
              <w:t xml:space="preserve"> Apr 2017</w:t>
            </w:r>
          </w:p>
        </w:tc>
        <w:tc>
          <w:tcPr>
            <w:tcW w:w="1454" w:type="pct"/>
          </w:tcPr>
          <w:p w:rsidR="002421B4" w:rsidRDefault="002421B4" w:rsidP="00EB6895">
            <w:pPr>
              <w:jc w:val="right"/>
            </w:pPr>
            <w:r>
              <w:t>Change</w:t>
            </w:r>
          </w:p>
        </w:tc>
      </w:tr>
      <w:tr w:rsidR="002421B4" w:rsidTr="002421B4">
        <w:trPr>
          <w:cnfStyle w:val="000000100000" w:firstRow="0" w:lastRow="0" w:firstColumn="0" w:lastColumn="0" w:oddVBand="0" w:evenVBand="0" w:oddHBand="1" w:evenHBand="0" w:firstRowFirstColumn="0" w:firstRowLastColumn="0" w:lastRowFirstColumn="0" w:lastRowLastColumn="0"/>
        </w:trPr>
        <w:tc>
          <w:tcPr>
            <w:tcW w:w="1779" w:type="pct"/>
          </w:tcPr>
          <w:p w:rsidR="002421B4" w:rsidRDefault="002421B4" w:rsidP="00EB6895">
            <w:r>
              <w:t>AUD/USD</w:t>
            </w:r>
          </w:p>
        </w:tc>
        <w:tc>
          <w:tcPr>
            <w:tcW w:w="888" w:type="pct"/>
          </w:tcPr>
          <w:p w:rsidR="002421B4" w:rsidRPr="005C5FE2" w:rsidRDefault="002421B4" w:rsidP="00EB6895">
            <w:pPr>
              <w:jc w:val="right"/>
              <w:rPr>
                <w:color w:val="FF0000"/>
              </w:rPr>
            </w:pPr>
            <w:r w:rsidRPr="005C5FE2">
              <w:t>0.</w:t>
            </w:r>
            <w:r>
              <w:t>764</w:t>
            </w:r>
          </w:p>
        </w:tc>
        <w:tc>
          <w:tcPr>
            <w:tcW w:w="879" w:type="pct"/>
          </w:tcPr>
          <w:p w:rsidR="002421B4" w:rsidRDefault="002421B4" w:rsidP="006821A4">
            <w:pPr>
              <w:jc w:val="right"/>
            </w:pPr>
            <w:r>
              <w:t>0.75</w:t>
            </w:r>
            <w:r w:rsidR="006821A4">
              <w:t>2</w:t>
            </w:r>
          </w:p>
        </w:tc>
        <w:tc>
          <w:tcPr>
            <w:tcW w:w="1454" w:type="pct"/>
          </w:tcPr>
          <w:p w:rsidR="002421B4" w:rsidRPr="005C5FE2" w:rsidRDefault="002421B4" w:rsidP="001F2534">
            <w:pPr>
              <w:jc w:val="right"/>
              <w:rPr>
                <w:color w:val="FF0000"/>
              </w:rPr>
            </w:pPr>
            <w:r>
              <w:t>-</w:t>
            </w:r>
            <w:r w:rsidR="001F2534">
              <w:t>1.6</w:t>
            </w:r>
            <w:r>
              <w:t> per cent</w:t>
            </w:r>
          </w:p>
        </w:tc>
      </w:tr>
      <w:tr w:rsidR="002421B4" w:rsidTr="002421B4">
        <w:trPr>
          <w:cnfStyle w:val="000000010000" w:firstRow="0" w:lastRow="0" w:firstColumn="0" w:lastColumn="0" w:oddVBand="0" w:evenVBand="0" w:oddHBand="0" w:evenHBand="1" w:firstRowFirstColumn="0" w:firstRowLastColumn="0" w:lastRowFirstColumn="0" w:lastRowLastColumn="0"/>
        </w:trPr>
        <w:tc>
          <w:tcPr>
            <w:tcW w:w="1779" w:type="pct"/>
          </w:tcPr>
          <w:p w:rsidR="002421B4" w:rsidRDefault="002421B4" w:rsidP="00EB6895">
            <w:r>
              <w:t>ASX 200</w:t>
            </w:r>
          </w:p>
        </w:tc>
        <w:tc>
          <w:tcPr>
            <w:tcW w:w="888" w:type="pct"/>
          </w:tcPr>
          <w:p w:rsidR="002421B4" w:rsidRPr="005C5FE2" w:rsidRDefault="002421B4" w:rsidP="00EB6895">
            <w:pPr>
              <w:jc w:val="right"/>
              <w:rPr>
                <w:color w:val="FF0000"/>
              </w:rPr>
            </w:pPr>
            <w:r w:rsidRPr="005C5FE2">
              <w:t xml:space="preserve">5 </w:t>
            </w:r>
            <w:r>
              <w:t>864</w:t>
            </w:r>
          </w:p>
        </w:tc>
        <w:tc>
          <w:tcPr>
            <w:tcW w:w="879" w:type="pct"/>
          </w:tcPr>
          <w:p w:rsidR="002421B4" w:rsidRDefault="002421B4" w:rsidP="006821A4">
            <w:pPr>
              <w:jc w:val="right"/>
            </w:pPr>
            <w:r>
              <w:t>5 8</w:t>
            </w:r>
            <w:r w:rsidR="006821A4">
              <w:t>04</w:t>
            </w:r>
          </w:p>
        </w:tc>
        <w:tc>
          <w:tcPr>
            <w:tcW w:w="1454" w:type="pct"/>
          </w:tcPr>
          <w:p w:rsidR="002421B4" w:rsidRPr="005C5FE2" w:rsidRDefault="003228B5" w:rsidP="006821A4">
            <w:pPr>
              <w:jc w:val="right"/>
              <w:rPr>
                <w:color w:val="FF0000"/>
              </w:rPr>
            </w:pPr>
            <w:r>
              <w:t>-</w:t>
            </w:r>
            <w:r w:rsidR="006821A4">
              <w:t>1.0</w:t>
            </w:r>
            <w:r w:rsidR="002421B4">
              <w:t> per cent</w:t>
            </w:r>
          </w:p>
        </w:tc>
      </w:tr>
      <w:tr w:rsidR="002421B4" w:rsidTr="002421B4">
        <w:trPr>
          <w:cnfStyle w:val="000000100000" w:firstRow="0" w:lastRow="0" w:firstColumn="0" w:lastColumn="0" w:oddVBand="0" w:evenVBand="0" w:oddHBand="1" w:evenHBand="0" w:firstRowFirstColumn="0" w:firstRowLastColumn="0" w:lastRowFirstColumn="0" w:lastRowLastColumn="0"/>
        </w:trPr>
        <w:tc>
          <w:tcPr>
            <w:tcW w:w="1779" w:type="pct"/>
          </w:tcPr>
          <w:p w:rsidR="002421B4" w:rsidRDefault="002421B4" w:rsidP="00EB6895">
            <w:r>
              <w:t>S&amp;P 500</w:t>
            </w:r>
          </w:p>
        </w:tc>
        <w:tc>
          <w:tcPr>
            <w:tcW w:w="888" w:type="pct"/>
          </w:tcPr>
          <w:p w:rsidR="002421B4" w:rsidRPr="005C5FE2" w:rsidRDefault="002421B4" w:rsidP="00EB6895">
            <w:pPr>
              <w:jc w:val="right"/>
              <w:rPr>
                <w:color w:val="FF0000"/>
              </w:rPr>
            </w:pPr>
            <w:r>
              <w:t>2 363</w:t>
            </w:r>
          </w:p>
        </w:tc>
        <w:tc>
          <w:tcPr>
            <w:tcW w:w="879" w:type="pct"/>
          </w:tcPr>
          <w:p w:rsidR="002421B4" w:rsidRPr="00CA77D7" w:rsidRDefault="002421B4" w:rsidP="006821A4">
            <w:pPr>
              <w:jc w:val="right"/>
            </w:pPr>
            <w:r>
              <w:t xml:space="preserve"> 2 3</w:t>
            </w:r>
            <w:r w:rsidR="006821A4">
              <w:t>38</w:t>
            </w:r>
          </w:p>
        </w:tc>
        <w:tc>
          <w:tcPr>
            <w:tcW w:w="1454" w:type="pct"/>
          </w:tcPr>
          <w:p w:rsidR="002421B4" w:rsidRPr="00CA77D7" w:rsidRDefault="001F2534" w:rsidP="001F2534">
            <w:pPr>
              <w:jc w:val="right"/>
              <w:rPr>
                <w:color w:val="FF0000"/>
              </w:rPr>
            </w:pPr>
            <w:r>
              <w:t>-1.1 per cent</w:t>
            </w:r>
          </w:p>
        </w:tc>
      </w:tr>
      <w:tr w:rsidR="002421B4" w:rsidTr="002421B4">
        <w:trPr>
          <w:cnfStyle w:val="000000010000" w:firstRow="0" w:lastRow="0" w:firstColumn="0" w:lastColumn="0" w:oddVBand="0" w:evenVBand="0" w:oddHBand="0" w:evenHBand="1" w:firstRowFirstColumn="0" w:firstRowLastColumn="0" w:lastRowFirstColumn="0" w:lastRowLastColumn="0"/>
        </w:trPr>
        <w:tc>
          <w:tcPr>
            <w:tcW w:w="1779" w:type="pct"/>
          </w:tcPr>
          <w:p w:rsidR="002421B4" w:rsidRDefault="002421B4" w:rsidP="00EB6895">
            <w:r>
              <w:t>90 day bank bill rate</w:t>
            </w:r>
          </w:p>
        </w:tc>
        <w:tc>
          <w:tcPr>
            <w:tcW w:w="888" w:type="pct"/>
          </w:tcPr>
          <w:p w:rsidR="002421B4" w:rsidRPr="005C5FE2" w:rsidRDefault="002421B4" w:rsidP="00EB6895">
            <w:pPr>
              <w:jc w:val="right"/>
              <w:rPr>
                <w:color w:val="FF0000"/>
              </w:rPr>
            </w:pPr>
            <w:r>
              <w:t>1.79</w:t>
            </w:r>
          </w:p>
        </w:tc>
        <w:tc>
          <w:tcPr>
            <w:tcW w:w="879" w:type="pct"/>
          </w:tcPr>
          <w:p w:rsidR="002421B4" w:rsidRDefault="002421B4" w:rsidP="006821A4">
            <w:pPr>
              <w:jc w:val="right"/>
            </w:pPr>
            <w:r>
              <w:t>1.7</w:t>
            </w:r>
            <w:r w:rsidR="006821A4">
              <w:t>5</w:t>
            </w:r>
          </w:p>
        </w:tc>
        <w:tc>
          <w:tcPr>
            <w:tcW w:w="1454" w:type="pct"/>
          </w:tcPr>
          <w:p w:rsidR="002421B4" w:rsidRPr="005C5FE2" w:rsidRDefault="002421B4" w:rsidP="001F2534">
            <w:pPr>
              <w:jc w:val="right"/>
              <w:rPr>
                <w:color w:val="FF0000"/>
              </w:rPr>
            </w:pPr>
            <w:r>
              <w:t>-0.0</w:t>
            </w:r>
            <w:r w:rsidR="001F2534">
              <w:t>4</w:t>
            </w:r>
            <w:r>
              <w:t xml:space="preserve"> </w:t>
            </w:r>
            <w:r w:rsidRPr="005C5FE2">
              <w:t>percentage points</w:t>
            </w:r>
          </w:p>
        </w:tc>
      </w:tr>
      <w:tr w:rsidR="002421B4" w:rsidTr="002421B4">
        <w:trPr>
          <w:cnfStyle w:val="000000100000" w:firstRow="0" w:lastRow="0" w:firstColumn="0" w:lastColumn="0" w:oddVBand="0" w:evenVBand="0" w:oddHBand="1" w:evenHBand="0" w:firstRowFirstColumn="0" w:firstRowLastColumn="0" w:lastRowFirstColumn="0" w:lastRowLastColumn="0"/>
          <w:trHeight w:val="430"/>
        </w:trPr>
        <w:tc>
          <w:tcPr>
            <w:tcW w:w="1779" w:type="pct"/>
          </w:tcPr>
          <w:p w:rsidR="002421B4" w:rsidRDefault="002421B4" w:rsidP="009666A2">
            <w:pPr>
              <w:ind w:right="-59"/>
            </w:pPr>
            <w:r>
              <w:t>10 year Commonwealth bond rate</w:t>
            </w:r>
          </w:p>
        </w:tc>
        <w:tc>
          <w:tcPr>
            <w:tcW w:w="888" w:type="pct"/>
          </w:tcPr>
          <w:p w:rsidR="002421B4" w:rsidRPr="005C5FE2" w:rsidRDefault="002421B4" w:rsidP="00EB6895">
            <w:pPr>
              <w:jc w:val="right"/>
              <w:rPr>
                <w:color w:val="FF0000"/>
              </w:rPr>
            </w:pPr>
            <w:r>
              <w:t>2.81</w:t>
            </w:r>
          </w:p>
        </w:tc>
        <w:tc>
          <w:tcPr>
            <w:tcW w:w="879" w:type="pct"/>
          </w:tcPr>
          <w:p w:rsidR="002421B4" w:rsidRDefault="002421B4" w:rsidP="006821A4">
            <w:pPr>
              <w:jc w:val="right"/>
            </w:pPr>
            <w:r>
              <w:t>2.4</w:t>
            </w:r>
            <w:r w:rsidR="006821A4">
              <w:t>6</w:t>
            </w:r>
          </w:p>
        </w:tc>
        <w:tc>
          <w:tcPr>
            <w:tcW w:w="1454" w:type="pct"/>
          </w:tcPr>
          <w:p w:rsidR="002421B4" w:rsidRPr="005C5FE2" w:rsidRDefault="0068116C" w:rsidP="001F2534">
            <w:pPr>
              <w:jc w:val="right"/>
              <w:rPr>
                <w:color w:val="FF0000"/>
              </w:rPr>
            </w:pPr>
            <w:r>
              <w:t>-</w:t>
            </w:r>
            <w:r w:rsidR="002421B4">
              <w:t>0.</w:t>
            </w:r>
            <w:r w:rsidR="003228B5">
              <w:t>3</w:t>
            </w:r>
            <w:r w:rsidR="001F2534">
              <w:t>5</w:t>
            </w:r>
            <w:r w:rsidR="002421B4">
              <w:t xml:space="preserve"> </w:t>
            </w:r>
            <w:r w:rsidR="002421B4" w:rsidRPr="005C5FE2">
              <w:t>percentage points</w:t>
            </w:r>
          </w:p>
        </w:tc>
      </w:tr>
    </w:tbl>
    <w:p w:rsidR="00FE78EC" w:rsidRDefault="00FE78EC" w:rsidP="00105622">
      <w:pPr>
        <w:spacing w:before="120"/>
        <w:rPr>
          <w:i/>
          <w:sz w:val="20"/>
        </w:rPr>
      </w:pPr>
      <w:r w:rsidRPr="007F677F">
        <w:rPr>
          <w:i/>
          <w:sz w:val="20"/>
        </w:rPr>
        <w:t>Note: Changes are based on t</w:t>
      </w:r>
      <w:r>
        <w:rPr>
          <w:i/>
          <w:sz w:val="20"/>
        </w:rPr>
        <w:t>he movement in unrounded figures.</w:t>
      </w:r>
    </w:p>
    <w:p w:rsidR="005379E5" w:rsidRDefault="005379E5" w:rsidP="001E141A">
      <w:pPr>
        <w:rPr>
          <w:i/>
          <w:sz w:val="20"/>
        </w:rPr>
      </w:pPr>
    </w:p>
    <w:tbl>
      <w:tblPr>
        <w:tblStyle w:val="TableGrid"/>
        <w:tblW w:w="0" w:type="auto"/>
        <w:tblBorders>
          <w:bottom w:val="none" w:sz="0" w:space="0" w:color="auto"/>
        </w:tblBorders>
        <w:tblLayout w:type="fixed"/>
        <w:tblCellMar>
          <w:left w:w="113" w:type="dxa"/>
          <w:right w:w="113" w:type="dxa"/>
        </w:tblCellMar>
        <w:tblLook w:val="0600" w:firstRow="0" w:lastRow="0" w:firstColumn="0" w:lastColumn="0" w:noHBand="1" w:noVBand="1"/>
      </w:tblPr>
      <w:tblGrid>
        <w:gridCol w:w="4082"/>
        <w:gridCol w:w="709"/>
        <w:gridCol w:w="4682"/>
      </w:tblGrid>
      <w:tr w:rsidR="00C94806" w:rsidTr="002751C4">
        <w:trPr>
          <w:trHeight w:val="1223"/>
        </w:trPr>
        <w:tc>
          <w:tcPr>
            <w:tcW w:w="4082" w:type="dxa"/>
          </w:tcPr>
          <w:p w:rsidR="00D041F4" w:rsidRDefault="00D041F4" w:rsidP="001D2117">
            <w:pPr>
              <w:pStyle w:val="Note"/>
              <w:pBdr>
                <w:top w:val="single" w:sz="6" w:space="1" w:color="004EA8" w:themeColor="accent2"/>
                <w:bottom w:val="single" w:sz="6" w:space="1" w:color="004EA8" w:themeColor="accent2"/>
              </w:pBdr>
              <w:rPr>
                <w:b/>
                <w:color w:val="004EA8" w:themeColor="accent2"/>
              </w:rPr>
            </w:pPr>
          </w:p>
          <w:p w:rsidR="00C94806" w:rsidRPr="002868CD" w:rsidRDefault="00C94806" w:rsidP="001D2117">
            <w:pPr>
              <w:pStyle w:val="Note"/>
              <w:pBdr>
                <w:top w:val="single" w:sz="6" w:space="1" w:color="004EA8" w:themeColor="accent2"/>
                <w:bottom w:val="single" w:sz="6" w:space="1" w:color="004EA8" w:themeColor="accent2"/>
              </w:pBdr>
              <w:rPr>
                <w:color w:val="004EA8" w:themeColor="accent2"/>
              </w:rPr>
            </w:pPr>
            <w:r w:rsidRPr="002868CD">
              <w:rPr>
                <w:b/>
                <w:color w:val="004EA8" w:themeColor="accent2"/>
              </w:rPr>
              <w:t xml:space="preserve">Disclaimer: </w:t>
            </w:r>
            <w:r w:rsidRPr="002868CD">
              <w:rPr>
                <w:color w:val="004EA8" w:themeColor="accent2"/>
              </w:rPr>
              <w:t>No responsibility is taken for any action(s) taken on the basis of information contained in this Newsletter nor for any errors or omissions in that information.</w:t>
            </w:r>
          </w:p>
        </w:tc>
        <w:tc>
          <w:tcPr>
            <w:tcW w:w="709" w:type="dxa"/>
            <w:vMerge w:val="restart"/>
            <w:vAlign w:val="bottom"/>
          </w:tcPr>
          <w:p w:rsidR="00C94806" w:rsidRDefault="00C94806" w:rsidP="001D2117">
            <w:pPr>
              <w:pStyle w:val="Note"/>
            </w:pPr>
          </w:p>
        </w:tc>
        <w:tc>
          <w:tcPr>
            <w:tcW w:w="4682" w:type="dxa"/>
            <w:vMerge w:val="restart"/>
            <w:vAlign w:val="bottom"/>
          </w:tcPr>
          <w:p w:rsidR="00C94806" w:rsidRDefault="00C94806" w:rsidP="001D2117">
            <w:pPr>
              <w:pStyle w:val="Note"/>
            </w:pPr>
            <w:r w:rsidRPr="000C21C3">
              <w:rPr>
                <w:noProof/>
                <w:lang w:eastAsia="en-AU"/>
              </w:rPr>
              <w:drawing>
                <wp:inline distT="0" distB="0" distL="0" distR="0" wp14:anchorId="338FF2FC" wp14:editId="34696DB0">
                  <wp:extent cx="1117460" cy="393651"/>
                  <wp:effectExtent l="0" t="0" r="6985" b="6985"/>
                  <wp:docPr id="13" name="Picture 13">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x31.png"/>
                          <pic:cNvPicPr/>
                        </pic:nvPicPr>
                        <pic:blipFill>
                          <a:blip r:embed="rId20">
                            <a:extLst>
                              <a:ext uri="{28A0092B-C50C-407E-A947-70E740481C1C}">
                                <a14:useLocalDpi xmlns:a14="http://schemas.microsoft.com/office/drawing/2010/main" val="0"/>
                              </a:ext>
                            </a:extLst>
                          </a:blip>
                          <a:stretch>
                            <a:fillRect/>
                          </a:stretch>
                        </pic:blipFill>
                        <pic:spPr>
                          <a:xfrm>
                            <a:off x="0" y="0"/>
                            <a:ext cx="1117460" cy="393651"/>
                          </a:xfrm>
                          <a:prstGeom prst="rect">
                            <a:avLst/>
                          </a:prstGeom>
                        </pic:spPr>
                      </pic:pic>
                    </a:graphicData>
                  </a:graphic>
                </wp:inline>
              </w:drawing>
            </w:r>
          </w:p>
          <w:p w:rsidR="00C94806" w:rsidRDefault="00C94806" w:rsidP="001D2117">
            <w:pPr>
              <w:pStyle w:val="Note"/>
            </w:pPr>
            <w:r w:rsidRPr="00382510">
              <w:t xml:space="preserve">You are free to re-use this work under a Creative Commons Attribution 4.0 licence, provided you credit the State of Victoria (Department of Treasury and Finance) as author, indicate if changes were made and comply with the other licence terms. </w:t>
            </w:r>
            <w:r>
              <w:br/>
            </w:r>
            <w:r w:rsidRPr="00382510">
              <w:t>The licence does not apply to any branding, including Government logos.</w:t>
            </w:r>
          </w:p>
        </w:tc>
      </w:tr>
      <w:tr w:rsidR="00C94806" w:rsidTr="002751C4">
        <w:trPr>
          <w:trHeight w:val="1222"/>
        </w:trPr>
        <w:tc>
          <w:tcPr>
            <w:tcW w:w="4082" w:type="dxa"/>
            <w:vAlign w:val="bottom"/>
          </w:tcPr>
          <w:p w:rsidR="00C94806" w:rsidRDefault="00C94806" w:rsidP="001D2117">
            <w:pPr>
              <w:pStyle w:val="Note"/>
            </w:pPr>
            <w:r w:rsidRPr="00382510">
              <w:t>© State of Victoria 201</w:t>
            </w:r>
            <w:r w:rsidR="00ED7CCB">
              <w:t>7</w:t>
            </w:r>
          </w:p>
          <w:p w:rsidR="00C94806" w:rsidRPr="00382510" w:rsidRDefault="00C94806" w:rsidP="001D2117">
            <w:pPr>
              <w:pStyle w:val="Note"/>
              <w:spacing w:line="312" w:lineRule="auto"/>
            </w:pPr>
            <w:r w:rsidRPr="00382510">
              <w:t>Copyright queries may be directed to IPpolicy@dtf.vic.gov.au.</w:t>
            </w:r>
          </w:p>
        </w:tc>
        <w:tc>
          <w:tcPr>
            <w:tcW w:w="709" w:type="dxa"/>
            <w:vMerge/>
            <w:vAlign w:val="bottom"/>
          </w:tcPr>
          <w:p w:rsidR="00C94806" w:rsidRDefault="00C94806" w:rsidP="001D2117">
            <w:pPr>
              <w:pStyle w:val="Note"/>
            </w:pPr>
          </w:p>
        </w:tc>
        <w:tc>
          <w:tcPr>
            <w:tcW w:w="4682" w:type="dxa"/>
            <w:vMerge/>
            <w:vAlign w:val="bottom"/>
          </w:tcPr>
          <w:p w:rsidR="00C94806" w:rsidRPr="000C21C3" w:rsidRDefault="00C94806" w:rsidP="001D2117">
            <w:pPr>
              <w:pStyle w:val="Note"/>
              <w:rPr>
                <w:noProof/>
                <w:lang w:eastAsia="en-AU"/>
              </w:rPr>
            </w:pPr>
          </w:p>
        </w:tc>
      </w:tr>
    </w:tbl>
    <w:p w:rsidR="00C94806" w:rsidRPr="00D17E6E" w:rsidRDefault="00C94806" w:rsidP="001E141A">
      <w:pPr>
        <w:rPr>
          <w:i/>
          <w:sz w:val="20"/>
        </w:rPr>
        <w:sectPr w:rsidR="00C94806" w:rsidRPr="00D17E6E" w:rsidSect="00D17E6E">
          <w:type w:val="continuous"/>
          <w:pgSz w:w="11906" w:h="16838" w:code="9"/>
          <w:pgMar w:top="964" w:right="1134" w:bottom="794" w:left="1134" w:header="709" w:footer="567" w:gutter="0"/>
          <w:cols w:space="567"/>
          <w:docGrid w:linePitch="360"/>
        </w:sectPr>
      </w:pPr>
    </w:p>
    <w:p w:rsidR="0023586C" w:rsidRPr="007F677F" w:rsidRDefault="0023586C" w:rsidP="00D041F4"/>
    <w:sectPr w:rsidR="0023586C" w:rsidRPr="007F677F" w:rsidSect="001D2117">
      <w:footerReference w:type="default" r:id="rId21"/>
      <w:type w:val="continuous"/>
      <w:pgSz w:w="11906" w:h="16838" w:code="9"/>
      <w:pgMar w:top="1134" w:right="1021" w:bottom="1440"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A3C" w:rsidRDefault="00517A3C" w:rsidP="001E7D0D">
      <w:pPr>
        <w:spacing w:after="0" w:line="240" w:lineRule="auto"/>
      </w:pPr>
      <w:r>
        <w:separator/>
      </w:r>
    </w:p>
  </w:endnote>
  <w:endnote w:type="continuationSeparator" w:id="0">
    <w:p w:rsidR="00517A3C" w:rsidRDefault="00517A3C" w:rsidP="001E7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622" w:rsidRDefault="001056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229" w:rsidRPr="00BC672F" w:rsidRDefault="00BC672F" w:rsidP="00474854">
    <w:pPr>
      <w:pStyle w:val="Footer"/>
      <w:rPr>
        <w:rStyle w:val="PageNumber"/>
      </w:rPr>
    </w:pPr>
    <w:r>
      <w:rPr>
        <w:noProof/>
        <w:lang w:eastAsia="en-AU"/>
      </w:rPr>
      <mc:AlternateContent>
        <mc:Choice Requires="wps">
          <w:drawing>
            <wp:anchor distT="0" distB="0" distL="114300" distR="114300" simplePos="0" relativeHeight="251670528" behindDoc="1" locked="0" layoutInCell="1" allowOverlap="1" wp14:anchorId="5189FE03" wp14:editId="35E29BFF">
              <wp:simplePos x="0" y="0"/>
              <wp:positionH relativeFrom="column">
                <wp:posOffset>5868670</wp:posOffset>
              </wp:positionH>
              <wp:positionV relativeFrom="paragraph">
                <wp:posOffset>-1368425</wp:posOffset>
              </wp:positionV>
              <wp:extent cx="3085200" cy="2127600"/>
              <wp:effectExtent l="0" t="0" r="1270" b="6350"/>
              <wp:wrapNone/>
              <wp:docPr id="7" name="Trapezoid 7"/>
              <wp:cNvGraphicFramePr/>
              <a:graphic xmlns:a="http://schemas.openxmlformats.org/drawingml/2006/main">
                <a:graphicData uri="http://schemas.microsoft.com/office/word/2010/wordprocessingShape">
                  <wps:wsp>
                    <wps:cNvSpPr/>
                    <wps:spPr>
                      <a:xfrm>
                        <a:off x="0" y="0"/>
                        <a:ext cx="3085200" cy="2127600"/>
                      </a:xfrm>
                      <a:prstGeom prst="trapezoid">
                        <a:avLst>
                          <a:gd name="adj" fmla="val 46792"/>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rapezoid 7" o:spid="_x0000_s1026" style="position:absolute;margin-left:462.1pt;margin-top:-107.75pt;width:242.95pt;height:167.5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85200,2127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" path="m,2127600l995547,,2089653,r995547,2127600l,2127600xe" fillcolor="#53565a [3215]" stroked="f" strokeweight="2pt">
              <v:path arrowok="t" o:connecttype="custom" o:connectlocs="0,2127600;995547,0;2089653,0;3085200,2127600;0,2127600" o:connectangles="0,0,0,0,0"/>
            </v:shape>
          </w:pict>
        </mc:Fallback>
      </mc:AlternateContent>
    </w:r>
    <w:r w:rsidR="00CF1073">
      <w:tab/>
    </w:r>
    <w:r>
      <w:tab/>
    </w:r>
    <w:r w:rsidRPr="00BC672F">
      <w:rPr>
        <w:rStyle w:val="PageNumber"/>
      </w:rPr>
      <w:fldChar w:fldCharType="begin"/>
    </w:r>
    <w:r w:rsidRPr="00BC672F">
      <w:rPr>
        <w:rStyle w:val="PageNumber"/>
      </w:rPr>
      <w:instrText xml:space="preserve"> PAGE  \* Arabic  \* MERGEFORMAT </w:instrText>
    </w:r>
    <w:r w:rsidRPr="00BC672F">
      <w:rPr>
        <w:rStyle w:val="PageNumber"/>
      </w:rPr>
      <w:fldChar w:fldCharType="separate"/>
    </w:r>
    <w:r w:rsidR="000606BA">
      <w:rPr>
        <w:rStyle w:val="PageNumber"/>
        <w:noProof/>
      </w:rPr>
      <w:t>1</w:t>
    </w:r>
    <w:r w:rsidRPr="00BC672F">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622" w:rsidRDefault="0010562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806" w:rsidRPr="00BC672F" w:rsidRDefault="00C94806" w:rsidP="00474854">
    <w:pPr>
      <w:pStyle w:val="Footer"/>
      <w:rPr>
        <w:rStyle w:val="PageNumber"/>
      </w:rPr>
    </w:pPr>
    <w:r>
      <w:rPr>
        <w:noProof/>
        <w:lang w:eastAsia="en-AU"/>
      </w:rPr>
      <mc:AlternateContent>
        <mc:Choice Requires="wps">
          <w:drawing>
            <wp:anchor distT="0" distB="0" distL="114300" distR="114300" simplePos="0" relativeHeight="251695104" behindDoc="1" locked="0" layoutInCell="1" allowOverlap="1" wp14:anchorId="7CB33475" wp14:editId="01F05508">
              <wp:simplePos x="0" y="0"/>
              <wp:positionH relativeFrom="column">
                <wp:posOffset>5868670</wp:posOffset>
              </wp:positionH>
              <wp:positionV relativeFrom="paragraph">
                <wp:posOffset>-1368425</wp:posOffset>
              </wp:positionV>
              <wp:extent cx="3085200" cy="2127600"/>
              <wp:effectExtent l="0" t="0" r="1270" b="6350"/>
              <wp:wrapNone/>
              <wp:docPr id="3" name="Trapezoid 3"/>
              <wp:cNvGraphicFramePr/>
              <a:graphic xmlns:a="http://schemas.openxmlformats.org/drawingml/2006/main">
                <a:graphicData uri="http://schemas.microsoft.com/office/word/2010/wordprocessingShape">
                  <wps:wsp>
                    <wps:cNvSpPr/>
                    <wps:spPr>
                      <a:xfrm>
                        <a:off x="0" y="0"/>
                        <a:ext cx="3085200" cy="2127600"/>
                      </a:xfrm>
                      <a:prstGeom prst="trapezoid">
                        <a:avLst>
                          <a:gd name="adj" fmla="val 46792"/>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rapezoid 3" o:spid="_x0000_s1026" style="position:absolute;margin-left:462.1pt;margin-top:-107.75pt;width:242.95pt;height:167.5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85200,2127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" path="m,2127600l995547,,2089653,r995547,2127600l,2127600xe" fillcolor="#53565a [3215]" stroked="f" strokeweight="2pt">
              <v:path arrowok="t" o:connecttype="custom" o:connectlocs="0,2127600;995547,0;2089653,0;3085200,2127600;0,2127600" o:connectangles="0,0,0,0,0"/>
            </v:shape>
          </w:pict>
        </mc:Fallback>
      </mc:AlternateContent>
    </w:r>
    <w:r>
      <w:tab/>
    </w:r>
    <w:r>
      <w:tab/>
    </w:r>
    <w:r w:rsidRPr="00BC672F">
      <w:rPr>
        <w:rStyle w:val="PageNumber"/>
      </w:rPr>
      <w:fldChar w:fldCharType="begin"/>
    </w:r>
    <w:r w:rsidRPr="00BC672F">
      <w:rPr>
        <w:rStyle w:val="PageNumber"/>
      </w:rPr>
      <w:instrText xml:space="preserve"> PAGE  \* Arabic  \* MERGEFORMAT </w:instrText>
    </w:r>
    <w:r w:rsidRPr="00BC672F">
      <w:rPr>
        <w:rStyle w:val="PageNumber"/>
      </w:rPr>
      <w:fldChar w:fldCharType="separate"/>
    </w:r>
    <w:r w:rsidR="000606BA">
      <w:rPr>
        <w:rStyle w:val="PageNumber"/>
        <w:noProof/>
      </w:rPr>
      <w:t>3</w:t>
    </w:r>
    <w:r w:rsidRPr="00BC672F">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B8C" w:rsidRDefault="00BA6B8C"/>
  <w:p w:rsidR="00D02311" w:rsidRPr="00BA6B8C" w:rsidRDefault="00D02311" w:rsidP="00474854">
    <w:pPr>
      <w:pStyle w:val="Footer"/>
      <w:rPr>
        <w:rStyle w:val="PageNumber"/>
      </w:rPr>
    </w:pPr>
    <w:r w:rsidRPr="00BA6B8C">
      <w:rPr>
        <w:rStyle w:val="PageNumber"/>
      </w:rPr>
      <w:tab/>
    </w:r>
    <w:r w:rsidRPr="00BA6B8C">
      <w:rPr>
        <w:rStyle w:val="PageNumber"/>
      </w:rPr>
      <w:tab/>
    </w:r>
    <w:r w:rsidRPr="00BA6B8C">
      <w:rPr>
        <w:rStyle w:val="PageNumber"/>
      </w:rPr>
      <w:fldChar w:fldCharType="begin"/>
    </w:r>
    <w:r w:rsidRPr="00BA6B8C">
      <w:rPr>
        <w:rStyle w:val="PageNumber"/>
      </w:rPr>
      <w:instrText xml:space="preserve"> PAGE  \* Arabic  \* MERGEFORMAT </w:instrText>
    </w:r>
    <w:r w:rsidRPr="00BA6B8C">
      <w:rPr>
        <w:rStyle w:val="PageNumber"/>
      </w:rPr>
      <w:fldChar w:fldCharType="separate"/>
    </w:r>
    <w:r w:rsidR="00105622">
      <w:rPr>
        <w:rStyle w:val="PageNumber"/>
        <w:noProof/>
      </w:rPr>
      <w:t>4</w:t>
    </w:r>
    <w:r w:rsidRPr="00BA6B8C">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A3C" w:rsidRDefault="00517A3C" w:rsidP="001E7D0D">
      <w:pPr>
        <w:spacing w:after="0" w:line="240" w:lineRule="auto"/>
      </w:pPr>
      <w:r>
        <w:separator/>
      </w:r>
    </w:p>
  </w:footnote>
  <w:footnote w:type="continuationSeparator" w:id="0">
    <w:p w:rsidR="00517A3C" w:rsidRDefault="00517A3C" w:rsidP="001E7D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622" w:rsidRDefault="001056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DA2" w:rsidRPr="00575F8D" w:rsidRDefault="00381C44" w:rsidP="00440C3A">
    <w:pPr>
      <w:pStyle w:val="Header"/>
    </w:pPr>
    <w:r w:rsidRPr="00440C3A">
      <w:rPr>
        <w:smallCaps/>
        <w:noProof/>
        <w:lang w:eastAsia="en-AU"/>
      </w:rPr>
      <mc:AlternateContent>
        <mc:Choice Requires="wps">
          <w:drawing>
            <wp:anchor distT="0" distB="0" distL="114300" distR="114300" simplePos="0" relativeHeight="251681792" behindDoc="1" locked="0" layoutInCell="1" allowOverlap="1" wp14:anchorId="490A40F3" wp14:editId="296A8A56">
              <wp:simplePos x="0" y="0"/>
              <wp:positionH relativeFrom="column">
                <wp:posOffset>-921385</wp:posOffset>
              </wp:positionH>
              <wp:positionV relativeFrom="paragraph">
                <wp:posOffset>-473710</wp:posOffset>
              </wp:positionV>
              <wp:extent cx="6614160" cy="2933700"/>
              <wp:effectExtent l="0" t="0" r="0" b="0"/>
              <wp:wrapNone/>
              <wp:docPr id="2" name="Rectangle 2"/>
              <wp:cNvGraphicFramePr/>
              <a:graphic xmlns:a="http://schemas.openxmlformats.org/drawingml/2006/main">
                <a:graphicData uri="http://schemas.microsoft.com/office/word/2010/wordprocessingShape">
                  <wps:wsp>
                    <wps:cNvSpPr/>
                    <wps:spPr>
                      <a:xfrm>
                        <a:off x="0" y="0"/>
                        <a:ext cx="6614160" cy="29337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72.55pt;margin-top:-37.3pt;width:520.8pt;height:231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" fillcolor="#201547 [3204]" stroked="f" strokeweight="2pt"/>
          </w:pict>
        </mc:Fallback>
      </mc:AlternateContent>
    </w:r>
    <w:r w:rsidR="004B3EB7" w:rsidRPr="00440C3A">
      <w:rPr>
        <w:smallCaps/>
        <w:noProof/>
        <w:lang w:eastAsia="en-AU"/>
      </w:rPr>
      <mc:AlternateContent>
        <mc:Choice Requires="wps">
          <w:drawing>
            <wp:anchor distT="0" distB="0" distL="114300" distR="114300" simplePos="0" relativeHeight="251691008" behindDoc="0" locked="0" layoutInCell="1" allowOverlap="1" wp14:anchorId="7749D9D5" wp14:editId="6736C35A">
              <wp:simplePos x="0" y="0"/>
              <wp:positionH relativeFrom="column">
                <wp:posOffset>4003040</wp:posOffset>
              </wp:positionH>
              <wp:positionV relativeFrom="paragraph">
                <wp:posOffset>-743585</wp:posOffset>
              </wp:positionV>
              <wp:extent cx="6523355" cy="3206115"/>
              <wp:effectExtent l="0" t="0" r="0" b="0"/>
              <wp:wrapNone/>
              <wp:docPr id="5" name="Trapezoid 5"/>
              <wp:cNvGraphicFramePr/>
              <a:graphic xmlns:a="http://schemas.openxmlformats.org/drawingml/2006/main">
                <a:graphicData uri="http://schemas.microsoft.com/office/word/2010/wordprocessingShape">
                  <wps:wsp>
                    <wps:cNvSpPr/>
                    <wps:spPr>
                      <a:xfrm>
                        <a:off x="0" y="0"/>
                        <a:ext cx="6523355" cy="3206115"/>
                      </a:xfrm>
                      <a:prstGeom prst="trapezoid">
                        <a:avLst>
                          <a:gd name="adj" fmla="val 46792"/>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rapezoid 5" o:spid="_x0000_s1026" style="position:absolute;margin-left:315.2pt;margin-top:-58.55pt;width:513.65pt;height:252.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523355,3206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" path="m,3206115l1500205,,5023150,,6523355,3206115,,3206115xe" fillcolor="#0072ce [3206]" stroked="f" strokeweight="2pt">
              <v:path arrowok="t" o:connecttype="custom" o:connectlocs="0,3206115;1500205,0;5023150,0;6523355,3206115;0,3206115" o:connectangles="0,0,0,0,0"/>
            </v:shape>
          </w:pict>
        </mc:Fallback>
      </mc:AlternateContent>
    </w:r>
    <w:r w:rsidR="004B3EB7" w:rsidRPr="00440C3A">
      <w:rPr>
        <w:smallCaps/>
        <w:noProof/>
        <w:lang w:eastAsia="en-AU"/>
      </w:rPr>
      <w:drawing>
        <wp:anchor distT="0" distB="0" distL="114300" distR="114300" simplePos="0" relativeHeight="251693056" behindDoc="0" locked="0" layoutInCell="1" allowOverlap="1" wp14:anchorId="3AF14104" wp14:editId="545810D1">
          <wp:simplePos x="0" y="0"/>
          <wp:positionH relativeFrom="column">
            <wp:posOffset>4679789</wp:posOffset>
          </wp:positionH>
          <wp:positionV relativeFrom="paragraph">
            <wp:posOffset>69850</wp:posOffset>
          </wp:positionV>
          <wp:extent cx="1567180" cy="467995"/>
          <wp:effectExtent l="0" t="0" r="0" b="8255"/>
          <wp:wrapNone/>
          <wp:docPr id="1" name="Picture 1" descr="T:\Corpcom_CSS\COMMUNICATIONS\Logos and branding\Brand Victoria logos DTF\Victoria State Government DTF\Victoria State Gov DTF right aligned\png\Victoria State Gov DTF right reverse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orpcom_CSS\COMMUNICATIONS\Logos and branding\Brand Victoria logos DTF\Victoria State Government DTF\Victoria State Gov DTF right aligned\png\Victoria State Gov DTF right reverse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7180"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00440C3A" w:rsidRPr="00440C3A">
      <w:rPr>
        <w:smallCaps/>
      </w:rPr>
      <w:t>ECONOMIC</w:t>
    </w:r>
    <w:r w:rsidR="00440C3A">
      <w:br/>
    </w:r>
    <w:r w:rsidR="00440C3A" w:rsidRPr="00053F71">
      <w:rPr>
        <w:b w:val="0"/>
        <w:sz w:val="56"/>
      </w:rPr>
      <w:t>UPDATE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622" w:rsidRDefault="0010562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07C" w:rsidRPr="003E507C" w:rsidRDefault="003E507C" w:rsidP="002F5D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21EAD"/>
    <w:multiLevelType w:val="hybridMultilevel"/>
    <w:tmpl w:val="5CBC2368"/>
    <w:lvl w:ilvl="0" w:tplc="7C463166">
      <w:start w:val="2"/>
      <w:numFmt w:val="bullet"/>
      <w:lvlText w:val="-"/>
      <w:lvlJc w:val="left"/>
      <w:pPr>
        <w:ind w:left="720" w:hanging="360"/>
      </w:pPr>
      <w:rPr>
        <w:rFonts w:ascii="Arial" w:eastAsiaTheme="minorHAnsi" w:hAnsi="Arial" w:cs="Aria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90151C8"/>
    <w:multiLevelType w:val="multilevel"/>
    <w:tmpl w:val="306ACA90"/>
    <w:lvl w:ilvl="0">
      <w:start w:val="1"/>
      <w:numFmt w:val="decimal"/>
      <w:pStyle w:val="Listnum"/>
      <w:lvlText w:val="%1."/>
      <w:lvlJc w:val="left"/>
      <w:pPr>
        <w:tabs>
          <w:tab w:val="num" w:pos="504"/>
        </w:tabs>
        <w:ind w:left="504" w:hanging="504"/>
      </w:pPr>
      <w:rPr>
        <w:rFonts w:hint="default"/>
      </w:rPr>
    </w:lvl>
    <w:lvl w:ilvl="1">
      <w:start w:val="1"/>
      <w:numFmt w:val="lowerLetter"/>
      <w:pStyle w:val="Listnum2"/>
      <w:lvlText w:val="(%2)"/>
      <w:lvlJc w:val="left"/>
      <w:pPr>
        <w:tabs>
          <w:tab w:val="num" w:pos="1008"/>
        </w:tabs>
        <w:ind w:left="1008" w:hanging="504"/>
      </w:pPr>
      <w:rPr>
        <w:rFonts w:hint="default"/>
      </w:rPr>
    </w:lvl>
    <w:lvl w:ilvl="2">
      <w:start w:val="1"/>
      <w:numFmt w:val="lowerRoman"/>
      <w:pStyle w:val="Listnum3"/>
      <w:lvlText w:val="(%3)"/>
      <w:lvlJc w:val="right"/>
      <w:pPr>
        <w:tabs>
          <w:tab w:val="num" w:pos="1512"/>
        </w:tabs>
        <w:ind w:left="1512" w:hanging="504"/>
      </w:pPr>
      <w:rPr>
        <w:rFonts w:hint="default"/>
      </w:rPr>
    </w:lvl>
    <w:lvl w:ilvl="3">
      <w:start w:val="1"/>
      <w:numFmt w:val="decimal"/>
      <w:lvlText w:val="%4."/>
      <w:lvlJc w:val="left"/>
      <w:pPr>
        <w:tabs>
          <w:tab w:val="num" w:pos="2582"/>
        </w:tabs>
        <w:ind w:left="2016" w:hanging="504"/>
      </w:pPr>
      <w:rPr>
        <w:rFonts w:hint="default"/>
      </w:rPr>
    </w:lvl>
    <w:lvl w:ilvl="4">
      <w:start w:val="1"/>
      <w:numFmt w:val="lowerLetter"/>
      <w:lvlText w:val="%5."/>
      <w:lvlJc w:val="left"/>
      <w:pPr>
        <w:tabs>
          <w:tab w:val="num" w:pos="3086"/>
        </w:tabs>
        <w:ind w:left="2520" w:hanging="504"/>
      </w:pPr>
      <w:rPr>
        <w:rFonts w:hint="default"/>
      </w:rPr>
    </w:lvl>
    <w:lvl w:ilvl="5">
      <w:start w:val="1"/>
      <w:numFmt w:val="lowerRoman"/>
      <w:lvlText w:val="%6."/>
      <w:lvlJc w:val="right"/>
      <w:pPr>
        <w:tabs>
          <w:tab w:val="num" w:pos="3590"/>
        </w:tabs>
        <w:ind w:left="3024" w:hanging="504"/>
      </w:pPr>
      <w:rPr>
        <w:rFonts w:hint="default"/>
      </w:rPr>
    </w:lvl>
    <w:lvl w:ilvl="6">
      <w:start w:val="1"/>
      <w:numFmt w:val="decimal"/>
      <w:lvlText w:val="%7."/>
      <w:lvlJc w:val="left"/>
      <w:pPr>
        <w:tabs>
          <w:tab w:val="num" w:pos="4094"/>
        </w:tabs>
        <w:ind w:left="3528" w:hanging="504"/>
      </w:pPr>
      <w:rPr>
        <w:rFonts w:hint="default"/>
      </w:rPr>
    </w:lvl>
    <w:lvl w:ilvl="7">
      <w:start w:val="1"/>
      <w:numFmt w:val="lowerLetter"/>
      <w:lvlText w:val="%8."/>
      <w:lvlJc w:val="left"/>
      <w:pPr>
        <w:tabs>
          <w:tab w:val="num" w:pos="4598"/>
        </w:tabs>
        <w:ind w:left="4032" w:hanging="504"/>
      </w:pPr>
      <w:rPr>
        <w:rFonts w:hint="default"/>
      </w:rPr>
    </w:lvl>
    <w:lvl w:ilvl="8">
      <w:start w:val="1"/>
      <w:numFmt w:val="lowerRoman"/>
      <w:lvlText w:val="%9."/>
      <w:lvlJc w:val="right"/>
      <w:pPr>
        <w:tabs>
          <w:tab w:val="num" w:pos="5102"/>
        </w:tabs>
        <w:ind w:left="4536" w:hanging="504"/>
      </w:pPr>
      <w:rPr>
        <w:rFonts w:hint="default"/>
      </w:rPr>
    </w:lvl>
  </w:abstractNum>
  <w:abstractNum w:abstractNumId="2">
    <w:nsid w:val="35332250"/>
    <w:multiLevelType w:val="multilevel"/>
    <w:tmpl w:val="DA6E3D5C"/>
    <w:numStyleLink w:val="Highlightbulletstyle"/>
  </w:abstractNum>
  <w:abstractNum w:abstractNumId="3">
    <w:nsid w:val="63D10536"/>
    <w:multiLevelType w:val="multilevel"/>
    <w:tmpl w:val="DA6E3D5C"/>
    <w:styleLink w:val="Highlightbulletstyle"/>
    <w:lvl w:ilvl="0">
      <w:start w:val="1"/>
      <w:numFmt w:val="bullet"/>
      <w:pStyle w:val="Bullet-highlight"/>
      <w:lvlText w:val="►"/>
      <w:lvlJc w:val="left"/>
      <w:pPr>
        <w:ind w:left="284" w:hanging="284"/>
      </w:pPr>
      <w:rPr>
        <w:rFonts w:ascii="Arial" w:hAnsi="Arial" w:hint="default"/>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74065935"/>
    <w:multiLevelType w:val="multilevel"/>
    <w:tmpl w:val="DA6E3D5C"/>
    <w:numStyleLink w:val="Highlightbulletstyle"/>
  </w:abstractNum>
  <w:num w:numId="1">
    <w:abstractNumId w:val="3"/>
  </w:num>
  <w:num w:numId="2">
    <w:abstractNumId w:val="2"/>
  </w:num>
  <w:num w:numId="3">
    <w:abstractNumId w:val="4"/>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CBD"/>
    <w:rsid w:val="00000536"/>
    <w:rsid w:val="000037BC"/>
    <w:rsid w:val="00003CAA"/>
    <w:rsid w:val="00014A00"/>
    <w:rsid w:val="000160BC"/>
    <w:rsid w:val="00022C95"/>
    <w:rsid w:val="00027A5D"/>
    <w:rsid w:val="0003309C"/>
    <w:rsid w:val="00033485"/>
    <w:rsid w:val="00042C14"/>
    <w:rsid w:val="00044907"/>
    <w:rsid w:val="00046F57"/>
    <w:rsid w:val="00047DD7"/>
    <w:rsid w:val="00052AE1"/>
    <w:rsid w:val="00053341"/>
    <w:rsid w:val="00053F71"/>
    <w:rsid w:val="00054994"/>
    <w:rsid w:val="000606BA"/>
    <w:rsid w:val="00061229"/>
    <w:rsid w:val="00062BCA"/>
    <w:rsid w:val="00063D5E"/>
    <w:rsid w:val="00065923"/>
    <w:rsid w:val="000660AA"/>
    <w:rsid w:val="0006662B"/>
    <w:rsid w:val="000720FA"/>
    <w:rsid w:val="0007353B"/>
    <w:rsid w:val="00073A18"/>
    <w:rsid w:val="00081AA9"/>
    <w:rsid w:val="000848EB"/>
    <w:rsid w:val="00092EB0"/>
    <w:rsid w:val="00092FE6"/>
    <w:rsid w:val="00095562"/>
    <w:rsid w:val="000A3879"/>
    <w:rsid w:val="000A3DE5"/>
    <w:rsid w:val="000A6218"/>
    <w:rsid w:val="000B4020"/>
    <w:rsid w:val="000B6B48"/>
    <w:rsid w:val="000C595B"/>
    <w:rsid w:val="000D4112"/>
    <w:rsid w:val="000D517F"/>
    <w:rsid w:val="000D6C80"/>
    <w:rsid w:val="000D77B0"/>
    <w:rsid w:val="000D7E75"/>
    <w:rsid w:val="000E08E5"/>
    <w:rsid w:val="000E1FFA"/>
    <w:rsid w:val="000E5E7D"/>
    <w:rsid w:val="000F167A"/>
    <w:rsid w:val="000F2FBA"/>
    <w:rsid w:val="000F59FA"/>
    <w:rsid w:val="000F6F43"/>
    <w:rsid w:val="00103711"/>
    <w:rsid w:val="00105622"/>
    <w:rsid w:val="00114E7A"/>
    <w:rsid w:val="001210AB"/>
    <w:rsid w:val="0012129B"/>
    <w:rsid w:val="00123AFA"/>
    <w:rsid w:val="00125049"/>
    <w:rsid w:val="001263FF"/>
    <w:rsid w:val="00130B73"/>
    <w:rsid w:val="001372E4"/>
    <w:rsid w:val="0014112D"/>
    <w:rsid w:val="001428A1"/>
    <w:rsid w:val="001442F4"/>
    <w:rsid w:val="00155E50"/>
    <w:rsid w:val="00165D6C"/>
    <w:rsid w:val="00181D8E"/>
    <w:rsid w:val="0019153C"/>
    <w:rsid w:val="001A1164"/>
    <w:rsid w:val="001A179F"/>
    <w:rsid w:val="001B0012"/>
    <w:rsid w:val="001B0E91"/>
    <w:rsid w:val="001B35BD"/>
    <w:rsid w:val="001B59EB"/>
    <w:rsid w:val="001B6034"/>
    <w:rsid w:val="001B7D85"/>
    <w:rsid w:val="001C1EC8"/>
    <w:rsid w:val="001C2E03"/>
    <w:rsid w:val="001D0F0C"/>
    <w:rsid w:val="001D1AB4"/>
    <w:rsid w:val="001D2117"/>
    <w:rsid w:val="001D432C"/>
    <w:rsid w:val="001D7B30"/>
    <w:rsid w:val="001E141A"/>
    <w:rsid w:val="001E5D17"/>
    <w:rsid w:val="001E7D0D"/>
    <w:rsid w:val="001E7D7B"/>
    <w:rsid w:val="001F03D2"/>
    <w:rsid w:val="001F2534"/>
    <w:rsid w:val="0020012F"/>
    <w:rsid w:val="00200D1F"/>
    <w:rsid w:val="002014B8"/>
    <w:rsid w:val="00202582"/>
    <w:rsid w:val="00202BAF"/>
    <w:rsid w:val="002064C0"/>
    <w:rsid w:val="002068A8"/>
    <w:rsid w:val="00212251"/>
    <w:rsid w:val="0022157A"/>
    <w:rsid w:val="0022290D"/>
    <w:rsid w:val="00222DFE"/>
    <w:rsid w:val="00232DFF"/>
    <w:rsid w:val="0023586C"/>
    <w:rsid w:val="002414D2"/>
    <w:rsid w:val="002421B4"/>
    <w:rsid w:val="00245A2E"/>
    <w:rsid w:val="00245E95"/>
    <w:rsid w:val="00246C5C"/>
    <w:rsid w:val="0025798D"/>
    <w:rsid w:val="00261D70"/>
    <w:rsid w:val="00262411"/>
    <w:rsid w:val="0027024A"/>
    <w:rsid w:val="00270AF2"/>
    <w:rsid w:val="00270CF1"/>
    <w:rsid w:val="00274C7F"/>
    <w:rsid w:val="002751C4"/>
    <w:rsid w:val="0028118E"/>
    <w:rsid w:val="002868CD"/>
    <w:rsid w:val="002920D2"/>
    <w:rsid w:val="00293A6B"/>
    <w:rsid w:val="00296183"/>
    <w:rsid w:val="002A0EE8"/>
    <w:rsid w:val="002A56F3"/>
    <w:rsid w:val="002B0039"/>
    <w:rsid w:val="002B6763"/>
    <w:rsid w:val="002C0ACC"/>
    <w:rsid w:val="002C0FDE"/>
    <w:rsid w:val="002D2638"/>
    <w:rsid w:val="002D52D6"/>
    <w:rsid w:val="002E5AB4"/>
    <w:rsid w:val="002E61AC"/>
    <w:rsid w:val="002E73F4"/>
    <w:rsid w:val="002F5DE2"/>
    <w:rsid w:val="00306D76"/>
    <w:rsid w:val="003228B5"/>
    <w:rsid w:val="0034648C"/>
    <w:rsid w:val="00346694"/>
    <w:rsid w:val="00347BE0"/>
    <w:rsid w:val="003523E4"/>
    <w:rsid w:val="003540A1"/>
    <w:rsid w:val="00354235"/>
    <w:rsid w:val="00360F22"/>
    <w:rsid w:val="0037175A"/>
    <w:rsid w:val="00372159"/>
    <w:rsid w:val="00377BE8"/>
    <w:rsid w:val="00380DA2"/>
    <w:rsid w:val="00381C44"/>
    <w:rsid w:val="00381E61"/>
    <w:rsid w:val="00382510"/>
    <w:rsid w:val="003831AB"/>
    <w:rsid w:val="003844EC"/>
    <w:rsid w:val="003902A0"/>
    <w:rsid w:val="00394456"/>
    <w:rsid w:val="003952AA"/>
    <w:rsid w:val="003A0F37"/>
    <w:rsid w:val="003A3175"/>
    <w:rsid w:val="003A3AD2"/>
    <w:rsid w:val="003A65EF"/>
    <w:rsid w:val="003C5452"/>
    <w:rsid w:val="003C6D78"/>
    <w:rsid w:val="003E507C"/>
    <w:rsid w:val="003E6813"/>
    <w:rsid w:val="003E7130"/>
    <w:rsid w:val="003E7560"/>
    <w:rsid w:val="003F3262"/>
    <w:rsid w:val="003F77EE"/>
    <w:rsid w:val="0040027B"/>
    <w:rsid w:val="00401026"/>
    <w:rsid w:val="0040561C"/>
    <w:rsid w:val="00405FBA"/>
    <w:rsid w:val="00407BDC"/>
    <w:rsid w:val="00407DB0"/>
    <w:rsid w:val="00410542"/>
    <w:rsid w:val="0041092A"/>
    <w:rsid w:val="00412B93"/>
    <w:rsid w:val="004248E2"/>
    <w:rsid w:val="0043096A"/>
    <w:rsid w:val="00435687"/>
    <w:rsid w:val="00440C3A"/>
    <w:rsid w:val="00443FD2"/>
    <w:rsid w:val="0045094C"/>
    <w:rsid w:val="00450F23"/>
    <w:rsid w:val="0045109D"/>
    <w:rsid w:val="00453A5E"/>
    <w:rsid w:val="00453CBD"/>
    <w:rsid w:val="00454F8A"/>
    <w:rsid w:val="00455CCF"/>
    <w:rsid w:val="0046250A"/>
    <w:rsid w:val="00466052"/>
    <w:rsid w:val="00466B30"/>
    <w:rsid w:val="00466CDB"/>
    <w:rsid w:val="0047038E"/>
    <w:rsid w:val="00474854"/>
    <w:rsid w:val="00480F7B"/>
    <w:rsid w:val="00480F83"/>
    <w:rsid w:val="00483862"/>
    <w:rsid w:val="00484190"/>
    <w:rsid w:val="004844FA"/>
    <w:rsid w:val="004908BD"/>
    <w:rsid w:val="00494A89"/>
    <w:rsid w:val="00496637"/>
    <w:rsid w:val="004A5EFF"/>
    <w:rsid w:val="004A60F4"/>
    <w:rsid w:val="004A6791"/>
    <w:rsid w:val="004B3EB7"/>
    <w:rsid w:val="004B6E36"/>
    <w:rsid w:val="004C07B5"/>
    <w:rsid w:val="004C2B18"/>
    <w:rsid w:val="004C630F"/>
    <w:rsid w:val="004D34CD"/>
    <w:rsid w:val="004D582C"/>
    <w:rsid w:val="004E06F1"/>
    <w:rsid w:val="004E1C48"/>
    <w:rsid w:val="004F011B"/>
    <w:rsid w:val="004F7193"/>
    <w:rsid w:val="00506EEE"/>
    <w:rsid w:val="00507432"/>
    <w:rsid w:val="00517A3C"/>
    <w:rsid w:val="00521BA8"/>
    <w:rsid w:val="00521F88"/>
    <w:rsid w:val="00523A27"/>
    <w:rsid w:val="00526AA9"/>
    <w:rsid w:val="005318CE"/>
    <w:rsid w:val="005325F0"/>
    <w:rsid w:val="00534B86"/>
    <w:rsid w:val="005379E5"/>
    <w:rsid w:val="00537EC6"/>
    <w:rsid w:val="00542B59"/>
    <w:rsid w:val="00546ED3"/>
    <w:rsid w:val="00551D3E"/>
    <w:rsid w:val="00554F72"/>
    <w:rsid w:val="00557172"/>
    <w:rsid w:val="00560F71"/>
    <w:rsid w:val="00561537"/>
    <w:rsid w:val="00565B8B"/>
    <w:rsid w:val="00567A0F"/>
    <w:rsid w:val="00572653"/>
    <w:rsid w:val="00575F8D"/>
    <w:rsid w:val="005801E4"/>
    <w:rsid w:val="005859E0"/>
    <w:rsid w:val="00590DB3"/>
    <w:rsid w:val="00596851"/>
    <w:rsid w:val="005A29E7"/>
    <w:rsid w:val="005A312B"/>
    <w:rsid w:val="005A3A8E"/>
    <w:rsid w:val="005A499A"/>
    <w:rsid w:val="005A4B21"/>
    <w:rsid w:val="005B6236"/>
    <w:rsid w:val="005B6D48"/>
    <w:rsid w:val="005C5FE2"/>
    <w:rsid w:val="005E1F2C"/>
    <w:rsid w:val="005E2185"/>
    <w:rsid w:val="005E4620"/>
    <w:rsid w:val="005E64C4"/>
    <w:rsid w:val="005F34B4"/>
    <w:rsid w:val="0060422F"/>
    <w:rsid w:val="006068E2"/>
    <w:rsid w:val="00606BF1"/>
    <w:rsid w:val="00607271"/>
    <w:rsid w:val="006135AB"/>
    <w:rsid w:val="006145E2"/>
    <w:rsid w:val="006339C1"/>
    <w:rsid w:val="006345C6"/>
    <w:rsid w:val="00637485"/>
    <w:rsid w:val="006375DD"/>
    <w:rsid w:val="0064291B"/>
    <w:rsid w:val="00643BE0"/>
    <w:rsid w:val="00646232"/>
    <w:rsid w:val="00652783"/>
    <w:rsid w:val="006530BC"/>
    <w:rsid w:val="00655B24"/>
    <w:rsid w:val="006619C8"/>
    <w:rsid w:val="00663B2E"/>
    <w:rsid w:val="00664763"/>
    <w:rsid w:val="00666002"/>
    <w:rsid w:val="00666ED0"/>
    <w:rsid w:val="00670790"/>
    <w:rsid w:val="00670E78"/>
    <w:rsid w:val="00675585"/>
    <w:rsid w:val="0068116C"/>
    <w:rsid w:val="006821A4"/>
    <w:rsid w:val="0068446F"/>
    <w:rsid w:val="0069059D"/>
    <w:rsid w:val="006A0CDF"/>
    <w:rsid w:val="006A1032"/>
    <w:rsid w:val="006A63A8"/>
    <w:rsid w:val="006A7ABD"/>
    <w:rsid w:val="006B11CA"/>
    <w:rsid w:val="006C0DF2"/>
    <w:rsid w:val="006C400D"/>
    <w:rsid w:val="006C6503"/>
    <w:rsid w:val="006D2C01"/>
    <w:rsid w:val="006E06AD"/>
    <w:rsid w:val="006E0DF0"/>
    <w:rsid w:val="006E0EDE"/>
    <w:rsid w:val="006E169E"/>
    <w:rsid w:val="006E3ABA"/>
    <w:rsid w:val="006E401A"/>
    <w:rsid w:val="006F3B8C"/>
    <w:rsid w:val="006F49D7"/>
    <w:rsid w:val="00700502"/>
    <w:rsid w:val="00700764"/>
    <w:rsid w:val="00703EBC"/>
    <w:rsid w:val="00705025"/>
    <w:rsid w:val="00706673"/>
    <w:rsid w:val="00721ED1"/>
    <w:rsid w:val="00722C45"/>
    <w:rsid w:val="007347B8"/>
    <w:rsid w:val="007364C8"/>
    <w:rsid w:val="0074291A"/>
    <w:rsid w:val="0075117C"/>
    <w:rsid w:val="00751643"/>
    <w:rsid w:val="007A0687"/>
    <w:rsid w:val="007A139F"/>
    <w:rsid w:val="007B0DDE"/>
    <w:rsid w:val="007C7BE7"/>
    <w:rsid w:val="007D0358"/>
    <w:rsid w:val="007D1BD2"/>
    <w:rsid w:val="007D618F"/>
    <w:rsid w:val="007D6F02"/>
    <w:rsid w:val="007E6072"/>
    <w:rsid w:val="007F677F"/>
    <w:rsid w:val="00802FB2"/>
    <w:rsid w:val="00803E2C"/>
    <w:rsid w:val="008061D0"/>
    <w:rsid w:val="008115C7"/>
    <w:rsid w:val="00813058"/>
    <w:rsid w:val="008155C1"/>
    <w:rsid w:val="00816160"/>
    <w:rsid w:val="00820021"/>
    <w:rsid w:val="00833B24"/>
    <w:rsid w:val="00833E9D"/>
    <w:rsid w:val="00834D07"/>
    <w:rsid w:val="0083514C"/>
    <w:rsid w:val="008373AA"/>
    <w:rsid w:val="008406AA"/>
    <w:rsid w:val="008410D1"/>
    <w:rsid w:val="008412FA"/>
    <w:rsid w:val="008437E6"/>
    <w:rsid w:val="008447D1"/>
    <w:rsid w:val="008563E7"/>
    <w:rsid w:val="008565B3"/>
    <w:rsid w:val="008660A0"/>
    <w:rsid w:val="00866111"/>
    <w:rsid w:val="00872BDF"/>
    <w:rsid w:val="00874CD5"/>
    <w:rsid w:val="00882DD0"/>
    <w:rsid w:val="00885DAC"/>
    <w:rsid w:val="00887B0E"/>
    <w:rsid w:val="008926D2"/>
    <w:rsid w:val="0089355C"/>
    <w:rsid w:val="0089514C"/>
    <w:rsid w:val="008B2D78"/>
    <w:rsid w:val="008B5294"/>
    <w:rsid w:val="008C6468"/>
    <w:rsid w:val="008D419F"/>
    <w:rsid w:val="008D6A2F"/>
    <w:rsid w:val="008D7232"/>
    <w:rsid w:val="008E215E"/>
    <w:rsid w:val="008E613B"/>
    <w:rsid w:val="008F253E"/>
    <w:rsid w:val="008F3BBB"/>
    <w:rsid w:val="008F7C54"/>
    <w:rsid w:val="00904A36"/>
    <w:rsid w:val="00906AF7"/>
    <w:rsid w:val="00917DA7"/>
    <w:rsid w:val="0092123B"/>
    <w:rsid w:val="009264E6"/>
    <w:rsid w:val="009379B3"/>
    <w:rsid w:val="00942979"/>
    <w:rsid w:val="009506AF"/>
    <w:rsid w:val="009531E2"/>
    <w:rsid w:val="00956583"/>
    <w:rsid w:val="00960C7E"/>
    <w:rsid w:val="00961DC4"/>
    <w:rsid w:val="00964E4A"/>
    <w:rsid w:val="00965986"/>
    <w:rsid w:val="009666A2"/>
    <w:rsid w:val="0096692A"/>
    <w:rsid w:val="00967403"/>
    <w:rsid w:val="00971493"/>
    <w:rsid w:val="00980269"/>
    <w:rsid w:val="009977C2"/>
    <w:rsid w:val="009A0CC6"/>
    <w:rsid w:val="009A3026"/>
    <w:rsid w:val="009A39A9"/>
    <w:rsid w:val="009A5772"/>
    <w:rsid w:val="009A5CE0"/>
    <w:rsid w:val="009B0BE4"/>
    <w:rsid w:val="009C533E"/>
    <w:rsid w:val="009C66D2"/>
    <w:rsid w:val="009D35B5"/>
    <w:rsid w:val="009E0F7A"/>
    <w:rsid w:val="009E13DC"/>
    <w:rsid w:val="009E176B"/>
    <w:rsid w:val="009E3C8A"/>
    <w:rsid w:val="009E5DC7"/>
    <w:rsid w:val="009E654E"/>
    <w:rsid w:val="009F0F64"/>
    <w:rsid w:val="00A05497"/>
    <w:rsid w:val="00A05F37"/>
    <w:rsid w:val="00A07132"/>
    <w:rsid w:val="00A07DFA"/>
    <w:rsid w:val="00A15447"/>
    <w:rsid w:val="00A21DA7"/>
    <w:rsid w:val="00A22C6E"/>
    <w:rsid w:val="00A2697F"/>
    <w:rsid w:val="00A27B08"/>
    <w:rsid w:val="00A4205F"/>
    <w:rsid w:val="00A441AF"/>
    <w:rsid w:val="00A54258"/>
    <w:rsid w:val="00A55ECA"/>
    <w:rsid w:val="00A67716"/>
    <w:rsid w:val="00A7050A"/>
    <w:rsid w:val="00A716F3"/>
    <w:rsid w:val="00A743D7"/>
    <w:rsid w:val="00A75E1E"/>
    <w:rsid w:val="00A82B38"/>
    <w:rsid w:val="00A873F4"/>
    <w:rsid w:val="00A91509"/>
    <w:rsid w:val="00A94422"/>
    <w:rsid w:val="00A96140"/>
    <w:rsid w:val="00AA68F7"/>
    <w:rsid w:val="00AB5535"/>
    <w:rsid w:val="00AC3523"/>
    <w:rsid w:val="00AC4B92"/>
    <w:rsid w:val="00AD0968"/>
    <w:rsid w:val="00AD2B97"/>
    <w:rsid w:val="00AD32EB"/>
    <w:rsid w:val="00AD4424"/>
    <w:rsid w:val="00AE310A"/>
    <w:rsid w:val="00AF0BD9"/>
    <w:rsid w:val="00AF3830"/>
    <w:rsid w:val="00B001C5"/>
    <w:rsid w:val="00B031C6"/>
    <w:rsid w:val="00B06F71"/>
    <w:rsid w:val="00B10063"/>
    <w:rsid w:val="00B17DE6"/>
    <w:rsid w:val="00B23E2F"/>
    <w:rsid w:val="00B26D27"/>
    <w:rsid w:val="00B343CB"/>
    <w:rsid w:val="00B34D62"/>
    <w:rsid w:val="00B36DC9"/>
    <w:rsid w:val="00B54575"/>
    <w:rsid w:val="00B56033"/>
    <w:rsid w:val="00B56DF5"/>
    <w:rsid w:val="00B60937"/>
    <w:rsid w:val="00B7051C"/>
    <w:rsid w:val="00B75088"/>
    <w:rsid w:val="00B7562B"/>
    <w:rsid w:val="00B7719A"/>
    <w:rsid w:val="00B81689"/>
    <w:rsid w:val="00B82663"/>
    <w:rsid w:val="00B91D20"/>
    <w:rsid w:val="00B94CFD"/>
    <w:rsid w:val="00B94DA6"/>
    <w:rsid w:val="00B95141"/>
    <w:rsid w:val="00B9758B"/>
    <w:rsid w:val="00B97E06"/>
    <w:rsid w:val="00BA1124"/>
    <w:rsid w:val="00BA1724"/>
    <w:rsid w:val="00BA2604"/>
    <w:rsid w:val="00BA6B8C"/>
    <w:rsid w:val="00BB032A"/>
    <w:rsid w:val="00BB07CD"/>
    <w:rsid w:val="00BB0BF9"/>
    <w:rsid w:val="00BB0D30"/>
    <w:rsid w:val="00BB1D0C"/>
    <w:rsid w:val="00BB5CEC"/>
    <w:rsid w:val="00BB7124"/>
    <w:rsid w:val="00BC0DCB"/>
    <w:rsid w:val="00BC2E59"/>
    <w:rsid w:val="00BC43BB"/>
    <w:rsid w:val="00BC672F"/>
    <w:rsid w:val="00BC6868"/>
    <w:rsid w:val="00BD24EB"/>
    <w:rsid w:val="00BD3887"/>
    <w:rsid w:val="00BE0B1E"/>
    <w:rsid w:val="00BE514B"/>
    <w:rsid w:val="00BE550E"/>
    <w:rsid w:val="00C116B8"/>
    <w:rsid w:val="00C13752"/>
    <w:rsid w:val="00C150A6"/>
    <w:rsid w:val="00C24DFB"/>
    <w:rsid w:val="00C25BFE"/>
    <w:rsid w:val="00C3070A"/>
    <w:rsid w:val="00C32759"/>
    <w:rsid w:val="00C33630"/>
    <w:rsid w:val="00C4203F"/>
    <w:rsid w:val="00C43A87"/>
    <w:rsid w:val="00C441C8"/>
    <w:rsid w:val="00C464A8"/>
    <w:rsid w:val="00C464BC"/>
    <w:rsid w:val="00C5427E"/>
    <w:rsid w:val="00C542A9"/>
    <w:rsid w:val="00C565BE"/>
    <w:rsid w:val="00C60AF1"/>
    <w:rsid w:val="00C63D57"/>
    <w:rsid w:val="00C63FC2"/>
    <w:rsid w:val="00C71A2D"/>
    <w:rsid w:val="00C73DA2"/>
    <w:rsid w:val="00C75A3C"/>
    <w:rsid w:val="00C81C9D"/>
    <w:rsid w:val="00C83E46"/>
    <w:rsid w:val="00C86481"/>
    <w:rsid w:val="00C86987"/>
    <w:rsid w:val="00C932E9"/>
    <w:rsid w:val="00C93F82"/>
    <w:rsid w:val="00C94806"/>
    <w:rsid w:val="00C94ED7"/>
    <w:rsid w:val="00C9664F"/>
    <w:rsid w:val="00CA3441"/>
    <w:rsid w:val="00CA77D7"/>
    <w:rsid w:val="00CB2339"/>
    <w:rsid w:val="00CB6120"/>
    <w:rsid w:val="00CB724D"/>
    <w:rsid w:val="00CB791F"/>
    <w:rsid w:val="00CC2A70"/>
    <w:rsid w:val="00CC3381"/>
    <w:rsid w:val="00CC6807"/>
    <w:rsid w:val="00CD1E1B"/>
    <w:rsid w:val="00CE300C"/>
    <w:rsid w:val="00CE4B53"/>
    <w:rsid w:val="00CE7BB0"/>
    <w:rsid w:val="00CE7C75"/>
    <w:rsid w:val="00CF1073"/>
    <w:rsid w:val="00CF74BB"/>
    <w:rsid w:val="00D00E91"/>
    <w:rsid w:val="00D019BB"/>
    <w:rsid w:val="00D02311"/>
    <w:rsid w:val="00D03447"/>
    <w:rsid w:val="00D041F4"/>
    <w:rsid w:val="00D10165"/>
    <w:rsid w:val="00D12950"/>
    <w:rsid w:val="00D17E6E"/>
    <w:rsid w:val="00D2094E"/>
    <w:rsid w:val="00D23BD2"/>
    <w:rsid w:val="00D2779D"/>
    <w:rsid w:val="00D30EAC"/>
    <w:rsid w:val="00D33EEA"/>
    <w:rsid w:val="00D4035D"/>
    <w:rsid w:val="00D44DBB"/>
    <w:rsid w:val="00D50249"/>
    <w:rsid w:val="00D5133B"/>
    <w:rsid w:val="00D52D16"/>
    <w:rsid w:val="00D56286"/>
    <w:rsid w:val="00D6509D"/>
    <w:rsid w:val="00D75E4B"/>
    <w:rsid w:val="00D82C20"/>
    <w:rsid w:val="00D847A0"/>
    <w:rsid w:val="00D85276"/>
    <w:rsid w:val="00D95B60"/>
    <w:rsid w:val="00DA164A"/>
    <w:rsid w:val="00DA526F"/>
    <w:rsid w:val="00DB1F96"/>
    <w:rsid w:val="00DB6329"/>
    <w:rsid w:val="00DC48FC"/>
    <w:rsid w:val="00DC7136"/>
    <w:rsid w:val="00DD2E41"/>
    <w:rsid w:val="00DD5683"/>
    <w:rsid w:val="00DF3025"/>
    <w:rsid w:val="00DF6BCF"/>
    <w:rsid w:val="00E022B1"/>
    <w:rsid w:val="00E05878"/>
    <w:rsid w:val="00E07D12"/>
    <w:rsid w:val="00E104B2"/>
    <w:rsid w:val="00E12022"/>
    <w:rsid w:val="00E13399"/>
    <w:rsid w:val="00E17CAD"/>
    <w:rsid w:val="00E226EC"/>
    <w:rsid w:val="00E34BBD"/>
    <w:rsid w:val="00E36C16"/>
    <w:rsid w:val="00E40BC0"/>
    <w:rsid w:val="00E446CC"/>
    <w:rsid w:val="00E47DE2"/>
    <w:rsid w:val="00E51F26"/>
    <w:rsid w:val="00E568E8"/>
    <w:rsid w:val="00E6390E"/>
    <w:rsid w:val="00E67E08"/>
    <w:rsid w:val="00E72367"/>
    <w:rsid w:val="00E80164"/>
    <w:rsid w:val="00E841C5"/>
    <w:rsid w:val="00E85299"/>
    <w:rsid w:val="00E8551D"/>
    <w:rsid w:val="00E904CC"/>
    <w:rsid w:val="00E9249E"/>
    <w:rsid w:val="00E93EEF"/>
    <w:rsid w:val="00E95E28"/>
    <w:rsid w:val="00E9724A"/>
    <w:rsid w:val="00EA41B8"/>
    <w:rsid w:val="00EA5376"/>
    <w:rsid w:val="00EB15EC"/>
    <w:rsid w:val="00EB641F"/>
    <w:rsid w:val="00EC2B7E"/>
    <w:rsid w:val="00EC6B00"/>
    <w:rsid w:val="00ED1748"/>
    <w:rsid w:val="00ED1F73"/>
    <w:rsid w:val="00ED5782"/>
    <w:rsid w:val="00ED7CCB"/>
    <w:rsid w:val="00EE17D8"/>
    <w:rsid w:val="00EE31AA"/>
    <w:rsid w:val="00EE619A"/>
    <w:rsid w:val="00EE6C9D"/>
    <w:rsid w:val="00EE722A"/>
    <w:rsid w:val="00EF50A3"/>
    <w:rsid w:val="00EF6423"/>
    <w:rsid w:val="00EF6761"/>
    <w:rsid w:val="00F037AF"/>
    <w:rsid w:val="00F03B1B"/>
    <w:rsid w:val="00F074F9"/>
    <w:rsid w:val="00F10329"/>
    <w:rsid w:val="00F11348"/>
    <w:rsid w:val="00F12F87"/>
    <w:rsid w:val="00F15B4E"/>
    <w:rsid w:val="00F174A1"/>
    <w:rsid w:val="00F24B66"/>
    <w:rsid w:val="00F27342"/>
    <w:rsid w:val="00F31D70"/>
    <w:rsid w:val="00F40BDF"/>
    <w:rsid w:val="00F423C1"/>
    <w:rsid w:val="00F42CD0"/>
    <w:rsid w:val="00F42FC6"/>
    <w:rsid w:val="00F473EA"/>
    <w:rsid w:val="00F53CE6"/>
    <w:rsid w:val="00F62672"/>
    <w:rsid w:val="00F637EE"/>
    <w:rsid w:val="00F63F06"/>
    <w:rsid w:val="00F6524B"/>
    <w:rsid w:val="00F6696B"/>
    <w:rsid w:val="00F73FDA"/>
    <w:rsid w:val="00F7661A"/>
    <w:rsid w:val="00F77CCC"/>
    <w:rsid w:val="00F800ED"/>
    <w:rsid w:val="00F81A8D"/>
    <w:rsid w:val="00F86551"/>
    <w:rsid w:val="00F92615"/>
    <w:rsid w:val="00F96423"/>
    <w:rsid w:val="00FA221B"/>
    <w:rsid w:val="00FA27EE"/>
    <w:rsid w:val="00FA31B4"/>
    <w:rsid w:val="00FB07FD"/>
    <w:rsid w:val="00FB3EC2"/>
    <w:rsid w:val="00FB56A7"/>
    <w:rsid w:val="00FB78D5"/>
    <w:rsid w:val="00FC3DAE"/>
    <w:rsid w:val="00FC46BB"/>
    <w:rsid w:val="00FE2927"/>
    <w:rsid w:val="00FE2CF1"/>
    <w:rsid w:val="00FE4E7A"/>
    <w:rsid w:val="00FE78D5"/>
    <w:rsid w:val="00FE78EC"/>
    <w:rsid w:val="00FF4E17"/>
    <w:rsid w:val="00FF4E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AU" w:eastAsia="en-US" w:bidi="ar-SA"/>
      </w:rPr>
    </w:rPrDefault>
    <w:pPrDefault>
      <w:pPr>
        <w:spacing w:after="20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047DD7"/>
  </w:style>
  <w:style w:type="paragraph" w:styleId="Heading1">
    <w:name w:val="heading 1"/>
    <w:basedOn w:val="Normal"/>
    <w:next w:val="Normal"/>
    <w:link w:val="Heading1Char"/>
    <w:uiPriority w:val="9"/>
    <w:qFormat/>
    <w:rsid w:val="00103711"/>
    <w:pPr>
      <w:keepNext/>
      <w:keepLines/>
      <w:spacing w:after="240"/>
      <w:outlineLvl w:val="0"/>
    </w:pPr>
    <w:rPr>
      <w:rFonts w:asciiTheme="majorHAnsi" w:eastAsiaTheme="majorEastAsia" w:hAnsiTheme="majorHAnsi" w:cstheme="majorBidi"/>
      <w:b/>
      <w:bCs/>
      <w:color w:val="201547" w:themeColor="accent1"/>
      <w:sz w:val="32"/>
      <w:szCs w:val="28"/>
    </w:rPr>
  </w:style>
  <w:style w:type="paragraph" w:styleId="Heading2">
    <w:name w:val="heading 2"/>
    <w:basedOn w:val="Heading1"/>
    <w:next w:val="Normal"/>
    <w:link w:val="Heading2Char"/>
    <w:uiPriority w:val="9"/>
    <w:unhideWhenUsed/>
    <w:qFormat/>
    <w:rsid w:val="00BA2604"/>
    <w:pPr>
      <w:outlineLvl w:val="1"/>
    </w:pPr>
    <w:rPr>
      <w:bCs w:val="0"/>
      <w:caps/>
      <w:sz w:val="26"/>
      <w:szCs w:val="26"/>
    </w:rPr>
  </w:style>
  <w:style w:type="paragraph" w:styleId="Heading3">
    <w:name w:val="heading 3"/>
    <w:basedOn w:val="Normal"/>
    <w:next w:val="Normal"/>
    <w:link w:val="Heading3Char"/>
    <w:uiPriority w:val="9"/>
    <w:semiHidden/>
    <w:unhideWhenUsed/>
    <w:qFormat/>
    <w:rsid w:val="008406AA"/>
    <w:pPr>
      <w:keepNext/>
      <w:keepLines/>
      <w:spacing w:before="200" w:after="0"/>
      <w:outlineLvl w:val="2"/>
    </w:pPr>
    <w:rPr>
      <w:rFonts w:asciiTheme="majorHAnsi" w:eastAsiaTheme="majorEastAsia" w:hAnsiTheme="majorHAnsi" w:cstheme="majorBidi"/>
      <w:b/>
      <w:bCs/>
      <w:color w:val="201547"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3EB7"/>
    <w:pPr>
      <w:tabs>
        <w:tab w:val="center" w:pos="4513"/>
        <w:tab w:val="right" w:pos="9026"/>
      </w:tabs>
      <w:spacing w:before="720" w:after="0" w:line="240" w:lineRule="auto"/>
    </w:pPr>
    <w:rPr>
      <w:b/>
      <w:caps/>
      <w:color w:val="FFFFFF" w:themeColor="background1"/>
      <w:sz w:val="96"/>
    </w:rPr>
  </w:style>
  <w:style w:type="character" w:customStyle="1" w:styleId="HeaderChar">
    <w:name w:val="Header Char"/>
    <w:basedOn w:val="DefaultParagraphFont"/>
    <w:link w:val="Header"/>
    <w:uiPriority w:val="99"/>
    <w:rsid w:val="004B3EB7"/>
    <w:rPr>
      <w:b/>
      <w:caps/>
      <w:color w:val="FFFFFF" w:themeColor="background1"/>
      <w:sz w:val="96"/>
    </w:rPr>
  </w:style>
  <w:style w:type="paragraph" w:styleId="Footer">
    <w:name w:val="footer"/>
    <w:basedOn w:val="Normal"/>
    <w:link w:val="FooterChar"/>
    <w:uiPriority w:val="99"/>
    <w:unhideWhenUsed/>
    <w:rsid w:val="00474854"/>
    <w:pPr>
      <w:tabs>
        <w:tab w:val="center" w:pos="4513"/>
        <w:tab w:val="center" w:pos="10036"/>
      </w:tabs>
      <w:spacing w:after="0" w:line="240" w:lineRule="auto"/>
    </w:pPr>
    <w:rPr>
      <w:sz w:val="20"/>
    </w:rPr>
  </w:style>
  <w:style w:type="character" w:customStyle="1" w:styleId="FooterChar">
    <w:name w:val="Footer Char"/>
    <w:basedOn w:val="DefaultParagraphFont"/>
    <w:link w:val="Footer"/>
    <w:uiPriority w:val="99"/>
    <w:rsid w:val="00474854"/>
    <w:rPr>
      <w:sz w:val="20"/>
    </w:rPr>
  </w:style>
  <w:style w:type="paragraph" w:styleId="BalloonText">
    <w:name w:val="Balloon Text"/>
    <w:basedOn w:val="Normal"/>
    <w:link w:val="BalloonTextChar"/>
    <w:uiPriority w:val="99"/>
    <w:semiHidden/>
    <w:unhideWhenUsed/>
    <w:rsid w:val="001E7D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D0D"/>
    <w:rPr>
      <w:rFonts w:ascii="Tahoma" w:hAnsi="Tahoma" w:cs="Tahoma"/>
      <w:sz w:val="16"/>
      <w:szCs w:val="16"/>
    </w:rPr>
  </w:style>
  <w:style w:type="paragraph" w:styleId="Title">
    <w:name w:val="Title"/>
    <w:basedOn w:val="Normal"/>
    <w:next w:val="Normal"/>
    <w:link w:val="TitleChar"/>
    <w:uiPriority w:val="89"/>
    <w:qFormat/>
    <w:rsid w:val="007D6F02"/>
    <w:pPr>
      <w:spacing w:after="240" w:line="240" w:lineRule="auto"/>
      <w:contextualSpacing/>
    </w:pPr>
    <w:rPr>
      <w:rFonts w:asciiTheme="majorHAnsi" w:eastAsiaTheme="majorEastAsia" w:hAnsiTheme="majorHAnsi" w:cstheme="majorBidi"/>
      <w:caps/>
      <w:color w:val="FFFFFF" w:themeColor="background1"/>
      <w:spacing w:val="5"/>
      <w:kern w:val="28"/>
      <w:sz w:val="52"/>
      <w:szCs w:val="52"/>
    </w:rPr>
  </w:style>
  <w:style w:type="character" w:customStyle="1" w:styleId="TitleChar">
    <w:name w:val="Title Char"/>
    <w:basedOn w:val="DefaultParagraphFont"/>
    <w:link w:val="Title"/>
    <w:uiPriority w:val="89"/>
    <w:rsid w:val="007D6F02"/>
    <w:rPr>
      <w:rFonts w:asciiTheme="majorHAnsi" w:eastAsiaTheme="majorEastAsia" w:hAnsiTheme="majorHAnsi" w:cstheme="majorBidi"/>
      <w:caps/>
      <w:color w:val="FFFFFF" w:themeColor="background1"/>
      <w:spacing w:val="5"/>
      <w:kern w:val="28"/>
      <w:sz w:val="52"/>
      <w:szCs w:val="52"/>
    </w:rPr>
  </w:style>
  <w:style w:type="paragraph" w:styleId="Subtitle">
    <w:name w:val="Subtitle"/>
    <w:aliases w:val="Month"/>
    <w:basedOn w:val="Title"/>
    <w:next w:val="Normal"/>
    <w:link w:val="SubtitleChar"/>
    <w:uiPriority w:val="90"/>
    <w:qFormat/>
    <w:rsid w:val="002868CD"/>
    <w:pPr>
      <w:numPr>
        <w:ilvl w:val="1"/>
      </w:numPr>
      <w:spacing w:before="240" w:after="600"/>
      <w:contextualSpacing w:val="0"/>
    </w:pPr>
    <w:rPr>
      <w:iCs/>
      <w:caps w:val="0"/>
      <w:spacing w:val="15"/>
      <w:sz w:val="32"/>
    </w:rPr>
  </w:style>
  <w:style w:type="character" w:customStyle="1" w:styleId="SubtitleChar">
    <w:name w:val="Subtitle Char"/>
    <w:aliases w:val="Month Char"/>
    <w:basedOn w:val="DefaultParagraphFont"/>
    <w:link w:val="Subtitle"/>
    <w:uiPriority w:val="90"/>
    <w:rsid w:val="002868CD"/>
    <w:rPr>
      <w:rFonts w:asciiTheme="majorHAnsi" w:eastAsiaTheme="majorEastAsia" w:hAnsiTheme="majorHAnsi" w:cstheme="majorBidi"/>
      <w:iCs/>
      <w:color w:val="FFFFFF" w:themeColor="background1"/>
      <w:spacing w:val="15"/>
      <w:kern w:val="28"/>
      <w:sz w:val="32"/>
      <w:szCs w:val="52"/>
    </w:rPr>
  </w:style>
  <w:style w:type="character" w:customStyle="1" w:styleId="Heading1Char">
    <w:name w:val="Heading 1 Char"/>
    <w:basedOn w:val="DefaultParagraphFont"/>
    <w:link w:val="Heading1"/>
    <w:uiPriority w:val="9"/>
    <w:rsid w:val="00103711"/>
    <w:rPr>
      <w:rFonts w:asciiTheme="majorHAnsi" w:eastAsiaTheme="majorEastAsia" w:hAnsiTheme="majorHAnsi" w:cstheme="majorBidi"/>
      <w:b/>
      <w:bCs/>
      <w:color w:val="201547" w:themeColor="accent1"/>
      <w:sz w:val="32"/>
      <w:szCs w:val="28"/>
    </w:rPr>
  </w:style>
  <w:style w:type="character" w:customStyle="1" w:styleId="Heading2Char">
    <w:name w:val="Heading 2 Char"/>
    <w:basedOn w:val="DefaultParagraphFont"/>
    <w:link w:val="Heading2"/>
    <w:uiPriority w:val="9"/>
    <w:rsid w:val="00BA2604"/>
    <w:rPr>
      <w:rFonts w:asciiTheme="majorHAnsi" w:eastAsiaTheme="majorEastAsia" w:hAnsiTheme="majorHAnsi" w:cstheme="majorBidi"/>
      <w:b/>
      <w:caps/>
      <w:color w:val="004EA8" w:themeColor="accent2"/>
      <w:sz w:val="26"/>
      <w:szCs w:val="26"/>
    </w:rPr>
  </w:style>
  <w:style w:type="character" w:customStyle="1" w:styleId="Heading3Char">
    <w:name w:val="Heading 3 Char"/>
    <w:basedOn w:val="DefaultParagraphFont"/>
    <w:link w:val="Heading3"/>
    <w:uiPriority w:val="9"/>
    <w:semiHidden/>
    <w:rsid w:val="008406AA"/>
    <w:rPr>
      <w:rFonts w:asciiTheme="majorHAnsi" w:eastAsiaTheme="majorEastAsia" w:hAnsiTheme="majorHAnsi" w:cstheme="majorBidi"/>
      <w:b/>
      <w:bCs/>
      <w:color w:val="201547" w:themeColor="accent1"/>
    </w:rPr>
  </w:style>
  <w:style w:type="character" w:styleId="PageNumber">
    <w:name w:val="page number"/>
    <w:basedOn w:val="DefaultParagraphFont"/>
    <w:uiPriority w:val="99"/>
    <w:unhideWhenUsed/>
    <w:rsid w:val="00BA6B8C"/>
    <w:rPr>
      <w:color w:val="FFFFFF" w:themeColor="background1"/>
      <w:sz w:val="20"/>
    </w:rPr>
  </w:style>
  <w:style w:type="paragraph" w:styleId="ListParagraph">
    <w:name w:val="List Paragraph"/>
    <w:basedOn w:val="Normal"/>
    <w:uiPriority w:val="34"/>
    <w:semiHidden/>
    <w:qFormat/>
    <w:rsid w:val="004B6E36"/>
    <w:pPr>
      <w:ind w:left="720"/>
      <w:contextualSpacing/>
    </w:pPr>
  </w:style>
  <w:style w:type="numbering" w:customStyle="1" w:styleId="Highlightbulletstyle">
    <w:name w:val="Highlight bullet style"/>
    <w:uiPriority w:val="99"/>
    <w:rsid w:val="004B6E36"/>
    <w:pPr>
      <w:numPr>
        <w:numId w:val="1"/>
      </w:numPr>
    </w:pPr>
  </w:style>
  <w:style w:type="table" w:styleId="TableGrid">
    <w:name w:val="Table Grid"/>
    <w:aliases w:val="DTF table"/>
    <w:basedOn w:val="TableNormal"/>
    <w:uiPriority w:val="59"/>
    <w:rsid w:val="002868CD"/>
    <w:pPr>
      <w:spacing w:before="120" w:after="120" w:line="240" w:lineRule="auto"/>
    </w:pPr>
    <w:rPr>
      <w:sz w:val="22"/>
    </w:rPr>
    <w:tblPr>
      <w:tblStyleRowBandSize w:val="1"/>
      <w:tblStyleColBandSize w:val="1"/>
      <w:tblBorders>
        <w:bottom w:val="single" w:sz="12" w:space="0" w:color="004EA8" w:themeColor="accent2"/>
      </w:tblBorders>
      <w:tblCellMar>
        <w:left w:w="57" w:type="dxa"/>
        <w:right w:w="57" w:type="dxa"/>
      </w:tblCellMar>
    </w:tblPr>
    <w:trPr>
      <w:cantSplit/>
    </w:trPr>
    <w:tblStylePr w:type="firstRow">
      <w:pPr>
        <w:wordWrap/>
        <w:spacing w:beforeLines="0" w:before="120" w:beforeAutospacing="0" w:afterLines="0" w:after="120" w:afterAutospacing="0"/>
      </w:pPr>
      <w:rPr>
        <w:i/>
        <w:color w:val="FFFFFF" w:themeColor="background1"/>
      </w:rPr>
      <w:tblPr/>
      <w:trPr>
        <w:cantSplit w:val="0"/>
        <w:tblHeader/>
      </w:trPr>
      <w:tcPr>
        <w:shd w:val="clear" w:color="auto" w:fill="004EA8" w:themeFill="accent2"/>
      </w:tcPr>
    </w:tblStylePr>
    <w:tblStylePr w:type="lastRow">
      <w:rPr>
        <w:b w:val="0"/>
        <w:color w:val="auto"/>
      </w:rPr>
      <w:tblPr/>
      <w:tcPr>
        <w:tcBorders>
          <w:top w:val="single" w:sz="6" w:space="0" w:color="004EA8" w:themeColor="accent2"/>
          <w:left w:val="nil"/>
          <w:bottom w:val="single" w:sz="12" w:space="0" w:color="004EA8" w:themeColor="accent2"/>
          <w:right w:val="nil"/>
          <w:insideH w:val="nil"/>
          <w:insideV w:val="nil"/>
          <w:tl2br w:val="nil"/>
          <w:tr2bl w:val="nil"/>
        </w:tcBorders>
      </w:tcPr>
    </w:tblStylePr>
    <w:tblStylePr w:type="firstCol">
      <w:tblPr/>
      <w:tcPr>
        <w:shd w:val="clear" w:color="auto" w:fill="CCE3F5" w:themeFill="accent6"/>
      </w:tcPr>
    </w:tblStylePr>
    <w:tblStylePr w:type="lastCol">
      <w:tblPr/>
      <w:tcPr>
        <w:shd w:val="clear" w:color="auto" w:fill="CCE3F5" w:themeFill="accent6"/>
      </w:tcPr>
    </w:tblStylePr>
    <w:tblStylePr w:type="band1Vert">
      <w:tblPr/>
      <w:tcPr>
        <w:shd w:val="clear" w:color="auto" w:fill="99B8DC" w:themeFill="accent5"/>
      </w:tcPr>
    </w:tblStylePr>
    <w:tblStylePr w:type="band2Vert">
      <w:tblPr/>
      <w:tcPr>
        <w:shd w:val="clear" w:color="auto" w:fill="CCE3F5" w:themeFill="accent6"/>
      </w:tcPr>
    </w:tblStylePr>
    <w:tblStylePr w:type="band1Horz">
      <w:tblPr/>
      <w:tcPr>
        <w:shd w:val="clear" w:color="auto" w:fill="CCE3F5" w:themeFill="accent6"/>
      </w:tcPr>
    </w:tblStylePr>
    <w:tblStylePr w:type="band2Horz">
      <w:tblPr/>
      <w:tcPr>
        <w:shd w:val="clear" w:color="auto" w:fill="99B8DC" w:themeFill="accent5"/>
      </w:tcPr>
    </w:tblStylePr>
  </w:style>
  <w:style w:type="paragraph" w:customStyle="1" w:styleId="Bullet-highlight">
    <w:name w:val="Bullet - highlight"/>
    <w:basedOn w:val="Normal"/>
    <w:uiPriority w:val="69"/>
    <w:rsid w:val="002F5DE2"/>
    <w:pPr>
      <w:numPr>
        <w:numId w:val="3"/>
      </w:numPr>
    </w:pPr>
    <w:rPr>
      <w:sz w:val="22"/>
    </w:rPr>
  </w:style>
  <w:style w:type="table" w:customStyle="1" w:styleId="Highlighttable">
    <w:name w:val="Highlight table"/>
    <w:basedOn w:val="TableNormal"/>
    <w:uiPriority w:val="99"/>
    <w:rsid w:val="003E507C"/>
    <w:pPr>
      <w:spacing w:before="120" w:after="120"/>
    </w:pPr>
    <w:rPr>
      <w:color w:val="FFFFFF" w:themeColor="background1"/>
      <w:sz w:val="22"/>
    </w:rPr>
    <w:tblPr>
      <w:tblCellMar>
        <w:left w:w="85" w:type="dxa"/>
        <w:right w:w="227" w:type="dxa"/>
      </w:tblCellMar>
    </w:tblPr>
    <w:trPr>
      <w:cantSplit/>
    </w:trPr>
    <w:tcPr>
      <w:shd w:val="clear" w:color="auto" w:fill="004EA8" w:themeFill="accent2"/>
    </w:tcPr>
    <w:tblStylePr w:type="firstRow">
      <w:rPr>
        <w:caps/>
        <w:smallCaps w:val="0"/>
      </w:rPr>
    </w:tblStylePr>
  </w:style>
  <w:style w:type="paragraph" w:customStyle="1" w:styleId="Note">
    <w:name w:val="Note"/>
    <w:basedOn w:val="Normal"/>
    <w:qFormat/>
    <w:rsid w:val="00D02311"/>
    <w:rPr>
      <w:sz w:val="18"/>
    </w:rPr>
  </w:style>
  <w:style w:type="table" w:styleId="LightShading">
    <w:name w:val="Light Shading"/>
    <w:basedOn w:val="TableNormal"/>
    <w:uiPriority w:val="60"/>
    <w:rsid w:val="0038251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6">
    <w:name w:val="Light Shading Accent 6"/>
    <w:basedOn w:val="TableNormal"/>
    <w:uiPriority w:val="60"/>
    <w:rsid w:val="00382510"/>
    <w:pPr>
      <w:spacing w:after="0" w:line="240" w:lineRule="auto"/>
    </w:pPr>
    <w:rPr>
      <w:color w:val="6DAFE2" w:themeColor="accent6" w:themeShade="BF"/>
    </w:rPr>
    <w:tblPr>
      <w:tblStyleRowBandSize w:val="1"/>
      <w:tblStyleColBandSize w:val="1"/>
      <w:tblBorders>
        <w:top w:val="single" w:sz="8" w:space="0" w:color="CCE3F5" w:themeColor="accent6"/>
        <w:bottom w:val="single" w:sz="8" w:space="0" w:color="CCE3F5" w:themeColor="accent6"/>
      </w:tblBorders>
    </w:tblPr>
    <w:tblStylePr w:type="firstRow">
      <w:pPr>
        <w:spacing w:before="0" w:after="0" w:line="240" w:lineRule="auto"/>
      </w:pPr>
      <w:rPr>
        <w:b/>
        <w:bCs/>
      </w:rPr>
      <w:tblPr/>
      <w:tcPr>
        <w:tcBorders>
          <w:top w:val="single" w:sz="8" w:space="0" w:color="CCE3F5" w:themeColor="accent6"/>
          <w:left w:val="nil"/>
          <w:bottom w:val="single" w:sz="8" w:space="0" w:color="CCE3F5" w:themeColor="accent6"/>
          <w:right w:val="nil"/>
          <w:insideH w:val="nil"/>
          <w:insideV w:val="nil"/>
        </w:tcBorders>
      </w:tcPr>
    </w:tblStylePr>
    <w:tblStylePr w:type="lastRow">
      <w:pPr>
        <w:spacing w:before="0" w:after="0" w:line="240" w:lineRule="auto"/>
      </w:pPr>
      <w:rPr>
        <w:b/>
        <w:bCs/>
      </w:rPr>
      <w:tblPr/>
      <w:tcPr>
        <w:tcBorders>
          <w:top w:val="single" w:sz="8" w:space="0" w:color="CCE3F5" w:themeColor="accent6"/>
          <w:left w:val="nil"/>
          <w:bottom w:val="single" w:sz="8" w:space="0" w:color="CCE3F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7FC" w:themeFill="accent6" w:themeFillTint="3F"/>
      </w:tcPr>
    </w:tblStylePr>
    <w:tblStylePr w:type="band1Horz">
      <w:tblPr/>
      <w:tcPr>
        <w:tcBorders>
          <w:left w:val="nil"/>
          <w:right w:val="nil"/>
          <w:insideH w:val="nil"/>
          <w:insideV w:val="nil"/>
        </w:tcBorders>
        <w:shd w:val="clear" w:color="auto" w:fill="F2F7FC" w:themeFill="accent6" w:themeFillTint="3F"/>
      </w:tcPr>
    </w:tblStylePr>
  </w:style>
  <w:style w:type="paragraph" w:styleId="Caption">
    <w:name w:val="caption"/>
    <w:basedOn w:val="Heading2"/>
    <w:next w:val="Normal"/>
    <w:uiPriority w:val="35"/>
    <w:qFormat/>
    <w:rsid w:val="00BA6B8C"/>
    <w:pPr>
      <w:spacing w:after="120"/>
    </w:pPr>
    <w:rPr>
      <w:caps w:val="0"/>
      <w:sz w:val="22"/>
    </w:rPr>
  </w:style>
  <w:style w:type="character" w:styleId="Emphasis">
    <w:name w:val="Emphasis"/>
    <w:basedOn w:val="DefaultParagraphFont"/>
    <w:uiPriority w:val="20"/>
    <w:qFormat/>
    <w:rsid w:val="00EE31AA"/>
    <w:rPr>
      <w:b/>
      <w:i w:val="0"/>
      <w:iCs/>
    </w:rPr>
  </w:style>
  <w:style w:type="paragraph" w:customStyle="1" w:styleId="Default">
    <w:name w:val="Default"/>
    <w:rsid w:val="00480F7B"/>
    <w:pPr>
      <w:autoSpaceDE w:val="0"/>
      <w:autoSpaceDN w:val="0"/>
      <w:adjustRightInd w:val="0"/>
      <w:spacing w:after="0" w:line="240" w:lineRule="auto"/>
    </w:pPr>
    <w:rPr>
      <w:rFonts w:ascii="Arial" w:hAnsi="Arial" w:cs="Arial"/>
      <w:color w:val="000000"/>
    </w:rPr>
  </w:style>
  <w:style w:type="character" w:styleId="CommentReference">
    <w:name w:val="annotation reference"/>
    <w:basedOn w:val="DefaultParagraphFont"/>
    <w:uiPriority w:val="99"/>
    <w:semiHidden/>
    <w:unhideWhenUsed/>
    <w:rsid w:val="006B11CA"/>
    <w:rPr>
      <w:sz w:val="16"/>
      <w:szCs w:val="16"/>
    </w:rPr>
  </w:style>
  <w:style w:type="paragraph" w:styleId="CommentText">
    <w:name w:val="annotation text"/>
    <w:basedOn w:val="Normal"/>
    <w:link w:val="CommentTextChar"/>
    <w:uiPriority w:val="99"/>
    <w:semiHidden/>
    <w:unhideWhenUsed/>
    <w:rsid w:val="006B11CA"/>
    <w:pPr>
      <w:spacing w:line="240" w:lineRule="auto"/>
    </w:pPr>
    <w:rPr>
      <w:sz w:val="20"/>
      <w:szCs w:val="20"/>
    </w:rPr>
  </w:style>
  <w:style w:type="character" w:customStyle="1" w:styleId="CommentTextChar">
    <w:name w:val="Comment Text Char"/>
    <w:basedOn w:val="DefaultParagraphFont"/>
    <w:link w:val="CommentText"/>
    <w:uiPriority w:val="99"/>
    <w:semiHidden/>
    <w:rsid w:val="006B11CA"/>
    <w:rPr>
      <w:sz w:val="20"/>
      <w:szCs w:val="20"/>
    </w:rPr>
  </w:style>
  <w:style w:type="paragraph" w:styleId="CommentSubject">
    <w:name w:val="annotation subject"/>
    <w:basedOn w:val="CommentText"/>
    <w:next w:val="CommentText"/>
    <w:link w:val="CommentSubjectChar"/>
    <w:uiPriority w:val="99"/>
    <w:semiHidden/>
    <w:unhideWhenUsed/>
    <w:rsid w:val="006B11CA"/>
    <w:rPr>
      <w:b/>
      <w:bCs/>
    </w:rPr>
  </w:style>
  <w:style w:type="character" w:customStyle="1" w:styleId="CommentSubjectChar">
    <w:name w:val="Comment Subject Char"/>
    <w:basedOn w:val="CommentTextChar"/>
    <w:link w:val="CommentSubject"/>
    <w:uiPriority w:val="99"/>
    <w:semiHidden/>
    <w:rsid w:val="006B11CA"/>
    <w:rPr>
      <w:b/>
      <w:bCs/>
      <w:sz w:val="20"/>
      <w:szCs w:val="20"/>
    </w:rPr>
  </w:style>
  <w:style w:type="paragraph" w:customStyle="1" w:styleId="Listnum">
    <w:name w:val="List num"/>
    <w:basedOn w:val="Normal"/>
    <w:qFormat/>
    <w:rsid w:val="00CC6807"/>
    <w:pPr>
      <w:numPr>
        <w:numId w:val="5"/>
      </w:numPr>
      <w:spacing w:before="240" w:after="240" w:line="240" w:lineRule="auto"/>
    </w:pPr>
    <w:rPr>
      <w:rFonts w:eastAsia="Times New Roman" w:cs="Arial"/>
      <w:bCs/>
      <w:color w:val="000000" w:themeColor="text1"/>
      <w:spacing w:val="2"/>
      <w:sz w:val="20"/>
    </w:rPr>
  </w:style>
  <w:style w:type="paragraph" w:customStyle="1" w:styleId="Listnum2">
    <w:name w:val="List num 2"/>
    <w:basedOn w:val="Normal"/>
    <w:rsid w:val="00CC6807"/>
    <w:pPr>
      <w:numPr>
        <w:ilvl w:val="1"/>
        <w:numId w:val="5"/>
      </w:numPr>
      <w:spacing w:after="0" w:line="240" w:lineRule="auto"/>
    </w:pPr>
    <w:rPr>
      <w:rFonts w:eastAsia="Times New Roman" w:cs="Times New Roman"/>
      <w:color w:val="000000" w:themeColor="text1"/>
      <w:spacing w:val="2"/>
      <w:sz w:val="20"/>
      <w:szCs w:val="20"/>
    </w:rPr>
  </w:style>
  <w:style w:type="paragraph" w:customStyle="1" w:styleId="Listnum3">
    <w:name w:val="List num 3"/>
    <w:basedOn w:val="Normal"/>
    <w:rsid w:val="00CC6807"/>
    <w:pPr>
      <w:numPr>
        <w:ilvl w:val="2"/>
        <w:numId w:val="5"/>
      </w:numPr>
      <w:spacing w:after="0" w:line="240" w:lineRule="auto"/>
    </w:pPr>
    <w:rPr>
      <w:rFonts w:eastAsia="Times New Roman" w:cs="Times New Roman"/>
      <w:color w:val="000000" w:themeColor="text1"/>
      <w:spacing w:val="2"/>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AU" w:eastAsia="en-US" w:bidi="ar-SA"/>
      </w:rPr>
    </w:rPrDefault>
    <w:pPrDefault>
      <w:pPr>
        <w:spacing w:after="20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047DD7"/>
  </w:style>
  <w:style w:type="paragraph" w:styleId="Heading1">
    <w:name w:val="heading 1"/>
    <w:basedOn w:val="Normal"/>
    <w:next w:val="Normal"/>
    <w:link w:val="Heading1Char"/>
    <w:uiPriority w:val="9"/>
    <w:qFormat/>
    <w:rsid w:val="00103711"/>
    <w:pPr>
      <w:keepNext/>
      <w:keepLines/>
      <w:spacing w:after="240"/>
      <w:outlineLvl w:val="0"/>
    </w:pPr>
    <w:rPr>
      <w:rFonts w:asciiTheme="majorHAnsi" w:eastAsiaTheme="majorEastAsia" w:hAnsiTheme="majorHAnsi" w:cstheme="majorBidi"/>
      <w:b/>
      <w:bCs/>
      <w:color w:val="201547" w:themeColor="accent1"/>
      <w:sz w:val="32"/>
      <w:szCs w:val="28"/>
    </w:rPr>
  </w:style>
  <w:style w:type="paragraph" w:styleId="Heading2">
    <w:name w:val="heading 2"/>
    <w:basedOn w:val="Heading1"/>
    <w:next w:val="Normal"/>
    <w:link w:val="Heading2Char"/>
    <w:uiPriority w:val="9"/>
    <w:unhideWhenUsed/>
    <w:qFormat/>
    <w:rsid w:val="00BA2604"/>
    <w:pPr>
      <w:outlineLvl w:val="1"/>
    </w:pPr>
    <w:rPr>
      <w:bCs w:val="0"/>
      <w:caps/>
      <w:sz w:val="26"/>
      <w:szCs w:val="26"/>
    </w:rPr>
  </w:style>
  <w:style w:type="paragraph" w:styleId="Heading3">
    <w:name w:val="heading 3"/>
    <w:basedOn w:val="Normal"/>
    <w:next w:val="Normal"/>
    <w:link w:val="Heading3Char"/>
    <w:uiPriority w:val="9"/>
    <w:semiHidden/>
    <w:unhideWhenUsed/>
    <w:qFormat/>
    <w:rsid w:val="008406AA"/>
    <w:pPr>
      <w:keepNext/>
      <w:keepLines/>
      <w:spacing w:before="200" w:after="0"/>
      <w:outlineLvl w:val="2"/>
    </w:pPr>
    <w:rPr>
      <w:rFonts w:asciiTheme="majorHAnsi" w:eastAsiaTheme="majorEastAsia" w:hAnsiTheme="majorHAnsi" w:cstheme="majorBidi"/>
      <w:b/>
      <w:bCs/>
      <w:color w:val="201547"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3EB7"/>
    <w:pPr>
      <w:tabs>
        <w:tab w:val="center" w:pos="4513"/>
        <w:tab w:val="right" w:pos="9026"/>
      </w:tabs>
      <w:spacing w:before="720" w:after="0" w:line="240" w:lineRule="auto"/>
    </w:pPr>
    <w:rPr>
      <w:b/>
      <w:caps/>
      <w:color w:val="FFFFFF" w:themeColor="background1"/>
      <w:sz w:val="96"/>
    </w:rPr>
  </w:style>
  <w:style w:type="character" w:customStyle="1" w:styleId="HeaderChar">
    <w:name w:val="Header Char"/>
    <w:basedOn w:val="DefaultParagraphFont"/>
    <w:link w:val="Header"/>
    <w:uiPriority w:val="99"/>
    <w:rsid w:val="004B3EB7"/>
    <w:rPr>
      <w:b/>
      <w:caps/>
      <w:color w:val="FFFFFF" w:themeColor="background1"/>
      <w:sz w:val="96"/>
    </w:rPr>
  </w:style>
  <w:style w:type="paragraph" w:styleId="Footer">
    <w:name w:val="footer"/>
    <w:basedOn w:val="Normal"/>
    <w:link w:val="FooterChar"/>
    <w:uiPriority w:val="99"/>
    <w:unhideWhenUsed/>
    <w:rsid w:val="00474854"/>
    <w:pPr>
      <w:tabs>
        <w:tab w:val="center" w:pos="4513"/>
        <w:tab w:val="center" w:pos="10036"/>
      </w:tabs>
      <w:spacing w:after="0" w:line="240" w:lineRule="auto"/>
    </w:pPr>
    <w:rPr>
      <w:sz w:val="20"/>
    </w:rPr>
  </w:style>
  <w:style w:type="character" w:customStyle="1" w:styleId="FooterChar">
    <w:name w:val="Footer Char"/>
    <w:basedOn w:val="DefaultParagraphFont"/>
    <w:link w:val="Footer"/>
    <w:uiPriority w:val="99"/>
    <w:rsid w:val="00474854"/>
    <w:rPr>
      <w:sz w:val="20"/>
    </w:rPr>
  </w:style>
  <w:style w:type="paragraph" w:styleId="BalloonText">
    <w:name w:val="Balloon Text"/>
    <w:basedOn w:val="Normal"/>
    <w:link w:val="BalloonTextChar"/>
    <w:uiPriority w:val="99"/>
    <w:semiHidden/>
    <w:unhideWhenUsed/>
    <w:rsid w:val="001E7D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D0D"/>
    <w:rPr>
      <w:rFonts w:ascii="Tahoma" w:hAnsi="Tahoma" w:cs="Tahoma"/>
      <w:sz w:val="16"/>
      <w:szCs w:val="16"/>
    </w:rPr>
  </w:style>
  <w:style w:type="paragraph" w:styleId="Title">
    <w:name w:val="Title"/>
    <w:basedOn w:val="Normal"/>
    <w:next w:val="Normal"/>
    <w:link w:val="TitleChar"/>
    <w:uiPriority w:val="89"/>
    <w:qFormat/>
    <w:rsid w:val="007D6F02"/>
    <w:pPr>
      <w:spacing w:after="240" w:line="240" w:lineRule="auto"/>
      <w:contextualSpacing/>
    </w:pPr>
    <w:rPr>
      <w:rFonts w:asciiTheme="majorHAnsi" w:eastAsiaTheme="majorEastAsia" w:hAnsiTheme="majorHAnsi" w:cstheme="majorBidi"/>
      <w:caps/>
      <w:color w:val="FFFFFF" w:themeColor="background1"/>
      <w:spacing w:val="5"/>
      <w:kern w:val="28"/>
      <w:sz w:val="52"/>
      <w:szCs w:val="52"/>
    </w:rPr>
  </w:style>
  <w:style w:type="character" w:customStyle="1" w:styleId="TitleChar">
    <w:name w:val="Title Char"/>
    <w:basedOn w:val="DefaultParagraphFont"/>
    <w:link w:val="Title"/>
    <w:uiPriority w:val="89"/>
    <w:rsid w:val="007D6F02"/>
    <w:rPr>
      <w:rFonts w:asciiTheme="majorHAnsi" w:eastAsiaTheme="majorEastAsia" w:hAnsiTheme="majorHAnsi" w:cstheme="majorBidi"/>
      <w:caps/>
      <w:color w:val="FFFFFF" w:themeColor="background1"/>
      <w:spacing w:val="5"/>
      <w:kern w:val="28"/>
      <w:sz w:val="52"/>
      <w:szCs w:val="52"/>
    </w:rPr>
  </w:style>
  <w:style w:type="paragraph" w:styleId="Subtitle">
    <w:name w:val="Subtitle"/>
    <w:aliases w:val="Month"/>
    <w:basedOn w:val="Title"/>
    <w:next w:val="Normal"/>
    <w:link w:val="SubtitleChar"/>
    <w:uiPriority w:val="90"/>
    <w:qFormat/>
    <w:rsid w:val="002868CD"/>
    <w:pPr>
      <w:numPr>
        <w:ilvl w:val="1"/>
      </w:numPr>
      <w:spacing w:before="240" w:after="600"/>
      <w:contextualSpacing w:val="0"/>
    </w:pPr>
    <w:rPr>
      <w:iCs/>
      <w:caps w:val="0"/>
      <w:spacing w:val="15"/>
      <w:sz w:val="32"/>
    </w:rPr>
  </w:style>
  <w:style w:type="character" w:customStyle="1" w:styleId="SubtitleChar">
    <w:name w:val="Subtitle Char"/>
    <w:aliases w:val="Month Char"/>
    <w:basedOn w:val="DefaultParagraphFont"/>
    <w:link w:val="Subtitle"/>
    <w:uiPriority w:val="90"/>
    <w:rsid w:val="002868CD"/>
    <w:rPr>
      <w:rFonts w:asciiTheme="majorHAnsi" w:eastAsiaTheme="majorEastAsia" w:hAnsiTheme="majorHAnsi" w:cstheme="majorBidi"/>
      <w:iCs/>
      <w:color w:val="FFFFFF" w:themeColor="background1"/>
      <w:spacing w:val="15"/>
      <w:kern w:val="28"/>
      <w:sz w:val="32"/>
      <w:szCs w:val="52"/>
    </w:rPr>
  </w:style>
  <w:style w:type="character" w:customStyle="1" w:styleId="Heading1Char">
    <w:name w:val="Heading 1 Char"/>
    <w:basedOn w:val="DefaultParagraphFont"/>
    <w:link w:val="Heading1"/>
    <w:uiPriority w:val="9"/>
    <w:rsid w:val="00103711"/>
    <w:rPr>
      <w:rFonts w:asciiTheme="majorHAnsi" w:eastAsiaTheme="majorEastAsia" w:hAnsiTheme="majorHAnsi" w:cstheme="majorBidi"/>
      <w:b/>
      <w:bCs/>
      <w:color w:val="201547" w:themeColor="accent1"/>
      <w:sz w:val="32"/>
      <w:szCs w:val="28"/>
    </w:rPr>
  </w:style>
  <w:style w:type="character" w:customStyle="1" w:styleId="Heading2Char">
    <w:name w:val="Heading 2 Char"/>
    <w:basedOn w:val="DefaultParagraphFont"/>
    <w:link w:val="Heading2"/>
    <w:uiPriority w:val="9"/>
    <w:rsid w:val="00BA2604"/>
    <w:rPr>
      <w:rFonts w:asciiTheme="majorHAnsi" w:eastAsiaTheme="majorEastAsia" w:hAnsiTheme="majorHAnsi" w:cstheme="majorBidi"/>
      <w:b/>
      <w:caps/>
      <w:color w:val="004EA8" w:themeColor="accent2"/>
      <w:sz w:val="26"/>
      <w:szCs w:val="26"/>
    </w:rPr>
  </w:style>
  <w:style w:type="character" w:customStyle="1" w:styleId="Heading3Char">
    <w:name w:val="Heading 3 Char"/>
    <w:basedOn w:val="DefaultParagraphFont"/>
    <w:link w:val="Heading3"/>
    <w:uiPriority w:val="9"/>
    <w:semiHidden/>
    <w:rsid w:val="008406AA"/>
    <w:rPr>
      <w:rFonts w:asciiTheme="majorHAnsi" w:eastAsiaTheme="majorEastAsia" w:hAnsiTheme="majorHAnsi" w:cstheme="majorBidi"/>
      <w:b/>
      <w:bCs/>
      <w:color w:val="201547" w:themeColor="accent1"/>
    </w:rPr>
  </w:style>
  <w:style w:type="character" w:styleId="PageNumber">
    <w:name w:val="page number"/>
    <w:basedOn w:val="DefaultParagraphFont"/>
    <w:uiPriority w:val="99"/>
    <w:unhideWhenUsed/>
    <w:rsid w:val="00BA6B8C"/>
    <w:rPr>
      <w:color w:val="FFFFFF" w:themeColor="background1"/>
      <w:sz w:val="20"/>
    </w:rPr>
  </w:style>
  <w:style w:type="paragraph" w:styleId="ListParagraph">
    <w:name w:val="List Paragraph"/>
    <w:basedOn w:val="Normal"/>
    <w:uiPriority w:val="34"/>
    <w:semiHidden/>
    <w:qFormat/>
    <w:rsid w:val="004B6E36"/>
    <w:pPr>
      <w:ind w:left="720"/>
      <w:contextualSpacing/>
    </w:pPr>
  </w:style>
  <w:style w:type="numbering" w:customStyle="1" w:styleId="Highlightbulletstyle">
    <w:name w:val="Highlight bullet style"/>
    <w:uiPriority w:val="99"/>
    <w:rsid w:val="004B6E36"/>
    <w:pPr>
      <w:numPr>
        <w:numId w:val="1"/>
      </w:numPr>
    </w:pPr>
  </w:style>
  <w:style w:type="table" w:styleId="TableGrid">
    <w:name w:val="Table Grid"/>
    <w:aliases w:val="DTF table"/>
    <w:basedOn w:val="TableNormal"/>
    <w:uiPriority w:val="59"/>
    <w:rsid w:val="002868CD"/>
    <w:pPr>
      <w:spacing w:before="120" w:after="120" w:line="240" w:lineRule="auto"/>
    </w:pPr>
    <w:rPr>
      <w:sz w:val="22"/>
    </w:rPr>
    <w:tblPr>
      <w:tblStyleRowBandSize w:val="1"/>
      <w:tblStyleColBandSize w:val="1"/>
      <w:tblBorders>
        <w:bottom w:val="single" w:sz="12" w:space="0" w:color="004EA8" w:themeColor="accent2"/>
      </w:tblBorders>
      <w:tblCellMar>
        <w:left w:w="57" w:type="dxa"/>
        <w:right w:w="57" w:type="dxa"/>
      </w:tblCellMar>
    </w:tblPr>
    <w:trPr>
      <w:cantSplit/>
    </w:trPr>
    <w:tblStylePr w:type="firstRow">
      <w:pPr>
        <w:wordWrap/>
        <w:spacing w:beforeLines="0" w:before="120" w:beforeAutospacing="0" w:afterLines="0" w:after="120" w:afterAutospacing="0"/>
      </w:pPr>
      <w:rPr>
        <w:i/>
        <w:color w:val="FFFFFF" w:themeColor="background1"/>
      </w:rPr>
      <w:tblPr/>
      <w:trPr>
        <w:cantSplit w:val="0"/>
        <w:tblHeader/>
      </w:trPr>
      <w:tcPr>
        <w:shd w:val="clear" w:color="auto" w:fill="004EA8" w:themeFill="accent2"/>
      </w:tcPr>
    </w:tblStylePr>
    <w:tblStylePr w:type="lastRow">
      <w:rPr>
        <w:b w:val="0"/>
        <w:color w:val="auto"/>
      </w:rPr>
      <w:tblPr/>
      <w:tcPr>
        <w:tcBorders>
          <w:top w:val="single" w:sz="6" w:space="0" w:color="004EA8" w:themeColor="accent2"/>
          <w:left w:val="nil"/>
          <w:bottom w:val="single" w:sz="12" w:space="0" w:color="004EA8" w:themeColor="accent2"/>
          <w:right w:val="nil"/>
          <w:insideH w:val="nil"/>
          <w:insideV w:val="nil"/>
          <w:tl2br w:val="nil"/>
          <w:tr2bl w:val="nil"/>
        </w:tcBorders>
      </w:tcPr>
    </w:tblStylePr>
    <w:tblStylePr w:type="firstCol">
      <w:tblPr/>
      <w:tcPr>
        <w:shd w:val="clear" w:color="auto" w:fill="CCE3F5" w:themeFill="accent6"/>
      </w:tcPr>
    </w:tblStylePr>
    <w:tblStylePr w:type="lastCol">
      <w:tblPr/>
      <w:tcPr>
        <w:shd w:val="clear" w:color="auto" w:fill="CCE3F5" w:themeFill="accent6"/>
      </w:tcPr>
    </w:tblStylePr>
    <w:tblStylePr w:type="band1Vert">
      <w:tblPr/>
      <w:tcPr>
        <w:shd w:val="clear" w:color="auto" w:fill="99B8DC" w:themeFill="accent5"/>
      </w:tcPr>
    </w:tblStylePr>
    <w:tblStylePr w:type="band2Vert">
      <w:tblPr/>
      <w:tcPr>
        <w:shd w:val="clear" w:color="auto" w:fill="CCE3F5" w:themeFill="accent6"/>
      </w:tcPr>
    </w:tblStylePr>
    <w:tblStylePr w:type="band1Horz">
      <w:tblPr/>
      <w:tcPr>
        <w:shd w:val="clear" w:color="auto" w:fill="CCE3F5" w:themeFill="accent6"/>
      </w:tcPr>
    </w:tblStylePr>
    <w:tblStylePr w:type="band2Horz">
      <w:tblPr/>
      <w:tcPr>
        <w:shd w:val="clear" w:color="auto" w:fill="99B8DC" w:themeFill="accent5"/>
      </w:tcPr>
    </w:tblStylePr>
  </w:style>
  <w:style w:type="paragraph" w:customStyle="1" w:styleId="Bullet-highlight">
    <w:name w:val="Bullet - highlight"/>
    <w:basedOn w:val="Normal"/>
    <w:uiPriority w:val="69"/>
    <w:rsid w:val="002F5DE2"/>
    <w:pPr>
      <w:numPr>
        <w:numId w:val="3"/>
      </w:numPr>
    </w:pPr>
    <w:rPr>
      <w:sz w:val="22"/>
    </w:rPr>
  </w:style>
  <w:style w:type="table" w:customStyle="1" w:styleId="Highlighttable">
    <w:name w:val="Highlight table"/>
    <w:basedOn w:val="TableNormal"/>
    <w:uiPriority w:val="99"/>
    <w:rsid w:val="003E507C"/>
    <w:pPr>
      <w:spacing w:before="120" w:after="120"/>
    </w:pPr>
    <w:rPr>
      <w:color w:val="FFFFFF" w:themeColor="background1"/>
      <w:sz w:val="22"/>
    </w:rPr>
    <w:tblPr>
      <w:tblCellMar>
        <w:left w:w="85" w:type="dxa"/>
        <w:right w:w="227" w:type="dxa"/>
      </w:tblCellMar>
    </w:tblPr>
    <w:trPr>
      <w:cantSplit/>
    </w:trPr>
    <w:tcPr>
      <w:shd w:val="clear" w:color="auto" w:fill="004EA8" w:themeFill="accent2"/>
    </w:tcPr>
    <w:tblStylePr w:type="firstRow">
      <w:rPr>
        <w:caps/>
        <w:smallCaps w:val="0"/>
      </w:rPr>
    </w:tblStylePr>
  </w:style>
  <w:style w:type="paragraph" w:customStyle="1" w:styleId="Note">
    <w:name w:val="Note"/>
    <w:basedOn w:val="Normal"/>
    <w:qFormat/>
    <w:rsid w:val="00D02311"/>
    <w:rPr>
      <w:sz w:val="18"/>
    </w:rPr>
  </w:style>
  <w:style w:type="table" w:styleId="LightShading">
    <w:name w:val="Light Shading"/>
    <w:basedOn w:val="TableNormal"/>
    <w:uiPriority w:val="60"/>
    <w:rsid w:val="0038251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6">
    <w:name w:val="Light Shading Accent 6"/>
    <w:basedOn w:val="TableNormal"/>
    <w:uiPriority w:val="60"/>
    <w:rsid w:val="00382510"/>
    <w:pPr>
      <w:spacing w:after="0" w:line="240" w:lineRule="auto"/>
    </w:pPr>
    <w:rPr>
      <w:color w:val="6DAFE2" w:themeColor="accent6" w:themeShade="BF"/>
    </w:rPr>
    <w:tblPr>
      <w:tblStyleRowBandSize w:val="1"/>
      <w:tblStyleColBandSize w:val="1"/>
      <w:tblBorders>
        <w:top w:val="single" w:sz="8" w:space="0" w:color="CCE3F5" w:themeColor="accent6"/>
        <w:bottom w:val="single" w:sz="8" w:space="0" w:color="CCE3F5" w:themeColor="accent6"/>
      </w:tblBorders>
    </w:tblPr>
    <w:tblStylePr w:type="firstRow">
      <w:pPr>
        <w:spacing w:before="0" w:after="0" w:line="240" w:lineRule="auto"/>
      </w:pPr>
      <w:rPr>
        <w:b/>
        <w:bCs/>
      </w:rPr>
      <w:tblPr/>
      <w:tcPr>
        <w:tcBorders>
          <w:top w:val="single" w:sz="8" w:space="0" w:color="CCE3F5" w:themeColor="accent6"/>
          <w:left w:val="nil"/>
          <w:bottom w:val="single" w:sz="8" w:space="0" w:color="CCE3F5" w:themeColor="accent6"/>
          <w:right w:val="nil"/>
          <w:insideH w:val="nil"/>
          <w:insideV w:val="nil"/>
        </w:tcBorders>
      </w:tcPr>
    </w:tblStylePr>
    <w:tblStylePr w:type="lastRow">
      <w:pPr>
        <w:spacing w:before="0" w:after="0" w:line="240" w:lineRule="auto"/>
      </w:pPr>
      <w:rPr>
        <w:b/>
        <w:bCs/>
      </w:rPr>
      <w:tblPr/>
      <w:tcPr>
        <w:tcBorders>
          <w:top w:val="single" w:sz="8" w:space="0" w:color="CCE3F5" w:themeColor="accent6"/>
          <w:left w:val="nil"/>
          <w:bottom w:val="single" w:sz="8" w:space="0" w:color="CCE3F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7FC" w:themeFill="accent6" w:themeFillTint="3F"/>
      </w:tcPr>
    </w:tblStylePr>
    <w:tblStylePr w:type="band1Horz">
      <w:tblPr/>
      <w:tcPr>
        <w:tcBorders>
          <w:left w:val="nil"/>
          <w:right w:val="nil"/>
          <w:insideH w:val="nil"/>
          <w:insideV w:val="nil"/>
        </w:tcBorders>
        <w:shd w:val="clear" w:color="auto" w:fill="F2F7FC" w:themeFill="accent6" w:themeFillTint="3F"/>
      </w:tcPr>
    </w:tblStylePr>
  </w:style>
  <w:style w:type="paragraph" w:styleId="Caption">
    <w:name w:val="caption"/>
    <w:basedOn w:val="Heading2"/>
    <w:next w:val="Normal"/>
    <w:uiPriority w:val="35"/>
    <w:qFormat/>
    <w:rsid w:val="00BA6B8C"/>
    <w:pPr>
      <w:spacing w:after="120"/>
    </w:pPr>
    <w:rPr>
      <w:caps w:val="0"/>
      <w:sz w:val="22"/>
    </w:rPr>
  </w:style>
  <w:style w:type="character" w:styleId="Emphasis">
    <w:name w:val="Emphasis"/>
    <w:basedOn w:val="DefaultParagraphFont"/>
    <w:uiPriority w:val="20"/>
    <w:qFormat/>
    <w:rsid w:val="00EE31AA"/>
    <w:rPr>
      <w:b/>
      <w:i w:val="0"/>
      <w:iCs/>
    </w:rPr>
  </w:style>
  <w:style w:type="paragraph" w:customStyle="1" w:styleId="Default">
    <w:name w:val="Default"/>
    <w:rsid w:val="00480F7B"/>
    <w:pPr>
      <w:autoSpaceDE w:val="0"/>
      <w:autoSpaceDN w:val="0"/>
      <w:adjustRightInd w:val="0"/>
      <w:spacing w:after="0" w:line="240" w:lineRule="auto"/>
    </w:pPr>
    <w:rPr>
      <w:rFonts w:ascii="Arial" w:hAnsi="Arial" w:cs="Arial"/>
      <w:color w:val="000000"/>
    </w:rPr>
  </w:style>
  <w:style w:type="character" w:styleId="CommentReference">
    <w:name w:val="annotation reference"/>
    <w:basedOn w:val="DefaultParagraphFont"/>
    <w:uiPriority w:val="99"/>
    <w:semiHidden/>
    <w:unhideWhenUsed/>
    <w:rsid w:val="006B11CA"/>
    <w:rPr>
      <w:sz w:val="16"/>
      <w:szCs w:val="16"/>
    </w:rPr>
  </w:style>
  <w:style w:type="paragraph" w:styleId="CommentText">
    <w:name w:val="annotation text"/>
    <w:basedOn w:val="Normal"/>
    <w:link w:val="CommentTextChar"/>
    <w:uiPriority w:val="99"/>
    <w:semiHidden/>
    <w:unhideWhenUsed/>
    <w:rsid w:val="006B11CA"/>
    <w:pPr>
      <w:spacing w:line="240" w:lineRule="auto"/>
    </w:pPr>
    <w:rPr>
      <w:sz w:val="20"/>
      <w:szCs w:val="20"/>
    </w:rPr>
  </w:style>
  <w:style w:type="character" w:customStyle="1" w:styleId="CommentTextChar">
    <w:name w:val="Comment Text Char"/>
    <w:basedOn w:val="DefaultParagraphFont"/>
    <w:link w:val="CommentText"/>
    <w:uiPriority w:val="99"/>
    <w:semiHidden/>
    <w:rsid w:val="006B11CA"/>
    <w:rPr>
      <w:sz w:val="20"/>
      <w:szCs w:val="20"/>
    </w:rPr>
  </w:style>
  <w:style w:type="paragraph" w:styleId="CommentSubject">
    <w:name w:val="annotation subject"/>
    <w:basedOn w:val="CommentText"/>
    <w:next w:val="CommentText"/>
    <w:link w:val="CommentSubjectChar"/>
    <w:uiPriority w:val="99"/>
    <w:semiHidden/>
    <w:unhideWhenUsed/>
    <w:rsid w:val="006B11CA"/>
    <w:rPr>
      <w:b/>
      <w:bCs/>
    </w:rPr>
  </w:style>
  <w:style w:type="character" w:customStyle="1" w:styleId="CommentSubjectChar">
    <w:name w:val="Comment Subject Char"/>
    <w:basedOn w:val="CommentTextChar"/>
    <w:link w:val="CommentSubject"/>
    <w:uiPriority w:val="99"/>
    <w:semiHidden/>
    <w:rsid w:val="006B11CA"/>
    <w:rPr>
      <w:b/>
      <w:bCs/>
      <w:sz w:val="20"/>
      <w:szCs w:val="20"/>
    </w:rPr>
  </w:style>
  <w:style w:type="paragraph" w:customStyle="1" w:styleId="Listnum">
    <w:name w:val="List num"/>
    <w:basedOn w:val="Normal"/>
    <w:qFormat/>
    <w:rsid w:val="00CC6807"/>
    <w:pPr>
      <w:numPr>
        <w:numId w:val="5"/>
      </w:numPr>
      <w:spacing w:before="240" w:after="240" w:line="240" w:lineRule="auto"/>
    </w:pPr>
    <w:rPr>
      <w:rFonts w:eastAsia="Times New Roman" w:cs="Arial"/>
      <w:bCs/>
      <w:color w:val="000000" w:themeColor="text1"/>
      <w:spacing w:val="2"/>
      <w:sz w:val="20"/>
    </w:rPr>
  </w:style>
  <w:style w:type="paragraph" w:customStyle="1" w:styleId="Listnum2">
    <w:name w:val="List num 2"/>
    <w:basedOn w:val="Normal"/>
    <w:rsid w:val="00CC6807"/>
    <w:pPr>
      <w:numPr>
        <w:ilvl w:val="1"/>
        <w:numId w:val="5"/>
      </w:numPr>
      <w:spacing w:after="0" w:line="240" w:lineRule="auto"/>
    </w:pPr>
    <w:rPr>
      <w:rFonts w:eastAsia="Times New Roman" w:cs="Times New Roman"/>
      <w:color w:val="000000" w:themeColor="text1"/>
      <w:spacing w:val="2"/>
      <w:sz w:val="20"/>
      <w:szCs w:val="20"/>
    </w:rPr>
  </w:style>
  <w:style w:type="paragraph" w:customStyle="1" w:styleId="Listnum3">
    <w:name w:val="List num 3"/>
    <w:basedOn w:val="Normal"/>
    <w:rsid w:val="00CC6807"/>
    <w:pPr>
      <w:numPr>
        <w:ilvl w:val="2"/>
        <w:numId w:val="5"/>
      </w:numPr>
      <w:spacing w:after="0" w:line="240" w:lineRule="auto"/>
    </w:pPr>
    <w:rPr>
      <w:rFonts w:eastAsia="Times New Roman" w:cs="Times New Roman"/>
      <w:color w:val="000000" w:themeColor="text1"/>
      <w:spacing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creativecommons.org/licenses/by/3.0/a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rand Victoria - Navy">
      <a:dk1>
        <a:sysClr val="windowText" lastClr="000000"/>
      </a:dk1>
      <a:lt1>
        <a:sysClr val="window" lastClr="FFFFFF"/>
      </a:lt1>
      <a:dk2>
        <a:srgbClr val="53565A"/>
      </a:dk2>
      <a:lt2>
        <a:srgbClr val="D9D9D6"/>
      </a:lt2>
      <a:accent1>
        <a:srgbClr val="201547"/>
      </a:accent1>
      <a:accent2>
        <a:srgbClr val="004EA8"/>
      </a:accent2>
      <a:accent3>
        <a:srgbClr val="0072CE"/>
      </a:accent3>
      <a:accent4>
        <a:srgbClr val="8F8AA3"/>
      </a:accent4>
      <a:accent5>
        <a:srgbClr val="99B8DC"/>
      </a:accent5>
      <a:accent6>
        <a:srgbClr val="CCE3F5"/>
      </a:accent6>
      <a:hlink>
        <a:srgbClr val="0000FF"/>
      </a:hlink>
      <a:folHlink>
        <a:srgbClr val="800080"/>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8ADFF-AB71-4E95-9296-F109C09D3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1052</Words>
  <Characters>6000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Economic update</vt:lpstr>
    </vt:vector>
  </TitlesOfParts>
  <Company>Victorian Government</Company>
  <LinksUpToDate>false</LinksUpToDate>
  <CharactersWithSpaces>7038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update</dc:title>
  <dc:creator>Department of Treasury and Finance</dc:creator>
  <cp:lastModifiedBy>Louise Koschmann</cp:lastModifiedBy>
  <cp:revision>2</cp:revision>
  <cp:lastPrinted>2017-04-21T03:44:00Z</cp:lastPrinted>
  <dcterms:created xsi:type="dcterms:W3CDTF">2018-01-24T02:39:00Z</dcterms:created>
  <dcterms:modified xsi:type="dcterms:W3CDTF">2018-01-24T02:39:00Z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5a28ad39-bd7b-485c-b130-3d10785f82b0</vt:lpwstr>
  </property>
  <property fmtid="{D5CDD505-2E9C-101B-9397-08002B2CF9AE}" pid="3" name="PSPFClassification">
    <vt:lpwstr>Do Not Mark</vt:lpwstr>
  </property>
</Properties>
</file>