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7A0" w:rsidRPr="00BB5CEC" w:rsidRDefault="001B35BD" w:rsidP="00440C3A">
      <w:pPr>
        <w:pStyle w:val="Subtitle"/>
        <w:rPr>
          <w:rFonts w:asciiTheme="minorHAnsi" w:hAnsiTheme="minorHAnsi" w:cstheme="minorHAnsi"/>
          <w:sz w:val="28"/>
          <w:szCs w:val="28"/>
        </w:rPr>
        <w:sectPr w:rsidR="00D847A0" w:rsidRPr="00BB5CEC" w:rsidSect="004B3EB7">
          <w:headerReference w:type="default" r:id="rId9"/>
          <w:footerReference w:type="default" r:id="rId10"/>
          <w:type w:val="continuous"/>
          <w:pgSz w:w="11906" w:h="16838" w:code="9"/>
          <w:pgMar w:top="3572" w:right="1134" w:bottom="1134" w:left="1134" w:header="709" w:footer="567" w:gutter="0"/>
          <w:cols w:num="2" w:space="567" w:equalWidth="0">
            <w:col w:w="2858" w:space="567"/>
            <w:col w:w="6213"/>
          </w:cols>
          <w:docGrid w:linePitch="360"/>
        </w:sectPr>
      </w:pPr>
      <w:bookmarkStart w:id="0" w:name="_GoBack"/>
      <w:bookmarkEnd w:id="0"/>
      <w:r>
        <w:rPr>
          <w:rFonts w:asciiTheme="minorHAnsi" w:hAnsiTheme="minorHAnsi" w:cstheme="minorHAnsi"/>
          <w:sz w:val="28"/>
          <w:szCs w:val="28"/>
        </w:rPr>
        <w:t>DECEMBER</w:t>
      </w:r>
      <w:r w:rsidR="00103711" w:rsidRPr="00BB5CEC">
        <w:rPr>
          <w:rFonts w:asciiTheme="minorHAnsi" w:hAnsiTheme="minorHAnsi" w:cstheme="minorHAnsi"/>
          <w:sz w:val="28"/>
          <w:szCs w:val="28"/>
        </w:rPr>
        <w:t xml:space="preserve"> </w:t>
      </w:r>
      <w:r w:rsidR="00F77CCC" w:rsidRPr="00BB5CEC">
        <w:rPr>
          <w:rFonts w:asciiTheme="minorHAnsi" w:hAnsiTheme="minorHAnsi" w:cstheme="minorHAnsi"/>
          <w:sz w:val="28"/>
          <w:szCs w:val="28"/>
        </w:rPr>
        <w:t>2016</w:t>
      </w:r>
    </w:p>
    <w:tbl>
      <w:tblPr>
        <w:tblW w:w="17920" w:type="dxa"/>
        <w:tblLayout w:type="fixed"/>
        <w:tblLook w:val="04A0" w:firstRow="1" w:lastRow="0" w:firstColumn="1" w:lastColumn="0" w:noHBand="0" w:noVBand="1"/>
      </w:tblPr>
      <w:tblGrid>
        <w:gridCol w:w="2992"/>
        <w:gridCol w:w="7464"/>
        <w:gridCol w:w="7464"/>
      </w:tblGrid>
      <w:tr w:rsidR="00CA3441" w:rsidTr="00CA3441">
        <w:trPr>
          <w:trHeight w:val="492"/>
        </w:trPr>
        <w:tc>
          <w:tcPr>
            <w:tcW w:w="2992" w:type="dxa"/>
          </w:tcPr>
          <w:p w:rsidR="00CA3441" w:rsidRPr="00833E9D" w:rsidRDefault="00CA3441" w:rsidP="00103711">
            <w:pPr>
              <w:pStyle w:val="Note"/>
              <w:spacing w:after="0"/>
            </w:pPr>
            <w:r w:rsidRPr="00103711">
              <w:rPr>
                <w:b/>
              </w:rPr>
              <w:lastRenderedPageBreak/>
              <w:t>Scope:</w:t>
            </w:r>
            <w:r>
              <w:t xml:space="preserve"> This monthly newsletter outlines economic and financial developments in Victoria, nationally and globally.</w:t>
            </w:r>
          </w:p>
        </w:tc>
        <w:tc>
          <w:tcPr>
            <w:tcW w:w="7464" w:type="dxa"/>
          </w:tcPr>
          <w:p w:rsidR="00CA3441" w:rsidRPr="006469B4" w:rsidRDefault="00CA3441" w:rsidP="00D9372C">
            <w:pPr>
              <w:pStyle w:val="Note"/>
              <w:spacing w:after="0"/>
              <w:jc w:val="right"/>
              <w:rPr>
                <w:b/>
                <w:color w:val="707068" w:themeColor="background2" w:themeShade="80"/>
              </w:rPr>
            </w:pPr>
            <w:r w:rsidRPr="006469B4">
              <w:rPr>
                <w:b/>
                <w:color w:val="707068" w:themeColor="background2" w:themeShade="80"/>
              </w:rPr>
              <w:t xml:space="preserve">By David Martine, Secretary, Department of Treasury and Finance </w:t>
            </w:r>
          </w:p>
        </w:tc>
        <w:tc>
          <w:tcPr>
            <w:tcW w:w="7464" w:type="dxa"/>
          </w:tcPr>
          <w:p w:rsidR="00CA3441" w:rsidRPr="00D847A0" w:rsidRDefault="00CA3441" w:rsidP="00103711">
            <w:pPr>
              <w:pStyle w:val="Note"/>
              <w:spacing w:after="0"/>
              <w:jc w:val="right"/>
              <w:rPr>
                <w:color w:val="53565A" w:themeColor="text2"/>
              </w:rPr>
            </w:pPr>
          </w:p>
        </w:tc>
      </w:tr>
    </w:tbl>
    <w:p w:rsidR="009B0BE4" w:rsidRDefault="009B0BE4" w:rsidP="00D847A0">
      <w:pPr>
        <w:pStyle w:val="Note"/>
        <w:jc w:val="right"/>
        <w:rPr>
          <w:b/>
          <w:color w:val="53565A" w:themeColor="text2"/>
        </w:rPr>
        <w:sectPr w:rsidR="009B0BE4" w:rsidSect="00D847A0">
          <w:type w:val="continuous"/>
          <w:pgSz w:w="11906" w:h="16838" w:code="9"/>
          <w:pgMar w:top="3572" w:right="1134" w:bottom="1134" w:left="1134" w:header="709" w:footer="567" w:gutter="0"/>
          <w:cols w:space="567"/>
          <w:docGrid w:linePitch="360"/>
        </w:sectPr>
      </w:pPr>
    </w:p>
    <w:p w:rsidR="00BB0BF9" w:rsidRDefault="00BB0BF9" w:rsidP="00103711">
      <w:pPr>
        <w:pStyle w:val="Bullet-highlight"/>
        <w:numPr>
          <w:ilvl w:val="0"/>
          <w:numId w:val="0"/>
        </w:numPr>
        <w:spacing w:after="0"/>
      </w:pPr>
    </w:p>
    <w:p w:rsidR="00BB0BF9" w:rsidRDefault="00BB0BF9" w:rsidP="00103711">
      <w:pPr>
        <w:pStyle w:val="Bullet-highlight"/>
        <w:numPr>
          <w:ilvl w:val="0"/>
          <w:numId w:val="0"/>
        </w:numPr>
        <w:spacing w:after="0"/>
        <w:sectPr w:rsidR="00BB0BF9" w:rsidSect="00D847A0">
          <w:type w:val="continuous"/>
          <w:pgSz w:w="11906" w:h="16838" w:code="9"/>
          <w:pgMar w:top="3572" w:right="1134" w:bottom="1134" w:left="1134" w:header="709" w:footer="567" w:gutter="0"/>
          <w:cols w:space="567"/>
          <w:docGrid w:linePitch="360"/>
        </w:sectPr>
      </w:pPr>
    </w:p>
    <w:tbl>
      <w:tblPr>
        <w:tblW w:w="7054" w:type="dxa"/>
        <w:shd w:val="clear" w:color="auto" w:fill="99B8DC" w:themeFill="accent5"/>
        <w:tblLook w:val="04A0" w:firstRow="1" w:lastRow="0" w:firstColumn="1" w:lastColumn="0" w:noHBand="0" w:noVBand="1"/>
      </w:tblPr>
      <w:tblGrid>
        <w:gridCol w:w="1101"/>
        <w:gridCol w:w="1701"/>
        <w:gridCol w:w="4252"/>
      </w:tblGrid>
      <w:tr w:rsidR="00BB0BF9" w:rsidRPr="00BB0BF9" w:rsidTr="006135AB">
        <w:trPr>
          <w:gridAfter w:val="1"/>
          <w:wAfter w:w="4252" w:type="dxa"/>
          <w:trHeight w:val="9492"/>
        </w:trPr>
        <w:tc>
          <w:tcPr>
            <w:tcW w:w="2802" w:type="dxa"/>
            <w:gridSpan w:val="2"/>
            <w:shd w:val="clear" w:color="auto" w:fill="CCE3F5" w:themeFill="accent6"/>
          </w:tcPr>
          <w:p w:rsidR="00BB0BF9" w:rsidRPr="00103711" w:rsidRDefault="00261D70" w:rsidP="002F5DE2">
            <w:pPr>
              <w:spacing w:before="200"/>
              <w:rPr>
                <w:b/>
                <w:color w:val="201547" w:themeColor="accent1"/>
                <w:sz w:val="32"/>
              </w:rPr>
            </w:pPr>
            <w:r>
              <w:rPr>
                <w:b/>
                <w:color w:val="201547" w:themeColor="accent1"/>
                <w:sz w:val="32"/>
              </w:rPr>
              <w:lastRenderedPageBreak/>
              <w:t xml:space="preserve">   </w:t>
            </w:r>
            <w:r w:rsidR="00BB0BF9" w:rsidRPr="00103711">
              <w:rPr>
                <w:b/>
                <w:color w:val="201547" w:themeColor="accent1"/>
                <w:sz w:val="32"/>
              </w:rPr>
              <w:t>Highlights</w:t>
            </w:r>
          </w:p>
          <w:p w:rsidR="005E2185" w:rsidRPr="00D17E6E" w:rsidRDefault="00D17E6E" w:rsidP="00D17E6E">
            <w:pPr>
              <w:pStyle w:val="Bullet-highlight"/>
              <w:rPr>
                <w:color w:val="FF0000"/>
              </w:rPr>
            </w:pPr>
            <w:r>
              <w:t xml:space="preserve">Victorian </w:t>
            </w:r>
            <w:r w:rsidRPr="00670E78">
              <w:rPr>
                <w:b/>
              </w:rPr>
              <w:t xml:space="preserve">state final demand </w:t>
            </w:r>
            <w:r>
              <w:t xml:space="preserve">rose </w:t>
            </w:r>
            <w:r w:rsidRPr="00670E78">
              <w:t xml:space="preserve">2.5 per cent </w:t>
            </w:r>
            <w:r>
              <w:t>over the year, despite contracting in the September quarter</w:t>
            </w:r>
            <w:r w:rsidR="00D33EEA" w:rsidRPr="000720FA">
              <w:rPr>
                <w:color w:val="000000" w:themeColor="text1"/>
              </w:rPr>
              <w:t>.</w:t>
            </w:r>
            <w:r w:rsidR="00D33EEA" w:rsidRPr="00D17E6E">
              <w:rPr>
                <w:color w:val="FF0000"/>
              </w:rPr>
              <w:t xml:space="preserve"> </w:t>
            </w:r>
          </w:p>
          <w:p w:rsidR="006135AB" w:rsidRPr="001E141A" w:rsidRDefault="00D17E6E" w:rsidP="00FA27EE">
            <w:pPr>
              <w:pStyle w:val="Bullet-highlight"/>
              <w:ind w:right="-108"/>
              <w:rPr>
                <w:color w:val="FF0000"/>
              </w:rPr>
            </w:pPr>
            <w:r>
              <w:t xml:space="preserve">Victorian </w:t>
            </w:r>
            <w:r w:rsidRPr="00670E78">
              <w:rPr>
                <w:b/>
              </w:rPr>
              <w:t xml:space="preserve">employment growth </w:t>
            </w:r>
            <w:r>
              <w:t>was flat in November, but full-time employment rose strongly.</w:t>
            </w:r>
          </w:p>
          <w:p w:rsidR="001E141A" w:rsidRPr="001E141A" w:rsidRDefault="001E141A" w:rsidP="00FA27EE">
            <w:pPr>
              <w:pStyle w:val="Bullet-highlight"/>
              <w:ind w:right="-108"/>
              <w:rPr>
                <w:color w:val="FF0000"/>
              </w:rPr>
            </w:pPr>
            <w:r w:rsidRPr="001E141A">
              <w:t xml:space="preserve">Victoria continues to record the fastest </w:t>
            </w:r>
            <w:r w:rsidRPr="00670E78">
              <w:rPr>
                <w:b/>
              </w:rPr>
              <w:t>annual population growth</w:t>
            </w:r>
            <w:r w:rsidRPr="001E141A">
              <w:t xml:space="preserve"> across all jurisdictions, driven by net overseas migration.</w:t>
            </w:r>
          </w:p>
          <w:p w:rsidR="001372E4" w:rsidRPr="008660A0" w:rsidRDefault="00D17E6E" w:rsidP="001372E4">
            <w:pPr>
              <w:pStyle w:val="Bullet-highlight"/>
              <w:rPr>
                <w:color w:val="FF0000"/>
              </w:rPr>
            </w:pPr>
            <w:r>
              <w:t xml:space="preserve">The </w:t>
            </w:r>
            <w:r w:rsidRPr="00670E78">
              <w:rPr>
                <w:b/>
              </w:rPr>
              <w:t>US Federal Reserve</w:t>
            </w:r>
            <w:r>
              <w:t xml:space="preserve"> raised interest rates </w:t>
            </w:r>
            <w:r w:rsidR="000A6218">
              <w:t>for only the second time since the GFC.</w:t>
            </w:r>
          </w:p>
          <w:p w:rsidR="006135AB" w:rsidRPr="00BB0BF9" w:rsidRDefault="000A6218" w:rsidP="000A6218">
            <w:pPr>
              <w:pStyle w:val="Bullet-highlight"/>
            </w:pPr>
            <w:r>
              <w:t xml:space="preserve">The Italian referendum resulted in a </w:t>
            </w:r>
            <w:r w:rsidR="008D47BD">
              <w:t>‘</w:t>
            </w:r>
            <w:r>
              <w:t>no</w:t>
            </w:r>
            <w:r w:rsidR="008D47BD">
              <w:t>’</w:t>
            </w:r>
            <w:r>
              <w:t xml:space="preserve"> vote, as voters rejected proposed changes to the composition and powers of Parliament.</w:t>
            </w:r>
          </w:p>
        </w:tc>
      </w:tr>
      <w:tr w:rsidR="00047DD7" w:rsidTr="00047DD7">
        <w:tblPrEx>
          <w:shd w:val="clear" w:color="auto" w:fill="auto"/>
        </w:tblPrEx>
        <w:tc>
          <w:tcPr>
            <w:tcW w:w="1101" w:type="dxa"/>
          </w:tcPr>
          <w:p w:rsidR="00047DD7" w:rsidRDefault="00103711" w:rsidP="00047DD7">
            <w:r>
              <w:rPr>
                <w:noProof/>
                <w:lang w:eastAsia="en-AU"/>
              </w:rPr>
              <w:lastRenderedPageBreak/>
              <w:drawing>
                <wp:inline distT="0" distB="0" distL="0" distR="0" wp14:anchorId="6E50D32D" wp14:editId="2DC261CE">
                  <wp:extent cx="512935" cy="360000"/>
                  <wp:effectExtent l="0" t="0" r="190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2935" cy="360000"/>
                          </a:xfrm>
                          <a:prstGeom prst="rect">
                            <a:avLst/>
                          </a:prstGeom>
                          <a:noFill/>
                          <a:ln>
                            <a:noFill/>
                          </a:ln>
                        </pic:spPr>
                      </pic:pic>
                    </a:graphicData>
                  </a:graphic>
                </wp:inline>
              </w:drawing>
            </w:r>
          </w:p>
        </w:tc>
        <w:tc>
          <w:tcPr>
            <w:tcW w:w="5953" w:type="dxa"/>
            <w:gridSpan w:val="2"/>
            <w:vAlign w:val="bottom"/>
          </w:tcPr>
          <w:p w:rsidR="00047DD7" w:rsidRDefault="003A0F37" w:rsidP="00047DD7">
            <w:pPr>
              <w:pStyle w:val="Heading1"/>
            </w:pPr>
            <w:r>
              <w:t>Domestic</w:t>
            </w:r>
            <w:r w:rsidR="00047DD7">
              <w:t xml:space="preserve"> developments</w:t>
            </w:r>
          </w:p>
        </w:tc>
      </w:tr>
    </w:tbl>
    <w:p w:rsidR="00CA3441" w:rsidRDefault="003844EC" w:rsidP="001B0E91">
      <w:r w:rsidRPr="00670790">
        <w:t xml:space="preserve">The September quarter </w:t>
      </w:r>
      <w:r w:rsidRPr="00670790">
        <w:rPr>
          <w:b/>
        </w:rPr>
        <w:t>national accounts</w:t>
      </w:r>
      <w:r w:rsidR="00A4205F">
        <w:t xml:space="preserve"> indicate that </w:t>
      </w:r>
      <w:r w:rsidRPr="00670790">
        <w:t xml:space="preserve">Victorian state final demand rose 2.5 per cent over </w:t>
      </w:r>
      <w:r w:rsidR="007E6072">
        <w:t>the year.</w:t>
      </w:r>
      <w:r w:rsidR="00EC2B7E">
        <w:t xml:space="preserve"> </w:t>
      </w:r>
      <w:r w:rsidR="007E6072">
        <w:t xml:space="preserve">Victoria, </w:t>
      </w:r>
      <w:r w:rsidRPr="00670790">
        <w:t xml:space="preserve">WA </w:t>
      </w:r>
      <w:r w:rsidR="007E6072">
        <w:t xml:space="preserve">and Tasmania </w:t>
      </w:r>
      <w:r w:rsidRPr="00670790">
        <w:t>contract</w:t>
      </w:r>
      <w:r w:rsidR="00EC2B7E">
        <w:t>ed</w:t>
      </w:r>
      <w:r w:rsidRPr="00670790">
        <w:t xml:space="preserve"> in the quarter. </w:t>
      </w:r>
    </w:p>
    <w:p w:rsidR="0022157A" w:rsidRPr="00670790" w:rsidRDefault="007E6072" w:rsidP="001B0E91">
      <w:r>
        <w:t xml:space="preserve">In </w:t>
      </w:r>
      <w:r w:rsidRPr="000D517F">
        <w:t xml:space="preserve">Victoria, </w:t>
      </w:r>
      <w:r w:rsidR="00A4205F" w:rsidRPr="000D517F">
        <w:t>i</w:t>
      </w:r>
      <w:r w:rsidR="003844EC" w:rsidRPr="000D517F">
        <w:t>ncreases in household consumption (0.3 per cent) and</w:t>
      </w:r>
      <w:r w:rsidR="00F423C1" w:rsidRPr="000D517F">
        <w:t xml:space="preserve"> underlying public investment (5.4 per cent)</w:t>
      </w:r>
      <w:r w:rsidR="003844EC" w:rsidRPr="000D517F">
        <w:t xml:space="preserve"> were offset</w:t>
      </w:r>
      <w:r w:rsidR="00751643" w:rsidRPr="000D517F">
        <w:t xml:space="preserve"> by</w:t>
      </w:r>
      <w:r w:rsidR="003844EC" w:rsidRPr="000D517F">
        <w:t xml:space="preserve"> dwelling</w:t>
      </w:r>
      <w:r w:rsidR="00751643" w:rsidRPr="000D517F">
        <w:t xml:space="preserve"> investment (-5.7 per cent), </w:t>
      </w:r>
      <w:r w:rsidR="00F423C1" w:rsidRPr="000D517F">
        <w:t>and underlying business investment (-1.0 per cent) in the September quarter</w:t>
      </w:r>
      <w:r w:rsidR="003844EC" w:rsidRPr="000D517F">
        <w:t>.</w:t>
      </w:r>
    </w:p>
    <w:p w:rsidR="00CA3441" w:rsidRDefault="00C5427E" w:rsidP="00BA2604">
      <w:r w:rsidRPr="00670790">
        <w:t xml:space="preserve">Victorian </w:t>
      </w:r>
      <w:r w:rsidRPr="00670790">
        <w:rPr>
          <w:b/>
        </w:rPr>
        <w:t>employment</w:t>
      </w:r>
      <w:r w:rsidRPr="00670790">
        <w:t xml:space="preserve"> was essentially flat in November, despite a strong rise in full-time employment (up 16,900 persons or +0.8 per cent). </w:t>
      </w:r>
      <w:r w:rsidR="005A312B" w:rsidRPr="00436846">
        <w:t>Aggregate hours worked rose by 1.2 per cent.</w:t>
      </w:r>
      <w:r w:rsidR="005A312B">
        <w:t xml:space="preserve"> </w:t>
      </w:r>
      <w:r w:rsidRPr="00670790">
        <w:t>The annual pace of total and full-time job creation in Victor</w:t>
      </w:r>
      <w:r w:rsidR="005A312B">
        <w:t>ia continues to lead the nation.</w:t>
      </w:r>
    </w:p>
    <w:p w:rsidR="00606BF1" w:rsidRDefault="00606BF1" w:rsidP="00BA2604">
      <w:r>
        <w:t>The</w:t>
      </w:r>
      <w:r w:rsidR="001B0E91" w:rsidRPr="00670790">
        <w:rPr>
          <w:b/>
        </w:rPr>
        <w:t xml:space="preserve"> unemployment rate</w:t>
      </w:r>
      <w:r w:rsidR="001B0E91" w:rsidRPr="00670790">
        <w:t xml:space="preserve"> </w:t>
      </w:r>
      <w:r w:rsidR="00C5427E" w:rsidRPr="00670790">
        <w:t>rose 0.3 percentage points to 6.0 per cent in November, its highest level since February 2016.</w:t>
      </w:r>
      <w:r w:rsidR="001B0E91" w:rsidRPr="00670790">
        <w:t xml:space="preserve"> </w:t>
      </w:r>
      <w:r>
        <w:t>This was associated with a further</w:t>
      </w:r>
      <w:r w:rsidRPr="00670790">
        <w:t xml:space="preserve"> increase in the labour force participation rate.</w:t>
      </w:r>
    </w:p>
    <w:p w:rsidR="00CA3441" w:rsidRDefault="00F27342" w:rsidP="00BA2604">
      <w:r w:rsidRPr="00670790">
        <w:t xml:space="preserve">The Victorian </w:t>
      </w:r>
      <w:r w:rsidRPr="00670790">
        <w:rPr>
          <w:b/>
        </w:rPr>
        <w:t>Budget Update 2016-17</w:t>
      </w:r>
      <w:r w:rsidRPr="00670790">
        <w:t xml:space="preserve"> was </w:t>
      </w:r>
      <w:r w:rsidR="00803E2C" w:rsidRPr="00670790">
        <w:t>tabled</w:t>
      </w:r>
      <w:r w:rsidRPr="00670790">
        <w:t xml:space="preserve"> on </w:t>
      </w:r>
      <w:r w:rsidR="00D17E6E" w:rsidRPr="00670790">
        <w:br/>
      </w:r>
      <w:r w:rsidR="00F423C1">
        <w:t>13</w:t>
      </w:r>
      <w:r w:rsidRPr="00670790">
        <w:t xml:space="preserve"> December, showing a budget surplus of $1.7 bil</w:t>
      </w:r>
      <w:r w:rsidR="00803E2C" w:rsidRPr="00670790">
        <w:t>lion in 2016-17. Net debt as a percentage of GSP is projected to fall to 4.5 per cent in the same year.</w:t>
      </w:r>
      <w:r w:rsidR="00606BF1">
        <w:t xml:space="preserve"> </w:t>
      </w:r>
    </w:p>
    <w:p w:rsidR="00F27342" w:rsidRPr="00670790" w:rsidRDefault="00606BF1" w:rsidP="00BA2604">
      <w:pPr>
        <w:sectPr w:rsidR="00F27342" w:rsidRPr="00670790" w:rsidSect="002F5DE2">
          <w:type w:val="continuous"/>
          <w:pgSz w:w="11906" w:h="16838" w:code="9"/>
          <w:pgMar w:top="3572" w:right="1134" w:bottom="1134" w:left="1134" w:header="709" w:footer="567" w:gutter="0"/>
          <w:cols w:num="2" w:space="568" w:equalWidth="0">
            <w:col w:w="2835" w:space="568"/>
            <w:col w:w="6235"/>
          </w:cols>
          <w:docGrid w:linePitch="360"/>
        </w:sectPr>
      </w:pPr>
      <w:r>
        <w:t>Economic growth is ex</w:t>
      </w:r>
      <w:r w:rsidR="00FD2300">
        <w:t>pected to remain above trend at</w:t>
      </w:r>
      <w:r w:rsidR="00A4205F">
        <w:t xml:space="preserve"> </w:t>
      </w:r>
      <w:r w:rsidR="000D517F">
        <w:br/>
      </w:r>
      <w:r w:rsidR="00A4205F">
        <w:t>3 per cent in 2016-17. E</w:t>
      </w:r>
      <w:r>
        <w:t xml:space="preserve">mployment growth was revised up to 2.75 per cent in the same year. </w:t>
      </w:r>
      <w:r w:rsidR="00F27342" w:rsidRPr="00670790">
        <w:br/>
      </w:r>
    </w:p>
    <w:p w:rsidR="00CB724D" w:rsidRDefault="00CB724D" w:rsidP="00A933BA"/>
    <w:p w:rsidR="00CB724D" w:rsidRDefault="00CB724D" w:rsidP="00A933BA"/>
    <w:p w:rsidR="00CB724D" w:rsidRPr="00CB724D" w:rsidRDefault="00CB724D" w:rsidP="00A933BA">
      <w:pPr>
        <w:rPr>
          <w:b/>
        </w:rPr>
      </w:pPr>
      <w:r>
        <w:lastRenderedPageBreak/>
        <w:t xml:space="preserve">The </w:t>
      </w:r>
      <w:r w:rsidRPr="00BC0DCB">
        <w:t>2016-17 Commonwealth</w:t>
      </w:r>
      <w:r w:rsidRPr="00CB724D">
        <w:rPr>
          <w:b/>
        </w:rPr>
        <w:t xml:space="preserve"> M</w:t>
      </w:r>
      <w:r w:rsidR="00BC0DCB">
        <w:rPr>
          <w:b/>
        </w:rPr>
        <w:t>id-Year Economic and Fiscal Outlook</w:t>
      </w:r>
      <w:r w:rsidR="00675585">
        <w:rPr>
          <w:b/>
        </w:rPr>
        <w:t xml:space="preserve"> </w:t>
      </w:r>
      <w:r w:rsidR="00675585" w:rsidRPr="00675585">
        <w:t>(MYEFO)</w:t>
      </w:r>
      <w:r w:rsidR="00BC0DCB">
        <w:rPr>
          <w:b/>
        </w:rPr>
        <w:t xml:space="preserve"> </w:t>
      </w:r>
      <w:r>
        <w:t xml:space="preserve">downgraded key economic forecasts for 2016-17 and 2017-18, including </w:t>
      </w:r>
      <w:r w:rsidR="00BC0DCB">
        <w:t xml:space="preserve">growth in </w:t>
      </w:r>
      <w:r>
        <w:t>GDP, employment and wages. Volatile commodity prices rema</w:t>
      </w:r>
      <w:r w:rsidR="0069059D">
        <w:t xml:space="preserve">in a key risk to the </w:t>
      </w:r>
      <w:r w:rsidR="00BC0DCB">
        <w:t xml:space="preserve">economic and revenue </w:t>
      </w:r>
      <w:r w:rsidR="0069059D">
        <w:t xml:space="preserve">forecasts. </w:t>
      </w:r>
      <w:r w:rsidR="00675585">
        <w:t>As the</w:t>
      </w:r>
      <w:r w:rsidR="0069059D">
        <w:t xml:space="preserve"> recent strengthening </w:t>
      </w:r>
      <w:r w:rsidR="001D1AB4">
        <w:t xml:space="preserve">in prices </w:t>
      </w:r>
      <w:r w:rsidR="0069059D">
        <w:t xml:space="preserve">is not expected to be sustained, </w:t>
      </w:r>
      <w:r w:rsidR="00675585">
        <w:t>the Commonwealth</w:t>
      </w:r>
      <w:r w:rsidR="0069059D">
        <w:t xml:space="preserve"> has </w:t>
      </w:r>
      <w:r w:rsidR="00675585">
        <w:t xml:space="preserve">assumed </w:t>
      </w:r>
      <w:r w:rsidR="0069059D">
        <w:t>a fall</w:t>
      </w:r>
      <w:r>
        <w:t xml:space="preserve"> in </w:t>
      </w:r>
      <w:r w:rsidR="0069059D">
        <w:t>the co</w:t>
      </w:r>
      <w:r w:rsidR="00675585">
        <w:t>al and iron ore price from recent highs</w:t>
      </w:r>
      <w:r w:rsidR="0069059D">
        <w:t xml:space="preserve">. </w:t>
      </w:r>
      <w:r>
        <w:t xml:space="preserve">While </w:t>
      </w:r>
      <w:r w:rsidR="00FB78D5">
        <w:t>MYEFO still as</w:t>
      </w:r>
      <w:r>
        <w:t xml:space="preserve">sumes a return to surplus in 2020-21, the </w:t>
      </w:r>
      <w:r w:rsidR="0069059D">
        <w:t xml:space="preserve">budget </w:t>
      </w:r>
      <w:r>
        <w:t xml:space="preserve">deficit is expected be </w:t>
      </w:r>
      <w:r w:rsidR="00675585">
        <w:t xml:space="preserve">on aggregate </w:t>
      </w:r>
      <w:r>
        <w:t>$10.3 billion worse than at Budget time.</w:t>
      </w:r>
      <w:r w:rsidR="0069059D">
        <w:t xml:space="preserve"> R</w:t>
      </w:r>
      <w:r w:rsidR="0069059D" w:rsidRPr="0069059D">
        <w:t>ating agency Standard and Poor’s revised the Commonwealth from stable to negative watch</w:t>
      </w:r>
      <w:r w:rsidR="00675585">
        <w:t xml:space="preserve"> in July</w:t>
      </w:r>
      <w:r w:rsidR="00FB78D5">
        <w:t>,</w:t>
      </w:r>
      <w:r w:rsidR="0069059D" w:rsidRPr="0069059D">
        <w:t xml:space="preserve"> </w:t>
      </w:r>
      <w:r w:rsidR="000D50FF">
        <w:t>and left the</w:t>
      </w:r>
      <w:r w:rsidR="0069059D">
        <w:t xml:space="preserve"> rating </w:t>
      </w:r>
      <w:r w:rsidR="000D50FF">
        <w:t xml:space="preserve">unchanged </w:t>
      </w:r>
      <w:r w:rsidR="0069059D">
        <w:t xml:space="preserve">following the </w:t>
      </w:r>
      <w:r w:rsidR="00675585">
        <w:t xml:space="preserve">MYEFO </w:t>
      </w:r>
      <w:r w:rsidR="0069059D">
        <w:t>release.</w:t>
      </w:r>
    </w:p>
    <w:p w:rsidR="00F6696B" w:rsidRPr="00670790" w:rsidRDefault="00B75088" w:rsidP="00A933BA">
      <w:r w:rsidRPr="00670790">
        <w:t>Victoria</w:t>
      </w:r>
      <w:r w:rsidR="00965986" w:rsidRPr="00670790">
        <w:t xml:space="preserve">’s annual </w:t>
      </w:r>
      <w:r w:rsidR="00965986" w:rsidRPr="00670790">
        <w:rPr>
          <w:b/>
        </w:rPr>
        <w:t>population</w:t>
      </w:r>
      <w:r w:rsidR="00965986" w:rsidRPr="00670790">
        <w:t xml:space="preserve"> growth rate accelerated to </w:t>
      </w:r>
      <w:r w:rsidR="00A07DFA" w:rsidRPr="00670790">
        <w:t>2.1</w:t>
      </w:r>
      <w:r w:rsidR="00965986" w:rsidRPr="00670790">
        <w:t xml:space="preserve"> per cent over the year to </w:t>
      </w:r>
      <w:r w:rsidR="00A07DFA" w:rsidRPr="00670790">
        <w:t>June</w:t>
      </w:r>
      <w:r w:rsidR="00965986" w:rsidRPr="00670790">
        <w:t xml:space="preserve"> 2016. This remains the high</w:t>
      </w:r>
      <w:r w:rsidRPr="00670790">
        <w:t>est</w:t>
      </w:r>
      <w:r w:rsidR="00965986" w:rsidRPr="00670790">
        <w:t xml:space="preserve"> rate of growth</w:t>
      </w:r>
      <w:r w:rsidRPr="00670790">
        <w:t xml:space="preserve"> across all jurisdictions,</w:t>
      </w:r>
      <w:r w:rsidR="00965986" w:rsidRPr="00670790">
        <w:t xml:space="preserve"> </w:t>
      </w:r>
      <w:r w:rsidR="00065923" w:rsidRPr="00670790">
        <w:t xml:space="preserve">largely </w:t>
      </w:r>
      <w:r w:rsidR="00965986" w:rsidRPr="00670790">
        <w:t>driven by</w:t>
      </w:r>
      <w:r w:rsidRPr="00670790">
        <w:t xml:space="preserve"> net overseas migration. </w:t>
      </w:r>
      <w:r w:rsidR="00A07DFA" w:rsidRPr="00670790">
        <w:t xml:space="preserve">On an annual basis, Victoria’s share of </w:t>
      </w:r>
      <w:r w:rsidR="00A07DFA" w:rsidRPr="00670790">
        <w:br/>
        <w:t>net overseas migration reached a new record, increasing to 35.7 per cent of the national total.</w:t>
      </w:r>
    </w:p>
    <w:p w:rsidR="006C6503" w:rsidRPr="00670790" w:rsidRDefault="00453A5E" w:rsidP="00A933BA">
      <w:r w:rsidRPr="00670790">
        <w:t xml:space="preserve">Following a </w:t>
      </w:r>
      <w:r w:rsidR="00155E50" w:rsidRPr="00670790">
        <w:t>high result in September</w:t>
      </w:r>
      <w:r w:rsidRPr="00670790">
        <w:t xml:space="preserve">, </w:t>
      </w:r>
      <w:r w:rsidR="00B75088" w:rsidRPr="00670790">
        <w:t>the value of Victoria’s</w:t>
      </w:r>
      <w:r w:rsidR="009C533E" w:rsidRPr="00670790">
        <w:t xml:space="preserve"> </w:t>
      </w:r>
      <w:r w:rsidR="009C533E" w:rsidRPr="00670790">
        <w:rPr>
          <w:b/>
        </w:rPr>
        <w:t>b</w:t>
      </w:r>
      <w:r w:rsidR="00450F23" w:rsidRPr="00670790">
        <w:rPr>
          <w:b/>
        </w:rPr>
        <w:t>uilding approvals</w:t>
      </w:r>
      <w:r w:rsidR="00450F23" w:rsidRPr="00670790">
        <w:t xml:space="preserve"> </w:t>
      </w:r>
      <w:r w:rsidR="00155E50" w:rsidRPr="00670790">
        <w:t>fell sharply in October (-36.0 per cent)</w:t>
      </w:r>
      <w:r w:rsidR="009C533E" w:rsidRPr="00670790">
        <w:t xml:space="preserve">. </w:t>
      </w:r>
      <w:r w:rsidR="00155E50" w:rsidRPr="00670790">
        <w:t>This was driven by falls in both residential and non-residential approvals. M</w:t>
      </w:r>
      <w:r w:rsidR="00450F23" w:rsidRPr="00670790">
        <w:t xml:space="preserve">onthly results </w:t>
      </w:r>
      <w:r w:rsidR="00155E50" w:rsidRPr="00670790">
        <w:t>can be</w:t>
      </w:r>
      <w:r w:rsidR="00450F23" w:rsidRPr="00670790">
        <w:t xml:space="preserve"> volatile</w:t>
      </w:r>
      <w:r w:rsidR="009C533E" w:rsidRPr="00670790">
        <w:t xml:space="preserve">, </w:t>
      </w:r>
      <w:r w:rsidR="00155E50" w:rsidRPr="00670790">
        <w:t>with Queensland the only state to record growth for the month.</w:t>
      </w:r>
    </w:p>
    <w:p w:rsidR="00EF6761" w:rsidRPr="00670790" w:rsidRDefault="005325F0" w:rsidP="00A933BA">
      <w:r w:rsidRPr="00670790">
        <w:t xml:space="preserve">According to REIA’s latest report, </w:t>
      </w:r>
      <w:r w:rsidRPr="00670790">
        <w:rPr>
          <w:b/>
        </w:rPr>
        <w:t>h</w:t>
      </w:r>
      <w:r w:rsidR="00BD24EB" w:rsidRPr="00670790">
        <w:rPr>
          <w:b/>
        </w:rPr>
        <w:t xml:space="preserve">ousing affordability </w:t>
      </w:r>
      <w:r w:rsidR="00BD24EB" w:rsidRPr="00670790">
        <w:t xml:space="preserve">in Victoria improved slightly in the </w:t>
      </w:r>
      <w:r w:rsidRPr="00670790">
        <w:t>September quarter. However its Home Loan Affordability Indicator suggests Victoria remains the second-least affordable jurisdiction in the country, after New South Wales.</w:t>
      </w:r>
    </w:p>
    <w:p w:rsidR="009E3C8A" w:rsidRPr="00670790" w:rsidRDefault="005325F0" w:rsidP="009E3C8A">
      <w:r w:rsidRPr="00670790">
        <w:t>T</w:t>
      </w:r>
      <w:r w:rsidR="009E3C8A" w:rsidRPr="00670790">
        <w:t>he</w:t>
      </w:r>
      <w:r w:rsidR="00200D1F" w:rsidRPr="00670790">
        <w:t xml:space="preserve"> </w:t>
      </w:r>
      <w:r w:rsidR="009E3C8A" w:rsidRPr="00670790">
        <w:t>value of</w:t>
      </w:r>
      <w:r w:rsidR="00200D1F" w:rsidRPr="00670790">
        <w:t xml:space="preserve"> Victoria’s</w:t>
      </w:r>
      <w:r w:rsidR="009E3C8A" w:rsidRPr="00670790">
        <w:t xml:space="preserve"> </w:t>
      </w:r>
      <w:r w:rsidR="009E3C8A" w:rsidRPr="00670790">
        <w:rPr>
          <w:b/>
        </w:rPr>
        <w:t>retail sales</w:t>
      </w:r>
      <w:r w:rsidR="00FA31B4" w:rsidRPr="00670790">
        <w:t xml:space="preserve"> grew by 0.5</w:t>
      </w:r>
      <w:r w:rsidR="00200D1F" w:rsidRPr="00670790">
        <w:t xml:space="preserve"> per cent in </w:t>
      </w:r>
      <w:r w:rsidR="00FA31B4" w:rsidRPr="00670790">
        <w:t>October, third</w:t>
      </w:r>
      <w:r w:rsidR="00200D1F" w:rsidRPr="00670790">
        <w:t xml:space="preserve"> highest </w:t>
      </w:r>
      <w:r w:rsidR="002D2638" w:rsidRPr="00670790">
        <w:t>among the</w:t>
      </w:r>
      <w:r w:rsidR="00200D1F" w:rsidRPr="00670790">
        <w:t xml:space="preserve"> states. </w:t>
      </w:r>
      <w:r w:rsidR="009E3C8A" w:rsidRPr="00670790">
        <w:t>Victoria's</w:t>
      </w:r>
      <w:r w:rsidR="00200D1F" w:rsidRPr="00670790">
        <w:t xml:space="preserve"> annual retail</w:t>
      </w:r>
      <w:r w:rsidR="009E3C8A" w:rsidRPr="00670790">
        <w:t xml:space="preserve"> </w:t>
      </w:r>
      <w:r w:rsidR="009E3C8A" w:rsidRPr="00670790">
        <w:lastRenderedPageBreak/>
        <w:t>sales growth</w:t>
      </w:r>
      <w:r w:rsidR="002D2638" w:rsidRPr="00670790">
        <w:t xml:space="preserve"> rate </w:t>
      </w:r>
      <w:r w:rsidR="00200D1F" w:rsidRPr="00670790">
        <w:t>remains</w:t>
      </w:r>
      <w:r w:rsidR="009E3C8A" w:rsidRPr="00670790">
        <w:t xml:space="preserve"> </w:t>
      </w:r>
      <w:r w:rsidR="00200D1F" w:rsidRPr="00670790">
        <w:t>s</w:t>
      </w:r>
      <w:r w:rsidR="00FA31B4" w:rsidRPr="00670790">
        <w:t>lightly below</w:t>
      </w:r>
      <w:r w:rsidR="009E3C8A" w:rsidRPr="00670790">
        <w:t xml:space="preserve"> the national </w:t>
      </w:r>
      <w:r w:rsidR="00200D1F" w:rsidRPr="00670790">
        <w:t>average</w:t>
      </w:r>
      <w:r w:rsidR="00FA31B4" w:rsidRPr="00670790">
        <w:t xml:space="preserve"> of 3.5 per cent</w:t>
      </w:r>
      <w:r w:rsidR="009E3C8A" w:rsidRPr="00670790">
        <w:t xml:space="preserve">. </w:t>
      </w:r>
    </w:p>
    <w:p w:rsidR="009506AF" w:rsidRPr="00670790" w:rsidRDefault="001B0E91" w:rsidP="00A933BA">
      <w:pPr>
        <w:rPr>
          <w:bCs/>
        </w:rPr>
      </w:pPr>
      <w:r w:rsidRPr="00670790">
        <w:t>Victorian</w:t>
      </w:r>
      <w:r w:rsidR="005E2185" w:rsidRPr="00670790">
        <w:t xml:space="preserve"> </w:t>
      </w:r>
      <w:r w:rsidR="005E2185" w:rsidRPr="00670790">
        <w:rPr>
          <w:rStyle w:val="Emphasis"/>
        </w:rPr>
        <w:t>consumer sentiment</w:t>
      </w:r>
      <w:r w:rsidR="00F27342" w:rsidRPr="00670790">
        <w:t xml:space="preserve"> </w:t>
      </w:r>
      <w:r w:rsidRPr="00670790">
        <w:t>moved into</w:t>
      </w:r>
      <w:r w:rsidR="003831AB" w:rsidRPr="00670790">
        <w:t xml:space="preserve"> </w:t>
      </w:r>
      <w:r w:rsidR="001428A1" w:rsidRPr="00670790">
        <w:t>pessimistic</w:t>
      </w:r>
      <w:r w:rsidR="003831AB" w:rsidRPr="00670790">
        <w:t xml:space="preserve"> territory</w:t>
      </w:r>
      <w:r w:rsidR="004E06F1" w:rsidRPr="00670790">
        <w:t xml:space="preserve"> </w:t>
      </w:r>
      <w:r w:rsidR="001428A1" w:rsidRPr="00670790">
        <w:t>in December</w:t>
      </w:r>
      <w:r w:rsidR="004E06F1" w:rsidRPr="00670790">
        <w:t>, falling 3.5 per cent</w:t>
      </w:r>
      <w:r w:rsidR="00F27342" w:rsidRPr="00670790">
        <w:t xml:space="preserve"> but </w:t>
      </w:r>
      <w:r w:rsidR="005859E0">
        <w:t xml:space="preserve">remains </w:t>
      </w:r>
      <w:r w:rsidR="00F27342" w:rsidRPr="00670790">
        <w:t>above the national average</w:t>
      </w:r>
      <w:r w:rsidR="003831AB" w:rsidRPr="00670790">
        <w:t>.</w:t>
      </w:r>
      <w:r w:rsidR="003831AB" w:rsidRPr="00670790">
        <w:rPr>
          <w:rFonts w:ascii="Helv" w:hAnsi="Helv" w:cs="Helv"/>
          <w:sz w:val="20"/>
          <w:szCs w:val="20"/>
        </w:rPr>
        <w:t xml:space="preserve"> </w:t>
      </w:r>
      <w:r w:rsidR="001428A1" w:rsidRPr="00670790">
        <w:t>Westpac noted that the likely reasons beh</w:t>
      </w:r>
      <w:r w:rsidR="00F800ED">
        <w:t xml:space="preserve">ind this fall in confidence were </w:t>
      </w:r>
      <w:r w:rsidR="001428A1" w:rsidRPr="00670790">
        <w:t>related to renewed concerns around the economy, interest rates, and the labour market.</w:t>
      </w:r>
    </w:p>
    <w:p w:rsidR="00CA3441" w:rsidRDefault="003A3AD2" w:rsidP="005E2185">
      <w:r w:rsidRPr="00670790">
        <w:t xml:space="preserve">The </w:t>
      </w:r>
      <w:r w:rsidR="00453A5E" w:rsidRPr="00670790">
        <w:t>latest</w:t>
      </w:r>
      <w:r w:rsidR="005E2185" w:rsidRPr="00670790">
        <w:t xml:space="preserve"> NAB</w:t>
      </w:r>
      <w:r w:rsidR="00833B24" w:rsidRPr="00670790">
        <w:t xml:space="preserve"> monthly</w:t>
      </w:r>
      <w:r w:rsidR="005E2185" w:rsidRPr="00670790">
        <w:t xml:space="preserve"> </w:t>
      </w:r>
      <w:r w:rsidR="005E2185" w:rsidRPr="00670790">
        <w:rPr>
          <w:rStyle w:val="Emphasis"/>
        </w:rPr>
        <w:t>business survey</w:t>
      </w:r>
      <w:r w:rsidR="007A139F" w:rsidRPr="00670790">
        <w:rPr>
          <w:rStyle w:val="Emphasis"/>
        </w:rPr>
        <w:t xml:space="preserve"> </w:t>
      </w:r>
      <w:r w:rsidR="007A139F" w:rsidRPr="00670790">
        <w:rPr>
          <w:rStyle w:val="Emphasis"/>
          <w:b w:val="0"/>
        </w:rPr>
        <w:t>results</w:t>
      </w:r>
      <w:r w:rsidR="002E73F4" w:rsidRPr="00670790">
        <w:t xml:space="preserve"> show</w:t>
      </w:r>
      <w:r w:rsidR="005E2185" w:rsidRPr="00670790">
        <w:t xml:space="preserve"> that</w:t>
      </w:r>
      <w:r w:rsidR="002E73F4" w:rsidRPr="00670790">
        <w:t xml:space="preserve"> </w:t>
      </w:r>
      <w:r w:rsidRPr="00670790">
        <w:t>Victoria</w:t>
      </w:r>
      <w:r w:rsidR="00523A27" w:rsidRPr="00670790">
        <w:t>n business conditions</w:t>
      </w:r>
      <w:r w:rsidR="00833B24" w:rsidRPr="00670790">
        <w:t xml:space="preserve"> </w:t>
      </w:r>
      <w:r w:rsidR="00B81689" w:rsidRPr="00670790">
        <w:t>fell by 1 point in November but are equal second highest of the states. Business confidence remained steady at +2 index points.</w:t>
      </w:r>
      <w:r w:rsidR="00506EEE" w:rsidRPr="00670790">
        <w:t xml:space="preserve"> </w:t>
      </w:r>
    </w:p>
    <w:p w:rsidR="00A4205F" w:rsidRPr="00A4205F" w:rsidRDefault="00A4205F" w:rsidP="00A4205F">
      <w:pPr>
        <w:spacing w:after="0"/>
        <w:rPr>
          <w:sz w:val="16"/>
          <w:szCs w:val="16"/>
        </w:rPr>
      </w:pPr>
    </w:p>
    <w:tbl>
      <w:tblPr>
        <w:tblW w:w="0" w:type="auto"/>
        <w:tblLook w:val="04A0" w:firstRow="1" w:lastRow="0" w:firstColumn="1" w:lastColumn="0" w:noHBand="0" w:noVBand="1"/>
      </w:tblPr>
      <w:tblGrid>
        <w:gridCol w:w="988"/>
        <w:gridCol w:w="3763"/>
      </w:tblGrid>
      <w:tr w:rsidR="00047DD7" w:rsidRPr="00670790" w:rsidTr="00474854">
        <w:tc>
          <w:tcPr>
            <w:tcW w:w="988" w:type="dxa"/>
          </w:tcPr>
          <w:p w:rsidR="00047DD7" w:rsidRPr="00670790" w:rsidRDefault="002868CD" w:rsidP="00EE60CF">
            <w:r w:rsidRPr="00670790">
              <w:br w:type="column"/>
            </w:r>
            <w:r w:rsidR="00047DD7" w:rsidRPr="00670790">
              <w:rPr>
                <w:noProof/>
                <w:lang w:eastAsia="en-AU"/>
              </w:rPr>
              <w:drawing>
                <wp:inline distT="0" distB="0" distL="0" distR="0" wp14:anchorId="482E405E" wp14:editId="3168231A">
                  <wp:extent cx="468000" cy="468000"/>
                  <wp:effectExtent l="0" t="0" r="8255" b="8255"/>
                  <wp:docPr id="14" name="Picture 14" descr="H:\temp\Economic Policy Newsletter\Stockmark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emp\Economic Policy Newsletter\Stockmarket.png"/>
                          <pic:cNvPicPr>
                            <a:picLocks noChangeAspect="1" noChangeArrowheads="1"/>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3763" w:type="dxa"/>
            <w:vAlign w:val="bottom"/>
          </w:tcPr>
          <w:p w:rsidR="00047DD7" w:rsidRPr="00670790" w:rsidRDefault="00047DD7" w:rsidP="00EE60CF">
            <w:pPr>
              <w:pStyle w:val="Heading1"/>
            </w:pPr>
            <w:r w:rsidRPr="00670790">
              <w:t>Financial markets</w:t>
            </w:r>
          </w:p>
        </w:tc>
      </w:tr>
    </w:tbl>
    <w:p w:rsidR="005318CE" w:rsidRPr="00670790" w:rsidRDefault="00D44DBB" w:rsidP="00F62672">
      <w:pPr>
        <w:spacing w:before="120"/>
      </w:pPr>
      <w:r w:rsidRPr="00670790">
        <w:t>Financial markets have been bullish s</w:t>
      </w:r>
      <w:r w:rsidR="005859E0">
        <w:t>ince the</w:t>
      </w:r>
      <w:r w:rsidR="00D12950" w:rsidRPr="00670790">
        <w:t xml:space="preserve"> </w:t>
      </w:r>
      <w:r w:rsidR="005859E0">
        <w:rPr>
          <w:b/>
        </w:rPr>
        <w:t xml:space="preserve">US </w:t>
      </w:r>
      <w:r w:rsidR="005859E0" w:rsidRPr="00670790">
        <w:t>election</w:t>
      </w:r>
      <w:r w:rsidR="00C542A9" w:rsidRPr="00670790">
        <w:t xml:space="preserve"> </w:t>
      </w:r>
      <w:r w:rsidRPr="00670790">
        <w:t>on 8 November.</w:t>
      </w:r>
      <w:r w:rsidR="00D12950" w:rsidRPr="00670790">
        <w:t xml:space="preserve"> </w:t>
      </w:r>
      <w:r w:rsidRPr="00670790">
        <w:t>S</w:t>
      </w:r>
      <w:r w:rsidR="00D12950" w:rsidRPr="00670790">
        <w:t xml:space="preserve">tock markets have </w:t>
      </w:r>
      <w:r w:rsidRPr="00670790">
        <w:t>rallied</w:t>
      </w:r>
      <w:r w:rsidR="00D12950" w:rsidRPr="00670790">
        <w:t xml:space="preserve">, bond yields have risen and the US dollar has appreciated against the major currencies. </w:t>
      </w:r>
      <w:r w:rsidRPr="00670790">
        <w:t xml:space="preserve">Most of this </w:t>
      </w:r>
      <w:r w:rsidR="00F800ED">
        <w:t>was</w:t>
      </w:r>
      <w:r w:rsidR="001A179F" w:rsidRPr="00670790">
        <w:t xml:space="preserve"> driven by market participants expecting</w:t>
      </w:r>
      <w:r w:rsidR="00D82C20" w:rsidRPr="00670790">
        <w:t xml:space="preserve"> fiscal policy to be more expansionary</w:t>
      </w:r>
      <w:r w:rsidR="00FC46BB" w:rsidRPr="00670790">
        <w:t xml:space="preserve"> and possibly inflationary, </w:t>
      </w:r>
      <w:r w:rsidR="002B0039" w:rsidRPr="00670790">
        <w:t>under a Trump presidency</w:t>
      </w:r>
      <w:r w:rsidR="00D82C20" w:rsidRPr="00670790">
        <w:t>.</w:t>
      </w:r>
      <w:r w:rsidR="002B0039" w:rsidRPr="00670790">
        <w:t xml:space="preserve"> </w:t>
      </w:r>
    </w:p>
    <w:p w:rsidR="007C7BE7" w:rsidRPr="00670790" w:rsidRDefault="007C7BE7" w:rsidP="00EE619A">
      <w:r w:rsidRPr="00670790">
        <w:t xml:space="preserve">The </w:t>
      </w:r>
      <w:r w:rsidRPr="00670790">
        <w:rPr>
          <w:b/>
        </w:rPr>
        <w:t>US Federal Reserve</w:t>
      </w:r>
      <w:r w:rsidRPr="00670790">
        <w:t xml:space="preserve"> lifted interest rates in December, for only the second time since the GFC. Market participants had already priced in a near certain increase, following the release of positive economic data. The Federal Reserve's "dot plot", a chart used to signal its outlook for the path of interest rates, indicate </w:t>
      </w:r>
      <w:r w:rsidR="0022157A">
        <w:br/>
      </w:r>
      <w:r w:rsidRPr="00670790">
        <w:t>3 more rate rises in 2017.</w:t>
      </w:r>
    </w:p>
    <w:p w:rsidR="00A4205F" w:rsidRDefault="000D517F" w:rsidP="00EE619A">
      <w:r w:rsidRPr="00436846">
        <w:t xml:space="preserve">Global markets were </w:t>
      </w:r>
      <w:r w:rsidR="005A312B" w:rsidRPr="00436846">
        <w:t xml:space="preserve">largely </w:t>
      </w:r>
      <w:r w:rsidRPr="00436846">
        <w:t>unmoved</w:t>
      </w:r>
      <w:r w:rsidR="006E0DF0" w:rsidRPr="00436846">
        <w:t xml:space="preserve">, after </w:t>
      </w:r>
      <w:r w:rsidRPr="00436846">
        <w:t xml:space="preserve">voters sided with no change in the </w:t>
      </w:r>
      <w:r w:rsidR="006E0DF0" w:rsidRPr="00436846">
        <w:rPr>
          <w:b/>
        </w:rPr>
        <w:t>Italian referendum</w:t>
      </w:r>
      <w:r w:rsidR="006E0DF0" w:rsidRPr="00436846">
        <w:t>.</w:t>
      </w:r>
      <w:r w:rsidR="006E0DF0" w:rsidRPr="00670790">
        <w:t xml:space="preserve"> Voters rejected proposed reforms to the constitution which were intended to make the legislative process more streamlined</w:t>
      </w:r>
      <w:r w:rsidR="00A2697F" w:rsidRPr="00670790">
        <w:t xml:space="preserve">. </w:t>
      </w:r>
    </w:p>
    <w:p w:rsidR="0041092A" w:rsidRPr="00670790" w:rsidRDefault="006E0DF0" w:rsidP="00EE619A">
      <w:r w:rsidRPr="00670790">
        <w:lastRenderedPageBreak/>
        <w:t>This s</w:t>
      </w:r>
      <w:r w:rsidR="00BD24EB" w:rsidRPr="00670790">
        <w:t>hifted focus away from</w:t>
      </w:r>
      <w:r w:rsidRPr="00670790">
        <w:t xml:space="preserve"> the country’s increasingly fragile banking system, which poses a more immediate risk to stability in Europe. </w:t>
      </w:r>
    </w:p>
    <w:p w:rsidR="00A4205F" w:rsidRDefault="00C542A9" w:rsidP="00EE619A">
      <w:r w:rsidRPr="00670790">
        <w:t xml:space="preserve">The </w:t>
      </w:r>
      <w:r w:rsidRPr="00670790">
        <w:rPr>
          <w:b/>
        </w:rPr>
        <w:t>Europe</w:t>
      </w:r>
      <w:r w:rsidR="00A54258" w:rsidRPr="00670790">
        <w:rPr>
          <w:b/>
        </w:rPr>
        <w:t>an</w:t>
      </w:r>
      <w:r w:rsidRPr="00670790">
        <w:rPr>
          <w:b/>
        </w:rPr>
        <w:t xml:space="preserve"> Central Bank</w:t>
      </w:r>
      <w:r w:rsidR="00A54258" w:rsidRPr="00670790">
        <w:t xml:space="preserve"> </w:t>
      </w:r>
      <w:r w:rsidR="00607271" w:rsidRPr="00670790">
        <w:t xml:space="preserve">(ECB) </w:t>
      </w:r>
      <w:r w:rsidR="00A54258" w:rsidRPr="00670790">
        <w:t>surprised financial markets when</w:t>
      </w:r>
      <w:r w:rsidRPr="00670790">
        <w:t xml:space="preserve"> </w:t>
      </w:r>
      <w:r w:rsidR="00A54258" w:rsidRPr="00670790">
        <w:t>it announced the decision to</w:t>
      </w:r>
      <w:r w:rsidR="001D0F0C" w:rsidRPr="00670790">
        <w:t xml:space="preserve"> scale back its</w:t>
      </w:r>
      <w:r w:rsidR="00A54258" w:rsidRPr="00670790">
        <w:t xml:space="preserve"> monthly asset purchases</w:t>
      </w:r>
      <w:r w:rsidR="00607271" w:rsidRPr="00670790">
        <w:t>, a tool it has used to stimulate demand</w:t>
      </w:r>
      <w:r w:rsidR="00A54258" w:rsidRPr="00670790">
        <w:t xml:space="preserve">. </w:t>
      </w:r>
    </w:p>
    <w:p w:rsidR="00C3070A" w:rsidRPr="00670790" w:rsidRDefault="00607271" w:rsidP="00EE619A">
      <w:r w:rsidRPr="00670790">
        <w:t>However, t</w:t>
      </w:r>
      <w:r w:rsidR="00A54258" w:rsidRPr="00670790">
        <w:t xml:space="preserve">he </w:t>
      </w:r>
      <w:r w:rsidRPr="00670790">
        <w:t>ECB</w:t>
      </w:r>
      <w:r w:rsidR="00A54258" w:rsidRPr="00670790">
        <w:t xml:space="preserve"> stated </w:t>
      </w:r>
      <w:r w:rsidR="005859E0">
        <w:t>it stands ready to support the e</w:t>
      </w:r>
      <w:r w:rsidR="00A54258" w:rsidRPr="00670790">
        <w:t>uro</w:t>
      </w:r>
      <w:r w:rsidR="005859E0">
        <w:t xml:space="preserve"> </w:t>
      </w:r>
      <w:r w:rsidR="00A54258" w:rsidRPr="00670790">
        <w:t>zone economy, which is forecast to grow by a modest 1.7 per cent this year and in 2017.</w:t>
      </w:r>
    </w:p>
    <w:p w:rsidR="00A4205F" w:rsidRDefault="00C3070A" w:rsidP="00A4205F">
      <w:pPr>
        <w:spacing w:before="120"/>
      </w:pPr>
      <w:r w:rsidRPr="00670790">
        <w:t xml:space="preserve">The pace of economic growth in the </w:t>
      </w:r>
      <w:r w:rsidRPr="00670790">
        <w:rPr>
          <w:b/>
        </w:rPr>
        <w:t xml:space="preserve">UK </w:t>
      </w:r>
      <w:r w:rsidRPr="00670790">
        <w:t xml:space="preserve">has been revised down from 2.2 per cent to 1.4 per cent in 2017. </w:t>
      </w:r>
    </w:p>
    <w:p w:rsidR="00C3070A" w:rsidRPr="00670790" w:rsidRDefault="00607271" w:rsidP="00A4205F">
      <w:pPr>
        <w:spacing w:before="120"/>
      </w:pPr>
      <w:r w:rsidRPr="00670790">
        <w:lastRenderedPageBreak/>
        <w:t>The</w:t>
      </w:r>
      <w:r w:rsidR="00C3070A" w:rsidRPr="00670790">
        <w:t xml:space="preserve"> </w:t>
      </w:r>
      <w:r w:rsidR="005859E0">
        <w:t>Autumn S</w:t>
      </w:r>
      <w:r w:rsidR="00C3070A" w:rsidRPr="005859E0">
        <w:t>tatement 2016</w:t>
      </w:r>
      <w:r w:rsidR="00C3070A" w:rsidRPr="00670790">
        <w:t xml:space="preserve">, UK’s first major economic </w:t>
      </w:r>
      <w:r w:rsidR="001D0F0C" w:rsidRPr="00670790">
        <w:t xml:space="preserve">statement </w:t>
      </w:r>
      <w:r w:rsidR="00C3070A" w:rsidRPr="00670790">
        <w:t>since Brexit,</w:t>
      </w:r>
      <w:r w:rsidRPr="00670790">
        <w:t xml:space="preserve"> </w:t>
      </w:r>
      <w:r w:rsidR="006A1032">
        <w:t>forecast</w:t>
      </w:r>
      <w:r w:rsidR="00C3070A" w:rsidRPr="00670790">
        <w:t xml:space="preserve"> the budget deficit to</w:t>
      </w:r>
      <w:r w:rsidRPr="00670790">
        <w:t xml:space="preserve"> rise</w:t>
      </w:r>
      <w:r w:rsidR="00C3070A" w:rsidRPr="00670790">
        <w:t xml:space="preserve"> by</w:t>
      </w:r>
      <w:r w:rsidR="000D517F">
        <w:br/>
      </w:r>
      <w:r w:rsidR="00C3070A" w:rsidRPr="00670790">
        <w:t xml:space="preserve"> </w:t>
      </w:r>
      <w:r w:rsidR="00C3070A" w:rsidRPr="00670790">
        <w:rPr>
          <w:rFonts w:cstheme="minorHAnsi"/>
        </w:rPr>
        <w:t>£</w:t>
      </w:r>
      <w:r w:rsidR="00C3070A" w:rsidRPr="00670790">
        <w:t xml:space="preserve">122 billion </w:t>
      </w:r>
      <w:r w:rsidRPr="00670790">
        <w:t>in the next 5 years</w:t>
      </w:r>
      <w:r w:rsidR="00606BF1">
        <w:t xml:space="preserve">, with </w:t>
      </w:r>
      <w:r w:rsidR="00C3070A" w:rsidRPr="00670790">
        <w:t xml:space="preserve">government </w:t>
      </w:r>
      <w:r w:rsidRPr="00670790">
        <w:t xml:space="preserve">net </w:t>
      </w:r>
      <w:r w:rsidR="00B23E2F">
        <w:t>debt peaking at 90 per cent</w:t>
      </w:r>
      <w:r w:rsidR="00C3070A" w:rsidRPr="00670790">
        <w:t xml:space="preserve"> of GDP in 2017-18.</w:t>
      </w:r>
    </w:p>
    <w:p w:rsidR="00EE619A" w:rsidRPr="00670790" w:rsidRDefault="000660AA" w:rsidP="00C94806">
      <w:pPr>
        <w:rPr>
          <w:color w:val="FF0000"/>
        </w:rPr>
      </w:pPr>
      <w:r w:rsidRPr="00670790">
        <w:t>At its December meeting, t</w:t>
      </w:r>
      <w:r w:rsidR="00FA27EE" w:rsidRPr="00670790">
        <w:t xml:space="preserve">he </w:t>
      </w:r>
      <w:r w:rsidR="00FA27EE" w:rsidRPr="00670790">
        <w:rPr>
          <w:rStyle w:val="Emphasis"/>
        </w:rPr>
        <w:t>RBA</w:t>
      </w:r>
      <w:r w:rsidR="00FA27EE" w:rsidRPr="00670790">
        <w:t xml:space="preserve"> </w:t>
      </w:r>
      <w:r w:rsidRPr="00670790">
        <w:t>left the cash rate unchanged at</w:t>
      </w:r>
      <w:r w:rsidR="00FA27EE" w:rsidRPr="00670790">
        <w:t xml:space="preserve"> </w:t>
      </w:r>
      <w:r w:rsidR="00394456" w:rsidRPr="00670790">
        <w:t>1.5 per cent</w:t>
      </w:r>
      <w:r w:rsidR="00AA68F7" w:rsidRPr="00670790">
        <w:t>.</w:t>
      </w:r>
    </w:p>
    <w:p w:rsidR="00D17E6E" w:rsidRPr="00726551" w:rsidRDefault="00062BCA" w:rsidP="00726551">
      <w:pPr>
        <w:spacing w:line="288" w:lineRule="auto"/>
        <w:sectPr w:rsidR="00D17E6E" w:rsidRPr="00726551" w:rsidSect="00474854">
          <w:headerReference w:type="default" r:id="rId13"/>
          <w:footerReference w:type="default" r:id="rId14"/>
          <w:type w:val="continuous"/>
          <w:pgSz w:w="11906" w:h="16838" w:code="9"/>
          <w:pgMar w:top="964" w:right="1134" w:bottom="794" w:left="1134" w:header="709" w:footer="567" w:gutter="0"/>
          <w:cols w:num="2" w:space="567"/>
          <w:docGrid w:linePitch="360"/>
        </w:sectPr>
      </w:pPr>
      <w:r w:rsidRPr="00670790">
        <w:t xml:space="preserve">November trade data for </w:t>
      </w:r>
      <w:r w:rsidRPr="00670790">
        <w:rPr>
          <w:b/>
        </w:rPr>
        <w:t>China</w:t>
      </w:r>
      <w:r w:rsidRPr="00670790">
        <w:t xml:space="preserve"> suggests a modest recovery in domestic and global demand. China’s</w:t>
      </w:r>
      <w:r w:rsidR="006A1032">
        <w:t xml:space="preserve"> trade surplus narrowed from US</w:t>
      </w:r>
      <w:r w:rsidRPr="00670790">
        <w:t xml:space="preserve"> </w:t>
      </w:r>
      <w:r w:rsidR="006A1032">
        <w:t>$49 billion to US</w:t>
      </w:r>
      <w:r w:rsidRPr="00670790">
        <w:t xml:space="preserve"> $45 billion in the month, led by a 6.7 per cent</w:t>
      </w:r>
      <w:r w:rsidR="00B23E2F">
        <w:t xml:space="preserve"> increase</w:t>
      </w:r>
      <w:r w:rsidRPr="00670790">
        <w:t xml:space="preserve"> in imports. </w:t>
      </w:r>
      <w:r w:rsidR="00F63F06" w:rsidRPr="00670790">
        <w:t xml:space="preserve">The outlook however remains uncertain </w:t>
      </w:r>
      <w:r w:rsidR="005E4620" w:rsidRPr="00670790">
        <w:t>because of</w:t>
      </w:r>
      <w:r w:rsidR="00F63F06" w:rsidRPr="00670790">
        <w:t xml:space="preserve"> a potentially </w:t>
      </w:r>
      <w:r w:rsidR="00D44DBB" w:rsidRPr="00670790">
        <w:t xml:space="preserve">more </w:t>
      </w:r>
      <w:r w:rsidR="00F63F06" w:rsidRPr="00670790">
        <w:t>prote</w:t>
      </w:r>
      <w:r w:rsidR="00726551">
        <w:t>ctionist US trade policy stance.</w:t>
      </w:r>
    </w:p>
    <w:p w:rsidR="00A67716" w:rsidRDefault="00A67716" w:rsidP="00C94806">
      <w:pPr>
        <w:spacing w:after="0"/>
        <w:rPr>
          <w:highlight w:val="green"/>
        </w:rPr>
      </w:pPr>
    </w:p>
    <w:p w:rsidR="00D17E6E" w:rsidRPr="00BA6B8C" w:rsidRDefault="00D17E6E" w:rsidP="00D17E6E">
      <w:pPr>
        <w:pStyle w:val="Caption"/>
      </w:pPr>
      <w:r w:rsidRPr="00BA6B8C">
        <w:t xml:space="preserve">Movements in financial data over </w:t>
      </w:r>
      <w:r>
        <w:t>the past month</w:t>
      </w:r>
    </w:p>
    <w:tbl>
      <w:tblPr>
        <w:tblStyle w:val="TableGrid"/>
        <w:tblW w:w="5000" w:type="pct"/>
        <w:tblLook w:val="0420" w:firstRow="1" w:lastRow="0" w:firstColumn="0" w:lastColumn="0" w:noHBand="0" w:noVBand="1"/>
      </w:tblPr>
      <w:tblGrid>
        <w:gridCol w:w="3419"/>
        <w:gridCol w:w="1681"/>
        <w:gridCol w:w="1824"/>
        <w:gridCol w:w="2828"/>
      </w:tblGrid>
      <w:tr w:rsidR="00D17E6E" w:rsidTr="00D17E6E">
        <w:trPr>
          <w:cnfStyle w:val="100000000000" w:firstRow="1" w:lastRow="0" w:firstColumn="0" w:lastColumn="0" w:oddVBand="0" w:evenVBand="0" w:oddHBand="0" w:evenHBand="0" w:firstRowFirstColumn="0" w:firstRowLastColumn="0" w:lastRowFirstColumn="0" w:lastRowLastColumn="0"/>
        </w:trPr>
        <w:tc>
          <w:tcPr>
            <w:tcW w:w="1753" w:type="pct"/>
          </w:tcPr>
          <w:p w:rsidR="00D17E6E" w:rsidRDefault="00D17E6E" w:rsidP="0085242F"/>
        </w:tc>
        <w:tc>
          <w:tcPr>
            <w:tcW w:w="862" w:type="pct"/>
          </w:tcPr>
          <w:p w:rsidR="00D17E6E" w:rsidRDefault="00F42FC6" w:rsidP="00D17E6E">
            <w:pPr>
              <w:ind w:left="267" w:hanging="267"/>
              <w:jc w:val="right"/>
            </w:pPr>
            <w:r>
              <w:t>21</w:t>
            </w:r>
            <w:r w:rsidR="00D17E6E">
              <w:t xml:space="preserve"> Nov 2016</w:t>
            </w:r>
          </w:p>
        </w:tc>
        <w:tc>
          <w:tcPr>
            <w:tcW w:w="935" w:type="pct"/>
          </w:tcPr>
          <w:p w:rsidR="00D17E6E" w:rsidRDefault="00F42FC6" w:rsidP="0085242F">
            <w:pPr>
              <w:jc w:val="right"/>
            </w:pPr>
            <w:r>
              <w:t xml:space="preserve">20 </w:t>
            </w:r>
            <w:r w:rsidR="00874CD5">
              <w:t>Dec</w:t>
            </w:r>
            <w:r w:rsidR="00D17E6E">
              <w:t xml:space="preserve"> 2016</w:t>
            </w:r>
          </w:p>
        </w:tc>
        <w:tc>
          <w:tcPr>
            <w:tcW w:w="1450" w:type="pct"/>
          </w:tcPr>
          <w:p w:rsidR="00D17E6E" w:rsidRDefault="00D17E6E" w:rsidP="0085242F">
            <w:pPr>
              <w:jc w:val="right"/>
            </w:pPr>
            <w:r>
              <w:t>Change</w:t>
            </w:r>
          </w:p>
        </w:tc>
      </w:tr>
      <w:tr w:rsidR="00D17E6E" w:rsidTr="00D17E6E">
        <w:trPr>
          <w:cnfStyle w:val="000000100000" w:firstRow="0" w:lastRow="0" w:firstColumn="0" w:lastColumn="0" w:oddVBand="0" w:evenVBand="0" w:oddHBand="1" w:evenHBand="0" w:firstRowFirstColumn="0" w:firstRowLastColumn="0" w:lastRowFirstColumn="0" w:lastRowLastColumn="0"/>
        </w:trPr>
        <w:tc>
          <w:tcPr>
            <w:tcW w:w="1753" w:type="pct"/>
          </w:tcPr>
          <w:p w:rsidR="00D17E6E" w:rsidRDefault="00D17E6E" w:rsidP="0085242F">
            <w:r>
              <w:t>AUD/USD</w:t>
            </w:r>
          </w:p>
        </w:tc>
        <w:tc>
          <w:tcPr>
            <w:tcW w:w="862" w:type="pct"/>
          </w:tcPr>
          <w:p w:rsidR="00D17E6E" w:rsidRPr="005C5FE2" w:rsidRDefault="00D17E6E" w:rsidP="00F42FC6">
            <w:pPr>
              <w:jc w:val="right"/>
              <w:rPr>
                <w:color w:val="FF0000"/>
              </w:rPr>
            </w:pPr>
            <w:r w:rsidRPr="005C5FE2">
              <w:t>0.</w:t>
            </w:r>
            <w:r w:rsidR="00F42FC6">
              <w:t>73</w:t>
            </w:r>
          </w:p>
        </w:tc>
        <w:tc>
          <w:tcPr>
            <w:tcW w:w="935" w:type="pct"/>
          </w:tcPr>
          <w:p w:rsidR="00D17E6E" w:rsidRPr="005C5FE2" w:rsidRDefault="00F42FC6" w:rsidP="0085242F">
            <w:pPr>
              <w:jc w:val="right"/>
              <w:rPr>
                <w:color w:val="FF0000"/>
              </w:rPr>
            </w:pPr>
            <w:r>
              <w:t>0.73</w:t>
            </w:r>
          </w:p>
        </w:tc>
        <w:tc>
          <w:tcPr>
            <w:tcW w:w="1450" w:type="pct"/>
          </w:tcPr>
          <w:p w:rsidR="00D17E6E" w:rsidRPr="005C5FE2" w:rsidRDefault="00F42FC6" w:rsidP="00F42FC6">
            <w:pPr>
              <w:jc w:val="right"/>
              <w:rPr>
                <w:color w:val="FF0000"/>
              </w:rPr>
            </w:pPr>
            <w:r>
              <w:t>0.0</w:t>
            </w:r>
            <w:r w:rsidR="00D17E6E" w:rsidRPr="005C5FE2">
              <w:t xml:space="preserve"> per cent</w:t>
            </w:r>
          </w:p>
        </w:tc>
      </w:tr>
      <w:tr w:rsidR="00D17E6E" w:rsidTr="00D17E6E">
        <w:trPr>
          <w:cnfStyle w:val="000000010000" w:firstRow="0" w:lastRow="0" w:firstColumn="0" w:lastColumn="0" w:oddVBand="0" w:evenVBand="0" w:oddHBand="0" w:evenHBand="1" w:firstRowFirstColumn="0" w:firstRowLastColumn="0" w:lastRowFirstColumn="0" w:lastRowLastColumn="0"/>
        </w:trPr>
        <w:tc>
          <w:tcPr>
            <w:tcW w:w="1753" w:type="pct"/>
          </w:tcPr>
          <w:p w:rsidR="00D17E6E" w:rsidRDefault="00D17E6E" w:rsidP="0085242F">
            <w:r>
              <w:t>ASX 200</w:t>
            </w:r>
          </w:p>
        </w:tc>
        <w:tc>
          <w:tcPr>
            <w:tcW w:w="862" w:type="pct"/>
          </w:tcPr>
          <w:p w:rsidR="00D17E6E" w:rsidRPr="005C5FE2" w:rsidRDefault="00F42FC6" w:rsidP="0085242F">
            <w:pPr>
              <w:jc w:val="right"/>
              <w:rPr>
                <w:color w:val="FF0000"/>
              </w:rPr>
            </w:pPr>
            <w:r>
              <w:t xml:space="preserve">5 351 </w:t>
            </w:r>
          </w:p>
        </w:tc>
        <w:tc>
          <w:tcPr>
            <w:tcW w:w="935" w:type="pct"/>
          </w:tcPr>
          <w:p w:rsidR="00D17E6E" w:rsidRPr="005C5FE2" w:rsidRDefault="00D17E6E" w:rsidP="00F42FC6">
            <w:pPr>
              <w:jc w:val="right"/>
              <w:rPr>
                <w:color w:val="FF0000"/>
              </w:rPr>
            </w:pPr>
            <w:r w:rsidRPr="005C5FE2">
              <w:t xml:space="preserve">5 </w:t>
            </w:r>
            <w:r w:rsidR="00670790">
              <w:t>5</w:t>
            </w:r>
            <w:r w:rsidR="00F42FC6">
              <w:t>91</w:t>
            </w:r>
          </w:p>
        </w:tc>
        <w:tc>
          <w:tcPr>
            <w:tcW w:w="1450" w:type="pct"/>
          </w:tcPr>
          <w:p w:rsidR="00D17E6E" w:rsidRPr="005C5FE2" w:rsidRDefault="00D17E6E" w:rsidP="00670790">
            <w:pPr>
              <w:jc w:val="right"/>
              <w:rPr>
                <w:color w:val="FF0000"/>
              </w:rPr>
            </w:pPr>
            <w:r w:rsidRPr="005C5FE2">
              <w:t>+</w:t>
            </w:r>
            <w:r w:rsidR="00670790">
              <w:t>4</w:t>
            </w:r>
            <w:r w:rsidR="00033485">
              <w:t>.5</w:t>
            </w:r>
            <w:r w:rsidR="00B23E2F">
              <w:t xml:space="preserve"> </w:t>
            </w:r>
            <w:r w:rsidRPr="005C5FE2">
              <w:t>per cent</w:t>
            </w:r>
          </w:p>
        </w:tc>
      </w:tr>
      <w:tr w:rsidR="00D17E6E" w:rsidTr="00D17E6E">
        <w:trPr>
          <w:cnfStyle w:val="000000100000" w:firstRow="0" w:lastRow="0" w:firstColumn="0" w:lastColumn="0" w:oddVBand="0" w:evenVBand="0" w:oddHBand="1" w:evenHBand="0" w:firstRowFirstColumn="0" w:firstRowLastColumn="0" w:lastRowFirstColumn="0" w:lastRowLastColumn="0"/>
        </w:trPr>
        <w:tc>
          <w:tcPr>
            <w:tcW w:w="1753" w:type="pct"/>
          </w:tcPr>
          <w:p w:rsidR="00D17E6E" w:rsidRDefault="00D17E6E" w:rsidP="0085242F">
            <w:r>
              <w:t>S&amp;P 500</w:t>
            </w:r>
          </w:p>
        </w:tc>
        <w:tc>
          <w:tcPr>
            <w:tcW w:w="862" w:type="pct"/>
          </w:tcPr>
          <w:p w:rsidR="00D17E6E" w:rsidRPr="005C5FE2" w:rsidRDefault="00F42FC6" w:rsidP="0085242F">
            <w:pPr>
              <w:jc w:val="right"/>
              <w:rPr>
                <w:color w:val="FF0000"/>
              </w:rPr>
            </w:pPr>
            <w:r>
              <w:t>2 198</w:t>
            </w:r>
            <w:r w:rsidR="00670790">
              <w:t xml:space="preserve"> </w:t>
            </w:r>
          </w:p>
        </w:tc>
        <w:tc>
          <w:tcPr>
            <w:tcW w:w="935" w:type="pct"/>
          </w:tcPr>
          <w:p w:rsidR="00D17E6E" w:rsidRPr="005C5FE2" w:rsidRDefault="00670790" w:rsidP="004C630F">
            <w:pPr>
              <w:jc w:val="right"/>
              <w:rPr>
                <w:color w:val="FF0000"/>
              </w:rPr>
            </w:pPr>
            <w:r>
              <w:t>2</w:t>
            </w:r>
            <w:r w:rsidR="00F42FC6">
              <w:t xml:space="preserve"> 271</w:t>
            </w:r>
          </w:p>
        </w:tc>
        <w:tc>
          <w:tcPr>
            <w:tcW w:w="1450" w:type="pct"/>
          </w:tcPr>
          <w:p w:rsidR="00D17E6E" w:rsidRPr="005C5FE2" w:rsidRDefault="00D17E6E" w:rsidP="00670790">
            <w:pPr>
              <w:jc w:val="right"/>
              <w:rPr>
                <w:color w:val="FF0000"/>
              </w:rPr>
            </w:pPr>
            <w:r w:rsidRPr="005C5FE2">
              <w:t>+</w:t>
            </w:r>
            <w:r w:rsidR="00670790">
              <w:t>3</w:t>
            </w:r>
            <w:r w:rsidR="00033485">
              <w:t>.3</w:t>
            </w:r>
            <w:r w:rsidRPr="005C5FE2">
              <w:t xml:space="preserve"> per cent</w:t>
            </w:r>
            <w:r w:rsidRPr="005C5FE2">
              <w:rPr>
                <w:color w:val="FF0000"/>
              </w:rPr>
              <w:t xml:space="preserve">                     </w:t>
            </w:r>
          </w:p>
        </w:tc>
      </w:tr>
      <w:tr w:rsidR="00D17E6E" w:rsidTr="00D17E6E">
        <w:trPr>
          <w:cnfStyle w:val="000000010000" w:firstRow="0" w:lastRow="0" w:firstColumn="0" w:lastColumn="0" w:oddVBand="0" w:evenVBand="0" w:oddHBand="0" w:evenHBand="1" w:firstRowFirstColumn="0" w:firstRowLastColumn="0" w:lastRowFirstColumn="0" w:lastRowLastColumn="0"/>
        </w:trPr>
        <w:tc>
          <w:tcPr>
            <w:tcW w:w="1753" w:type="pct"/>
          </w:tcPr>
          <w:p w:rsidR="00D17E6E" w:rsidRDefault="00D17E6E" w:rsidP="0085242F">
            <w:r>
              <w:t>90 day bank bill rate</w:t>
            </w:r>
          </w:p>
        </w:tc>
        <w:tc>
          <w:tcPr>
            <w:tcW w:w="862" w:type="pct"/>
          </w:tcPr>
          <w:p w:rsidR="00D17E6E" w:rsidRPr="005C5FE2" w:rsidRDefault="00D17E6E" w:rsidP="0085242F">
            <w:pPr>
              <w:jc w:val="right"/>
              <w:rPr>
                <w:color w:val="FF0000"/>
              </w:rPr>
            </w:pPr>
            <w:r w:rsidRPr="005C5FE2">
              <w:t>1.7</w:t>
            </w:r>
            <w:r w:rsidR="00F42FC6">
              <w:t>5</w:t>
            </w:r>
          </w:p>
        </w:tc>
        <w:tc>
          <w:tcPr>
            <w:tcW w:w="935" w:type="pct"/>
          </w:tcPr>
          <w:p w:rsidR="00D17E6E" w:rsidRPr="005C5FE2" w:rsidRDefault="00D17E6E" w:rsidP="0085242F">
            <w:pPr>
              <w:jc w:val="right"/>
              <w:rPr>
                <w:color w:val="FF0000"/>
              </w:rPr>
            </w:pPr>
            <w:r w:rsidRPr="005C5FE2">
              <w:t>1.7</w:t>
            </w:r>
            <w:r w:rsidR="00F42FC6">
              <w:t>8</w:t>
            </w:r>
          </w:p>
        </w:tc>
        <w:tc>
          <w:tcPr>
            <w:tcW w:w="1450" w:type="pct"/>
          </w:tcPr>
          <w:p w:rsidR="00D17E6E" w:rsidRPr="005C5FE2" w:rsidRDefault="00F42FC6" w:rsidP="0085242F">
            <w:pPr>
              <w:jc w:val="right"/>
              <w:rPr>
                <w:color w:val="FF0000"/>
              </w:rPr>
            </w:pPr>
            <w:r>
              <w:t>+0.03</w:t>
            </w:r>
            <w:r w:rsidR="00D17E6E" w:rsidRPr="005C5FE2">
              <w:t xml:space="preserve"> percentage points</w:t>
            </w:r>
          </w:p>
        </w:tc>
      </w:tr>
      <w:tr w:rsidR="00D17E6E" w:rsidTr="00D17E6E">
        <w:trPr>
          <w:cnfStyle w:val="000000100000" w:firstRow="0" w:lastRow="0" w:firstColumn="0" w:lastColumn="0" w:oddVBand="0" w:evenVBand="0" w:oddHBand="1" w:evenHBand="0" w:firstRowFirstColumn="0" w:firstRowLastColumn="0" w:lastRowFirstColumn="0" w:lastRowLastColumn="0"/>
          <w:trHeight w:val="430"/>
        </w:trPr>
        <w:tc>
          <w:tcPr>
            <w:tcW w:w="1753" w:type="pct"/>
          </w:tcPr>
          <w:p w:rsidR="00D17E6E" w:rsidRDefault="00D17E6E" w:rsidP="00D17E6E">
            <w:pPr>
              <w:ind w:right="-381"/>
            </w:pPr>
            <w:r>
              <w:t>10 year Commonwealth bond rate</w:t>
            </w:r>
          </w:p>
        </w:tc>
        <w:tc>
          <w:tcPr>
            <w:tcW w:w="862" w:type="pct"/>
          </w:tcPr>
          <w:p w:rsidR="00D17E6E" w:rsidRPr="005C5FE2" w:rsidRDefault="00F42FC6" w:rsidP="0085242F">
            <w:pPr>
              <w:jc w:val="right"/>
              <w:rPr>
                <w:color w:val="FF0000"/>
              </w:rPr>
            </w:pPr>
            <w:r>
              <w:t>2.63</w:t>
            </w:r>
          </w:p>
        </w:tc>
        <w:tc>
          <w:tcPr>
            <w:tcW w:w="935" w:type="pct"/>
          </w:tcPr>
          <w:p w:rsidR="00D17E6E" w:rsidRPr="005C5FE2" w:rsidRDefault="00D17E6E" w:rsidP="00670790">
            <w:pPr>
              <w:jc w:val="right"/>
              <w:rPr>
                <w:color w:val="FF0000"/>
              </w:rPr>
            </w:pPr>
            <w:r w:rsidRPr="005C5FE2">
              <w:t>2.</w:t>
            </w:r>
            <w:r w:rsidR="00F42FC6">
              <w:t>85</w:t>
            </w:r>
          </w:p>
        </w:tc>
        <w:tc>
          <w:tcPr>
            <w:tcW w:w="1450" w:type="pct"/>
          </w:tcPr>
          <w:p w:rsidR="00D17E6E" w:rsidRPr="005C5FE2" w:rsidRDefault="00F42FC6" w:rsidP="0085242F">
            <w:pPr>
              <w:jc w:val="right"/>
              <w:rPr>
                <w:color w:val="FF0000"/>
              </w:rPr>
            </w:pPr>
            <w:r>
              <w:t>+0.22</w:t>
            </w:r>
            <w:r w:rsidR="00D17E6E" w:rsidRPr="005C5FE2">
              <w:t xml:space="preserve"> percentage points</w:t>
            </w:r>
          </w:p>
        </w:tc>
      </w:tr>
    </w:tbl>
    <w:p w:rsidR="00D30EAC" w:rsidRDefault="00D17E6E" w:rsidP="001E141A">
      <w:pPr>
        <w:rPr>
          <w:i/>
          <w:sz w:val="20"/>
        </w:rPr>
      </w:pPr>
      <w:r w:rsidRPr="007F677F">
        <w:rPr>
          <w:i/>
          <w:sz w:val="20"/>
        </w:rPr>
        <w:t>Note: Changes are based on t</w:t>
      </w:r>
      <w:r w:rsidR="00C94806">
        <w:rPr>
          <w:i/>
          <w:sz w:val="20"/>
        </w:rPr>
        <w:t>he movement in unrounded figures</w:t>
      </w:r>
    </w:p>
    <w:p w:rsidR="00C94806" w:rsidRDefault="00C94806" w:rsidP="001E141A">
      <w:pPr>
        <w:rPr>
          <w:i/>
          <w:sz w:val="20"/>
        </w:rPr>
      </w:pPr>
    </w:p>
    <w:p w:rsidR="00C94806" w:rsidRDefault="00C94806" w:rsidP="001E141A">
      <w:pPr>
        <w:rPr>
          <w:i/>
          <w:sz w:val="20"/>
        </w:rPr>
      </w:pPr>
    </w:p>
    <w:p w:rsidR="00C94806" w:rsidRDefault="00C94806" w:rsidP="001E141A">
      <w:pPr>
        <w:rPr>
          <w:i/>
          <w:sz w:val="20"/>
        </w:rPr>
      </w:pPr>
    </w:p>
    <w:p w:rsidR="00C94806" w:rsidRDefault="00C94806" w:rsidP="001E141A">
      <w:pPr>
        <w:rPr>
          <w:i/>
          <w:sz w:val="20"/>
        </w:rPr>
      </w:pPr>
    </w:p>
    <w:tbl>
      <w:tblPr>
        <w:tblStyle w:val="TableGrid"/>
        <w:tblW w:w="0" w:type="auto"/>
        <w:tblBorders>
          <w:bottom w:val="none" w:sz="0" w:space="0" w:color="auto"/>
        </w:tblBorders>
        <w:tblLayout w:type="fixed"/>
        <w:tblCellMar>
          <w:left w:w="113" w:type="dxa"/>
          <w:right w:w="113" w:type="dxa"/>
        </w:tblCellMar>
        <w:tblLook w:val="0600" w:firstRow="0" w:lastRow="0" w:firstColumn="0" w:lastColumn="0" w:noHBand="1" w:noVBand="1"/>
      </w:tblPr>
      <w:tblGrid>
        <w:gridCol w:w="4082"/>
        <w:gridCol w:w="709"/>
        <w:gridCol w:w="4349"/>
      </w:tblGrid>
      <w:tr w:rsidR="00C94806" w:rsidTr="001D2117">
        <w:trPr>
          <w:trHeight w:val="1223"/>
        </w:trPr>
        <w:tc>
          <w:tcPr>
            <w:tcW w:w="4082" w:type="dxa"/>
          </w:tcPr>
          <w:p w:rsidR="00C94806" w:rsidRPr="002868CD" w:rsidRDefault="00C94806" w:rsidP="001D2117">
            <w:pPr>
              <w:pStyle w:val="Note"/>
              <w:pBdr>
                <w:top w:val="single" w:sz="6" w:space="1" w:color="004EA8" w:themeColor="accent2"/>
                <w:bottom w:val="single" w:sz="6" w:space="1" w:color="004EA8" w:themeColor="accent2"/>
              </w:pBdr>
              <w:rPr>
                <w:color w:val="004EA8" w:themeColor="accent2"/>
              </w:rPr>
            </w:pPr>
            <w:r w:rsidRPr="002868CD">
              <w:rPr>
                <w:b/>
                <w:color w:val="004EA8" w:themeColor="accent2"/>
              </w:rPr>
              <w:t xml:space="preserve">Disclaimer: </w:t>
            </w:r>
            <w:r w:rsidRPr="002868CD">
              <w:rPr>
                <w:color w:val="004EA8" w:themeColor="accent2"/>
              </w:rPr>
              <w:t>No responsibility is taken for any action(s) taken on the basis of information contained in this Newsletter nor for any errors or omissions in that information.</w:t>
            </w:r>
          </w:p>
        </w:tc>
        <w:tc>
          <w:tcPr>
            <w:tcW w:w="709" w:type="dxa"/>
            <w:vMerge w:val="restart"/>
            <w:vAlign w:val="bottom"/>
          </w:tcPr>
          <w:p w:rsidR="00C94806" w:rsidRDefault="00C94806" w:rsidP="001D2117">
            <w:pPr>
              <w:pStyle w:val="Note"/>
            </w:pPr>
          </w:p>
        </w:tc>
        <w:tc>
          <w:tcPr>
            <w:tcW w:w="4349" w:type="dxa"/>
            <w:vMerge w:val="restart"/>
            <w:vAlign w:val="bottom"/>
          </w:tcPr>
          <w:p w:rsidR="00C94806" w:rsidRDefault="00C94806" w:rsidP="001D2117">
            <w:pPr>
              <w:pStyle w:val="Note"/>
            </w:pPr>
            <w:r w:rsidRPr="000C21C3">
              <w:rPr>
                <w:noProof/>
                <w:lang w:eastAsia="en-AU"/>
              </w:rPr>
              <w:drawing>
                <wp:inline distT="0" distB="0" distL="0" distR="0" wp14:anchorId="172E8F7E" wp14:editId="70438121">
                  <wp:extent cx="1117460" cy="393651"/>
                  <wp:effectExtent l="0" t="0" r="6985" b="6985"/>
                  <wp:docPr id="13" name="Picture 1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16">
                            <a:extLst>
                              <a:ext uri="{28A0092B-C50C-407E-A947-70E740481C1C}">
                                <a14:useLocalDpi xmlns:a14="http://schemas.microsoft.com/office/drawing/2010/main" val="0"/>
                              </a:ext>
                            </a:extLst>
                          </a:blip>
                          <a:stretch>
                            <a:fillRect/>
                          </a:stretch>
                        </pic:blipFill>
                        <pic:spPr>
                          <a:xfrm>
                            <a:off x="0" y="0"/>
                            <a:ext cx="1117460" cy="393651"/>
                          </a:xfrm>
                          <a:prstGeom prst="rect">
                            <a:avLst/>
                          </a:prstGeom>
                        </pic:spPr>
                      </pic:pic>
                    </a:graphicData>
                  </a:graphic>
                </wp:inline>
              </w:drawing>
            </w:r>
          </w:p>
          <w:p w:rsidR="00C94806" w:rsidRDefault="00C94806" w:rsidP="001D2117">
            <w:pPr>
              <w:pStyle w:val="Note"/>
            </w:pPr>
            <w:r w:rsidRPr="00382510">
              <w:t xml:space="preserve">You are free to re-use this work under a Creative Commons Attribution 4.0 licence, provided you credit the State of Victoria (Department of Treasury and Finance) as author, indicate if changes were made and comply with the other licence terms. </w:t>
            </w:r>
            <w:r>
              <w:br/>
            </w:r>
            <w:r w:rsidRPr="00382510">
              <w:t>The licence does not apply to any branding, including Government logos.</w:t>
            </w:r>
          </w:p>
        </w:tc>
      </w:tr>
      <w:tr w:rsidR="00C94806" w:rsidTr="001D2117">
        <w:trPr>
          <w:trHeight w:val="1222"/>
        </w:trPr>
        <w:tc>
          <w:tcPr>
            <w:tcW w:w="4082" w:type="dxa"/>
            <w:vAlign w:val="bottom"/>
          </w:tcPr>
          <w:p w:rsidR="00C94806" w:rsidRDefault="00C94806" w:rsidP="001D2117">
            <w:pPr>
              <w:pStyle w:val="Note"/>
            </w:pPr>
            <w:r w:rsidRPr="00382510">
              <w:t>© State of Victoria 2016</w:t>
            </w:r>
          </w:p>
          <w:p w:rsidR="00C94806" w:rsidRPr="00382510" w:rsidRDefault="00C94806" w:rsidP="001D2117">
            <w:pPr>
              <w:pStyle w:val="Note"/>
              <w:spacing w:line="312" w:lineRule="auto"/>
            </w:pPr>
            <w:r w:rsidRPr="00382510">
              <w:t>Copyright queries may be directed to IPpolicy@dtf.vic.gov.au.</w:t>
            </w:r>
          </w:p>
        </w:tc>
        <w:tc>
          <w:tcPr>
            <w:tcW w:w="709" w:type="dxa"/>
            <w:vMerge/>
            <w:vAlign w:val="bottom"/>
          </w:tcPr>
          <w:p w:rsidR="00C94806" w:rsidRDefault="00C94806" w:rsidP="001D2117">
            <w:pPr>
              <w:pStyle w:val="Note"/>
            </w:pPr>
          </w:p>
        </w:tc>
        <w:tc>
          <w:tcPr>
            <w:tcW w:w="4349" w:type="dxa"/>
            <w:vMerge/>
            <w:vAlign w:val="bottom"/>
          </w:tcPr>
          <w:p w:rsidR="00C94806" w:rsidRPr="000C21C3" w:rsidRDefault="00C94806" w:rsidP="001D2117">
            <w:pPr>
              <w:pStyle w:val="Note"/>
              <w:rPr>
                <w:noProof/>
                <w:lang w:eastAsia="en-AU"/>
              </w:rPr>
            </w:pPr>
          </w:p>
        </w:tc>
      </w:tr>
    </w:tbl>
    <w:p w:rsidR="00C94806" w:rsidRPr="00D17E6E" w:rsidRDefault="00C94806" w:rsidP="001E141A">
      <w:pPr>
        <w:rPr>
          <w:i/>
          <w:sz w:val="20"/>
        </w:rPr>
        <w:sectPr w:rsidR="00C94806" w:rsidRPr="00D17E6E" w:rsidSect="00D17E6E">
          <w:type w:val="continuous"/>
          <w:pgSz w:w="11906" w:h="16838" w:code="9"/>
          <w:pgMar w:top="964" w:right="1134" w:bottom="794" w:left="1134" w:header="709" w:footer="567" w:gutter="0"/>
          <w:cols w:space="567"/>
          <w:docGrid w:linePitch="360"/>
        </w:sectPr>
      </w:pPr>
    </w:p>
    <w:p w:rsidR="001D2117" w:rsidRDefault="001D2117" w:rsidP="001D2117">
      <w:pPr>
        <w:pStyle w:val="Caption"/>
        <w:rPr>
          <w:i/>
        </w:rPr>
        <w:sectPr w:rsidR="001D2117" w:rsidSect="001D2117">
          <w:footerReference w:type="default" r:id="rId17"/>
          <w:type w:val="continuous"/>
          <w:pgSz w:w="11906" w:h="16838" w:code="9"/>
          <w:pgMar w:top="1134" w:right="1021" w:bottom="1440" w:left="1134" w:header="709" w:footer="567" w:gutter="0"/>
          <w:cols w:space="708"/>
          <w:docGrid w:linePitch="360"/>
        </w:sectPr>
      </w:pPr>
    </w:p>
    <w:p w:rsidR="0023586C" w:rsidRPr="007F677F" w:rsidRDefault="0023586C" w:rsidP="001D2117">
      <w:pPr>
        <w:pStyle w:val="Caption"/>
        <w:rPr>
          <w:i/>
        </w:rPr>
      </w:pPr>
    </w:p>
    <w:sectPr w:rsidR="0023586C" w:rsidRPr="007F677F" w:rsidSect="001D2117">
      <w:type w:val="continuous"/>
      <w:pgSz w:w="11906" w:h="16838" w:code="9"/>
      <w:pgMar w:top="1134" w:right="1021" w:bottom="1440"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6DC" w:rsidRDefault="00C416DC" w:rsidP="001E7D0D">
      <w:pPr>
        <w:spacing w:after="0" w:line="240" w:lineRule="auto"/>
      </w:pPr>
      <w:r>
        <w:separator/>
      </w:r>
    </w:p>
  </w:endnote>
  <w:endnote w:type="continuationSeparator" w:id="0">
    <w:p w:rsidR="00C416DC" w:rsidRDefault="00C416DC" w:rsidP="001E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229" w:rsidRPr="00BC672F" w:rsidRDefault="00BC672F" w:rsidP="00474854">
    <w:pPr>
      <w:pStyle w:val="Footer"/>
      <w:rPr>
        <w:rStyle w:val="PageNumber"/>
      </w:rPr>
    </w:pPr>
    <w:r>
      <w:rPr>
        <w:noProof/>
        <w:lang w:eastAsia="en-AU"/>
      </w:rPr>
      <mc:AlternateContent>
        <mc:Choice Requires="wps">
          <w:drawing>
            <wp:anchor distT="0" distB="0" distL="114300" distR="114300" simplePos="0" relativeHeight="251670528" behindDoc="1" locked="0" layoutInCell="1" allowOverlap="1" wp14:anchorId="5F18615F" wp14:editId="455C4F88">
              <wp:simplePos x="0" y="0"/>
              <wp:positionH relativeFrom="column">
                <wp:posOffset>5868670</wp:posOffset>
              </wp:positionH>
              <wp:positionV relativeFrom="paragraph">
                <wp:posOffset>-1368425</wp:posOffset>
              </wp:positionV>
              <wp:extent cx="3085200" cy="2127600"/>
              <wp:effectExtent l="0" t="0" r="1270" b="6350"/>
              <wp:wrapNone/>
              <wp:docPr id="7" name="Trapezoid 7"/>
              <wp:cNvGraphicFramePr/>
              <a:graphic xmlns:a="http://schemas.openxmlformats.org/drawingml/2006/main">
                <a:graphicData uri="http://schemas.microsoft.com/office/word/2010/wordprocessingShape">
                  <wps:wsp>
                    <wps:cNvSpPr/>
                    <wps:spPr>
                      <a:xfrm>
                        <a:off x="0" y="0"/>
                        <a:ext cx="3085200" cy="2127600"/>
                      </a:xfrm>
                      <a:prstGeom prst="trapezoid">
                        <a:avLst>
                          <a:gd name="adj" fmla="val 46792"/>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apezoid 7" o:spid="_x0000_s1026" style="position:absolute;margin-left:462.1pt;margin-top:-107.75pt;width:242.95pt;height:167.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85200,212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" path="m,2127600l995547,,2089653,r995547,2127600l,2127600xe" fillcolor="#53565a [3215]" stroked="f" strokeweight="2pt">
              <v:path arrowok="t" o:connecttype="custom" o:connectlocs="0,2127600;995547,0;2089653,0;3085200,2127600;0,2127600" o:connectangles="0,0,0,0,0"/>
            </v:shape>
          </w:pict>
        </mc:Fallback>
      </mc:AlternateContent>
    </w:r>
    <w:r w:rsidR="00CF1073">
      <w:tab/>
    </w:r>
    <w:r>
      <w:tab/>
    </w:r>
    <w:r w:rsidRPr="00BC672F">
      <w:rPr>
        <w:rStyle w:val="PageNumber"/>
      </w:rPr>
      <w:fldChar w:fldCharType="begin"/>
    </w:r>
    <w:r w:rsidRPr="00BC672F">
      <w:rPr>
        <w:rStyle w:val="PageNumber"/>
      </w:rPr>
      <w:instrText xml:space="preserve"> PAGE  \* Arabic  \* MERGEFORMAT </w:instrText>
    </w:r>
    <w:r w:rsidRPr="00BC672F">
      <w:rPr>
        <w:rStyle w:val="PageNumber"/>
      </w:rPr>
      <w:fldChar w:fldCharType="separate"/>
    </w:r>
    <w:r w:rsidR="00897180">
      <w:rPr>
        <w:rStyle w:val="PageNumber"/>
        <w:noProof/>
      </w:rPr>
      <w:t>1</w:t>
    </w:r>
    <w:r w:rsidRPr="00BC672F">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806" w:rsidRPr="00BC672F" w:rsidRDefault="00C94806" w:rsidP="00474854">
    <w:pPr>
      <w:pStyle w:val="Footer"/>
      <w:rPr>
        <w:rStyle w:val="PageNumber"/>
      </w:rPr>
    </w:pPr>
    <w:r>
      <w:rPr>
        <w:noProof/>
        <w:lang w:eastAsia="en-AU"/>
      </w:rPr>
      <mc:AlternateContent>
        <mc:Choice Requires="wps">
          <w:drawing>
            <wp:anchor distT="0" distB="0" distL="114300" distR="114300" simplePos="0" relativeHeight="251695104" behindDoc="1" locked="0" layoutInCell="1" allowOverlap="1" wp14:anchorId="1B00993D" wp14:editId="01037E79">
              <wp:simplePos x="0" y="0"/>
              <wp:positionH relativeFrom="column">
                <wp:posOffset>5868670</wp:posOffset>
              </wp:positionH>
              <wp:positionV relativeFrom="paragraph">
                <wp:posOffset>-1368425</wp:posOffset>
              </wp:positionV>
              <wp:extent cx="3085200" cy="2127600"/>
              <wp:effectExtent l="0" t="0" r="1270" b="6350"/>
              <wp:wrapNone/>
              <wp:docPr id="3" name="Trapezoid 3"/>
              <wp:cNvGraphicFramePr/>
              <a:graphic xmlns:a="http://schemas.openxmlformats.org/drawingml/2006/main">
                <a:graphicData uri="http://schemas.microsoft.com/office/word/2010/wordprocessingShape">
                  <wps:wsp>
                    <wps:cNvSpPr/>
                    <wps:spPr>
                      <a:xfrm>
                        <a:off x="0" y="0"/>
                        <a:ext cx="3085200" cy="2127600"/>
                      </a:xfrm>
                      <a:prstGeom prst="trapezoid">
                        <a:avLst>
                          <a:gd name="adj" fmla="val 46792"/>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apezoid 3" o:spid="_x0000_s1026" style="position:absolute;margin-left:462.1pt;margin-top:-107.75pt;width:242.95pt;height:167.5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85200,212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" path="m,2127600l995547,,2089653,r995547,2127600l,2127600xe" fillcolor="#53565a [3215]" stroked="f" strokeweight="2pt">
              <v:path arrowok="t" o:connecttype="custom" o:connectlocs="0,2127600;995547,0;2089653,0;3085200,2127600;0,2127600" o:connectangles="0,0,0,0,0"/>
            </v:shape>
          </w:pict>
        </mc:Fallback>
      </mc:AlternateContent>
    </w:r>
    <w:r>
      <w:tab/>
    </w:r>
    <w:r>
      <w:tab/>
    </w:r>
    <w:r w:rsidRPr="00BC672F">
      <w:rPr>
        <w:rStyle w:val="PageNumber"/>
      </w:rPr>
      <w:fldChar w:fldCharType="begin"/>
    </w:r>
    <w:r w:rsidRPr="00BC672F">
      <w:rPr>
        <w:rStyle w:val="PageNumber"/>
      </w:rPr>
      <w:instrText xml:space="preserve"> PAGE  \* Arabic  \* MERGEFORMAT </w:instrText>
    </w:r>
    <w:r w:rsidRPr="00BC672F">
      <w:rPr>
        <w:rStyle w:val="PageNumber"/>
      </w:rPr>
      <w:fldChar w:fldCharType="separate"/>
    </w:r>
    <w:r w:rsidR="00897180">
      <w:rPr>
        <w:rStyle w:val="PageNumber"/>
        <w:noProof/>
      </w:rPr>
      <w:t>2</w:t>
    </w:r>
    <w:r w:rsidRPr="00BC672F">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B8C" w:rsidRDefault="00BA6B8C"/>
  <w:p w:rsidR="00D02311" w:rsidRPr="00BA6B8C" w:rsidRDefault="00D02311" w:rsidP="00474854">
    <w:pPr>
      <w:pStyle w:val="Footer"/>
      <w:rPr>
        <w:rStyle w:val="PageNumber"/>
      </w:rPr>
    </w:pPr>
    <w:r w:rsidRPr="00BA6B8C">
      <w:rPr>
        <w:rStyle w:val="PageNumber"/>
      </w:rPr>
      <w:tab/>
    </w:r>
    <w:r w:rsidRPr="00BA6B8C">
      <w:rPr>
        <w:rStyle w:val="PageNumber"/>
      </w:rPr>
      <w:tab/>
    </w:r>
    <w:r w:rsidRPr="00BA6B8C">
      <w:rPr>
        <w:rStyle w:val="PageNumber"/>
      </w:rPr>
      <w:fldChar w:fldCharType="begin"/>
    </w:r>
    <w:r w:rsidRPr="00BA6B8C">
      <w:rPr>
        <w:rStyle w:val="PageNumber"/>
      </w:rPr>
      <w:instrText xml:space="preserve"> PAGE  \* Arabic  \* MERGEFORMAT </w:instrText>
    </w:r>
    <w:r w:rsidRPr="00BA6B8C">
      <w:rPr>
        <w:rStyle w:val="PageNumber"/>
      </w:rPr>
      <w:fldChar w:fldCharType="separate"/>
    </w:r>
    <w:r w:rsidR="001D2117">
      <w:rPr>
        <w:rStyle w:val="PageNumber"/>
        <w:noProof/>
      </w:rPr>
      <w:t>4</w:t>
    </w:r>
    <w:r w:rsidRPr="00BA6B8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6DC" w:rsidRDefault="00C416DC" w:rsidP="001E7D0D">
      <w:pPr>
        <w:spacing w:after="0" w:line="240" w:lineRule="auto"/>
      </w:pPr>
      <w:r>
        <w:separator/>
      </w:r>
    </w:p>
  </w:footnote>
  <w:footnote w:type="continuationSeparator" w:id="0">
    <w:p w:rsidR="00C416DC" w:rsidRDefault="00C416DC" w:rsidP="001E7D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DA2" w:rsidRPr="00575F8D" w:rsidRDefault="00381C44" w:rsidP="00440C3A">
    <w:pPr>
      <w:pStyle w:val="Header"/>
    </w:pPr>
    <w:r w:rsidRPr="00440C3A">
      <w:rPr>
        <w:smallCaps/>
        <w:noProof/>
        <w:lang w:eastAsia="en-AU"/>
      </w:rPr>
      <mc:AlternateContent>
        <mc:Choice Requires="wps">
          <w:drawing>
            <wp:anchor distT="0" distB="0" distL="114300" distR="114300" simplePos="0" relativeHeight="251681792" behindDoc="1" locked="0" layoutInCell="1" allowOverlap="1" wp14:anchorId="4D8964E4" wp14:editId="2AF05B24">
              <wp:simplePos x="0" y="0"/>
              <wp:positionH relativeFrom="column">
                <wp:posOffset>-921385</wp:posOffset>
              </wp:positionH>
              <wp:positionV relativeFrom="paragraph">
                <wp:posOffset>-473710</wp:posOffset>
              </wp:positionV>
              <wp:extent cx="6614160" cy="2933700"/>
              <wp:effectExtent l="0" t="0" r="0" b="0"/>
              <wp:wrapNone/>
              <wp:docPr id="2" name="Rectangle 2"/>
              <wp:cNvGraphicFramePr/>
              <a:graphic xmlns:a="http://schemas.openxmlformats.org/drawingml/2006/main">
                <a:graphicData uri="http://schemas.microsoft.com/office/word/2010/wordprocessingShape">
                  <wps:wsp>
                    <wps:cNvSpPr/>
                    <wps:spPr>
                      <a:xfrm>
                        <a:off x="0" y="0"/>
                        <a:ext cx="6614160" cy="29337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72.55pt;margin-top:-37.3pt;width:520.8pt;height:23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" fillcolor="#201547 [3204]" stroked="f" strokeweight="2pt"/>
          </w:pict>
        </mc:Fallback>
      </mc:AlternateContent>
    </w:r>
    <w:r w:rsidR="004B3EB7" w:rsidRPr="00440C3A">
      <w:rPr>
        <w:smallCaps/>
        <w:noProof/>
        <w:lang w:eastAsia="en-AU"/>
      </w:rPr>
      <mc:AlternateContent>
        <mc:Choice Requires="wps">
          <w:drawing>
            <wp:anchor distT="0" distB="0" distL="114300" distR="114300" simplePos="0" relativeHeight="251691008" behindDoc="0" locked="0" layoutInCell="1" allowOverlap="1" wp14:anchorId="61E54586" wp14:editId="33A91087">
              <wp:simplePos x="0" y="0"/>
              <wp:positionH relativeFrom="column">
                <wp:posOffset>4003040</wp:posOffset>
              </wp:positionH>
              <wp:positionV relativeFrom="paragraph">
                <wp:posOffset>-743585</wp:posOffset>
              </wp:positionV>
              <wp:extent cx="6523355" cy="3206115"/>
              <wp:effectExtent l="0" t="0" r="0" b="0"/>
              <wp:wrapNone/>
              <wp:docPr id="5" name="Trapezoid 5"/>
              <wp:cNvGraphicFramePr/>
              <a:graphic xmlns:a="http://schemas.openxmlformats.org/drawingml/2006/main">
                <a:graphicData uri="http://schemas.microsoft.com/office/word/2010/wordprocessingShape">
                  <wps:wsp>
                    <wps:cNvSpPr/>
                    <wps:spPr>
                      <a:xfrm>
                        <a:off x="0" y="0"/>
                        <a:ext cx="6523355" cy="3206115"/>
                      </a:xfrm>
                      <a:prstGeom prst="trapezoid">
                        <a:avLst>
                          <a:gd name="adj" fmla="val 46792"/>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apezoid 5" o:spid="_x0000_s1026" style="position:absolute;margin-left:315.2pt;margin-top:-58.55pt;width:513.65pt;height:252.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523355,320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" path="m,3206115l1500205,,5023150,,6523355,3206115,,3206115xe" fillcolor="#0072ce [3206]" stroked="f" strokeweight="2pt">
              <v:path arrowok="t" o:connecttype="custom" o:connectlocs="0,3206115;1500205,0;5023150,0;6523355,3206115;0,3206115" o:connectangles="0,0,0,0,0"/>
            </v:shape>
          </w:pict>
        </mc:Fallback>
      </mc:AlternateContent>
    </w:r>
    <w:r w:rsidR="004B3EB7" w:rsidRPr="00440C3A">
      <w:rPr>
        <w:smallCaps/>
        <w:noProof/>
        <w:lang w:eastAsia="en-AU"/>
      </w:rPr>
      <w:drawing>
        <wp:anchor distT="0" distB="0" distL="114300" distR="114300" simplePos="0" relativeHeight="251693056" behindDoc="0" locked="0" layoutInCell="1" allowOverlap="1" wp14:anchorId="77EBE5A1" wp14:editId="2FD5427B">
          <wp:simplePos x="0" y="0"/>
          <wp:positionH relativeFrom="column">
            <wp:posOffset>4679789</wp:posOffset>
          </wp:positionH>
          <wp:positionV relativeFrom="paragraph">
            <wp:posOffset>69850</wp:posOffset>
          </wp:positionV>
          <wp:extent cx="1567180" cy="467995"/>
          <wp:effectExtent l="0" t="0" r="0" b="8255"/>
          <wp:wrapNone/>
          <wp:docPr id="4" name="Picture 4" descr="T:\Corpcom_CSS\COMMUNICATIONS\Logos and branding\Brand Victoria logos DTF\Victoria State Government DTF\Victoria State Gov DTF right aligned\png\Victoria State Gov DTF right reverse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orpcom_CSS\COMMUNICATIONS\Logos and branding\Brand Victoria logos DTF\Victoria State Government DTF\Victoria State Gov DTF right aligned\png\Victoria State Gov DTF right reverse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718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440C3A" w:rsidRPr="00440C3A">
      <w:rPr>
        <w:smallCaps/>
      </w:rPr>
      <w:t>ECONOMIC</w:t>
    </w:r>
    <w:r w:rsidR="00440C3A">
      <w:br/>
    </w:r>
    <w:r w:rsidR="00440C3A" w:rsidRPr="00053F71">
      <w:rPr>
        <w:b w:val="0"/>
        <w:sz w:val="56"/>
      </w:rPr>
      <w:t>UPDATE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07C" w:rsidRPr="003E507C" w:rsidRDefault="003E507C" w:rsidP="002F5D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32250"/>
    <w:multiLevelType w:val="multilevel"/>
    <w:tmpl w:val="DA6E3D5C"/>
    <w:numStyleLink w:val="Highlightbulletstyle"/>
  </w:abstractNum>
  <w:abstractNum w:abstractNumId="1">
    <w:nsid w:val="63D10536"/>
    <w:multiLevelType w:val="multilevel"/>
    <w:tmpl w:val="DA6E3D5C"/>
    <w:styleLink w:val="Highlightbulletstyle"/>
    <w:lvl w:ilvl="0">
      <w:start w:val="1"/>
      <w:numFmt w:val="bullet"/>
      <w:pStyle w:val="Bullet-highlight"/>
      <w:lvlText w:val="►"/>
      <w:lvlJc w:val="left"/>
      <w:pPr>
        <w:ind w:left="284" w:hanging="284"/>
      </w:pPr>
      <w:rPr>
        <w:rFonts w:ascii="Arial" w:hAnsi="Arial" w:hint="default"/>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74065935"/>
    <w:multiLevelType w:val="multilevel"/>
    <w:tmpl w:val="DA6E3D5C"/>
    <w:numStyleLink w:val="Highlightbulletstyle"/>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CBD"/>
    <w:rsid w:val="000037BC"/>
    <w:rsid w:val="000160BC"/>
    <w:rsid w:val="00027A5D"/>
    <w:rsid w:val="00033485"/>
    <w:rsid w:val="00044907"/>
    <w:rsid w:val="00047DD7"/>
    <w:rsid w:val="00053341"/>
    <w:rsid w:val="00053F71"/>
    <w:rsid w:val="00061229"/>
    <w:rsid w:val="00062BCA"/>
    <w:rsid w:val="00063D5E"/>
    <w:rsid w:val="00065923"/>
    <w:rsid w:val="000660AA"/>
    <w:rsid w:val="000720FA"/>
    <w:rsid w:val="000A3879"/>
    <w:rsid w:val="000A3DE5"/>
    <w:rsid w:val="000A6218"/>
    <w:rsid w:val="000D50FF"/>
    <w:rsid w:val="000D517F"/>
    <w:rsid w:val="000D7E75"/>
    <w:rsid w:val="000E1FFA"/>
    <w:rsid w:val="000E5E7D"/>
    <w:rsid w:val="000F2FBA"/>
    <w:rsid w:val="00103711"/>
    <w:rsid w:val="001372E4"/>
    <w:rsid w:val="001428A1"/>
    <w:rsid w:val="00155E50"/>
    <w:rsid w:val="00181D8E"/>
    <w:rsid w:val="001A179F"/>
    <w:rsid w:val="001B0E91"/>
    <w:rsid w:val="001B35BD"/>
    <w:rsid w:val="001D0F0C"/>
    <w:rsid w:val="001D1AB4"/>
    <w:rsid w:val="001D2117"/>
    <w:rsid w:val="001D432C"/>
    <w:rsid w:val="001E141A"/>
    <w:rsid w:val="001E7D0D"/>
    <w:rsid w:val="00200D1F"/>
    <w:rsid w:val="00202582"/>
    <w:rsid w:val="0022157A"/>
    <w:rsid w:val="00222DFE"/>
    <w:rsid w:val="0023586C"/>
    <w:rsid w:val="00245E95"/>
    <w:rsid w:val="00261D70"/>
    <w:rsid w:val="002868CD"/>
    <w:rsid w:val="002B0039"/>
    <w:rsid w:val="002B6763"/>
    <w:rsid w:val="002D2638"/>
    <w:rsid w:val="002E5AB4"/>
    <w:rsid w:val="002E73F4"/>
    <w:rsid w:val="002F5DE2"/>
    <w:rsid w:val="00306D76"/>
    <w:rsid w:val="003540A1"/>
    <w:rsid w:val="00380DA2"/>
    <w:rsid w:val="00381C44"/>
    <w:rsid w:val="00381E61"/>
    <w:rsid w:val="00382510"/>
    <w:rsid w:val="003831AB"/>
    <w:rsid w:val="003844EC"/>
    <w:rsid w:val="003902A0"/>
    <w:rsid w:val="00394456"/>
    <w:rsid w:val="003A0F37"/>
    <w:rsid w:val="003A3175"/>
    <w:rsid w:val="003A3AD2"/>
    <w:rsid w:val="003A65EF"/>
    <w:rsid w:val="003E507C"/>
    <w:rsid w:val="0040561C"/>
    <w:rsid w:val="0041092A"/>
    <w:rsid w:val="00412B93"/>
    <w:rsid w:val="004248E2"/>
    <w:rsid w:val="00435687"/>
    <w:rsid w:val="00436846"/>
    <w:rsid w:val="00440C3A"/>
    <w:rsid w:val="00443FD2"/>
    <w:rsid w:val="00450F23"/>
    <w:rsid w:val="00453A5E"/>
    <w:rsid w:val="00453CBD"/>
    <w:rsid w:val="00454BCC"/>
    <w:rsid w:val="00455CCF"/>
    <w:rsid w:val="00466052"/>
    <w:rsid w:val="00466CDB"/>
    <w:rsid w:val="0047038E"/>
    <w:rsid w:val="00474854"/>
    <w:rsid w:val="00484190"/>
    <w:rsid w:val="00494A89"/>
    <w:rsid w:val="004A60F4"/>
    <w:rsid w:val="004B3EB7"/>
    <w:rsid w:val="004B6E36"/>
    <w:rsid w:val="004C630F"/>
    <w:rsid w:val="004D34CD"/>
    <w:rsid w:val="004D582C"/>
    <w:rsid w:val="004E06F1"/>
    <w:rsid w:val="004F7193"/>
    <w:rsid w:val="00506EEE"/>
    <w:rsid w:val="00521BA8"/>
    <w:rsid w:val="00521F88"/>
    <w:rsid w:val="00523A27"/>
    <w:rsid w:val="005318CE"/>
    <w:rsid w:val="005325F0"/>
    <w:rsid w:val="00537EC6"/>
    <w:rsid w:val="00561537"/>
    <w:rsid w:val="00575F8D"/>
    <w:rsid w:val="005859E0"/>
    <w:rsid w:val="005A312B"/>
    <w:rsid w:val="005B6236"/>
    <w:rsid w:val="005C5FE2"/>
    <w:rsid w:val="005E2185"/>
    <w:rsid w:val="005E4620"/>
    <w:rsid w:val="005E64C4"/>
    <w:rsid w:val="0060422F"/>
    <w:rsid w:val="006068E2"/>
    <w:rsid w:val="00606BF1"/>
    <w:rsid w:val="00607271"/>
    <w:rsid w:val="006135AB"/>
    <w:rsid w:val="006375DD"/>
    <w:rsid w:val="0064291B"/>
    <w:rsid w:val="00643BE0"/>
    <w:rsid w:val="00652783"/>
    <w:rsid w:val="00655B24"/>
    <w:rsid w:val="006619C8"/>
    <w:rsid w:val="00664763"/>
    <w:rsid w:val="00666ED0"/>
    <w:rsid w:val="00670790"/>
    <w:rsid w:val="00670E78"/>
    <w:rsid w:val="00675585"/>
    <w:rsid w:val="006842C6"/>
    <w:rsid w:val="0068446F"/>
    <w:rsid w:val="0069059D"/>
    <w:rsid w:val="006A1032"/>
    <w:rsid w:val="006A7ABD"/>
    <w:rsid w:val="006C6503"/>
    <w:rsid w:val="006D2C01"/>
    <w:rsid w:val="006E06AD"/>
    <w:rsid w:val="006E0DF0"/>
    <w:rsid w:val="006E3ABA"/>
    <w:rsid w:val="006F3B8C"/>
    <w:rsid w:val="00700502"/>
    <w:rsid w:val="00705025"/>
    <w:rsid w:val="00721ED1"/>
    <w:rsid w:val="00726551"/>
    <w:rsid w:val="007347B8"/>
    <w:rsid w:val="0075117C"/>
    <w:rsid w:val="00751643"/>
    <w:rsid w:val="007A139F"/>
    <w:rsid w:val="007C7BE7"/>
    <w:rsid w:val="007D6F02"/>
    <w:rsid w:val="007E6072"/>
    <w:rsid w:val="007F677F"/>
    <w:rsid w:val="00802FB2"/>
    <w:rsid w:val="00803E2C"/>
    <w:rsid w:val="00816160"/>
    <w:rsid w:val="00820021"/>
    <w:rsid w:val="00833B24"/>
    <w:rsid w:val="00833E9D"/>
    <w:rsid w:val="0083514C"/>
    <w:rsid w:val="008406AA"/>
    <w:rsid w:val="008660A0"/>
    <w:rsid w:val="00874CD5"/>
    <w:rsid w:val="008926D2"/>
    <w:rsid w:val="0089514C"/>
    <w:rsid w:val="00897180"/>
    <w:rsid w:val="008D47BD"/>
    <w:rsid w:val="008D7232"/>
    <w:rsid w:val="008E215E"/>
    <w:rsid w:val="008F253E"/>
    <w:rsid w:val="00904A36"/>
    <w:rsid w:val="00917DA7"/>
    <w:rsid w:val="0092123B"/>
    <w:rsid w:val="009379B3"/>
    <w:rsid w:val="009506AF"/>
    <w:rsid w:val="00961DC4"/>
    <w:rsid w:val="00965986"/>
    <w:rsid w:val="0096692A"/>
    <w:rsid w:val="00967403"/>
    <w:rsid w:val="00980269"/>
    <w:rsid w:val="009A3026"/>
    <w:rsid w:val="009A39A9"/>
    <w:rsid w:val="009A5772"/>
    <w:rsid w:val="009A5CE0"/>
    <w:rsid w:val="009B0BE4"/>
    <w:rsid w:val="009C533E"/>
    <w:rsid w:val="009D35B5"/>
    <w:rsid w:val="009E176B"/>
    <w:rsid w:val="009E3C8A"/>
    <w:rsid w:val="009E654E"/>
    <w:rsid w:val="00A05497"/>
    <w:rsid w:val="00A05F37"/>
    <w:rsid w:val="00A07DFA"/>
    <w:rsid w:val="00A2697F"/>
    <w:rsid w:val="00A27B08"/>
    <w:rsid w:val="00A4205F"/>
    <w:rsid w:val="00A54258"/>
    <w:rsid w:val="00A67716"/>
    <w:rsid w:val="00A7050A"/>
    <w:rsid w:val="00A96140"/>
    <w:rsid w:val="00AA68F7"/>
    <w:rsid w:val="00AD0968"/>
    <w:rsid w:val="00AE310A"/>
    <w:rsid w:val="00AE7AF7"/>
    <w:rsid w:val="00B23E2F"/>
    <w:rsid w:val="00B56DF5"/>
    <w:rsid w:val="00B7051C"/>
    <w:rsid w:val="00B75088"/>
    <w:rsid w:val="00B7562B"/>
    <w:rsid w:val="00B81689"/>
    <w:rsid w:val="00B97E06"/>
    <w:rsid w:val="00BA1124"/>
    <w:rsid w:val="00BA2604"/>
    <w:rsid w:val="00BA6B8C"/>
    <w:rsid w:val="00BB032A"/>
    <w:rsid w:val="00BB0BF9"/>
    <w:rsid w:val="00BB5CEC"/>
    <w:rsid w:val="00BC0DCB"/>
    <w:rsid w:val="00BC672F"/>
    <w:rsid w:val="00BC6868"/>
    <w:rsid w:val="00BD24EB"/>
    <w:rsid w:val="00BE514B"/>
    <w:rsid w:val="00C3070A"/>
    <w:rsid w:val="00C33630"/>
    <w:rsid w:val="00C416DC"/>
    <w:rsid w:val="00C5427E"/>
    <w:rsid w:val="00C542A9"/>
    <w:rsid w:val="00C60AF1"/>
    <w:rsid w:val="00C71A2D"/>
    <w:rsid w:val="00C86481"/>
    <w:rsid w:val="00C94806"/>
    <w:rsid w:val="00C94ED7"/>
    <w:rsid w:val="00CA3441"/>
    <w:rsid w:val="00CB724D"/>
    <w:rsid w:val="00CE300C"/>
    <w:rsid w:val="00CE7C75"/>
    <w:rsid w:val="00CF1073"/>
    <w:rsid w:val="00CF74BB"/>
    <w:rsid w:val="00D00E91"/>
    <w:rsid w:val="00D02311"/>
    <w:rsid w:val="00D12950"/>
    <w:rsid w:val="00D17E6E"/>
    <w:rsid w:val="00D30EAC"/>
    <w:rsid w:val="00D33EEA"/>
    <w:rsid w:val="00D44DBB"/>
    <w:rsid w:val="00D5133B"/>
    <w:rsid w:val="00D82C20"/>
    <w:rsid w:val="00D847A0"/>
    <w:rsid w:val="00D95B60"/>
    <w:rsid w:val="00DB6329"/>
    <w:rsid w:val="00DF3025"/>
    <w:rsid w:val="00DF6BCF"/>
    <w:rsid w:val="00E022B1"/>
    <w:rsid w:val="00E17CAD"/>
    <w:rsid w:val="00E6390E"/>
    <w:rsid w:val="00E72367"/>
    <w:rsid w:val="00E85299"/>
    <w:rsid w:val="00E8551D"/>
    <w:rsid w:val="00EA41B8"/>
    <w:rsid w:val="00EC2B7E"/>
    <w:rsid w:val="00EC6B00"/>
    <w:rsid w:val="00EE31AA"/>
    <w:rsid w:val="00EE619A"/>
    <w:rsid w:val="00EF50A3"/>
    <w:rsid w:val="00EF6761"/>
    <w:rsid w:val="00F037AF"/>
    <w:rsid w:val="00F11348"/>
    <w:rsid w:val="00F15B4E"/>
    <w:rsid w:val="00F27342"/>
    <w:rsid w:val="00F423C1"/>
    <w:rsid w:val="00F42CD0"/>
    <w:rsid w:val="00F42FC6"/>
    <w:rsid w:val="00F62672"/>
    <w:rsid w:val="00F63F06"/>
    <w:rsid w:val="00F6524B"/>
    <w:rsid w:val="00F6696B"/>
    <w:rsid w:val="00F73FDA"/>
    <w:rsid w:val="00F77CCC"/>
    <w:rsid w:val="00F800ED"/>
    <w:rsid w:val="00F86551"/>
    <w:rsid w:val="00FA27EE"/>
    <w:rsid w:val="00FA31B4"/>
    <w:rsid w:val="00FB78D5"/>
    <w:rsid w:val="00FC46BB"/>
    <w:rsid w:val="00FD2300"/>
    <w:rsid w:val="00FE2CF1"/>
    <w:rsid w:val="00FE4E7A"/>
    <w:rsid w:val="00FE78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pPr>
        <w:spacing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047DD7"/>
  </w:style>
  <w:style w:type="paragraph" w:styleId="Heading1">
    <w:name w:val="heading 1"/>
    <w:basedOn w:val="Normal"/>
    <w:next w:val="Normal"/>
    <w:link w:val="Heading1Char"/>
    <w:uiPriority w:val="9"/>
    <w:qFormat/>
    <w:rsid w:val="00103711"/>
    <w:pPr>
      <w:keepNext/>
      <w:keepLines/>
      <w:spacing w:after="240"/>
      <w:outlineLvl w:val="0"/>
    </w:pPr>
    <w:rPr>
      <w:rFonts w:asciiTheme="majorHAnsi" w:eastAsiaTheme="majorEastAsia" w:hAnsiTheme="majorHAnsi" w:cstheme="majorBidi"/>
      <w:b/>
      <w:bCs/>
      <w:color w:val="201547" w:themeColor="accent1"/>
      <w:sz w:val="32"/>
      <w:szCs w:val="28"/>
    </w:rPr>
  </w:style>
  <w:style w:type="paragraph" w:styleId="Heading2">
    <w:name w:val="heading 2"/>
    <w:basedOn w:val="Heading1"/>
    <w:next w:val="Normal"/>
    <w:link w:val="Heading2Char"/>
    <w:uiPriority w:val="9"/>
    <w:unhideWhenUsed/>
    <w:qFormat/>
    <w:rsid w:val="00BA2604"/>
    <w:pPr>
      <w:outlineLvl w:val="1"/>
    </w:pPr>
    <w:rPr>
      <w:bCs w:val="0"/>
      <w:caps/>
      <w:sz w:val="26"/>
      <w:szCs w:val="26"/>
    </w:rPr>
  </w:style>
  <w:style w:type="paragraph" w:styleId="Heading3">
    <w:name w:val="heading 3"/>
    <w:basedOn w:val="Normal"/>
    <w:next w:val="Normal"/>
    <w:link w:val="Heading3Char"/>
    <w:uiPriority w:val="9"/>
    <w:semiHidden/>
    <w:unhideWhenUsed/>
    <w:qFormat/>
    <w:rsid w:val="008406AA"/>
    <w:pPr>
      <w:keepNext/>
      <w:keepLines/>
      <w:spacing w:before="200" w:after="0"/>
      <w:outlineLvl w:val="2"/>
    </w:pPr>
    <w:rPr>
      <w:rFonts w:asciiTheme="majorHAnsi" w:eastAsiaTheme="majorEastAsia" w:hAnsiTheme="majorHAnsi" w:cstheme="majorBidi"/>
      <w:b/>
      <w:bCs/>
      <w:color w:val="20154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EB7"/>
    <w:pPr>
      <w:tabs>
        <w:tab w:val="center" w:pos="4513"/>
        <w:tab w:val="right" w:pos="9026"/>
      </w:tabs>
      <w:spacing w:before="720" w:after="0" w:line="240" w:lineRule="auto"/>
    </w:pPr>
    <w:rPr>
      <w:b/>
      <w:caps/>
      <w:color w:val="FFFFFF" w:themeColor="background1"/>
      <w:sz w:val="96"/>
    </w:rPr>
  </w:style>
  <w:style w:type="character" w:customStyle="1" w:styleId="HeaderChar">
    <w:name w:val="Header Char"/>
    <w:basedOn w:val="DefaultParagraphFont"/>
    <w:link w:val="Header"/>
    <w:uiPriority w:val="99"/>
    <w:rsid w:val="004B3EB7"/>
    <w:rPr>
      <w:b/>
      <w:caps/>
      <w:color w:val="FFFFFF" w:themeColor="background1"/>
      <w:sz w:val="96"/>
    </w:rPr>
  </w:style>
  <w:style w:type="paragraph" w:styleId="Footer">
    <w:name w:val="footer"/>
    <w:basedOn w:val="Normal"/>
    <w:link w:val="FooterChar"/>
    <w:uiPriority w:val="99"/>
    <w:unhideWhenUsed/>
    <w:rsid w:val="00474854"/>
    <w:pPr>
      <w:tabs>
        <w:tab w:val="center" w:pos="4513"/>
        <w:tab w:val="center" w:pos="10036"/>
      </w:tabs>
      <w:spacing w:after="0" w:line="240" w:lineRule="auto"/>
    </w:pPr>
    <w:rPr>
      <w:sz w:val="20"/>
    </w:rPr>
  </w:style>
  <w:style w:type="character" w:customStyle="1" w:styleId="FooterChar">
    <w:name w:val="Footer Char"/>
    <w:basedOn w:val="DefaultParagraphFont"/>
    <w:link w:val="Footer"/>
    <w:uiPriority w:val="99"/>
    <w:rsid w:val="00474854"/>
    <w:rPr>
      <w:sz w:val="20"/>
    </w:rPr>
  </w:style>
  <w:style w:type="paragraph" w:styleId="BalloonText">
    <w:name w:val="Balloon Text"/>
    <w:basedOn w:val="Normal"/>
    <w:link w:val="BalloonTextChar"/>
    <w:uiPriority w:val="99"/>
    <w:semiHidden/>
    <w:unhideWhenUsed/>
    <w:rsid w:val="001E7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D0D"/>
    <w:rPr>
      <w:rFonts w:ascii="Tahoma" w:hAnsi="Tahoma" w:cs="Tahoma"/>
      <w:sz w:val="16"/>
      <w:szCs w:val="16"/>
    </w:rPr>
  </w:style>
  <w:style w:type="paragraph" w:styleId="Title">
    <w:name w:val="Title"/>
    <w:basedOn w:val="Normal"/>
    <w:next w:val="Normal"/>
    <w:link w:val="TitleChar"/>
    <w:uiPriority w:val="89"/>
    <w:qFormat/>
    <w:rsid w:val="007D6F02"/>
    <w:pPr>
      <w:spacing w:after="240" w:line="240" w:lineRule="auto"/>
      <w:contextualSpacing/>
    </w:pPr>
    <w:rPr>
      <w:rFonts w:asciiTheme="majorHAnsi" w:eastAsiaTheme="majorEastAsia" w:hAnsiTheme="majorHAnsi" w:cstheme="majorBidi"/>
      <w:caps/>
      <w:color w:val="FFFFFF" w:themeColor="background1"/>
      <w:spacing w:val="5"/>
      <w:kern w:val="28"/>
      <w:sz w:val="52"/>
      <w:szCs w:val="52"/>
    </w:rPr>
  </w:style>
  <w:style w:type="character" w:customStyle="1" w:styleId="TitleChar">
    <w:name w:val="Title Char"/>
    <w:basedOn w:val="DefaultParagraphFont"/>
    <w:link w:val="Title"/>
    <w:uiPriority w:val="89"/>
    <w:rsid w:val="007D6F02"/>
    <w:rPr>
      <w:rFonts w:asciiTheme="majorHAnsi" w:eastAsiaTheme="majorEastAsia" w:hAnsiTheme="majorHAnsi" w:cstheme="majorBidi"/>
      <w:caps/>
      <w:color w:val="FFFFFF" w:themeColor="background1"/>
      <w:spacing w:val="5"/>
      <w:kern w:val="28"/>
      <w:sz w:val="52"/>
      <w:szCs w:val="52"/>
    </w:rPr>
  </w:style>
  <w:style w:type="paragraph" w:styleId="Subtitle">
    <w:name w:val="Subtitle"/>
    <w:aliases w:val="Month"/>
    <w:basedOn w:val="Title"/>
    <w:next w:val="Normal"/>
    <w:link w:val="SubtitleChar"/>
    <w:uiPriority w:val="90"/>
    <w:qFormat/>
    <w:rsid w:val="002868CD"/>
    <w:pPr>
      <w:numPr>
        <w:ilvl w:val="1"/>
      </w:numPr>
      <w:spacing w:before="240" w:after="600"/>
      <w:contextualSpacing w:val="0"/>
    </w:pPr>
    <w:rPr>
      <w:iCs/>
      <w:caps w:val="0"/>
      <w:spacing w:val="15"/>
      <w:sz w:val="32"/>
    </w:rPr>
  </w:style>
  <w:style w:type="character" w:customStyle="1" w:styleId="SubtitleChar">
    <w:name w:val="Subtitle Char"/>
    <w:aliases w:val="Month Char"/>
    <w:basedOn w:val="DefaultParagraphFont"/>
    <w:link w:val="Subtitle"/>
    <w:uiPriority w:val="90"/>
    <w:rsid w:val="002868CD"/>
    <w:rPr>
      <w:rFonts w:asciiTheme="majorHAnsi" w:eastAsiaTheme="majorEastAsia" w:hAnsiTheme="majorHAnsi" w:cstheme="majorBidi"/>
      <w:iCs/>
      <w:color w:val="FFFFFF" w:themeColor="background1"/>
      <w:spacing w:val="15"/>
      <w:kern w:val="28"/>
      <w:sz w:val="32"/>
      <w:szCs w:val="52"/>
    </w:rPr>
  </w:style>
  <w:style w:type="character" w:customStyle="1" w:styleId="Heading1Char">
    <w:name w:val="Heading 1 Char"/>
    <w:basedOn w:val="DefaultParagraphFont"/>
    <w:link w:val="Heading1"/>
    <w:uiPriority w:val="9"/>
    <w:rsid w:val="00103711"/>
    <w:rPr>
      <w:rFonts w:asciiTheme="majorHAnsi" w:eastAsiaTheme="majorEastAsia" w:hAnsiTheme="majorHAnsi" w:cstheme="majorBidi"/>
      <w:b/>
      <w:bCs/>
      <w:color w:val="201547" w:themeColor="accent1"/>
      <w:sz w:val="32"/>
      <w:szCs w:val="28"/>
    </w:rPr>
  </w:style>
  <w:style w:type="character" w:customStyle="1" w:styleId="Heading2Char">
    <w:name w:val="Heading 2 Char"/>
    <w:basedOn w:val="DefaultParagraphFont"/>
    <w:link w:val="Heading2"/>
    <w:uiPriority w:val="9"/>
    <w:rsid w:val="00BA2604"/>
    <w:rPr>
      <w:rFonts w:asciiTheme="majorHAnsi" w:eastAsiaTheme="majorEastAsia" w:hAnsiTheme="majorHAnsi" w:cstheme="majorBidi"/>
      <w:b/>
      <w:caps/>
      <w:color w:val="004EA8" w:themeColor="accent2"/>
      <w:sz w:val="26"/>
      <w:szCs w:val="26"/>
    </w:rPr>
  </w:style>
  <w:style w:type="character" w:customStyle="1" w:styleId="Heading3Char">
    <w:name w:val="Heading 3 Char"/>
    <w:basedOn w:val="DefaultParagraphFont"/>
    <w:link w:val="Heading3"/>
    <w:uiPriority w:val="9"/>
    <w:semiHidden/>
    <w:rsid w:val="008406AA"/>
    <w:rPr>
      <w:rFonts w:asciiTheme="majorHAnsi" w:eastAsiaTheme="majorEastAsia" w:hAnsiTheme="majorHAnsi" w:cstheme="majorBidi"/>
      <w:b/>
      <w:bCs/>
      <w:color w:val="201547" w:themeColor="accent1"/>
    </w:rPr>
  </w:style>
  <w:style w:type="character" w:styleId="PageNumber">
    <w:name w:val="page number"/>
    <w:basedOn w:val="DefaultParagraphFont"/>
    <w:uiPriority w:val="99"/>
    <w:unhideWhenUsed/>
    <w:rsid w:val="00BA6B8C"/>
    <w:rPr>
      <w:color w:val="FFFFFF" w:themeColor="background1"/>
      <w:sz w:val="20"/>
    </w:rPr>
  </w:style>
  <w:style w:type="paragraph" w:styleId="ListParagraph">
    <w:name w:val="List Paragraph"/>
    <w:basedOn w:val="Normal"/>
    <w:uiPriority w:val="34"/>
    <w:semiHidden/>
    <w:qFormat/>
    <w:rsid w:val="004B6E36"/>
    <w:pPr>
      <w:ind w:left="720"/>
      <w:contextualSpacing/>
    </w:pPr>
  </w:style>
  <w:style w:type="numbering" w:customStyle="1" w:styleId="Highlightbulletstyle">
    <w:name w:val="Highlight bullet style"/>
    <w:uiPriority w:val="99"/>
    <w:rsid w:val="004B6E36"/>
    <w:pPr>
      <w:numPr>
        <w:numId w:val="1"/>
      </w:numPr>
    </w:pPr>
  </w:style>
  <w:style w:type="table" w:styleId="TableGrid">
    <w:name w:val="Table Grid"/>
    <w:aliases w:val="DTF table"/>
    <w:basedOn w:val="TableNormal"/>
    <w:uiPriority w:val="59"/>
    <w:rsid w:val="002868CD"/>
    <w:pPr>
      <w:spacing w:before="120" w:after="120" w:line="240" w:lineRule="auto"/>
    </w:pPr>
    <w:rPr>
      <w:sz w:val="22"/>
    </w:rPr>
    <w:tblPr>
      <w:tblStyleRowBandSize w:val="1"/>
      <w:tblStyleColBandSize w:val="1"/>
      <w:tblBorders>
        <w:bottom w:val="single" w:sz="12" w:space="0" w:color="004EA8" w:themeColor="accent2"/>
      </w:tblBorders>
      <w:tblCellMar>
        <w:left w:w="57" w:type="dxa"/>
        <w:right w:w="57" w:type="dxa"/>
      </w:tblCellMar>
    </w:tblPr>
    <w:trPr>
      <w:cantSplit/>
    </w:trPr>
    <w:tblStylePr w:type="firstRow">
      <w:pPr>
        <w:wordWrap/>
        <w:spacing w:beforeLines="0" w:before="120" w:beforeAutospacing="0" w:afterLines="0" w:after="120" w:afterAutospacing="0"/>
      </w:pPr>
      <w:rPr>
        <w:i/>
        <w:color w:val="FFFFFF" w:themeColor="background1"/>
      </w:rPr>
      <w:tblPr/>
      <w:trPr>
        <w:cantSplit w:val="0"/>
        <w:tblHeader/>
      </w:trPr>
      <w:tcPr>
        <w:shd w:val="clear" w:color="auto" w:fill="004EA8" w:themeFill="accent2"/>
      </w:tcPr>
    </w:tblStylePr>
    <w:tblStylePr w:type="lastRow">
      <w:rPr>
        <w:b w:val="0"/>
        <w:color w:val="auto"/>
      </w:rPr>
      <w:tblPr/>
      <w:tcPr>
        <w:tcBorders>
          <w:top w:val="single" w:sz="6" w:space="0" w:color="004EA8" w:themeColor="accent2"/>
          <w:left w:val="nil"/>
          <w:bottom w:val="single" w:sz="12" w:space="0" w:color="004EA8" w:themeColor="accent2"/>
          <w:right w:val="nil"/>
          <w:insideH w:val="nil"/>
          <w:insideV w:val="nil"/>
          <w:tl2br w:val="nil"/>
          <w:tr2bl w:val="nil"/>
        </w:tcBorders>
      </w:tcPr>
    </w:tblStylePr>
    <w:tblStylePr w:type="firstCol">
      <w:tblPr/>
      <w:tcPr>
        <w:shd w:val="clear" w:color="auto" w:fill="CCE3F5" w:themeFill="accent6"/>
      </w:tcPr>
    </w:tblStylePr>
    <w:tblStylePr w:type="lastCol">
      <w:tblPr/>
      <w:tcPr>
        <w:shd w:val="clear" w:color="auto" w:fill="CCE3F5" w:themeFill="accent6"/>
      </w:tcPr>
    </w:tblStylePr>
    <w:tblStylePr w:type="band1Vert">
      <w:tblPr/>
      <w:tcPr>
        <w:shd w:val="clear" w:color="auto" w:fill="99B8DC" w:themeFill="accent5"/>
      </w:tcPr>
    </w:tblStylePr>
    <w:tblStylePr w:type="band2Vert">
      <w:tblPr/>
      <w:tcPr>
        <w:shd w:val="clear" w:color="auto" w:fill="CCE3F5" w:themeFill="accent6"/>
      </w:tcPr>
    </w:tblStylePr>
    <w:tblStylePr w:type="band1Horz">
      <w:tblPr/>
      <w:tcPr>
        <w:shd w:val="clear" w:color="auto" w:fill="CCE3F5" w:themeFill="accent6"/>
      </w:tcPr>
    </w:tblStylePr>
    <w:tblStylePr w:type="band2Horz">
      <w:tblPr/>
      <w:tcPr>
        <w:shd w:val="clear" w:color="auto" w:fill="99B8DC" w:themeFill="accent5"/>
      </w:tcPr>
    </w:tblStylePr>
  </w:style>
  <w:style w:type="paragraph" w:customStyle="1" w:styleId="Bullet-highlight">
    <w:name w:val="Bullet - highlight"/>
    <w:basedOn w:val="Normal"/>
    <w:uiPriority w:val="69"/>
    <w:rsid w:val="002F5DE2"/>
    <w:pPr>
      <w:numPr>
        <w:numId w:val="3"/>
      </w:numPr>
    </w:pPr>
    <w:rPr>
      <w:sz w:val="22"/>
    </w:rPr>
  </w:style>
  <w:style w:type="table" w:customStyle="1" w:styleId="Highlighttable">
    <w:name w:val="Highlight table"/>
    <w:basedOn w:val="TableNormal"/>
    <w:uiPriority w:val="99"/>
    <w:rsid w:val="003E507C"/>
    <w:pPr>
      <w:spacing w:before="120" w:after="120"/>
    </w:pPr>
    <w:rPr>
      <w:color w:val="FFFFFF" w:themeColor="background1"/>
      <w:sz w:val="22"/>
    </w:rPr>
    <w:tblPr>
      <w:tblCellMar>
        <w:left w:w="85" w:type="dxa"/>
        <w:right w:w="227" w:type="dxa"/>
      </w:tblCellMar>
    </w:tblPr>
    <w:trPr>
      <w:cantSplit/>
    </w:trPr>
    <w:tcPr>
      <w:shd w:val="clear" w:color="auto" w:fill="004EA8" w:themeFill="accent2"/>
    </w:tcPr>
    <w:tblStylePr w:type="firstRow">
      <w:rPr>
        <w:caps/>
        <w:smallCaps w:val="0"/>
      </w:rPr>
    </w:tblStylePr>
  </w:style>
  <w:style w:type="paragraph" w:customStyle="1" w:styleId="Note">
    <w:name w:val="Note"/>
    <w:basedOn w:val="Normal"/>
    <w:qFormat/>
    <w:rsid w:val="00D02311"/>
    <w:rPr>
      <w:sz w:val="18"/>
    </w:rPr>
  </w:style>
  <w:style w:type="table" w:styleId="LightShading">
    <w:name w:val="Light Shading"/>
    <w:basedOn w:val="TableNormal"/>
    <w:uiPriority w:val="60"/>
    <w:rsid w:val="0038251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6">
    <w:name w:val="Light Shading Accent 6"/>
    <w:basedOn w:val="TableNormal"/>
    <w:uiPriority w:val="60"/>
    <w:rsid w:val="00382510"/>
    <w:pPr>
      <w:spacing w:after="0" w:line="240" w:lineRule="auto"/>
    </w:pPr>
    <w:rPr>
      <w:color w:val="6DAFE2" w:themeColor="accent6" w:themeShade="BF"/>
    </w:rPr>
    <w:tblPr>
      <w:tblStyleRowBandSize w:val="1"/>
      <w:tblStyleColBandSize w:val="1"/>
      <w:tblBorders>
        <w:top w:val="single" w:sz="8" w:space="0" w:color="CCE3F5" w:themeColor="accent6"/>
        <w:bottom w:val="single" w:sz="8" w:space="0" w:color="CCE3F5" w:themeColor="accent6"/>
      </w:tblBorders>
    </w:tblPr>
    <w:tblStylePr w:type="firstRow">
      <w:pPr>
        <w:spacing w:before="0" w:after="0" w:line="240" w:lineRule="auto"/>
      </w:pPr>
      <w:rPr>
        <w:b/>
        <w:bCs/>
      </w:rPr>
      <w:tblPr/>
      <w:tcPr>
        <w:tcBorders>
          <w:top w:val="single" w:sz="8" w:space="0" w:color="CCE3F5" w:themeColor="accent6"/>
          <w:left w:val="nil"/>
          <w:bottom w:val="single" w:sz="8" w:space="0" w:color="CCE3F5" w:themeColor="accent6"/>
          <w:right w:val="nil"/>
          <w:insideH w:val="nil"/>
          <w:insideV w:val="nil"/>
        </w:tcBorders>
      </w:tcPr>
    </w:tblStylePr>
    <w:tblStylePr w:type="lastRow">
      <w:pPr>
        <w:spacing w:before="0" w:after="0" w:line="240" w:lineRule="auto"/>
      </w:pPr>
      <w:rPr>
        <w:b/>
        <w:bCs/>
      </w:rPr>
      <w:tblPr/>
      <w:tcPr>
        <w:tcBorders>
          <w:top w:val="single" w:sz="8" w:space="0" w:color="CCE3F5" w:themeColor="accent6"/>
          <w:left w:val="nil"/>
          <w:bottom w:val="single" w:sz="8" w:space="0" w:color="CCE3F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7FC" w:themeFill="accent6" w:themeFillTint="3F"/>
      </w:tcPr>
    </w:tblStylePr>
    <w:tblStylePr w:type="band1Horz">
      <w:tblPr/>
      <w:tcPr>
        <w:tcBorders>
          <w:left w:val="nil"/>
          <w:right w:val="nil"/>
          <w:insideH w:val="nil"/>
          <w:insideV w:val="nil"/>
        </w:tcBorders>
        <w:shd w:val="clear" w:color="auto" w:fill="F2F7FC" w:themeFill="accent6" w:themeFillTint="3F"/>
      </w:tcPr>
    </w:tblStylePr>
  </w:style>
  <w:style w:type="paragraph" w:styleId="Caption">
    <w:name w:val="caption"/>
    <w:basedOn w:val="Heading2"/>
    <w:next w:val="Normal"/>
    <w:uiPriority w:val="35"/>
    <w:qFormat/>
    <w:rsid w:val="00BA6B8C"/>
    <w:pPr>
      <w:spacing w:after="120"/>
    </w:pPr>
    <w:rPr>
      <w:caps w:val="0"/>
      <w:sz w:val="22"/>
    </w:rPr>
  </w:style>
  <w:style w:type="character" w:styleId="Emphasis">
    <w:name w:val="Emphasis"/>
    <w:basedOn w:val="DefaultParagraphFont"/>
    <w:uiPriority w:val="20"/>
    <w:qFormat/>
    <w:rsid w:val="00EE31AA"/>
    <w:rPr>
      <w:b/>
      <w:i w:val="0"/>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pPr>
        <w:spacing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047DD7"/>
  </w:style>
  <w:style w:type="paragraph" w:styleId="Heading1">
    <w:name w:val="heading 1"/>
    <w:basedOn w:val="Normal"/>
    <w:next w:val="Normal"/>
    <w:link w:val="Heading1Char"/>
    <w:uiPriority w:val="9"/>
    <w:qFormat/>
    <w:rsid w:val="00103711"/>
    <w:pPr>
      <w:keepNext/>
      <w:keepLines/>
      <w:spacing w:after="240"/>
      <w:outlineLvl w:val="0"/>
    </w:pPr>
    <w:rPr>
      <w:rFonts w:asciiTheme="majorHAnsi" w:eastAsiaTheme="majorEastAsia" w:hAnsiTheme="majorHAnsi" w:cstheme="majorBidi"/>
      <w:b/>
      <w:bCs/>
      <w:color w:val="201547" w:themeColor="accent1"/>
      <w:sz w:val="32"/>
      <w:szCs w:val="28"/>
    </w:rPr>
  </w:style>
  <w:style w:type="paragraph" w:styleId="Heading2">
    <w:name w:val="heading 2"/>
    <w:basedOn w:val="Heading1"/>
    <w:next w:val="Normal"/>
    <w:link w:val="Heading2Char"/>
    <w:uiPriority w:val="9"/>
    <w:unhideWhenUsed/>
    <w:qFormat/>
    <w:rsid w:val="00BA2604"/>
    <w:pPr>
      <w:outlineLvl w:val="1"/>
    </w:pPr>
    <w:rPr>
      <w:bCs w:val="0"/>
      <w:caps/>
      <w:sz w:val="26"/>
      <w:szCs w:val="26"/>
    </w:rPr>
  </w:style>
  <w:style w:type="paragraph" w:styleId="Heading3">
    <w:name w:val="heading 3"/>
    <w:basedOn w:val="Normal"/>
    <w:next w:val="Normal"/>
    <w:link w:val="Heading3Char"/>
    <w:uiPriority w:val="9"/>
    <w:semiHidden/>
    <w:unhideWhenUsed/>
    <w:qFormat/>
    <w:rsid w:val="008406AA"/>
    <w:pPr>
      <w:keepNext/>
      <w:keepLines/>
      <w:spacing w:before="200" w:after="0"/>
      <w:outlineLvl w:val="2"/>
    </w:pPr>
    <w:rPr>
      <w:rFonts w:asciiTheme="majorHAnsi" w:eastAsiaTheme="majorEastAsia" w:hAnsiTheme="majorHAnsi" w:cstheme="majorBidi"/>
      <w:b/>
      <w:bCs/>
      <w:color w:val="20154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EB7"/>
    <w:pPr>
      <w:tabs>
        <w:tab w:val="center" w:pos="4513"/>
        <w:tab w:val="right" w:pos="9026"/>
      </w:tabs>
      <w:spacing w:before="720" w:after="0" w:line="240" w:lineRule="auto"/>
    </w:pPr>
    <w:rPr>
      <w:b/>
      <w:caps/>
      <w:color w:val="FFFFFF" w:themeColor="background1"/>
      <w:sz w:val="96"/>
    </w:rPr>
  </w:style>
  <w:style w:type="character" w:customStyle="1" w:styleId="HeaderChar">
    <w:name w:val="Header Char"/>
    <w:basedOn w:val="DefaultParagraphFont"/>
    <w:link w:val="Header"/>
    <w:uiPriority w:val="99"/>
    <w:rsid w:val="004B3EB7"/>
    <w:rPr>
      <w:b/>
      <w:caps/>
      <w:color w:val="FFFFFF" w:themeColor="background1"/>
      <w:sz w:val="96"/>
    </w:rPr>
  </w:style>
  <w:style w:type="paragraph" w:styleId="Footer">
    <w:name w:val="footer"/>
    <w:basedOn w:val="Normal"/>
    <w:link w:val="FooterChar"/>
    <w:uiPriority w:val="99"/>
    <w:unhideWhenUsed/>
    <w:rsid w:val="00474854"/>
    <w:pPr>
      <w:tabs>
        <w:tab w:val="center" w:pos="4513"/>
        <w:tab w:val="center" w:pos="10036"/>
      </w:tabs>
      <w:spacing w:after="0" w:line="240" w:lineRule="auto"/>
    </w:pPr>
    <w:rPr>
      <w:sz w:val="20"/>
    </w:rPr>
  </w:style>
  <w:style w:type="character" w:customStyle="1" w:styleId="FooterChar">
    <w:name w:val="Footer Char"/>
    <w:basedOn w:val="DefaultParagraphFont"/>
    <w:link w:val="Footer"/>
    <w:uiPriority w:val="99"/>
    <w:rsid w:val="00474854"/>
    <w:rPr>
      <w:sz w:val="20"/>
    </w:rPr>
  </w:style>
  <w:style w:type="paragraph" w:styleId="BalloonText">
    <w:name w:val="Balloon Text"/>
    <w:basedOn w:val="Normal"/>
    <w:link w:val="BalloonTextChar"/>
    <w:uiPriority w:val="99"/>
    <w:semiHidden/>
    <w:unhideWhenUsed/>
    <w:rsid w:val="001E7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D0D"/>
    <w:rPr>
      <w:rFonts w:ascii="Tahoma" w:hAnsi="Tahoma" w:cs="Tahoma"/>
      <w:sz w:val="16"/>
      <w:szCs w:val="16"/>
    </w:rPr>
  </w:style>
  <w:style w:type="paragraph" w:styleId="Title">
    <w:name w:val="Title"/>
    <w:basedOn w:val="Normal"/>
    <w:next w:val="Normal"/>
    <w:link w:val="TitleChar"/>
    <w:uiPriority w:val="89"/>
    <w:qFormat/>
    <w:rsid w:val="007D6F02"/>
    <w:pPr>
      <w:spacing w:after="240" w:line="240" w:lineRule="auto"/>
      <w:contextualSpacing/>
    </w:pPr>
    <w:rPr>
      <w:rFonts w:asciiTheme="majorHAnsi" w:eastAsiaTheme="majorEastAsia" w:hAnsiTheme="majorHAnsi" w:cstheme="majorBidi"/>
      <w:caps/>
      <w:color w:val="FFFFFF" w:themeColor="background1"/>
      <w:spacing w:val="5"/>
      <w:kern w:val="28"/>
      <w:sz w:val="52"/>
      <w:szCs w:val="52"/>
    </w:rPr>
  </w:style>
  <w:style w:type="character" w:customStyle="1" w:styleId="TitleChar">
    <w:name w:val="Title Char"/>
    <w:basedOn w:val="DefaultParagraphFont"/>
    <w:link w:val="Title"/>
    <w:uiPriority w:val="89"/>
    <w:rsid w:val="007D6F02"/>
    <w:rPr>
      <w:rFonts w:asciiTheme="majorHAnsi" w:eastAsiaTheme="majorEastAsia" w:hAnsiTheme="majorHAnsi" w:cstheme="majorBidi"/>
      <w:caps/>
      <w:color w:val="FFFFFF" w:themeColor="background1"/>
      <w:spacing w:val="5"/>
      <w:kern w:val="28"/>
      <w:sz w:val="52"/>
      <w:szCs w:val="52"/>
    </w:rPr>
  </w:style>
  <w:style w:type="paragraph" w:styleId="Subtitle">
    <w:name w:val="Subtitle"/>
    <w:aliases w:val="Month"/>
    <w:basedOn w:val="Title"/>
    <w:next w:val="Normal"/>
    <w:link w:val="SubtitleChar"/>
    <w:uiPriority w:val="90"/>
    <w:qFormat/>
    <w:rsid w:val="002868CD"/>
    <w:pPr>
      <w:numPr>
        <w:ilvl w:val="1"/>
      </w:numPr>
      <w:spacing w:before="240" w:after="600"/>
      <w:contextualSpacing w:val="0"/>
    </w:pPr>
    <w:rPr>
      <w:iCs/>
      <w:caps w:val="0"/>
      <w:spacing w:val="15"/>
      <w:sz w:val="32"/>
    </w:rPr>
  </w:style>
  <w:style w:type="character" w:customStyle="1" w:styleId="SubtitleChar">
    <w:name w:val="Subtitle Char"/>
    <w:aliases w:val="Month Char"/>
    <w:basedOn w:val="DefaultParagraphFont"/>
    <w:link w:val="Subtitle"/>
    <w:uiPriority w:val="90"/>
    <w:rsid w:val="002868CD"/>
    <w:rPr>
      <w:rFonts w:asciiTheme="majorHAnsi" w:eastAsiaTheme="majorEastAsia" w:hAnsiTheme="majorHAnsi" w:cstheme="majorBidi"/>
      <w:iCs/>
      <w:color w:val="FFFFFF" w:themeColor="background1"/>
      <w:spacing w:val="15"/>
      <w:kern w:val="28"/>
      <w:sz w:val="32"/>
      <w:szCs w:val="52"/>
    </w:rPr>
  </w:style>
  <w:style w:type="character" w:customStyle="1" w:styleId="Heading1Char">
    <w:name w:val="Heading 1 Char"/>
    <w:basedOn w:val="DefaultParagraphFont"/>
    <w:link w:val="Heading1"/>
    <w:uiPriority w:val="9"/>
    <w:rsid w:val="00103711"/>
    <w:rPr>
      <w:rFonts w:asciiTheme="majorHAnsi" w:eastAsiaTheme="majorEastAsia" w:hAnsiTheme="majorHAnsi" w:cstheme="majorBidi"/>
      <w:b/>
      <w:bCs/>
      <w:color w:val="201547" w:themeColor="accent1"/>
      <w:sz w:val="32"/>
      <w:szCs w:val="28"/>
    </w:rPr>
  </w:style>
  <w:style w:type="character" w:customStyle="1" w:styleId="Heading2Char">
    <w:name w:val="Heading 2 Char"/>
    <w:basedOn w:val="DefaultParagraphFont"/>
    <w:link w:val="Heading2"/>
    <w:uiPriority w:val="9"/>
    <w:rsid w:val="00BA2604"/>
    <w:rPr>
      <w:rFonts w:asciiTheme="majorHAnsi" w:eastAsiaTheme="majorEastAsia" w:hAnsiTheme="majorHAnsi" w:cstheme="majorBidi"/>
      <w:b/>
      <w:caps/>
      <w:color w:val="004EA8" w:themeColor="accent2"/>
      <w:sz w:val="26"/>
      <w:szCs w:val="26"/>
    </w:rPr>
  </w:style>
  <w:style w:type="character" w:customStyle="1" w:styleId="Heading3Char">
    <w:name w:val="Heading 3 Char"/>
    <w:basedOn w:val="DefaultParagraphFont"/>
    <w:link w:val="Heading3"/>
    <w:uiPriority w:val="9"/>
    <w:semiHidden/>
    <w:rsid w:val="008406AA"/>
    <w:rPr>
      <w:rFonts w:asciiTheme="majorHAnsi" w:eastAsiaTheme="majorEastAsia" w:hAnsiTheme="majorHAnsi" w:cstheme="majorBidi"/>
      <w:b/>
      <w:bCs/>
      <w:color w:val="201547" w:themeColor="accent1"/>
    </w:rPr>
  </w:style>
  <w:style w:type="character" w:styleId="PageNumber">
    <w:name w:val="page number"/>
    <w:basedOn w:val="DefaultParagraphFont"/>
    <w:uiPriority w:val="99"/>
    <w:unhideWhenUsed/>
    <w:rsid w:val="00BA6B8C"/>
    <w:rPr>
      <w:color w:val="FFFFFF" w:themeColor="background1"/>
      <w:sz w:val="20"/>
    </w:rPr>
  </w:style>
  <w:style w:type="paragraph" w:styleId="ListParagraph">
    <w:name w:val="List Paragraph"/>
    <w:basedOn w:val="Normal"/>
    <w:uiPriority w:val="34"/>
    <w:semiHidden/>
    <w:qFormat/>
    <w:rsid w:val="004B6E36"/>
    <w:pPr>
      <w:ind w:left="720"/>
      <w:contextualSpacing/>
    </w:pPr>
  </w:style>
  <w:style w:type="numbering" w:customStyle="1" w:styleId="Highlightbulletstyle">
    <w:name w:val="Highlight bullet style"/>
    <w:uiPriority w:val="99"/>
    <w:rsid w:val="004B6E36"/>
    <w:pPr>
      <w:numPr>
        <w:numId w:val="1"/>
      </w:numPr>
    </w:pPr>
  </w:style>
  <w:style w:type="table" w:styleId="TableGrid">
    <w:name w:val="Table Grid"/>
    <w:aliases w:val="DTF table"/>
    <w:basedOn w:val="TableNormal"/>
    <w:uiPriority w:val="59"/>
    <w:rsid w:val="002868CD"/>
    <w:pPr>
      <w:spacing w:before="120" w:after="120" w:line="240" w:lineRule="auto"/>
    </w:pPr>
    <w:rPr>
      <w:sz w:val="22"/>
    </w:rPr>
    <w:tblPr>
      <w:tblStyleRowBandSize w:val="1"/>
      <w:tblStyleColBandSize w:val="1"/>
      <w:tblBorders>
        <w:bottom w:val="single" w:sz="12" w:space="0" w:color="004EA8" w:themeColor="accent2"/>
      </w:tblBorders>
      <w:tblCellMar>
        <w:left w:w="57" w:type="dxa"/>
        <w:right w:w="57" w:type="dxa"/>
      </w:tblCellMar>
    </w:tblPr>
    <w:trPr>
      <w:cantSplit/>
    </w:trPr>
    <w:tblStylePr w:type="firstRow">
      <w:pPr>
        <w:wordWrap/>
        <w:spacing w:beforeLines="0" w:before="120" w:beforeAutospacing="0" w:afterLines="0" w:after="120" w:afterAutospacing="0"/>
      </w:pPr>
      <w:rPr>
        <w:i/>
        <w:color w:val="FFFFFF" w:themeColor="background1"/>
      </w:rPr>
      <w:tblPr/>
      <w:trPr>
        <w:cantSplit w:val="0"/>
        <w:tblHeader/>
      </w:trPr>
      <w:tcPr>
        <w:shd w:val="clear" w:color="auto" w:fill="004EA8" w:themeFill="accent2"/>
      </w:tcPr>
    </w:tblStylePr>
    <w:tblStylePr w:type="lastRow">
      <w:rPr>
        <w:b w:val="0"/>
        <w:color w:val="auto"/>
      </w:rPr>
      <w:tblPr/>
      <w:tcPr>
        <w:tcBorders>
          <w:top w:val="single" w:sz="6" w:space="0" w:color="004EA8" w:themeColor="accent2"/>
          <w:left w:val="nil"/>
          <w:bottom w:val="single" w:sz="12" w:space="0" w:color="004EA8" w:themeColor="accent2"/>
          <w:right w:val="nil"/>
          <w:insideH w:val="nil"/>
          <w:insideV w:val="nil"/>
          <w:tl2br w:val="nil"/>
          <w:tr2bl w:val="nil"/>
        </w:tcBorders>
      </w:tcPr>
    </w:tblStylePr>
    <w:tblStylePr w:type="firstCol">
      <w:tblPr/>
      <w:tcPr>
        <w:shd w:val="clear" w:color="auto" w:fill="CCE3F5" w:themeFill="accent6"/>
      </w:tcPr>
    </w:tblStylePr>
    <w:tblStylePr w:type="lastCol">
      <w:tblPr/>
      <w:tcPr>
        <w:shd w:val="clear" w:color="auto" w:fill="CCE3F5" w:themeFill="accent6"/>
      </w:tcPr>
    </w:tblStylePr>
    <w:tblStylePr w:type="band1Vert">
      <w:tblPr/>
      <w:tcPr>
        <w:shd w:val="clear" w:color="auto" w:fill="99B8DC" w:themeFill="accent5"/>
      </w:tcPr>
    </w:tblStylePr>
    <w:tblStylePr w:type="band2Vert">
      <w:tblPr/>
      <w:tcPr>
        <w:shd w:val="clear" w:color="auto" w:fill="CCE3F5" w:themeFill="accent6"/>
      </w:tcPr>
    </w:tblStylePr>
    <w:tblStylePr w:type="band1Horz">
      <w:tblPr/>
      <w:tcPr>
        <w:shd w:val="clear" w:color="auto" w:fill="CCE3F5" w:themeFill="accent6"/>
      </w:tcPr>
    </w:tblStylePr>
    <w:tblStylePr w:type="band2Horz">
      <w:tblPr/>
      <w:tcPr>
        <w:shd w:val="clear" w:color="auto" w:fill="99B8DC" w:themeFill="accent5"/>
      </w:tcPr>
    </w:tblStylePr>
  </w:style>
  <w:style w:type="paragraph" w:customStyle="1" w:styleId="Bullet-highlight">
    <w:name w:val="Bullet - highlight"/>
    <w:basedOn w:val="Normal"/>
    <w:uiPriority w:val="69"/>
    <w:rsid w:val="002F5DE2"/>
    <w:pPr>
      <w:numPr>
        <w:numId w:val="3"/>
      </w:numPr>
    </w:pPr>
    <w:rPr>
      <w:sz w:val="22"/>
    </w:rPr>
  </w:style>
  <w:style w:type="table" w:customStyle="1" w:styleId="Highlighttable">
    <w:name w:val="Highlight table"/>
    <w:basedOn w:val="TableNormal"/>
    <w:uiPriority w:val="99"/>
    <w:rsid w:val="003E507C"/>
    <w:pPr>
      <w:spacing w:before="120" w:after="120"/>
    </w:pPr>
    <w:rPr>
      <w:color w:val="FFFFFF" w:themeColor="background1"/>
      <w:sz w:val="22"/>
    </w:rPr>
    <w:tblPr>
      <w:tblCellMar>
        <w:left w:w="85" w:type="dxa"/>
        <w:right w:w="227" w:type="dxa"/>
      </w:tblCellMar>
    </w:tblPr>
    <w:trPr>
      <w:cantSplit/>
    </w:trPr>
    <w:tcPr>
      <w:shd w:val="clear" w:color="auto" w:fill="004EA8" w:themeFill="accent2"/>
    </w:tcPr>
    <w:tblStylePr w:type="firstRow">
      <w:rPr>
        <w:caps/>
        <w:smallCaps w:val="0"/>
      </w:rPr>
    </w:tblStylePr>
  </w:style>
  <w:style w:type="paragraph" w:customStyle="1" w:styleId="Note">
    <w:name w:val="Note"/>
    <w:basedOn w:val="Normal"/>
    <w:qFormat/>
    <w:rsid w:val="00D02311"/>
    <w:rPr>
      <w:sz w:val="18"/>
    </w:rPr>
  </w:style>
  <w:style w:type="table" w:styleId="LightShading">
    <w:name w:val="Light Shading"/>
    <w:basedOn w:val="TableNormal"/>
    <w:uiPriority w:val="60"/>
    <w:rsid w:val="0038251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6">
    <w:name w:val="Light Shading Accent 6"/>
    <w:basedOn w:val="TableNormal"/>
    <w:uiPriority w:val="60"/>
    <w:rsid w:val="00382510"/>
    <w:pPr>
      <w:spacing w:after="0" w:line="240" w:lineRule="auto"/>
    </w:pPr>
    <w:rPr>
      <w:color w:val="6DAFE2" w:themeColor="accent6" w:themeShade="BF"/>
    </w:rPr>
    <w:tblPr>
      <w:tblStyleRowBandSize w:val="1"/>
      <w:tblStyleColBandSize w:val="1"/>
      <w:tblBorders>
        <w:top w:val="single" w:sz="8" w:space="0" w:color="CCE3F5" w:themeColor="accent6"/>
        <w:bottom w:val="single" w:sz="8" w:space="0" w:color="CCE3F5" w:themeColor="accent6"/>
      </w:tblBorders>
    </w:tblPr>
    <w:tblStylePr w:type="firstRow">
      <w:pPr>
        <w:spacing w:before="0" w:after="0" w:line="240" w:lineRule="auto"/>
      </w:pPr>
      <w:rPr>
        <w:b/>
        <w:bCs/>
      </w:rPr>
      <w:tblPr/>
      <w:tcPr>
        <w:tcBorders>
          <w:top w:val="single" w:sz="8" w:space="0" w:color="CCE3F5" w:themeColor="accent6"/>
          <w:left w:val="nil"/>
          <w:bottom w:val="single" w:sz="8" w:space="0" w:color="CCE3F5" w:themeColor="accent6"/>
          <w:right w:val="nil"/>
          <w:insideH w:val="nil"/>
          <w:insideV w:val="nil"/>
        </w:tcBorders>
      </w:tcPr>
    </w:tblStylePr>
    <w:tblStylePr w:type="lastRow">
      <w:pPr>
        <w:spacing w:before="0" w:after="0" w:line="240" w:lineRule="auto"/>
      </w:pPr>
      <w:rPr>
        <w:b/>
        <w:bCs/>
      </w:rPr>
      <w:tblPr/>
      <w:tcPr>
        <w:tcBorders>
          <w:top w:val="single" w:sz="8" w:space="0" w:color="CCE3F5" w:themeColor="accent6"/>
          <w:left w:val="nil"/>
          <w:bottom w:val="single" w:sz="8" w:space="0" w:color="CCE3F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7FC" w:themeFill="accent6" w:themeFillTint="3F"/>
      </w:tcPr>
    </w:tblStylePr>
    <w:tblStylePr w:type="band1Horz">
      <w:tblPr/>
      <w:tcPr>
        <w:tcBorders>
          <w:left w:val="nil"/>
          <w:right w:val="nil"/>
          <w:insideH w:val="nil"/>
          <w:insideV w:val="nil"/>
        </w:tcBorders>
        <w:shd w:val="clear" w:color="auto" w:fill="F2F7FC" w:themeFill="accent6" w:themeFillTint="3F"/>
      </w:tcPr>
    </w:tblStylePr>
  </w:style>
  <w:style w:type="paragraph" w:styleId="Caption">
    <w:name w:val="caption"/>
    <w:basedOn w:val="Heading2"/>
    <w:next w:val="Normal"/>
    <w:uiPriority w:val="35"/>
    <w:qFormat/>
    <w:rsid w:val="00BA6B8C"/>
    <w:pPr>
      <w:spacing w:after="120"/>
    </w:pPr>
    <w:rPr>
      <w:caps w:val="0"/>
      <w:sz w:val="22"/>
    </w:rPr>
  </w:style>
  <w:style w:type="character" w:styleId="Emphasis">
    <w:name w:val="Emphasis"/>
    <w:basedOn w:val="DefaultParagraphFont"/>
    <w:uiPriority w:val="20"/>
    <w:qFormat/>
    <w:rsid w:val="00EE31AA"/>
    <w:rPr>
      <w:b/>
      <w:i w:val="0"/>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creativecommons.org/licenses/by/3.0/au/"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rand Victoria - Navy">
      <a:dk1>
        <a:sysClr val="windowText" lastClr="000000"/>
      </a:dk1>
      <a:lt1>
        <a:sysClr val="window" lastClr="FFFFFF"/>
      </a:lt1>
      <a:dk2>
        <a:srgbClr val="53565A"/>
      </a:dk2>
      <a:lt2>
        <a:srgbClr val="D9D9D6"/>
      </a:lt2>
      <a:accent1>
        <a:srgbClr val="201547"/>
      </a:accent1>
      <a:accent2>
        <a:srgbClr val="004EA8"/>
      </a:accent2>
      <a:accent3>
        <a:srgbClr val="0072CE"/>
      </a:accent3>
      <a:accent4>
        <a:srgbClr val="8F8AA3"/>
      </a:accent4>
      <a:accent5>
        <a:srgbClr val="99B8DC"/>
      </a:accent5>
      <a:accent6>
        <a:srgbClr val="CCE3F5"/>
      </a:accent6>
      <a:hlink>
        <a:srgbClr val="0000FF"/>
      </a:hlink>
      <a:folHlink>
        <a:srgbClr val="800080"/>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8D523-6999-405B-BCD9-394B73655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Economic update</vt:lpstr>
    </vt:vector>
  </TitlesOfParts>
  <Company>Victorian Government</Company>
  <LinksUpToDate>false</LinksUpToDate>
  <CharactersWithSpaces>7446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update</dc:title>
  <dc:creator>Department of Treasury and Finance</dc:creator>
  <cp:lastModifiedBy>Louise Koschmann</cp:lastModifiedBy>
  <cp:revision>2</cp:revision>
  <cp:lastPrinted>2016-12-21T05:32:00Z</cp:lastPrinted>
  <dcterms:created xsi:type="dcterms:W3CDTF">2018-01-24T02:54:00Z</dcterms:created>
  <dcterms:modified xsi:type="dcterms:W3CDTF">2018-01-24T02:54:00Z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6fee81d4-570d-4d81-9ff6-5abca5bfd57d</vt:lpwstr>
  </property>
  <property fmtid="{D5CDD505-2E9C-101B-9397-08002B2CF9AE}" pid="3" name="PSPFClassification">
    <vt:lpwstr>Do Not Mark</vt:lpwstr>
  </property>
</Properties>
</file>