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A0" w:rsidRDefault="00B5781B" w:rsidP="00440C3A">
      <w:pPr>
        <w:pStyle w:val="Subtitle"/>
        <w:rPr>
          <w:rFonts w:asciiTheme="minorHAnsi" w:hAnsiTheme="minorHAnsi" w:cstheme="minorHAnsi"/>
          <w:sz w:val="28"/>
          <w:szCs w:val="28"/>
        </w:rPr>
      </w:pPr>
      <w:bookmarkStart w:id="0" w:name="_GoBack"/>
      <w:bookmarkEnd w:id="0"/>
      <w:r>
        <w:rPr>
          <w:rFonts w:asciiTheme="minorHAnsi" w:hAnsiTheme="minorHAnsi" w:cstheme="minorHAnsi"/>
          <w:sz w:val="28"/>
          <w:szCs w:val="28"/>
        </w:rPr>
        <w:t>J</w:t>
      </w:r>
      <w:r w:rsidR="007C3C47">
        <w:rPr>
          <w:rFonts w:asciiTheme="minorHAnsi" w:hAnsiTheme="minorHAnsi" w:cstheme="minorHAnsi"/>
          <w:sz w:val="28"/>
          <w:szCs w:val="28"/>
        </w:rPr>
        <w:t>uly</w:t>
      </w:r>
      <w:r w:rsidR="00ED7CCB">
        <w:rPr>
          <w:rFonts w:asciiTheme="minorHAnsi" w:hAnsiTheme="minorHAnsi" w:cstheme="minorHAnsi"/>
          <w:sz w:val="28"/>
          <w:szCs w:val="28"/>
        </w:rPr>
        <w:t xml:space="preserve"> 2017</w:t>
      </w:r>
    </w:p>
    <w:p w:rsidR="002751C4" w:rsidRPr="002751C4" w:rsidRDefault="002751C4" w:rsidP="002751C4">
      <w:pPr>
        <w:sectPr w:rsidR="002751C4" w:rsidRPr="002751C4" w:rsidSect="004B3EB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572" w:right="1134" w:bottom="1134" w:left="1134" w:header="709" w:footer="567" w:gutter="0"/>
          <w:cols w:num="2" w:space="567" w:equalWidth="0">
            <w:col w:w="2858" w:space="567"/>
            <w:col w:w="6213"/>
          </w:cols>
          <w:docGrid w:linePitch="360"/>
        </w:sectPr>
      </w:pPr>
    </w:p>
    <w:tbl>
      <w:tblPr>
        <w:tblW w:w="10456" w:type="dxa"/>
        <w:tblLayout w:type="fixed"/>
        <w:tblLook w:val="04A0" w:firstRow="1" w:lastRow="0" w:firstColumn="1" w:lastColumn="0" w:noHBand="0" w:noVBand="1"/>
      </w:tblPr>
      <w:tblGrid>
        <w:gridCol w:w="2992"/>
        <w:gridCol w:w="7464"/>
      </w:tblGrid>
      <w:tr w:rsidR="002751C4" w:rsidTr="002751C4">
        <w:trPr>
          <w:trHeight w:val="492"/>
        </w:trPr>
        <w:tc>
          <w:tcPr>
            <w:tcW w:w="2992" w:type="dxa"/>
          </w:tcPr>
          <w:p w:rsidR="002751C4" w:rsidRPr="00833E9D" w:rsidRDefault="002751C4" w:rsidP="00103711">
            <w:pPr>
              <w:pStyle w:val="Note"/>
              <w:spacing w:after="0"/>
            </w:pPr>
            <w:r>
              <w:lastRenderedPageBreak/>
              <w:t>This monthly newsletter outlines economic and financial developments in Victoria, nationally and globally.</w:t>
            </w:r>
          </w:p>
        </w:tc>
        <w:tc>
          <w:tcPr>
            <w:tcW w:w="7464" w:type="dxa"/>
          </w:tcPr>
          <w:p w:rsidR="002751C4" w:rsidRPr="006469B4" w:rsidRDefault="008D06D9" w:rsidP="00293A6B">
            <w:pPr>
              <w:pStyle w:val="Note"/>
              <w:spacing w:after="0"/>
              <w:jc w:val="center"/>
              <w:rPr>
                <w:b/>
                <w:color w:val="707068" w:themeColor="background2" w:themeShade="80"/>
              </w:rPr>
            </w:pPr>
            <w:r>
              <w:rPr>
                <w:b/>
                <w:color w:val="707068" w:themeColor="background2" w:themeShade="80"/>
              </w:rPr>
              <w:t xml:space="preserve">  </w:t>
            </w:r>
            <w:r w:rsidR="00293A6B">
              <w:rPr>
                <w:b/>
                <w:color w:val="707068" w:themeColor="background2" w:themeShade="80"/>
              </w:rPr>
              <w:t xml:space="preserve"> </w:t>
            </w:r>
            <w:r w:rsidR="002751C4" w:rsidRPr="006469B4">
              <w:rPr>
                <w:b/>
                <w:color w:val="707068" w:themeColor="background2" w:themeShade="80"/>
              </w:rPr>
              <w:t xml:space="preserve">By David Martine, Secretary, Department of Treasury and Finance </w:t>
            </w:r>
          </w:p>
        </w:tc>
      </w:tr>
    </w:tbl>
    <w:p w:rsidR="009B0BE4" w:rsidRDefault="009B0BE4" w:rsidP="00D847A0">
      <w:pPr>
        <w:pStyle w:val="Note"/>
        <w:jc w:val="right"/>
        <w:rPr>
          <w:b/>
          <w:color w:val="53565A" w:themeColor="text2"/>
        </w:rPr>
        <w:sectPr w:rsidR="009B0BE4" w:rsidSect="00D847A0">
          <w:type w:val="continuous"/>
          <w:pgSz w:w="11906" w:h="16838" w:code="9"/>
          <w:pgMar w:top="3572" w:right="1134" w:bottom="1134" w:left="1134" w:header="709" w:footer="567" w:gutter="0"/>
          <w:cols w:space="567"/>
          <w:docGrid w:linePitch="360"/>
        </w:sectPr>
      </w:pPr>
    </w:p>
    <w:p w:rsidR="00BB0BF9" w:rsidRDefault="00BB0BF9" w:rsidP="00103711">
      <w:pPr>
        <w:pStyle w:val="Bullet-highlight"/>
        <w:numPr>
          <w:ilvl w:val="0"/>
          <w:numId w:val="0"/>
        </w:numPr>
        <w:spacing w:after="0"/>
      </w:pPr>
    </w:p>
    <w:p w:rsidR="00BB0BF9" w:rsidRDefault="00BB0BF9" w:rsidP="00103711">
      <w:pPr>
        <w:pStyle w:val="Bullet-highlight"/>
        <w:numPr>
          <w:ilvl w:val="0"/>
          <w:numId w:val="0"/>
        </w:numPr>
        <w:spacing w:after="0"/>
      </w:pPr>
    </w:p>
    <w:p w:rsidR="00004104" w:rsidRDefault="00004104" w:rsidP="00103711">
      <w:pPr>
        <w:pStyle w:val="Bullet-highlight"/>
        <w:numPr>
          <w:ilvl w:val="0"/>
          <w:numId w:val="0"/>
        </w:numPr>
        <w:spacing w:after="0"/>
        <w:sectPr w:rsidR="00004104" w:rsidSect="00D847A0">
          <w:type w:val="continuous"/>
          <w:pgSz w:w="11906" w:h="16838" w:code="9"/>
          <w:pgMar w:top="3572" w:right="1134" w:bottom="1134" w:left="1134" w:header="709" w:footer="567" w:gutter="0"/>
          <w:cols w:space="567"/>
          <w:docGrid w:linePitch="360"/>
        </w:sectPr>
      </w:pPr>
    </w:p>
    <w:tbl>
      <w:tblPr>
        <w:tblW w:w="5951" w:type="dxa"/>
        <w:shd w:val="clear" w:color="auto" w:fill="99B8DC" w:themeFill="accent5"/>
        <w:tblLook w:val="04A0" w:firstRow="1" w:lastRow="0" w:firstColumn="1" w:lastColumn="0" w:noHBand="0" w:noVBand="1"/>
      </w:tblPr>
      <w:tblGrid>
        <w:gridCol w:w="1101"/>
        <w:gridCol w:w="2517"/>
        <w:gridCol w:w="2333"/>
      </w:tblGrid>
      <w:tr w:rsidR="002751C4" w:rsidRPr="00BB0BF9" w:rsidTr="008D06D9">
        <w:trPr>
          <w:gridAfter w:val="1"/>
          <w:wAfter w:w="2333" w:type="dxa"/>
          <w:trHeight w:val="8222"/>
        </w:trPr>
        <w:tc>
          <w:tcPr>
            <w:tcW w:w="3618" w:type="dxa"/>
            <w:gridSpan w:val="2"/>
            <w:shd w:val="clear" w:color="auto" w:fill="CCE3F5" w:themeFill="accent6"/>
          </w:tcPr>
          <w:p w:rsidR="008262D9" w:rsidRDefault="002751C4" w:rsidP="00C42118">
            <w:pPr>
              <w:tabs>
                <w:tab w:val="left" w:pos="360"/>
              </w:tabs>
              <w:spacing w:before="200" w:after="0"/>
              <w:rPr>
                <w:b/>
                <w:color w:val="201547" w:themeColor="accent1"/>
                <w:sz w:val="32"/>
              </w:rPr>
            </w:pPr>
            <w:r w:rsidRPr="00103711">
              <w:rPr>
                <w:b/>
                <w:color w:val="201547" w:themeColor="accent1"/>
                <w:sz w:val="32"/>
              </w:rPr>
              <w:lastRenderedPageBreak/>
              <w:t>Highlights</w:t>
            </w:r>
          </w:p>
          <w:p w:rsidR="008262D9" w:rsidRPr="008262D9" w:rsidRDefault="008262D9" w:rsidP="00F24548">
            <w:pPr>
              <w:tabs>
                <w:tab w:val="left" w:pos="360"/>
              </w:tabs>
              <w:spacing w:after="0"/>
              <w:rPr>
                <w:b/>
                <w:color w:val="201547" w:themeColor="accent1"/>
                <w:sz w:val="20"/>
              </w:rPr>
            </w:pPr>
          </w:p>
          <w:p w:rsidR="002751C4" w:rsidRPr="00B36881" w:rsidRDefault="002751C4" w:rsidP="00F24548">
            <w:pPr>
              <w:tabs>
                <w:tab w:val="left" w:pos="360"/>
              </w:tabs>
              <w:spacing w:after="0"/>
              <w:rPr>
                <w:b/>
                <w:color w:val="201547" w:themeColor="accent1"/>
                <w:sz w:val="4"/>
              </w:rPr>
            </w:pPr>
          </w:p>
          <w:p w:rsidR="00E43FBF" w:rsidRDefault="00E43FBF" w:rsidP="00C15903">
            <w:pPr>
              <w:pStyle w:val="Bullet-highlight"/>
            </w:pPr>
            <w:r>
              <w:t>Victoria’s population growth accelerated in 2016</w:t>
            </w:r>
            <w:r w:rsidR="00344153">
              <w:t>.</w:t>
            </w:r>
          </w:p>
          <w:p w:rsidR="00344153" w:rsidRDefault="00344153" w:rsidP="00344153">
            <w:pPr>
              <w:pStyle w:val="Bullet-highlight"/>
            </w:pPr>
            <w:r w:rsidRPr="00AB50B0">
              <w:t>Victorian labour market conditions remain strong</w:t>
            </w:r>
            <w:r>
              <w:t xml:space="preserve"> and business sentiment rose in June.</w:t>
            </w:r>
          </w:p>
          <w:p w:rsidR="004E638E" w:rsidRDefault="004E638E" w:rsidP="00C15903">
            <w:pPr>
              <w:pStyle w:val="Bullet-highlight"/>
            </w:pPr>
            <w:r w:rsidRPr="00AB50B0">
              <w:t xml:space="preserve">The </w:t>
            </w:r>
            <w:r w:rsidR="00AB50B0" w:rsidRPr="00AB50B0">
              <w:t>2016 Census</w:t>
            </w:r>
            <w:r w:rsidR="00B042A1">
              <w:t xml:space="preserve"> </w:t>
            </w:r>
            <w:r w:rsidR="003C20AB">
              <w:t xml:space="preserve">reveals a </w:t>
            </w:r>
            <w:r w:rsidR="000F0189">
              <w:t>falling</w:t>
            </w:r>
            <w:r w:rsidR="003C20AB">
              <w:t xml:space="preserve"> share of </w:t>
            </w:r>
            <w:r w:rsidR="00067C7B">
              <w:t xml:space="preserve">home </w:t>
            </w:r>
            <w:r w:rsidR="003C20AB">
              <w:t>own</w:t>
            </w:r>
            <w:r w:rsidR="00FD0459">
              <w:t xml:space="preserve">ership in </w:t>
            </w:r>
            <w:r w:rsidR="00067C7B">
              <w:t>Victoria</w:t>
            </w:r>
            <w:r w:rsidR="00344153">
              <w:t>.</w:t>
            </w:r>
          </w:p>
          <w:p w:rsidR="00344153" w:rsidRPr="00AB50B0" w:rsidRDefault="00344153" w:rsidP="00344153">
            <w:pPr>
              <w:pStyle w:val="Bullet-highlight"/>
            </w:pPr>
            <w:r w:rsidRPr="00AB50B0">
              <w:t>Melbourne's house price growth was the highest among the mainland state capitals in Ju</w:t>
            </w:r>
            <w:r>
              <w:t>ly</w:t>
            </w:r>
            <w:r w:rsidRPr="00AB50B0">
              <w:t xml:space="preserve">. </w:t>
            </w:r>
          </w:p>
          <w:p w:rsidR="005C66FE" w:rsidRPr="00AB50B0" w:rsidRDefault="00585DD0" w:rsidP="00C15903">
            <w:pPr>
              <w:pStyle w:val="Bullet-highlight"/>
            </w:pPr>
            <w:r>
              <w:t>Inflation was weaker than expected</w:t>
            </w:r>
            <w:r w:rsidR="000F0189">
              <w:t xml:space="preserve"> in the </w:t>
            </w:r>
            <w:r w:rsidR="00344153">
              <w:t>June</w:t>
            </w:r>
            <w:r w:rsidR="000F0189">
              <w:t xml:space="preserve"> quarter</w:t>
            </w:r>
            <w:r>
              <w:t>.</w:t>
            </w:r>
          </w:p>
          <w:p w:rsidR="00344153" w:rsidRDefault="00EB0176" w:rsidP="00344153">
            <w:pPr>
              <w:pStyle w:val="Bullet-highlight"/>
            </w:pPr>
            <w:r>
              <w:t xml:space="preserve">US </w:t>
            </w:r>
            <w:r w:rsidR="00344153">
              <w:t>Fed Chair Janet Yellen lays ground for</w:t>
            </w:r>
            <w:r w:rsidR="00FC68A6">
              <w:t xml:space="preserve"> the</w:t>
            </w:r>
            <w:r w:rsidR="00344153">
              <w:t xml:space="preserve"> Fed to unwind crisis-era stimulus.</w:t>
            </w:r>
          </w:p>
          <w:p w:rsidR="000F0189" w:rsidRPr="00BB0BF9" w:rsidRDefault="00AC14BE" w:rsidP="008D06D9">
            <w:pPr>
              <w:pStyle w:val="Bullet-highlight"/>
            </w:pPr>
            <w:r>
              <w:t xml:space="preserve">The AUD strengthened to </w:t>
            </w:r>
            <w:r w:rsidR="000F0189">
              <w:t xml:space="preserve">a </w:t>
            </w:r>
            <w:r>
              <w:t xml:space="preserve">two year high </w:t>
            </w:r>
            <w:r w:rsidR="000F0189">
              <w:t xml:space="preserve">against the </w:t>
            </w:r>
            <w:r w:rsidR="0016508F">
              <w:t>weakening of the USD and expectations of a strengthening in commodity prices.</w:t>
            </w:r>
          </w:p>
        </w:tc>
      </w:tr>
      <w:tr w:rsidR="002751C4" w:rsidTr="008D06D9">
        <w:tblPrEx>
          <w:shd w:val="clear" w:color="auto" w:fill="auto"/>
        </w:tblPrEx>
        <w:tc>
          <w:tcPr>
            <w:tcW w:w="1101" w:type="dxa"/>
          </w:tcPr>
          <w:p w:rsidR="002751C4" w:rsidRDefault="002751C4" w:rsidP="005164C2">
            <w:pPr>
              <w:keepNext/>
            </w:pPr>
            <w:r>
              <w:rPr>
                <w:noProof/>
                <w:lang w:eastAsia="en-AU"/>
              </w:rPr>
              <w:lastRenderedPageBreak/>
              <w:drawing>
                <wp:inline distT="0" distB="0" distL="0" distR="0" wp14:anchorId="5A0D4B57" wp14:editId="4B102657">
                  <wp:extent cx="512935" cy="360000"/>
                  <wp:effectExtent l="0" t="0" r="190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2935" cy="360000"/>
                          </a:xfrm>
                          <a:prstGeom prst="rect">
                            <a:avLst/>
                          </a:prstGeom>
                          <a:noFill/>
                          <a:ln>
                            <a:noFill/>
                          </a:ln>
                        </pic:spPr>
                      </pic:pic>
                    </a:graphicData>
                  </a:graphic>
                </wp:inline>
              </w:drawing>
            </w:r>
          </w:p>
        </w:tc>
        <w:tc>
          <w:tcPr>
            <w:tcW w:w="4850" w:type="dxa"/>
            <w:gridSpan w:val="2"/>
            <w:vAlign w:val="bottom"/>
          </w:tcPr>
          <w:p w:rsidR="002751C4" w:rsidRDefault="002751C4" w:rsidP="005164C2">
            <w:pPr>
              <w:pStyle w:val="Heading1"/>
            </w:pPr>
            <w:r>
              <w:t>Domestic developments</w:t>
            </w:r>
          </w:p>
        </w:tc>
      </w:tr>
    </w:tbl>
    <w:p w:rsidR="001C517E" w:rsidRDefault="00585DD0" w:rsidP="008D06D9">
      <w:pPr>
        <w:ind w:right="231"/>
      </w:pPr>
      <w:r>
        <w:t>E</w:t>
      </w:r>
      <w:r w:rsidR="001C517E" w:rsidRPr="00B17DE6">
        <w:t xml:space="preserve">conomic indicators </w:t>
      </w:r>
      <w:r w:rsidR="001C517E">
        <w:t>released</w:t>
      </w:r>
      <w:r w:rsidR="001C517E" w:rsidRPr="00B17DE6">
        <w:t xml:space="preserve"> </w:t>
      </w:r>
      <w:r>
        <w:t>in</w:t>
      </w:r>
      <w:r w:rsidR="001C517E">
        <w:t xml:space="preserve"> the past month </w:t>
      </w:r>
      <w:r w:rsidR="00423F92">
        <w:t>point to continued strength in the labour market and business sentiment</w:t>
      </w:r>
      <w:r w:rsidR="00344153">
        <w:t>.</w:t>
      </w:r>
    </w:p>
    <w:p w:rsidR="00981525" w:rsidRDefault="006B47AE" w:rsidP="008D06D9">
      <w:pPr>
        <w:ind w:right="231"/>
      </w:pPr>
      <w:r>
        <w:t xml:space="preserve">Victoria’s </w:t>
      </w:r>
      <w:r w:rsidRPr="00B36881">
        <w:rPr>
          <w:b/>
        </w:rPr>
        <w:t>population growth</w:t>
      </w:r>
      <w:r>
        <w:t xml:space="preserve"> </w:t>
      </w:r>
      <w:r w:rsidR="00335295">
        <w:t>was</w:t>
      </w:r>
      <w:r>
        <w:t xml:space="preserve"> revised </w:t>
      </w:r>
      <w:r w:rsidR="00335295">
        <w:t xml:space="preserve">upward </w:t>
      </w:r>
      <w:r>
        <w:t xml:space="preserve">based on the 2016 </w:t>
      </w:r>
      <w:r w:rsidR="00344153">
        <w:t>Census.</w:t>
      </w:r>
      <w:r>
        <w:t xml:space="preserve"> </w:t>
      </w:r>
      <w:r w:rsidR="00335295">
        <w:t xml:space="preserve">Even off this higher base, </w:t>
      </w:r>
      <w:r>
        <w:t xml:space="preserve">Victoria’s population increased </w:t>
      </w:r>
      <w:r w:rsidR="000A7A17">
        <w:t>by</w:t>
      </w:r>
      <w:r w:rsidR="008D06D9">
        <w:t xml:space="preserve"> a multi</w:t>
      </w:r>
      <w:r w:rsidR="008D06D9">
        <w:noBreakHyphen/>
      </w:r>
      <w:r>
        <w:t xml:space="preserve">decade high of </w:t>
      </w:r>
      <w:r w:rsidR="008D06D9">
        <w:t xml:space="preserve"> </w:t>
      </w:r>
      <w:r>
        <w:t>2.4 per cent</w:t>
      </w:r>
      <w:r w:rsidR="0021040C">
        <w:t xml:space="preserve"> in the year to December 2016</w:t>
      </w:r>
      <w:r>
        <w:t xml:space="preserve">, faster than any other state. </w:t>
      </w:r>
    </w:p>
    <w:p w:rsidR="007F7DBD" w:rsidRDefault="007F7DBD" w:rsidP="008D06D9">
      <w:pPr>
        <w:ind w:right="231"/>
      </w:pPr>
      <w:r w:rsidRPr="00FC2759">
        <w:t xml:space="preserve">Victorian </w:t>
      </w:r>
      <w:r w:rsidRPr="003239BF">
        <w:rPr>
          <w:b/>
        </w:rPr>
        <w:t>labour market conditions</w:t>
      </w:r>
      <w:r>
        <w:t xml:space="preserve"> remain strong</w:t>
      </w:r>
      <w:r w:rsidRPr="00FC2759">
        <w:t xml:space="preserve">. Employment in Victoria grew for the </w:t>
      </w:r>
      <w:r>
        <w:t>fifth</w:t>
      </w:r>
      <w:r w:rsidRPr="00FC2759">
        <w:t xml:space="preserve"> </w:t>
      </w:r>
      <w:r>
        <w:t>c</w:t>
      </w:r>
      <w:r w:rsidRPr="00FC2759">
        <w:t xml:space="preserve">onsecutive month in </w:t>
      </w:r>
      <w:r>
        <w:t>June</w:t>
      </w:r>
      <w:r w:rsidRPr="00FC2759">
        <w:t xml:space="preserve">. Over the year, </w:t>
      </w:r>
      <w:r>
        <w:t>Victorian employment rose by 3.2 per cent (97</w:t>
      </w:r>
      <w:r w:rsidR="008D06D9">
        <w:t> </w:t>
      </w:r>
      <w:r w:rsidRPr="00FC2759">
        <w:t>800 persons)</w:t>
      </w:r>
      <w:r>
        <w:t xml:space="preserve">, the highest annual </w:t>
      </w:r>
      <w:r w:rsidR="00335295">
        <w:t>increase</w:t>
      </w:r>
      <w:r>
        <w:t xml:space="preserve"> among the states</w:t>
      </w:r>
      <w:r w:rsidRPr="00FC2759">
        <w:t>.</w:t>
      </w:r>
      <w:r>
        <w:t xml:space="preserve"> </w:t>
      </w:r>
      <w:r w:rsidR="00335295">
        <w:t xml:space="preserve">The </w:t>
      </w:r>
      <w:r w:rsidR="00DE74F0">
        <w:t>unemployment</w:t>
      </w:r>
      <w:r w:rsidR="00FB4C12">
        <w:t xml:space="preserve"> rate is slightly higher </w:t>
      </w:r>
      <w:r w:rsidR="00335295">
        <w:t xml:space="preserve">because the labour force participation rate also increased over the year to </w:t>
      </w:r>
      <w:r w:rsidR="003E5648">
        <w:t>66.0</w:t>
      </w:r>
      <w:r w:rsidR="008D06D9">
        <w:t> </w:t>
      </w:r>
      <w:r w:rsidR="00335295">
        <w:t xml:space="preserve">per cent. </w:t>
      </w:r>
    </w:p>
    <w:p w:rsidR="007F7DBD" w:rsidRDefault="007F7DBD" w:rsidP="008D06D9">
      <w:pPr>
        <w:ind w:right="231"/>
      </w:pPr>
      <w:r>
        <w:t xml:space="preserve">The June monthly </w:t>
      </w:r>
      <w:r>
        <w:rPr>
          <w:b/>
        </w:rPr>
        <w:t>NAB business survey</w:t>
      </w:r>
      <w:r>
        <w:t xml:space="preserve"> pointed to strength in both business conditions and confidence. </w:t>
      </w:r>
      <w:r>
        <w:rPr>
          <w:b/>
        </w:rPr>
        <w:t xml:space="preserve">NAB business conditions </w:t>
      </w:r>
      <w:r>
        <w:t xml:space="preserve">rose </w:t>
      </w:r>
      <w:r w:rsidR="008D06D9">
        <w:t>5 </w:t>
      </w:r>
      <w:r>
        <w:t xml:space="preserve">points to +17 index points and </w:t>
      </w:r>
      <w:r w:rsidRPr="00362CE1">
        <w:rPr>
          <w:b/>
        </w:rPr>
        <w:t xml:space="preserve">business confidence </w:t>
      </w:r>
      <w:r>
        <w:t>rema</w:t>
      </w:r>
      <w:r w:rsidR="008D06D9">
        <w:t>ins positive, up 2 points to +6 </w:t>
      </w:r>
      <w:r>
        <w:t xml:space="preserve">index points over the month. </w:t>
      </w:r>
    </w:p>
    <w:p w:rsidR="008D06D9" w:rsidRDefault="008D06D9" w:rsidP="007F7DBD">
      <w:pPr>
        <w:sectPr w:rsidR="008D06D9" w:rsidSect="008D06D9">
          <w:headerReference w:type="default" r:id="rId16"/>
          <w:footerReference w:type="default" r:id="rId17"/>
          <w:type w:val="continuous"/>
          <w:pgSz w:w="11906" w:h="16838" w:code="9"/>
          <w:pgMar w:top="964" w:right="1134" w:bottom="794" w:left="1134" w:header="709" w:footer="567" w:gutter="0"/>
          <w:cols w:num="2" w:space="562" w:equalWidth="0">
            <w:col w:w="3625" w:space="562"/>
            <w:col w:w="5451"/>
          </w:cols>
          <w:docGrid w:linePitch="360"/>
        </w:sectPr>
      </w:pPr>
    </w:p>
    <w:p w:rsidR="00A431B6" w:rsidRDefault="00067C7B" w:rsidP="007F7DBD">
      <w:r>
        <w:lastRenderedPageBreak/>
        <w:t>T</w:t>
      </w:r>
      <w:r w:rsidR="00B0702F">
        <w:t xml:space="preserve">he </w:t>
      </w:r>
      <w:r w:rsidR="00B0702F" w:rsidRPr="00DF35C7">
        <w:rPr>
          <w:b/>
        </w:rPr>
        <w:t>2016 Census</w:t>
      </w:r>
      <w:r w:rsidR="00B0702F">
        <w:t xml:space="preserve"> </w:t>
      </w:r>
      <w:r w:rsidR="00344153">
        <w:t xml:space="preserve">data reveals </w:t>
      </w:r>
      <w:r w:rsidR="00522682">
        <w:t xml:space="preserve">a </w:t>
      </w:r>
      <w:r w:rsidR="00344153">
        <w:t>falling share of home ownership in Victoria</w:t>
      </w:r>
      <w:r w:rsidR="00E43FBF">
        <w:t>.</w:t>
      </w:r>
      <w:r w:rsidR="009B76BE">
        <w:t xml:space="preserve"> </w:t>
      </w:r>
      <w:r w:rsidR="00544A13">
        <w:t>The proportion of Vi</w:t>
      </w:r>
      <w:r w:rsidR="008D06D9">
        <w:t>ctorians owning a home fell 2.5 </w:t>
      </w:r>
      <w:r w:rsidR="00E43FBF">
        <w:t>p</w:t>
      </w:r>
      <w:r w:rsidR="00544A13">
        <w:t>er</w:t>
      </w:r>
      <w:r w:rsidR="00344153">
        <w:t xml:space="preserve">centage points </w:t>
      </w:r>
      <w:r w:rsidR="00544A13">
        <w:t>to 67.6</w:t>
      </w:r>
      <w:r w:rsidR="008D06D9">
        <w:t> </w:t>
      </w:r>
      <w:r w:rsidR="00544A13">
        <w:t xml:space="preserve">per cent </w:t>
      </w:r>
      <w:r w:rsidR="009918D2">
        <w:t xml:space="preserve">in the five years to </w:t>
      </w:r>
      <w:r w:rsidR="00544A13">
        <w:t>2016</w:t>
      </w:r>
      <w:r w:rsidR="00344153">
        <w:t xml:space="preserve">. The </w:t>
      </w:r>
      <w:r w:rsidR="00544A13">
        <w:t>number of unoccupied private dwellings increased by 12.9</w:t>
      </w:r>
      <w:r w:rsidR="008D06D9">
        <w:t> per cent to 278 </w:t>
      </w:r>
      <w:r w:rsidR="00544A13">
        <w:t xml:space="preserve">629 over the same </w:t>
      </w:r>
      <w:r w:rsidR="00344153">
        <w:t>time period.</w:t>
      </w:r>
      <w:r w:rsidR="00FB4C12">
        <w:t xml:space="preserve"> </w:t>
      </w:r>
      <w:r w:rsidR="009D42BF">
        <w:t>In 2016, there we</w:t>
      </w:r>
      <w:r w:rsidR="00FB4C12" w:rsidRPr="00FB4C12">
        <w:rPr>
          <w:rFonts w:cstheme="minorHAnsi"/>
        </w:rPr>
        <w:t xml:space="preserve">re </w:t>
      </w:r>
      <w:r w:rsidR="00FB4C12" w:rsidRPr="00FB4C12">
        <w:rPr>
          <w:rFonts w:cstheme="minorHAnsi"/>
          <w:bCs/>
          <w:color w:val="333333"/>
        </w:rPr>
        <w:t>2</w:t>
      </w:r>
      <w:r w:rsidR="008D06D9">
        <w:rPr>
          <w:rFonts w:cstheme="minorHAnsi"/>
          <w:bCs/>
          <w:color w:val="333333"/>
        </w:rPr>
        <w:t> </w:t>
      </w:r>
      <w:r w:rsidR="00FB4C12" w:rsidRPr="00FB4C12">
        <w:rPr>
          <w:rFonts w:cstheme="minorHAnsi"/>
          <w:bCs/>
          <w:color w:val="333333"/>
        </w:rPr>
        <w:t>520</w:t>
      </w:r>
      <w:r w:rsidR="008D06D9">
        <w:rPr>
          <w:rFonts w:cstheme="minorHAnsi"/>
          <w:bCs/>
          <w:color w:val="333333"/>
        </w:rPr>
        <w:t> </w:t>
      </w:r>
      <w:r w:rsidR="00FB4C12" w:rsidRPr="00FB4C12">
        <w:rPr>
          <w:rFonts w:cstheme="minorHAnsi"/>
          <w:bCs/>
          <w:color w:val="333333"/>
        </w:rPr>
        <w:t>912</w:t>
      </w:r>
      <w:r w:rsidR="00FB4C12">
        <w:rPr>
          <w:rFonts w:cstheme="minorHAnsi"/>
          <w:bCs/>
          <w:color w:val="333333"/>
        </w:rPr>
        <w:t xml:space="preserve"> estimated</w:t>
      </w:r>
      <w:r w:rsidR="00C513CC">
        <w:rPr>
          <w:rFonts w:cstheme="minorHAnsi"/>
          <w:bCs/>
          <w:color w:val="333333"/>
        </w:rPr>
        <w:t xml:space="preserve"> private</w:t>
      </w:r>
      <w:r w:rsidR="00FB4C12">
        <w:rPr>
          <w:rFonts w:cstheme="minorHAnsi"/>
          <w:bCs/>
          <w:color w:val="333333"/>
        </w:rPr>
        <w:t xml:space="preserve"> dwellings in </w:t>
      </w:r>
      <w:r w:rsidR="00C513CC">
        <w:rPr>
          <w:rFonts w:cstheme="minorHAnsi"/>
          <w:bCs/>
          <w:color w:val="333333"/>
        </w:rPr>
        <w:t>Victoria</w:t>
      </w:r>
      <w:r w:rsidR="00FB4C12">
        <w:rPr>
          <w:rFonts w:cstheme="minorHAnsi"/>
          <w:bCs/>
          <w:color w:val="333333"/>
        </w:rPr>
        <w:t>.</w:t>
      </w:r>
    </w:p>
    <w:p w:rsidR="00344153" w:rsidRPr="003A4B92" w:rsidRDefault="00344153" w:rsidP="00344153">
      <w:r>
        <w:t xml:space="preserve">Residential property prices continue to rise. The </w:t>
      </w:r>
      <w:proofErr w:type="spellStart"/>
      <w:r w:rsidRPr="003A4B92">
        <w:rPr>
          <w:b/>
        </w:rPr>
        <w:t>CoreLogic</w:t>
      </w:r>
      <w:proofErr w:type="spellEnd"/>
      <w:r w:rsidRPr="003A4B92">
        <w:rPr>
          <w:b/>
        </w:rPr>
        <w:t xml:space="preserve"> RP Data Home Value Index</w:t>
      </w:r>
      <w:r>
        <w:t xml:space="preserve"> for Melbourne increased by 13.7 </w:t>
      </w:r>
      <w:r w:rsidRPr="003A4B92">
        <w:t xml:space="preserve">per cent over the year to </w:t>
      </w:r>
      <w:r>
        <w:t>June.</w:t>
      </w:r>
      <w:r w:rsidRPr="003A4B92">
        <w:t xml:space="preserve"> Melbourne's annual price growth for residential property was the highest </w:t>
      </w:r>
      <w:r w:rsidR="00664988">
        <w:t>of all</w:t>
      </w:r>
      <w:r w:rsidRPr="003A4B92">
        <w:t xml:space="preserve"> </w:t>
      </w:r>
      <w:r w:rsidR="00664988">
        <w:t>s</w:t>
      </w:r>
      <w:r w:rsidRPr="003A4B92">
        <w:t xml:space="preserve">tate capitals. </w:t>
      </w:r>
    </w:p>
    <w:p w:rsidR="005C66FE" w:rsidRPr="00585DD0" w:rsidRDefault="009918D2" w:rsidP="00B067DD">
      <w:r>
        <w:rPr>
          <w:b/>
        </w:rPr>
        <w:t xml:space="preserve">Melbourne’s consumer price index </w:t>
      </w:r>
      <w:r>
        <w:t>rose by 0.1 per cent in the June quarter, and</w:t>
      </w:r>
      <w:r w:rsidR="00522682">
        <w:t xml:space="preserve"> by </w:t>
      </w:r>
      <w:r w:rsidR="00344153">
        <w:t>2.2</w:t>
      </w:r>
      <w:r>
        <w:t xml:space="preserve"> per cent over the year.</w:t>
      </w:r>
      <w:r w:rsidR="008D06D9">
        <w:t xml:space="preserve"> </w:t>
      </w:r>
      <w:r>
        <w:t xml:space="preserve">This result was </w:t>
      </w:r>
      <w:r w:rsidR="00585DD0" w:rsidRPr="00585DD0">
        <w:t>weaker than</w:t>
      </w:r>
      <w:r w:rsidR="00585DD0">
        <w:rPr>
          <w:b/>
        </w:rPr>
        <w:t xml:space="preserve"> </w:t>
      </w:r>
      <w:r w:rsidR="00585DD0" w:rsidRPr="00585DD0">
        <w:t>expected</w:t>
      </w:r>
      <w:r w:rsidR="00E43FBF">
        <w:t xml:space="preserve">, partly due </w:t>
      </w:r>
      <w:r w:rsidR="00F00EBF">
        <w:t xml:space="preserve">to </w:t>
      </w:r>
      <w:r>
        <w:t xml:space="preserve">the muted impact on </w:t>
      </w:r>
      <w:r w:rsidR="00344153">
        <w:t>fresh produce</w:t>
      </w:r>
      <w:r>
        <w:t xml:space="preserve"> prices associated with </w:t>
      </w:r>
      <w:r w:rsidR="00E43FBF">
        <w:t>Cyclone Debbie</w:t>
      </w:r>
      <w:r w:rsidR="00585DD0">
        <w:t>.</w:t>
      </w:r>
    </w:p>
    <w:p w:rsidR="00615B0C" w:rsidRDefault="00AB30B6" w:rsidP="00B067DD">
      <w:r>
        <w:t xml:space="preserve">Despite strong growth in household consumption in the latest national accounts, </w:t>
      </w:r>
      <w:r w:rsidR="00347A78">
        <w:t xml:space="preserve">Victorian </w:t>
      </w:r>
      <w:r w:rsidR="00347A78" w:rsidRPr="00347A78">
        <w:rPr>
          <w:b/>
        </w:rPr>
        <w:t>consumer sentiment</w:t>
      </w:r>
      <w:r w:rsidR="00347A78">
        <w:t xml:space="preserve"> de</w:t>
      </w:r>
      <w:r w:rsidR="000D36C6">
        <w:t>creased by 0.4 per cent to 97.3</w:t>
      </w:r>
      <w:r w:rsidR="006A5C90">
        <w:t xml:space="preserve">, </w:t>
      </w:r>
      <w:r w:rsidR="00615B0C">
        <w:t>however</w:t>
      </w:r>
      <w:r w:rsidR="00347A78">
        <w:t xml:space="preserve"> the index remains higher than the national average</w:t>
      </w:r>
      <w:r w:rsidR="00615B0C">
        <w:t xml:space="preserve"> of 96.6 in July. </w:t>
      </w:r>
      <w:r w:rsidR="000D36C6">
        <w:t xml:space="preserve">Views on the </w:t>
      </w:r>
      <w:r w:rsidR="000D36C6" w:rsidRPr="00BB3C90">
        <w:t>economic conditions over the next 12 months</w:t>
      </w:r>
      <w:r w:rsidR="000D36C6">
        <w:t xml:space="preserve"> improved slightly, up 1.1 per cent to 92.5 in July. </w:t>
      </w:r>
    </w:p>
    <w:p w:rsidR="002277E2" w:rsidRPr="002277E2" w:rsidRDefault="00AB30B6" w:rsidP="002277E2">
      <w:r>
        <w:t xml:space="preserve">Victoria’s </w:t>
      </w:r>
      <w:r w:rsidR="00157F5E">
        <w:rPr>
          <w:b/>
        </w:rPr>
        <w:t xml:space="preserve">Performance </w:t>
      </w:r>
      <w:r w:rsidR="002277E2" w:rsidRPr="00BB3C90">
        <w:rPr>
          <w:b/>
        </w:rPr>
        <w:t xml:space="preserve">of Manufacturing Index </w:t>
      </w:r>
      <w:r>
        <w:t xml:space="preserve">has </w:t>
      </w:r>
      <w:r w:rsidR="009840B1">
        <w:t xml:space="preserve">signalled </w:t>
      </w:r>
      <w:r>
        <w:t xml:space="preserve">expansion </w:t>
      </w:r>
      <w:r w:rsidR="009840B1">
        <w:t xml:space="preserve">in manufacturing </w:t>
      </w:r>
      <w:r>
        <w:t>for the past five months</w:t>
      </w:r>
      <w:r w:rsidR="009840B1">
        <w:t xml:space="preserve"> – albeit the June survey showed a modest </w:t>
      </w:r>
      <w:r w:rsidR="00EB2EA9">
        <w:t>weakening</w:t>
      </w:r>
      <w:r>
        <w:t xml:space="preserve"> b</w:t>
      </w:r>
      <w:r w:rsidR="002277E2">
        <w:t xml:space="preserve">y 2.1 points to 54.2 in June. </w:t>
      </w:r>
    </w:p>
    <w:p w:rsidR="00CB5401" w:rsidRDefault="00231277" w:rsidP="002277E2">
      <w:r w:rsidRPr="002277E2">
        <w:t>The</w:t>
      </w:r>
      <w:r w:rsidR="003D0FD1" w:rsidRPr="002277E2">
        <w:t xml:space="preserve"> RBA</w:t>
      </w:r>
      <w:r w:rsidR="00EB2EA9">
        <w:t xml:space="preserve"> </w:t>
      </w:r>
      <w:r w:rsidR="003D0FD1" w:rsidRPr="002277E2">
        <w:t>left the</w:t>
      </w:r>
      <w:r w:rsidRPr="002277E2">
        <w:t xml:space="preserve"> </w:t>
      </w:r>
      <w:r w:rsidRPr="002277E2">
        <w:rPr>
          <w:b/>
        </w:rPr>
        <w:t>cash rate</w:t>
      </w:r>
      <w:r w:rsidRPr="002277E2">
        <w:t xml:space="preserve"> unchanged at 1.50</w:t>
      </w:r>
      <w:r w:rsidR="005D5C2A" w:rsidRPr="002277E2">
        <w:t> </w:t>
      </w:r>
      <w:r w:rsidRPr="002277E2">
        <w:t>per</w:t>
      </w:r>
      <w:r w:rsidR="005D5C2A" w:rsidRPr="002277E2">
        <w:t> </w:t>
      </w:r>
      <w:r w:rsidRPr="002277E2">
        <w:t>cent</w:t>
      </w:r>
      <w:r w:rsidR="008D4C72" w:rsidRPr="002277E2">
        <w:t xml:space="preserve">. </w:t>
      </w:r>
      <w:r w:rsidR="009840B1">
        <w:t xml:space="preserve">It </w:t>
      </w:r>
      <w:r w:rsidR="008D4C72" w:rsidRPr="002277E2">
        <w:t>noted</w:t>
      </w:r>
      <w:r w:rsidRPr="002277E2">
        <w:t xml:space="preserve"> that</w:t>
      </w:r>
      <w:r w:rsidR="007F6738" w:rsidRPr="002277E2">
        <w:t xml:space="preserve"> the</w:t>
      </w:r>
      <w:r w:rsidRPr="002277E2">
        <w:t xml:space="preserve"> </w:t>
      </w:r>
      <w:r w:rsidR="00615915" w:rsidRPr="002277E2">
        <w:t>unchanged policy</w:t>
      </w:r>
      <w:r w:rsidR="007F6738" w:rsidRPr="002277E2">
        <w:t xml:space="preserve"> stance</w:t>
      </w:r>
      <w:r w:rsidR="00615915" w:rsidRPr="002277E2">
        <w:t xml:space="preserve"> </w:t>
      </w:r>
      <w:r w:rsidR="00855C1D" w:rsidRPr="002277E2">
        <w:t xml:space="preserve">is </w:t>
      </w:r>
      <w:r w:rsidR="00615915" w:rsidRPr="002277E2">
        <w:t xml:space="preserve">consistent with sustainable growth in </w:t>
      </w:r>
      <w:r w:rsidR="009840B1">
        <w:t xml:space="preserve">a low </w:t>
      </w:r>
      <w:r w:rsidR="00615915" w:rsidRPr="002277E2">
        <w:t xml:space="preserve">inflation </w:t>
      </w:r>
      <w:r w:rsidR="009840B1">
        <w:t>environment</w:t>
      </w:r>
      <w:r w:rsidR="00855C1D" w:rsidRPr="002277E2">
        <w:t>.</w:t>
      </w:r>
      <w:r w:rsidR="00E265D8">
        <w:t xml:space="preserve"> </w:t>
      </w:r>
      <w:r w:rsidR="0069622A">
        <w:t xml:space="preserve">The </w:t>
      </w:r>
      <w:r w:rsidR="00EB0176">
        <w:t>RBA</w:t>
      </w:r>
      <w:r w:rsidR="0069622A">
        <w:t xml:space="preserve"> noted its estimate of the neutral real interest rate as approximately 1 per cent. This equates to a neutral nominal cash rate of </w:t>
      </w:r>
      <w:r w:rsidR="00C2486C">
        <w:t xml:space="preserve">around </w:t>
      </w:r>
      <w:r w:rsidR="008D06D9">
        <w:t>3.5 </w:t>
      </w:r>
      <w:r w:rsidR="00C2486C">
        <w:t>per cent</w:t>
      </w:r>
      <w:r w:rsidR="0069622A">
        <w:t xml:space="preserve"> for monetary policy to be neither expansionary or contractionary</w:t>
      </w:r>
      <w:r w:rsidR="00C2486C">
        <w:t>.</w:t>
      </w:r>
    </w:p>
    <w:tbl>
      <w:tblPr>
        <w:tblW w:w="4698" w:type="dxa"/>
        <w:tblLook w:val="04A0" w:firstRow="1" w:lastRow="0" w:firstColumn="1" w:lastColumn="0" w:noHBand="0" w:noVBand="1"/>
      </w:tblPr>
      <w:tblGrid>
        <w:gridCol w:w="988"/>
        <w:gridCol w:w="3710"/>
      </w:tblGrid>
      <w:tr w:rsidR="00047DD7" w:rsidRPr="00405FBA" w:rsidTr="002751C4">
        <w:tc>
          <w:tcPr>
            <w:tcW w:w="988" w:type="dxa"/>
          </w:tcPr>
          <w:p w:rsidR="00047DD7" w:rsidRPr="00405FBA" w:rsidRDefault="002868CD" w:rsidP="00EE60CF">
            <w:r w:rsidRPr="00405FBA">
              <w:lastRenderedPageBreak/>
              <w:br w:type="column"/>
            </w:r>
            <w:r w:rsidR="00047DD7" w:rsidRPr="00405FBA">
              <w:rPr>
                <w:noProof/>
                <w:lang w:eastAsia="en-AU"/>
              </w:rPr>
              <w:drawing>
                <wp:inline distT="0" distB="0" distL="0" distR="0" wp14:anchorId="3CF06472" wp14:editId="6D4A2D39">
                  <wp:extent cx="468000" cy="468000"/>
                  <wp:effectExtent l="0" t="0" r="8255" b="8255"/>
                  <wp:docPr id="14" name="Picture 14" descr="H:\temp\Economic Policy Newsletter\Stockmar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emp\Economic Policy Newsletter\Stockmarket.png"/>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3710" w:type="dxa"/>
            <w:vAlign w:val="bottom"/>
          </w:tcPr>
          <w:p w:rsidR="00047DD7" w:rsidRPr="00405FBA" w:rsidRDefault="008B2D78" w:rsidP="00EE60CF">
            <w:pPr>
              <w:pStyle w:val="Heading1"/>
            </w:pPr>
            <w:r>
              <w:t>Global developments</w:t>
            </w:r>
          </w:p>
        </w:tc>
      </w:tr>
    </w:tbl>
    <w:p w:rsidR="009F7CFF" w:rsidRDefault="00DF19BC" w:rsidP="00976953">
      <w:pPr>
        <w:spacing w:before="120"/>
      </w:pPr>
      <w:r>
        <w:t xml:space="preserve">Economic activity indicators in the US </w:t>
      </w:r>
      <w:r w:rsidR="009840B1">
        <w:t xml:space="preserve">continue to </w:t>
      </w:r>
      <w:r>
        <w:t xml:space="preserve">improve. </w:t>
      </w:r>
      <w:r w:rsidR="00F049DC">
        <w:t>GDP growth has accelerated in the June quarter, primarily driven by stronger consumption growth. The</w:t>
      </w:r>
      <w:r w:rsidR="009F7CFF">
        <w:t xml:space="preserve"> composite </w:t>
      </w:r>
      <w:r w:rsidR="009F7CFF" w:rsidRPr="009F7CFF">
        <w:rPr>
          <w:b/>
        </w:rPr>
        <w:t xml:space="preserve">Purchasing Managers Index (PMI) </w:t>
      </w:r>
      <w:r w:rsidR="009F7CFF">
        <w:t>rose 0.3 points to 54.2 in July</w:t>
      </w:r>
      <w:r>
        <w:t>, the highest reading since January</w:t>
      </w:r>
      <w:r w:rsidR="00C15F1B">
        <w:t xml:space="preserve">. </w:t>
      </w:r>
    </w:p>
    <w:p w:rsidR="00557A3F" w:rsidRDefault="00976953" w:rsidP="00976953">
      <w:pPr>
        <w:spacing w:before="120"/>
      </w:pPr>
      <w:r w:rsidRPr="003A4B92">
        <w:t xml:space="preserve">The US labour market </w:t>
      </w:r>
      <w:r w:rsidR="00DF19BC">
        <w:t>remains solid</w:t>
      </w:r>
      <w:r w:rsidR="00EE4151">
        <w:t>.</w:t>
      </w:r>
      <w:r>
        <w:t xml:space="preserve"> </w:t>
      </w:r>
      <w:r w:rsidR="00EE4151" w:rsidRPr="00ED0E66">
        <w:rPr>
          <w:b/>
        </w:rPr>
        <w:t>N</w:t>
      </w:r>
      <w:r w:rsidR="008D06D9">
        <w:rPr>
          <w:b/>
        </w:rPr>
        <w:t>on</w:t>
      </w:r>
      <w:r w:rsidR="008D06D9">
        <w:rPr>
          <w:b/>
        </w:rPr>
        <w:noBreakHyphen/>
      </w:r>
      <w:r w:rsidRPr="003A4B92">
        <w:rPr>
          <w:b/>
        </w:rPr>
        <w:t>farm payrolls</w:t>
      </w:r>
      <w:r w:rsidRPr="003A4B92">
        <w:t xml:space="preserve"> increased by </w:t>
      </w:r>
      <w:r w:rsidR="008D06D9">
        <w:t>222 </w:t>
      </w:r>
      <w:r>
        <w:t>000 in June. The unem</w:t>
      </w:r>
      <w:r w:rsidRPr="003A4B92">
        <w:t xml:space="preserve">ployment </w:t>
      </w:r>
      <w:r>
        <w:t xml:space="preserve">rate </w:t>
      </w:r>
      <w:r w:rsidR="00170B8B">
        <w:t xml:space="preserve">and the participation rate both </w:t>
      </w:r>
      <w:r>
        <w:t xml:space="preserve">increased </w:t>
      </w:r>
      <w:r w:rsidR="00C35431">
        <w:t xml:space="preserve">slightly </w:t>
      </w:r>
      <w:r>
        <w:t>in June</w:t>
      </w:r>
      <w:r w:rsidR="00170B8B">
        <w:t xml:space="preserve">. </w:t>
      </w:r>
      <w:r w:rsidR="000B16BD">
        <w:t>The</w:t>
      </w:r>
      <w:r w:rsidR="007D7C97">
        <w:t xml:space="preserve"> broadest</w:t>
      </w:r>
      <w:r w:rsidR="000B16BD">
        <w:t xml:space="preserve"> measure of </w:t>
      </w:r>
      <w:r w:rsidR="007D7C97">
        <w:t>underutilisation</w:t>
      </w:r>
      <w:r w:rsidR="000B16BD">
        <w:t xml:space="preserve"> in the labour market increased </w:t>
      </w:r>
      <w:r w:rsidR="0050041F">
        <w:t xml:space="preserve">0.2 percentage points </w:t>
      </w:r>
      <w:r w:rsidR="000B16BD">
        <w:t xml:space="preserve">to </w:t>
      </w:r>
      <w:r w:rsidR="008D06D9">
        <w:t>8.6 per </w:t>
      </w:r>
      <w:r w:rsidR="000B16BD">
        <w:t>cent</w:t>
      </w:r>
      <w:r w:rsidR="007D7C97">
        <w:t>.</w:t>
      </w:r>
      <w:r w:rsidR="008D06D9">
        <w:t xml:space="preserve"> </w:t>
      </w:r>
    </w:p>
    <w:p w:rsidR="001578F5" w:rsidRPr="003A4B92" w:rsidRDefault="001578F5" w:rsidP="001578F5">
      <w:pPr>
        <w:spacing w:before="120"/>
      </w:pPr>
      <w:r>
        <w:rPr>
          <w:b/>
        </w:rPr>
        <w:t xml:space="preserve">The </w:t>
      </w:r>
      <w:r w:rsidR="00EB0176">
        <w:rPr>
          <w:b/>
        </w:rPr>
        <w:t xml:space="preserve">US </w:t>
      </w:r>
      <w:r>
        <w:rPr>
          <w:b/>
        </w:rPr>
        <w:t>F</w:t>
      </w:r>
      <w:r w:rsidRPr="00BE3069">
        <w:rPr>
          <w:b/>
        </w:rPr>
        <w:t>ederal Reserve</w:t>
      </w:r>
      <w:r w:rsidR="000636F8">
        <w:t xml:space="preserve"> policy rate</w:t>
      </w:r>
      <w:r>
        <w:t xml:space="preserve"> </w:t>
      </w:r>
      <w:r w:rsidR="000636F8">
        <w:t>was</w:t>
      </w:r>
      <w:r>
        <w:t xml:space="preserve"> kept on hold this month given soft inflation readings (1.4 per cent in May) and the recent uptick in spare capacity in the US labour market. The unwinding of the balance sheet is expected to occur </w:t>
      </w:r>
      <w:r w:rsidR="008D06D9">
        <w:t>‘</w:t>
      </w:r>
      <w:r>
        <w:t>relatively soon</w:t>
      </w:r>
      <w:r w:rsidR="008D06D9">
        <w:t>’</w:t>
      </w:r>
      <w:r w:rsidR="0016655B">
        <w:t>.</w:t>
      </w:r>
    </w:p>
    <w:p w:rsidR="00932A32" w:rsidRPr="00082ABF" w:rsidRDefault="007412D0" w:rsidP="00231277">
      <w:pPr>
        <w:spacing w:before="120"/>
      </w:pPr>
      <w:r w:rsidRPr="007412D0">
        <w:t>Federal Open Market Committee</w:t>
      </w:r>
      <w:r>
        <w:t xml:space="preserve"> (</w:t>
      </w:r>
      <w:r w:rsidR="00C04C72" w:rsidRPr="009F7CFF">
        <w:t>FOMC</w:t>
      </w:r>
      <w:r>
        <w:t>)</w:t>
      </w:r>
      <w:r w:rsidR="00C04C72" w:rsidRPr="009F7CFF">
        <w:t xml:space="preserve"> Chair Janet </w:t>
      </w:r>
      <w:r w:rsidR="00932A32" w:rsidRPr="009F7CFF">
        <w:t>Yellen</w:t>
      </w:r>
      <w:r w:rsidR="00667DB9">
        <w:rPr>
          <w:b/>
        </w:rPr>
        <w:t xml:space="preserve"> testi</w:t>
      </w:r>
      <w:r>
        <w:rPr>
          <w:b/>
        </w:rPr>
        <w:t>fied</w:t>
      </w:r>
      <w:r w:rsidR="00667DB9">
        <w:rPr>
          <w:b/>
        </w:rPr>
        <w:t xml:space="preserve"> before US C</w:t>
      </w:r>
      <w:r w:rsidR="00932A32">
        <w:rPr>
          <w:b/>
        </w:rPr>
        <w:t>ongress</w:t>
      </w:r>
      <w:r w:rsidR="00082ABF">
        <w:rPr>
          <w:b/>
        </w:rPr>
        <w:t xml:space="preserve"> in July. </w:t>
      </w:r>
      <w:r w:rsidR="0005013A">
        <w:t>T</w:t>
      </w:r>
      <w:r w:rsidR="0008503A">
        <w:t>he US policy rat</w:t>
      </w:r>
      <w:r w:rsidR="0005013A">
        <w:t>e is c</w:t>
      </w:r>
      <w:r w:rsidR="00082ABF">
        <w:t xml:space="preserve">lose to </w:t>
      </w:r>
      <w:r w:rsidR="0005013A">
        <w:t>its</w:t>
      </w:r>
      <w:r w:rsidR="00082ABF">
        <w:t xml:space="preserve"> neutral </w:t>
      </w:r>
      <w:r w:rsidR="0005013A">
        <w:t>level and would not require a significant series of</w:t>
      </w:r>
      <w:r w:rsidR="005A27E3">
        <w:t xml:space="preserve"> rate</w:t>
      </w:r>
      <w:r w:rsidR="0005013A">
        <w:t xml:space="preserve"> hikes</w:t>
      </w:r>
      <w:r w:rsidR="00082ABF">
        <w:t xml:space="preserve"> to remove excess accommodation. </w:t>
      </w:r>
      <w:r w:rsidR="009F7CFF">
        <w:t>Gradual</w:t>
      </w:r>
      <w:r w:rsidR="00082ABF">
        <w:t xml:space="preserve"> rate hikes over the next few years</w:t>
      </w:r>
      <w:r w:rsidR="009F7CFF">
        <w:t xml:space="preserve"> are likely, but the Fed will need to monitor CPI </w:t>
      </w:r>
      <w:r w:rsidR="00082ABF">
        <w:t xml:space="preserve">closely. It is anticipated that the FOMC will start reducing the balance sheet </w:t>
      </w:r>
      <w:r w:rsidR="009840B1">
        <w:t>from September</w:t>
      </w:r>
      <w:r w:rsidR="00082ABF">
        <w:t xml:space="preserve">. </w:t>
      </w:r>
    </w:p>
    <w:p w:rsidR="00270E44" w:rsidRDefault="00270E44" w:rsidP="00270E44">
      <w:pPr>
        <w:spacing w:before="120"/>
      </w:pPr>
      <w:r>
        <w:rPr>
          <w:b/>
        </w:rPr>
        <w:t>China</w:t>
      </w:r>
      <w:r w:rsidR="00DF19BC">
        <w:rPr>
          <w:b/>
        </w:rPr>
        <w:t xml:space="preserve"> </w:t>
      </w:r>
      <w:r>
        <w:t>recorded</w:t>
      </w:r>
      <w:r w:rsidR="00DF19BC">
        <w:t xml:space="preserve"> stronger economic growth than expected in the June quarter. R</w:t>
      </w:r>
      <w:r>
        <w:t xml:space="preserve">etail sales and industrial output </w:t>
      </w:r>
      <w:r w:rsidR="00DF19BC">
        <w:t>also pointed to a robust economy.</w:t>
      </w:r>
      <w:r>
        <w:t xml:space="preserve"> Inflation </w:t>
      </w:r>
      <w:r w:rsidR="009840B1">
        <w:t xml:space="preserve">was </w:t>
      </w:r>
      <w:r w:rsidR="008D06D9">
        <w:t>1.5 per </w:t>
      </w:r>
      <w:r w:rsidR="009840B1">
        <w:t xml:space="preserve">cent higher </w:t>
      </w:r>
      <w:r>
        <w:t>over the year to June</w:t>
      </w:r>
      <w:r w:rsidR="009840B1">
        <w:t xml:space="preserve"> and was in line with expectations</w:t>
      </w:r>
      <w:r>
        <w:t xml:space="preserve">. </w:t>
      </w:r>
      <w:r w:rsidR="009840B1">
        <w:t>M</w:t>
      </w:r>
      <w:r>
        <w:t xml:space="preserve">anufacturing </w:t>
      </w:r>
      <w:r w:rsidR="000F6675">
        <w:t>also accelerated in June</w:t>
      </w:r>
      <w:r>
        <w:t xml:space="preserve"> with the manufacturing PMI exceeding </w:t>
      </w:r>
      <w:r w:rsidR="00DF19BC">
        <w:t>e</w:t>
      </w:r>
      <w:r>
        <w:t>xpectations at 51.7 index points.</w:t>
      </w:r>
    </w:p>
    <w:p w:rsidR="00335813" w:rsidRDefault="009840B1" w:rsidP="00335813">
      <w:pPr>
        <w:spacing w:before="120"/>
      </w:pPr>
      <w:r>
        <w:rPr>
          <w:b/>
        </w:rPr>
        <w:lastRenderedPageBreak/>
        <w:t>T</w:t>
      </w:r>
      <w:r w:rsidRPr="006D4C00">
        <w:rPr>
          <w:b/>
        </w:rPr>
        <w:t xml:space="preserve">he AUD strengthened </w:t>
      </w:r>
      <w:r w:rsidRPr="009840B1">
        <w:t xml:space="preserve">to </w:t>
      </w:r>
      <w:r w:rsidR="00C2310E">
        <w:t xml:space="preserve">a </w:t>
      </w:r>
      <w:r w:rsidR="008D06D9">
        <w:t>two</w:t>
      </w:r>
      <w:r w:rsidR="007412D0">
        <w:t>-</w:t>
      </w:r>
      <w:r w:rsidR="00C2310E">
        <w:t>year high of 79</w:t>
      </w:r>
      <w:r>
        <w:t xml:space="preserve"> </w:t>
      </w:r>
      <w:r w:rsidRPr="00170B8B">
        <w:t>cents in July</w:t>
      </w:r>
      <w:r w:rsidR="00B85D08">
        <w:rPr>
          <w:b/>
        </w:rPr>
        <w:t xml:space="preserve">. </w:t>
      </w:r>
      <w:r w:rsidR="00B85D08">
        <w:t>This</w:t>
      </w:r>
      <w:r>
        <w:rPr>
          <w:b/>
        </w:rPr>
        <w:t xml:space="preserve"> </w:t>
      </w:r>
      <w:r w:rsidR="00B85D08">
        <w:t>was partly due to</w:t>
      </w:r>
      <w:r>
        <w:t xml:space="preserve"> </w:t>
      </w:r>
      <w:r w:rsidR="009131FD">
        <w:t xml:space="preserve">strong economic data in China </w:t>
      </w:r>
      <w:r>
        <w:t xml:space="preserve">and </w:t>
      </w:r>
      <w:r w:rsidR="00EB2EA9">
        <w:t>expectations</w:t>
      </w:r>
      <w:r>
        <w:t xml:space="preserve"> of a strengthening </w:t>
      </w:r>
      <w:r w:rsidR="00D93B76">
        <w:t xml:space="preserve">in </w:t>
      </w:r>
      <w:r>
        <w:t xml:space="preserve">commodity prices, </w:t>
      </w:r>
      <w:r w:rsidR="009131FD">
        <w:t>a</w:t>
      </w:r>
      <w:r w:rsidR="00B85D08">
        <w:t>s well as</w:t>
      </w:r>
      <w:r w:rsidR="009131FD">
        <w:t xml:space="preserve"> </w:t>
      </w:r>
      <w:r w:rsidR="00AC15BC">
        <w:t xml:space="preserve">a </w:t>
      </w:r>
      <w:r w:rsidR="009131FD">
        <w:t>weak</w:t>
      </w:r>
      <w:r>
        <w:t xml:space="preserve">er </w:t>
      </w:r>
      <w:r w:rsidR="009131FD">
        <w:t xml:space="preserve">USD </w:t>
      </w:r>
      <w:r w:rsidR="00D93B76">
        <w:t>that reflected softer CPI data and expectations of a more gradual normalisation in US monetary policy.</w:t>
      </w:r>
    </w:p>
    <w:p w:rsidR="005814E1" w:rsidRDefault="00D11CA8" w:rsidP="00231277">
      <w:pPr>
        <w:spacing w:before="120"/>
      </w:pPr>
      <w:r>
        <w:t xml:space="preserve">The </w:t>
      </w:r>
      <w:r w:rsidRPr="00AC15BC">
        <w:rPr>
          <w:b/>
        </w:rPr>
        <w:t>ECB policy statement</w:t>
      </w:r>
      <w:r w:rsidR="0000013E">
        <w:t xml:space="preserve"> was unchanged as headline and core inflation remain weak. </w:t>
      </w:r>
      <w:r w:rsidR="007D7CAD">
        <w:t>The outlook for growth improve</w:t>
      </w:r>
      <w:r w:rsidR="00D93B76">
        <w:t>d</w:t>
      </w:r>
      <w:r w:rsidR="007D7CAD">
        <w:t xml:space="preserve"> on the back of stronger labour market conditions and higher business and consumer confidence</w:t>
      </w:r>
      <w:r w:rsidR="000F6675">
        <w:t>.</w:t>
      </w:r>
    </w:p>
    <w:p w:rsidR="00653989" w:rsidRDefault="00AD73F8" w:rsidP="00653989">
      <w:pPr>
        <w:spacing w:before="120"/>
      </w:pPr>
      <w:r w:rsidRPr="00AC15BC">
        <w:rPr>
          <w:b/>
        </w:rPr>
        <w:t>The Bank of Japan</w:t>
      </w:r>
      <w:r>
        <w:t xml:space="preserve"> kept </w:t>
      </w:r>
      <w:r w:rsidR="00C2310E">
        <w:t xml:space="preserve">its </w:t>
      </w:r>
      <w:r w:rsidR="00D93B76">
        <w:t xml:space="preserve">policy </w:t>
      </w:r>
      <w:r w:rsidR="00EB2EA9">
        <w:t>stance unchanged</w:t>
      </w:r>
      <w:r>
        <w:t xml:space="preserve"> </w:t>
      </w:r>
      <w:r w:rsidR="00D93B76">
        <w:t xml:space="preserve">despite </w:t>
      </w:r>
      <w:r>
        <w:t xml:space="preserve">lowering its inflation forecast. </w:t>
      </w:r>
      <w:r w:rsidR="00AC15BC">
        <w:t xml:space="preserve">Inflation is now expected to </w:t>
      </w:r>
      <w:r w:rsidR="00D93B76">
        <w:t xml:space="preserve">reach its </w:t>
      </w:r>
      <w:r w:rsidR="00AC15BC">
        <w:t xml:space="preserve">2 per cent </w:t>
      </w:r>
      <w:r w:rsidR="00D93B76">
        <w:t xml:space="preserve">official </w:t>
      </w:r>
      <w:r w:rsidR="0000013E">
        <w:t xml:space="preserve">target </w:t>
      </w:r>
      <w:r w:rsidR="00AC15BC">
        <w:t xml:space="preserve">by March 2020. </w:t>
      </w:r>
      <w:r w:rsidR="00AC15BC">
        <w:lastRenderedPageBreak/>
        <w:t xml:space="preserve">This </w:t>
      </w:r>
      <w:r w:rsidR="00D93B76">
        <w:t xml:space="preserve">delay reflects ongoing weakness in Japan’s </w:t>
      </w:r>
      <w:r w:rsidR="00970D75">
        <w:t xml:space="preserve">inflation </w:t>
      </w:r>
      <w:r w:rsidR="00331066">
        <w:t>pressures</w:t>
      </w:r>
      <w:r w:rsidR="00AC15BC">
        <w:t xml:space="preserve">. </w:t>
      </w:r>
    </w:p>
    <w:p w:rsidR="008D06D9" w:rsidRDefault="002B5C85" w:rsidP="00933546">
      <w:pPr>
        <w:spacing w:before="120"/>
      </w:pPr>
      <w:r>
        <w:t xml:space="preserve">The </w:t>
      </w:r>
      <w:r w:rsidRPr="00315004">
        <w:rPr>
          <w:b/>
        </w:rPr>
        <w:t xml:space="preserve">International Monetary </w:t>
      </w:r>
      <w:r w:rsidR="00EB1897" w:rsidRPr="00315004">
        <w:rPr>
          <w:b/>
        </w:rPr>
        <w:t>Fund (IMF)</w:t>
      </w:r>
      <w:r w:rsidR="00BD48CC">
        <w:t xml:space="preserve"> </w:t>
      </w:r>
      <w:r>
        <w:t>slightly lowered its forecasts for US a</w:t>
      </w:r>
      <w:r w:rsidR="00C2310E">
        <w:t xml:space="preserve">nd UK economic growth this year. </w:t>
      </w:r>
      <w:r w:rsidR="001D71D3">
        <w:t xml:space="preserve">This followed weaker than expected UK economic growth </w:t>
      </w:r>
      <w:r w:rsidR="00A3710A">
        <w:t xml:space="preserve">in the </w:t>
      </w:r>
      <w:r w:rsidR="00C2310E">
        <w:t xml:space="preserve">first half of this year. </w:t>
      </w:r>
      <w:r w:rsidR="001D71D3">
        <w:t>Downgrades for the US are the result of growing uncertainty on</w:t>
      </w:r>
      <w:r w:rsidR="00C2310E">
        <w:t xml:space="preserve"> the timing and nature of anticipated </w:t>
      </w:r>
      <w:r w:rsidR="001D71D3">
        <w:t>fiscal policy stimulus</w:t>
      </w:r>
      <w:r w:rsidR="00C2310E">
        <w:t>.</w:t>
      </w:r>
      <w:r w:rsidR="00667DB9">
        <w:t xml:space="preserve"> The IMF</w:t>
      </w:r>
      <w:r>
        <w:t xml:space="preserve"> </w:t>
      </w:r>
      <w:r w:rsidR="00667DB9">
        <w:t>continues to forecast</w:t>
      </w:r>
      <w:r>
        <w:t xml:space="preserve"> that the global economy will grow by 3.5 per cent in 2017 and 3.6 per cent in 2018.</w:t>
      </w:r>
    </w:p>
    <w:p w:rsidR="008D06D9" w:rsidRDefault="008D06D9" w:rsidP="008D06D9">
      <w:pPr>
        <w:spacing w:before="120" w:after="0"/>
      </w:pPr>
      <w:r>
        <w:br/>
      </w:r>
      <w:r>
        <w:br/>
      </w:r>
    </w:p>
    <w:p w:rsidR="007E5421" w:rsidRDefault="00736912" w:rsidP="00933546">
      <w:pPr>
        <w:spacing w:before="120"/>
        <w:rPr>
          <w:i/>
          <w:sz w:val="20"/>
        </w:rPr>
      </w:pPr>
      <w:r>
        <w:rPr>
          <w:i/>
          <w:sz w:val="20"/>
        </w:rPr>
        <w:t>Note: A</w:t>
      </w:r>
      <w:r w:rsidR="00246C5C" w:rsidRPr="009865C5">
        <w:rPr>
          <w:i/>
          <w:sz w:val="20"/>
        </w:rPr>
        <w:t xml:space="preserve">ll data reported in the newsletter is as at </w:t>
      </w:r>
      <w:r w:rsidR="00CC4342" w:rsidRPr="00FF1906">
        <w:rPr>
          <w:i/>
          <w:sz w:val="20"/>
        </w:rPr>
        <w:t>2</w:t>
      </w:r>
      <w:r w:rsidR="00C27218">
        <w:rPr>
          <w:i/>
          <w:sz w:val="20"/>
        </w:rPr>
        <w:t>6</w:t>
      </w:r>
      <w:r w:rsidR="00FA7BFE" w:rsidRPr="00FF1906">
        <w:rPr>
          <w:i/>
          <w:sz w:val="20"/>
        </w:rPr>
        <w:t> </w:t>
      </w:r>
      <w:r w:rsidR="00633A0A" w:rsidRPr="00FF1906">
        <w:rPr>
          <w:i/>
          <w:sz w:val="20"/>
        </w:rPr>
        <w:t>July</w:t>
      </w:r>
      <w:r w:rsidR="00231277">
        <w:rPr>
          <w:i/>
          <w:sz w:val="20"/>
        </w:rPr>
        <w:t> </w:t>
      </w:r>
      <w:r w:rsidR="00246C5C" w:rsidRPr="009865C5">
        <w:rPr>
          <w:i/>
          <w:sz w:val="20"/>
        </w:rPr>
        <w:t>2017.</w:t>
      </w:r>
    </w:p>
    <w:p w:rsidR="008D06D9" w:rsidRPr="007E5421" w:rsidRDefault="008D06D9" w:rsidP="00933546">
      <w:pPr>
        <w:spacing w:before="120"/>
        <w:sectPr w:rsidR="008D06D9" w:rsidRPr="007E5421" w:rsidSect="008D06D9">
          <w:pgSz w:w="11906" w:h="16838" w:code="9"/>
          <w:pgMar w:top="964" w:right="1134" w:bottom="794" w:left="1134" w:header="709" w:footer="567" w:gutter="0"/>
          <w:cols w:num="2" w:space="386"/>
          <w:docGrid w:linePitch="360"/>
        </w:sectPr>
      </w:pPr>
    </w:p>
    <w:p w:rsidR="007E5421" w:rsidRDefault="007E5421" w:rsidP="00D17E6E">
      <w:pPr>
        <w:pStyle w:val="Caption"/>
      </w:pPr>
    </w:p>
    <w:p w:rsidR="00D17E6E" w:rsidRDefault="00D17E6E" w:rsidP="00D17E6E">
      <w:pPr>
        <w:pStyle w:val="Caption"/>
      </w:pPr>
      <w:r w:rsidRPr="00BA6B8C">
        <w:t>Movements</w:t>
      </w:r>
      <w:r w:rsidR="00771375">
        <w:t>*</w:t>
      </w:r>
      <w:r w:rsidRPr="00BA6B8C">
        <w:t xml:space="preserve"> in financial data over </w:t>
      </w:r>
      <w:r>
        <w:t>the past month</w:t>
      </w:r>
      <w:r w:rsidR="00771375">
        <w:t>**</w:t>
      </w:r>
    </w:p>
    <w:tbl>
      <w:tblPr>
        <w:tblStyle w:val="TableGrid"/>
        <w:tblW w:w="5000" w:type="pct"/>
        <w:tblLook w:val="0420" w:firstRow="1" w:lastRow="0" w:firstColumn="0" w:lastColumn="0" w:noHBand="0" w:noVBand="1"/>
      </w:tblPr>
      <w:tblGrid>
        <w:gridCol w:w="3458"/>
        <w:gridCol w:w="1701"/>
        <w:gridCol w:w="1845"/>
        <w:gridCol w:w="2861"/>
      </w:tblGrid>
      <w:tr w:rsidR="005D5C2A" w:rsidRPr="001F0FBE" w:rsidTr="00F64B07">
        <w:trPr>
          <w:cnfStyle w:val="100000000000" w:firstRow="1" w:lastRow="0" w:firstColumn="0" w:lastColumn="0" w:oddVBand="0" w:evenVBand="0" w:oddHBand="0" w:evenHBand="0" w:firstRowFirstColumn="0" w:firstRowLastColumn="0" w:lastRowFirstColumn="0" w:lastRowLastColumn="0"/>
        </w:trPr>
        <w:tc>
          <w:tcPr>
            <w:tcW w:w="1753" w:type="pct"/>
          </w:tcPr>
          <w:p w:rsidR="005D5C2A" w:rsidRPr="001F0FBE" w:rsidRDefault="005D5C2A" w:rsidP="005E371D">
            <w:pPr>
              <w:rPr>
                <w:highlight w:val="yellow"/>
              </w:rPr>
            </w:pPr>
          </w:p>
        </w:tc>
        <w:tc>
          <w:tcPr>
            <w:tcW w:w="862" w:type="pct"/>
            <w:vAlign w:val="center"/>
          </w:tcPr>
          <w:p w:rsidR="005D5C2A" w:rsidRPr="001679C0" w:rsidRDefault="00974505">
            <w:pPr>
              <w:jc w:val="right"/>
            </w:pPr>
            <w:r w:rsidRPr="001679C0">
              <w:t>3</w:t>
            </w:r>
            <w:r w:rsidR="001679C0">
              <w:t>0</w:t>
            </w:r>
            <w:r w:rsidRPr="001679C0">
              <w:t>-</w:t>
            </w:r>
            <w:r w:rsidR="001679C0">
              <w:t>Jun</w:t>
            </w:r>
            <w:r w:rsidR="005D5C2A" w:rsidRPr="001679C0">
              <w:t>-17</w:t>
            </w:r>
          </w:p>
        </w:tc>
        <w:tc>
          <w:tcPr>
            <w:tcW w:w="935" w:type="pct"/>
            <w:vAlign w:val="center"/>
          </w:tcPr>
          <w:p w:rsidR="005D5C2A" w:rsidRPr="001679C0" w:rsidRDefault="001679C0">
            <w:pPr>
              <w:jc w:val="right"/>
            </w:pPr>
            <w:r w:rsidRPr="001679C0">
              <w:t>31-May-17</w:t>
            </w:r>
          </w:p>
        </w:tc>
        <w:tc>
          <w:tcPr>
            <w:tcW w:w="1450" w:type="pct"/>
          </w:tcPr>
          <w:p w:rsidR="005D5C2A" w:rsidRPr="001679C0" w:rsidRDefault="005D5C2A" w:rsidP="005E371D">
            <w:pPr>
              <w:jc w:val="right"/>
            </w:pPr>
            <w:r w:rsidRPr="001679C0">
              <w:t>Change</w:t>
            </w:r>
          </w:p>
        </w:tc>
      </w:tr>
      <w:tr w:rsidR="005D5C2A" w:rsidRPr="001F0FBE" w:rsidTr="00E12389">
        <w:trPr>
          <w:cnfStyle w:val="000000100000" w:firstRow="0" w:lastRow="0" w:firstColumn="0" w:lastColumn="0" w:oddVBand="0" w:evenVBand="0" w:oddHBand="1" w:evenHBand="0" w:firstRowFirstColumn="0" w:firstRowLastColumn="0" w:lastRowFirstColumn="0" w:lastRowLastColumn="0"/>
        </w:trPr>
        <w:tc>
          <w:tcPr>
            <w:tcW w:w="1753" w:type="pct"/>
          </w:tcPr>
          <w:p w:rsidR="005D5C2A" w:rsidRPr="001679C0" w:rsidRDefault="005D5C2A" w:rsidP="005E371D">
            <w:r w:rsidRPr="001679C0">
              <w:t>AUD/USD</w:t>
            </w:r>
          </w:p>
        </w:tc>
        <w:tc>
          <w:tcPr>
            <w:tcW w:w="862" w:type="pct"/>
            <w:vAlign w:val="center"/>
          </w:tcPr>
          <w:p w:rsidR="005D5C2A" w:rsidRPr="001679C0" w:rsidRDefault="005D5C2A" w:rsidP="001679C0">
            <w:pPr>
              <w:jc w:val="right"/>
            </w:pPr>
            <w:r w:rsidRPr="001679C0">
              <w:t>0.</w:t>
            </w:r>
            <w:r w:rsidR="001679C0" w:rsidRPr="001679C0">
              <w:t>7691</w:t>
            </w:r>
          </w:p>
        </w:tc>
        <w:tc>
          <w:tcPr>
            <w:tcW w:w="935" w:type="pct"/>
            <w:vAlign w:val="center"/>
          </w:tcPr>
          <w:p w:rsidR="005D5C2A" w:rsidRPr="001679C0" w:rsidRDefault="001679C0" w:rsidP="00876989">
            <w:pPr>
              <w:jc w:val="right"/>
            </w:pPr>
            <w:r w:rsidRPr="001679C0">
              <w:t>0.7450</w:t>
            </w:r>
          </w:p>
        </w:tc>
        <w:tc>
          <w:tcPr>
            <w:tcW w:w="1450" w:type="pct"/>
          </w:tcPr>
          <w:p w:rsidR="005D5C2A" w:rsidRPr="001679C0" w:rsidRDefault="001679C0" w:rsidP="005D5C2A">
            <w:pPr>
              <w:jc w:val="right"/>
              <w:rPr>
                <w:color w:val="FF0000"/>
              </w:rPr>
            </w:pPr>
            <w:r>
              <w:t>+3.2</w:t>
            </w:r>
            <w:r w:rsidR="005D5C2A" w:rsidRPr="001679C0">
              <w:t> per cent</w:t>
            </w:r>
          </w:p>
        </w:tc>
      </w:tr>
      <w:tr w:rsidR="005D5C2A" w:rsidRPr="001F0FBE" w:rsidTr="00E12389">
        <w:trPr>
          <w:cnfStyle w:val="000000010000" w:firstRow="0" w:lastRow="0" w:firstColumn="0" w:lastColumn="0" w:oddVBand="0" w:evenVBand="0" w:oddHBand="0" w:evenHBand="1" w:firstRowFirstColumn="0" w:firstRowLastColumn="0" w:lastRowFirstColumn="0" w:lastRowLastColumn="0"/>
        </w:trPr>
        <w:tc>
          <w:tcPr>
            <w:tcW w:w="1753" w:type="pct"/>
          </w:tcPr>
          <w:p w:rsidR="005D5C2A" w:rsidRPr="00CC6C1E" w:rsidRDefault="005D5C2A" w:rsidP="005E371D">
            <w:r w:rsidRPr="00CC6C1E">
              <w:t>ASX 200</w:t>
            </w:r>
          </w:p>
        </w:tc>
        <w:tc>
          <w:tcPr>
            <w:tcW w:w="862" w:type="pct"/>
            <w:vAlign w:val="center"/>
          </w:tcPr>
          <w:p w:rsidR="005D5C2A" w:rsidRPr="00CC6C1E" w:rsidRDefault="00CC6C1E">
            <w:pPr>
              <w:jc w:val="right"/>
            </w:pPr>
            <w:r w:rsidRPr="00CC6C1E">
              <w:t>5,721</w:t>
            </w:r>
          </w:p>
        </w:tc>
        <w:tc>
          <w:tcPr>
            <w:tcW w:w="935" w:type="pct"/>
            <w:vAlign w:val="center"/>
          </w:tcPr>
          <w:p w:rsidR="005D5C2A" w:rsidRPr="00CC6C1E" w:rsidRDefault="00CC6C1E">
            <w:pPr>
              <w:jc w:val="right"/>
            </w:pPr>
            <w:r w:rsidRPr="00CC6C1E">
              <w:t>5,725</w:t>
            </w:r>
          </w:p>
        </w:tc>
        <w:tc>
          <w:tcPr>
            <w:tcW w:w="1450" w:type="pct"/>
          </w:tcPr>
          <w:p w:rsidR="005D5C2A" w:rsidRPr="001F0FBE" w:rsidRDefault="001679C0" w:rsidP="005D5C2A">
            <w:pPr>
              <w:jc w:val="right"/>
              <w:rPr>
                <w:color w:val="FF0000"/>
                <w:highlight w:val="yellow"/>
              </w:rPr>
            </w:pPr>
            <w:r w:rsidRPr="00CC6C1E">
              <w:t>-</w:t>
            </w:r>
            <w:r w:rsidR="00CC6C1E" w:rsidRPr="00CC6C1E">
              <w:t>0.1</w:t>
            </w:r>
            <w:r w:rsidR="005D5C2A" w:rsidRPr="00CC6C1E">
              <w:t> per cent</w:t>
            </w:r>
          </w:p>
        </w:tc>
      </w:tr>
      <w:tr w:rsidR="005D5C2A" w:rsidRPr="001F0FBE" w:rsidTr="00E12389">
        <w:trPr>
          <w:cnfStyle w:val="000000100000" w:firstRow="0" w:lastRow="0" w:firstColumn="0" w:lastColumn="0" w:oddVBand="0" w:evenVBand="0" w:oddHBand="1" w:evenHBand="0" w:firstRowFirstColumn="0" w:firstRowLastColumn="0" w:lastRowFirstColumn="0" w:lastRowLastColumn="0"/>
        </w:trPr>
        <w:tc>
          <w:tcPr>
            <w:tcW w:w="1753" w:type="pct"/>
          </w:tcPr>
          <w:p w:rsidR="005D5C2A" w:rsidRPr="004E5ED2" w:rsidRDefault="005D5C2A" w:rsidP="005E371D">
            <w:r w:rsidRPr="004E5ED2">
              <w:t>S&amp;P 500</w:t>
            </w:r>
          </w:p>
        </w:tc>
        <w:tc>
          <w:tcPr>
            <w:tcW w:w="862" w:type="pct"/>
            <w:vAlign w:val="center"/>
          </w:tcPr>
          <w:p w:rsidR="005D5C2A" w:rsidRPr="004E5ED2" w:rsidRDefault="00103EC5" w:rsidP="004E5ED2">
            <w:pPr>
              <w:jc w:val="right"/>
            </w:pPr>
            <w:r w:rsidRPr="004E5ED2">
              <w:t>2,4</w:t>
            </w:r>
            <w:r w:rsidR="004E5ED2" w:rsidRPr="004E5ED2">
              <w:t>23</w:t>
            </w:r>
          </w:p>
        </w:tc>
        <w:tc>
          <w:tcPr>
            <w:tcW w:w="935" w:type="pct"/>
            <w:vAlign w:val="center"/>
          </w:tcPr>
          <w:p w:rsidR="005D5C2A" w:rsidRPr="004E5ED2" w:rsidRDefault="001679C0">
            <w:pPr>
              <w:jc w:val="right"/>
            </w:pPr>
            <w:r w:rsidRPr="004E5ED2">
              <w:t>2,412</w:t>
            </w:r>
          </w:p>
        </w:tc>
        <w:tc>
          <w:tcPr>
            <w:tcW w:w="1450" w:type="pct"/>
          </w:tcPr>
          <w:p w:rsidR="005D5C2A" w:rsidRPr="004E5ED2" w:rsidRDefault="001679C0" w:rsidP="005D5C2A">
            <w:pPr>
              <w:jc w:val="right"/>
              <w:rPr>
                <w:color w:val="FF0000"/>
              </w:rPr>
            </w:pPr>
            <w:r w:rsidRPr="004E5ED2">
              <w:t>+</w:t>
            </w:r>
            <w:r w:rsidR="004E5ED2" w:rsidRPr="004E5ED2">
              <w:t>0.5</w:t>
            </w:r>
            <w:r w:rsidR="005D5C2A" w:rsidRPr="004E5ED2">
              <w:t> per cent</w:t>
            </w:r>
            <w:r w:rsidR="008D06D9">
              <w:rPr>
                <w:color w:val="FF0000"/>
              </w:rPr>
              <w:t xml:space="preserve">          </w:t>
            </w:r>
            <w:r w:rsidR="005D5C2A" w:rsidRPr="004E5ED2">
              <w:rPr>
                <w:color w:val="FF0000"/>
              </w:rPr>
              <w:t xml:space="preserve"> </w:t>
            </w:r>
          </w:p>
        </w:tc>
      </w:tr>
      <w:tr w:rsidR="005D5C2A" w:rsidRPr="001F0FBE" w:rsidTr="00E12389">
        <w:trPr>
          <w:cnfStyle w:val="000000010000" w:firstRow="0" w:lastRow="0" w:firstColumn="0" w:lastColumn="0" w:oddVBand="0" w:evenVBand="0" w:oddHBand="0" w:evenHBand="1" w:firstRowFirstColumn="0" w:firstRowLastColumn="0" w:lastRowFirstColumn="0" w:lastRowLastColumn="0"/>
        </w:trPr>
        <w:tc>
          <w:tcPr>
            <w:tcW w:w="1753" w:type="pct"/>
          </w:tcPr>
          <w:p w:rsidR="005D5C2A" w:rsidRPr="001F0FBE" w:rsidRDefault="005D5C2A" w:rsidP="005E371D">
            <w:pPr>
              <w:rPr>
                <w:highlight w:val="yellow"/>
              </w:rPr>
            </w:pPr>
            <w:r w:rsidRPr="00B411F8">
              <w:t>90 day bank bill rate</w:t>
            </w:r>
          </w:p>
        </w:tc>
        <w:tc>
          <w:tcPr>
            <w:tcW w:w="862" w:type="pct"/>
            <w:vAlign w:val="center"/>
          </w:tcPr>
          <w:p w:rsidR="005D5C2A" w:rsidRPr="00B411F8" w:rsidRDefault="000F0746">
            <w:pPr>
              <w:jc w:val="right"/>
            </w:pPr>
            <w:r w:rsidRPr="00B411F8">
              <w:t>1.72</w:t>
            </w:r>
          </w:p>
        </w:tc>
        <w:tc>
          <w:tcPr>
            <w:tcW w:w="935" w:type="pct"/>
            <w:vAlign w:val="center"/>
          </w:tcPr>
          <w:p w:rsidR="005D5C2A" w:rsidRPr="00B411F8" w:rsidRDefault="001679C0">
            <w:pPr>
              <w:jc w:val="right"/>
            </w:pPr>
            <w:r w:rsidRPr="00B411F8">
              <w:t>1.73</w:t>
            </w:r>
          </w:p>
        </w:tc>
        <w:tc>
          <w:tcPr>
            <w:tcW w:w="1450" w:type="pct"/>
          </w:tcPr>
          <w:p w:rsidR="005D5C2A" w:rsidRPr="00B411F8" w:rsidRDefault="00335813" w:rsidP="005D5C2A">
            <w:pPr>
              <w:jc w:val="right"/>
              <w:rPr>
                <w:color w:val="FF0000"/>
              </w:rPr>
            </w:pPr>
            <w:r w:rsidRPr="00B411F8">
              <w:t>-</w:t>
            </w:r>
            <w:r w:rsidR="001679C0" w:rsidRPr="00B411F8">
              <w:t>0</w:t>
            </w:r>
            <w:r w:rsidR="00B411F8" w:rsidRPr="00B411F8">
              <w:t>.01</w:t>
            </w:r>
            <w:r w:rsidR="005D5C2A" w:rsidRPr="00B411F8">
              <w:t xml:space="preserve"> percentage points</w:t>
            </w:r>
          </w:p>
        </w:tc>
      </w:tr>
      <w:tr w:rsidR="005D5C2A" w:rsidRPr="001F0FBE" w:rsidTr="00E12389">
        <w:trPr>
          <w:cnfStyle w:val="000000100000" w:firstRow="0" w:lastRow="0" w:firstColumn="0" w:lastColumn="0" w:oddVBand="0" w:evenVBand="0" w:oddHBand="1" w:evenHBand="0" w:firstRowFirstColumn="0" w:firstRowLastColumn="0" w:lastRowFirstColumn="0" w:lastRowLastColumn="0"/>
          <w:trHeight w:val="430"/>
        </w:trPr>
        <w:tc>
          <w:tcPr>
            <w:tcW w:w="1753" w:type="pct"/>
          </w:tcPr>
          <w:p w:rsidR="005D5C2A" w:rsidRPr="000F0746" w:rsidRDefault="005D5C2A" w:rsidP="005E371D">
            <w:pPr>
              <w:ind w:right="-381"/>
            </w:pPr>
            <w:r w:rsidRPr="000F0746">
              <w:t>10 year Commonwealth bond rate</w:t>
            </w:r>
          </w:p>
        </w:tc>
        <w:tc>
          <w:tcPr>
            <w:tcW w:w="862" w:type="pct"/>
            <w:vAlign w:val="center"/>
          </w:tcPr>
          <w:p w:rsidR="005D5C2A" w:rsidRPr="000F0746" w:rsidRDefault="005D5C2A" w:rsidP="001679C0">
            <w:pPr>
              <w:jc w:val="right"/>
            </w:pPr>
            <w:r w:rsidRPr="000F0746">
              <w:t>2.</w:t>
            </w:r>
            <w:r w:rsidR="001679C0" w:rsidRPr="000F0746">
              <w:t>41</w:t>
            </w:r>
          </w:p>
        </w:tc>
        <w:tc>
          <w:tcPr>
            <w:tcW w:w="935" w:type="pct"/>
            <w:vAlign w:val="center"/>
          </w:tcPr>
          <w:p w:rsidR="005D5C2A" w:rsidRPr="001F0FBE" w:rsidRDefault="000F0746">
            <w:pPr>
              <w:jc w:val="right"/>
              <w:rPr>
                <w:highlight w:val="yellow"/>
              </w:rPr>
            </w:pPr>
            <w:r>
              <w:t>2.54</w:t>
            </w:r>
          </w:p>
        </w:tc>
        <w:tc>
          <w:tcPr>
            <w:tcW w:w="1450" w:type="pct"/>
          </w:tcPr>
          <w:p w:rsidR="005D5C2A" w:rsidRPr="001F0FBE" w:rsidRDefault="000F0746" w:rsidP="00434A99">
            <w:pPr>
              <w:jc w:val="right"/>
              <w:rPr>
                <w:color w:val="FF0000"/>
                <w:highlight w:val="yellow"/>
              </w:rPr>
            </w:pPr>
            <w:r>
              <w:t>-</w:t>
            </w:r>
            <w:r w:rsidR="001679C0" w:rsidRPr="001679C0">
              <w:t>0</w:t>
            </w:r>
            <w:r>
              <w:t>.13</w:t>
            </w:r>
            <w:r w:rsidR="005D5C2A" w:rsidRPr="001679C0">
              <w:t xml:space="preserve"> percentage points</w:t>
            </w:r>
          </w:p>
        </w:tc>
      </w:tr>
    </w:tbl>
    <w:p w:rsidR="00D30EAC" w:rsidRPr="000F0746" w:rsidRDefault="00D17E6E" w:rsidP="001E141A">
      <w:pPr>
        <w:rPr>
          <w:sz w:val="20"/>
        </w:rPr>
      </w:pPr>
      <w:r w:rsidRPr="007F677F">
        <w:rPr>
          <w:i/>
          <w:sz w:val="20"/>
        </w:rPr>
        <w:t>Note</w:t>
      </w:r>
      <w:r w:rsidR="00771375">
        <w:rPr>
          <w:i/>
          <w:sz w:val="20"/>
        </w:rPr>
        <w:t>s</w:t>
      </w:r>
      <w:r w:rsidRPr="007F677F">
        <w:rPr>
          <w:i/>
          <w:sz w:val="20"/>
        </w:rPr>
        <w:t xml:space="preserve">: </w:t>
      </w:r>
      <w:r w:rsidR="00771375">
        <w:rPr>
          <w:i/>
          <w:sz w:val="20"/>
        </w:rPr>
        <w:t>*</w:t>
      </w:r>
      <w:r w:rsidRPr="007F677F">
        <w:rPr>
          <w:i/>
          <w:sz w:val="20"/>
        </w:rPr>
        <w:t>Changes are based on t</w:t>
      </w:r>
      <w:r w:rsidR="00C94806">
        <w:rPr>
          <w:i/>
          <w:sz w:val="20"/>
        </w:rPr>
        <w:t>he movement in unrounded figures</w:t>
      </w:r>
      <w:r w:rsidR="00771375">
        <w:rPr>
          <w:i/>
          <w:sz w:val="20"/>
        </w:rPr>
        <w:t>. **Month-end dates are the last trading day of the month.</w:t>
      </w:r>
    </w:p>
    <w:p w:rsidR="002751C4" w:rsidRDefault="002751C4" w:rsidP="001E141A">
      <w:pPr>
        <w:rPr>
          <w:i/>
          <w:sz w:val="20"/>
        </w:rPr>
      </w:pPr>
    </w:p>
    <w:p w:rsidR="00264C87" w:rsidRDefault="00264C87" w:rsidP="001E141A">
      <w:pPr>
        <w:rPr>
          <w:i/>
          <w:sz w:val="20"/>
        </w:rPr>
      </w:pPr>
    </w:p>
    <w:tbl>
      <w:tblPr>
        <w:tblStyle w:val="TableGrid"/>
        <w:tblW w:w="0" w:type="auto"/>
        <w:tblBorders>
          <w:bottom w:val="none" w:sz="0" w:space="0" w:color="auto"/>
        </w:tblBorders>
        <w:tblLayout w:type="fixed"/>
        <w:tblCellMar>
          <w:left w:w="113" w:type="dxa"/>
          <w:right w:w="113" w:type="dxa"/>
        </w:tblCellMar>
        <w:tblLook w:val="0600" w:firstRow="0" w:lastRow="0" w:firstColumn="0" w:lastColumn="0" w:noHBand="1" w:noVBand="1"/>
      </w:tblPr>
      <w:tblGrid>
        <w:gridCol w:w="4082"/>
        <w:gridCol w:w="709"/>
        <w:gridCol w:w="4682"/>
      </w:tblGrid>
      <w:tr w:rsidR="00C94806" w:rsidTr="002751C4">
        <w:trPr>
          <w:trHeight w:val="1223"/>
        </w:trPr>
        <w:tc>
          <w:tcPr>
            <w:tcW w:w="4082" w:type="dxa"/>
          </w:tcPr>
          <w:p w:rsidR="00C94806" w:rsidRPr="002868CD" w:rsidRDefault="00C94806" w:rsidP="001D2117">
            <w:pPr>
              <w:pStyle w:val="Note"/>
              <w:pBdr>
                <w:top w:val="single" w:sz="6" w:space="1" w:color="004EA8" w:themeColor="accent2"/>
                <w:bottom w:val="single" w:sz="6" w:space="1" w:color="004EA8" w:themeColor="accent2"/>
              </w:pBdr>
              <w:rPr>
                <w:color w:val="004EA8" w:themeColor="accent2"/>
              </w:rPr>
            </w:pPr>
            <w:r w:rsidRPr="002868CD">
              <w:rPr>
                <w:b/>
                <w:color w:val="004EA8" w:themeColor="accent2"/>
              </w:rPr>
              <w:t xml:space="preserve">Disclaimer: </w:t>
            </w:r>
            <w:r w:rsidRPr="002868CD">
              <w:rPr>
                <w:color w:val="004EA8" w:themeColor="accent2"/>
              </w:rPr>
              <w:t>No responsibility is taken for any action(s) taken on the basis of information contained in this Newsletter nor for any errors or omissions in that information.</w:t>
            </w:r>
          </w:p>
        </w:tc>
        <w:tc>
          <w:tcPr>
            <w:tcW w:w="709" w:type="dxa"/>
            <w:vMerge w:val="restart"/>
            <w:vAlign w:val="bottom"/>
          </w:tcPr>
          <w:p w:rsidR="00C94806" w:rsidRDefault="00C94806" w:rsidP="001D2117">
            <w:pPr>
              <w:pStyle w:val="Note"/>
            </w:pPr>
          </w:p>
        </w:tc>
        <w:tc>
          <w:tcPr>
            <w:tcW w:w="4682" w:type="dxa"/>
            <w:vMerge w:val="restart"/>
            <w:vAlign w:val="bottom"/>
          </w:tcPr>
          <w:p w:rsidR="00C94806" w:rsidRDefault="00C94806" w:rsidP="001D2117">
            <w:pPr>
              <w:pStyle w:val="Note"/>
            </w:pPr>
            <w:r w:rsidRPr="000C21C3">
              <w:rPr>
                <w:noProof/>
                <w:lang w:eastAsia="en-AU"/>
              </w:rPr>
              <w:drawing>
                <wp:inline distT="0" distB="0" distL="0" distR="0" wp14:anchorId="13196773" wp14:editId="50A25C6D">
                  <wp:extent cx="1117460" cy="393651"/>
                  <wp:effectExtent l="0" t="0" r="6985" b="6985"/>
                  <wp:docPr id="13" name="Picture 1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2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rsidR="00C94806" w:rsidRDefault="00C94806" w:rsidP="001D2117">
            <w:pPr>
              <w:pStyle w:val="Note"/>
            </w:pPr>
            <w:r w:rsidRPr="00382510">
              <w:t xml:space="preserve">You are free to re-use this work under a Creative Commons Attribution 4.0 licence, provided you credit the State of Victoria (Department of Treasury and Finance) as author, indicate if changes were made and comply with the other licence terms. </w:t>
            </w:r>
            <w:r>
              <w:br/>
            </w:r>
            <w:r w:rsidRPr="00382510">
              <w:t>The licence does not apply to any branding, including Government logos.</w:t>
            </w:r>
          </w:p>
        </w:tc>
      </w:tr>
      <w:tr w:rsidR="00C94806" w:rsidTr="002751C4">
        <w:trPr>
          <w:trHeight w:val="1222"/>
        </w:trPr>
        <w:tc>
          <w:tcPr>
            <w:tcW w:w="4082" w:type="dxa"/>
            <w:vAlign w:val="bottom"/>
          </w:tcPr>
          <w:p w:rsidR="00C94806" w:rsidRDefault="00C94806" w:rsidP="001D2117">
            <w:pPr>
              <w:pStyle w:val="Note"/>
            </w:pPr>
            <w:r w:rsidRPr="00382510">
              <w:t>© State of Victoria 201</w:t>
            </w:r>
            <w:r w:rsidR="00ED7CCB">
              <w:t>7</w:t>
            </w:r>
          </w:p>
          <w:p w:rsidR="00C94806" w:rsidRPr="00382510" w:rsidRDefault="00C94806" w:rsidP="001D2117">
            <w:pPr>
              <w:pStyle w:val="Note"/>
              <w:spacing w:line="312" w:lineRule="auto"/>
            </w:pPr>
            <w:r w:rsidRPr="00382510">
              <w:t>Copyright queries may be directed to IPpolicy@dtf.vic.gov.au.</w:t>
            </w:r>
          </w:p>
        </w:tc>
        <w:tc>
          <w:tcPr>
            <w:tcW w:w="709" w:type="dxa"/>
            <w:vMerge/>
            <w:vAlign w:val="bottom"/>
          </w:tcPr>
          <w:p w:rsidR="00C94806" w:rsidRDefault="00C94806" w:rsidP="001D2117">
            <w:pPr>
              <w:pStyle w:val="Note"/>
            </w:pPr>
          </w:p>
        </w:tc>
        <w:tc>
          <w:tcPr>
            <w:tcW w:w="4682" w:type="dxa"/>
            <w:vMerge/>
            <w:vAlign w:val="bottom"/>
          </w:tcPr>
          <w:p w:rsidR="00C94806" w:rsidRPr="000C21C3" w:rsidRDefault="00C94806" w:rsidP="001D2117">
            <w:pPr>
              <w:pStyle w:val="Note"/>
              <w:rPr>
                <w:noProof/>
                <w:lang w:eastAsia="en-AU"/>
              </w:rPr>
            </w:pPr>
          </w:p>
        </w:tc>
      </w:tr>
    </w:tbl>
    <w:p w:rsidR="00CC6C1E" w:rsidRPr="007F677F" w:rsidRDefault="00CC6C1E" w:rsidP="0069622A">
      <w:pPr>
        <w:rPr>
          <w:noProof/>
          <w:lang w:eastAsia="en-AU"/>
        </w:rPr>
      </w:pPr>
    </w:p>
    <w:sectPr w:rsidR="00CC6C1E" w:rsidRPr="007F677F" w:rsidSect="001D2117">
      <w:footerReference w:type="default" r:id="rId21"/>
      <w:type w:val="continuous"/>
      <w:pgSz w:w="11906" w:h="16838" w:code="9"/>
      <w:pgMar w:top="1134" w:right="1021" w:bottom="1440"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96B" w:rsidRDefault="0013596B" w:rsidP="001E7D0D">
      <w:pPr>
        <w:spacing w:after="0" w:line="240" w:lineRule="auto"/>
      </w:pPr>
      <w:r>
        <w:separator/>
      </w:r>
    </w:p>
  </w:endnote>
  <w:endnote w:type="continuationSeparator" w:id="0">
    <w:p w:rsidR="0013596B" w:rsidRDefault="0013596B" w:rsidP="001E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21" w:rsidRDefault="007E5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29" w:rsidRPr="00BC672F" w:rsidRDefault="00BC672F" w:rsidP="00474854">
    <w:pPr>
      <w:pStyle w:val="Footer"/>
      <w:rPr>
        <w:rStyle w:val="PageNumber"/>
      </w:rPr>
    </w:pPr>
    <w:r>
      <w:rPr>
        <w:noProof/>
        <w:lang w:eastAsia="en-AU"/>
      </w:rPr>
      <mc:AlternateContent>
        <mc:Choice Requires="wps">
          <w:drawing>
            <wp:anchor distT="0" distB="0" distL="114300" distR="114300" simplePos="0" relativeHeight="251670528" behindDoc="1" locked="0" layoutInCell="1" allowOverlap="1" wp14:anchorId="4AE6A3CE" wp14:editId="0D26EE2E">
              <wp:simplePos x="0" y="0"/>
              <wp:positionH relativeFrom="column">
                <wp:posOffset>5868670</wp:posOffset>
              </wp:positionH>
              <wp:positionV relativeFrom="paragraph">
                <wp:posOffset>-1368425</wp:posOffset>
              </wp:positionV>
              <wp:extent cx="3085200" cy="2127600"/>
              <wp:effectExtent l="0" t="0" r="1270" b="6350"/>
              <wp:wrapNone/>
              <wp:docPr id="7" name="Trapezoid 7"/>
              <wp:cNvGraphicFramePr/>
              <a:graphic xmlns:a="http://schemas.openxmlformats.org/drawingml/2006/main">
                <a:graphicData uri="http://schemas.microsoft.com/office/word/2010/wordprocessingShape">
                  <wps:wsp>
                    <wps:cNvSpPr/>
                    <wps:spPr>
                      <a:xfrm>
                        <a:off x="0" y="0"/>
                        <a:ext cx="3085200" cy="2127600"/>
                      </a:xfrm>
                      <a:prstGeom prst="trapezoid">
                        <a:avLst>
                          <a:gd name="adj" fmla="val 46792"/>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7" o:spid="_x0000_s1026" style="position:absolute;margin-left:462.1pt;margin-top:-107.75pt;width:242.95pt;height:167.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5200,212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" path="m,2127600l995547,,2089653,r995547,2127600l,2127600xe" fillcolor="#53565a [3215]" stroked="f" strokeweight="2pt">
              <v:path arrowok="t" o:connecttype="custom" o:connectlocs="0,2127600;995547,0;2089653,0;3085200,2127600;0,2127600" o:connectangles="0,0,0,0,0"/>
            </v:shape>
          </w:pict>
        </mc:Fallback>
      </mc:AlternateContent>
    </w:r>
    <w:r w:rsidR="00CF1073">
      <w:tab/>
    </w:r>
    <w:r>
      <w:tab/>
    </w:r>
    <w:r w:rsidRPr="00BC672F">
      <w:rPr>
        <w:rStyle w:val="PageNumber"/>
      </w:rPr>
      <w:fldChar w:fldCharType="begin"/>
    </w:r>
    <w:r w:rsidRPr="00BC672F">
      <w:rPr>
        <w:rStyle w:val="PageNumber"/>
      </w:rPr>
      <w:instrText xml:space="preserve"> PAGE  \* Arabic  \* MERGEFORMAT </w:instrText>
    </w:r>
    <w:r w:rsidRPr="00BC672F">
      <w:rPr>
        <w:rStyle w:val="PageNumber"/>
      </w:rPr>
      <w:fldChar w:fldCharType="separate"/>
    </w:r>
    <w:r w:rsidR="00E82082">
      <w:rPr>
        <w:rStyle w:val="PageNumber"/>
        <w:noProof/>
      </w:rPr>
      <w:t>1</w:t>
    </w:r>
    <w:r w:rsidRPr="00BC672F">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21" w:rsidRDefault="007E54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06" w:rsidRPr="00BC672F" w:rsidRDefault="00C94806" w:rsidP="00474854">
    <w:pPr>
      <w:pStyle w:val="Footer"/>
      <w:rPr>
        <w:rStyle w:val="PageNumber"/>
      </w:rPr>
    </w:pPr>
    <w:r>
      <w:rPr>
        <w:noProof/>
        <w:lang w:eastAsia="en-AU"/>
      </w:rPr>
      <mc:AlternateContent>
        <mc:Choice Requires="wps">
          <w:drawing>
            <wp:anchor distT="0" distB="0" distL="114300" distR="114300" simplePos="0" relativeHeight="251695104" behindDoc="1" locked="0" layoutInCell="1" allowOverlap="1" wp14:anchorId="44D93EAE" wp14:editId="5D4685C8">
              <wp:simplePos x="0" y="0"/>
              <wp:positionH relativeFrom="column">
                <wp:posOffset>5868670</wp:posOffset>
              </wp:positionH>
              <wp:positionV relativeFrom="paragraph">
                <wp:posOffset>-1368425</wp:posOffset>
              </wp:positionV>
              <wp:extent cx="3085200" cy="2127600"/>
              <wp:effectExtent l="0" t="0" r="1270" b="6350"/>
              <wp:wrapNone/>
              <wp:docPr id="3" name="Trapezoid 3"/>
              <wp:cNvGraphicFramePr/>
              <a:graphic xmlns:a="http://schemas.openxmlformats.org/drawingml/2006/main">
                <a:graphicData uri="http://schemas.microsoft.com/office/word/2010/wordprocessingShape">
                  <wps:wsp>
                    <wps:cNvSpPr/>
                    <wps:spPr>
                      <a:xfrm>
                        <a:off x="0" y="0"/>
                        <a:ext cx="3085200" cy="2127600"/>
                      </a:xfrm>
                      <a:prstGeom prst="trapezoid">
                        <a:avLst>
                          <a:gd name="adj" fmla="val 46792"/>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3" o:spid="_x0000_s1026" style="position:absolute;margin-left:462.1pt;margin-top:-107.75pt;width:242.95pt;height:167.5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5200,212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" path="m,2127600l995547,,2089653,r995547,2127600l,2127600xe" fillcolor="#53565a [3215]" stroked="f" strokeweight="2pt">
              <v:path arrowok="t" o:connecttype="custom" o:connectlocs="0,2127600;995547,0;2089653,0;3085200,2127600;0,2127600" o:connectangles="0,0,0,0,0"/>
            </v:shape>
          </w:pict>
        </mc:Fallback>
      </mc:AlternateContent>
    </w:r>
    <w:r>
      <w:tab/>
    </w:r>
    <w:r>
      <w:tab/>
    </w:r>
    <w:r w:rsidRPr="00BC672F">
      <w:rPr>
        <w:rStyle w:val="PageNumber"/>
      </w:rPr>
      <w:fldChar w:fldCharType="begin"/>
    </w:r>
    <w:r w:rsidRPr="00BC672F">
      <w:rPr>
        <w:rStyle w:val="PageNumber"/>
      </w:rPr>
      <w:instrText xml:space="preserve"> PAGE  \* Arabic  \* MERGEFORMAT </w:instrText>
    </w:r>
    <w:r w:rsidRPr="00BC672F">
      <w:rPr>
        <w:rStyle w:val="PageNumber"/>
      </w:rPr>
      <w:fldChar w:fldCharType="separate"/>
    </w:r>
    <w:r w:rsidR="00E82082">
      <w:rPr>
        <w:rStyle w:val="PageNumber"/>
        <w:noProof/>
      </w:rPr>
      <w:t>3</w:t>
    </w:r>
    <w:r w:rsidRPr="00BC672F">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8C" w:rsidRDefault="00BA6B8C"/>
  <w:p w:rsidR="00D02311" w:rsidRPr="00BA6B8C" w:rsidRDefault="00D02311" w:rsidP="00474854">
    <w:pPr>
      <w:pStyle w:val="Footer"/>
      <w:rPr>
        <w:rStyle w:val="PageNumber"/>
      </w:rPr>
    </w:pPr>
    <w:r w:rsidRPr="00BA6B8C">
      <w:rPr>
        <w:rStyle w:val="PageNumber"/>
      </w:rPr>
      <w:tab/>
    </w:r>
    <w:r w:rsidRPr="00BA6B8C">
      <w:rPr>
        <w:rStyle w:val="PageNumber"/>
      </w:rPr>
      <w:tab/>
    </w:r>
    <w:r w:rsidRPr="00BA6B8C">
      <w:rPr>
        <w:rStyle w:val="PageNumber"/>
      </w:rPr>
      <w:fldChar w:fldCharType="begin"/>
    </w:r>
    <w:r w:rsidRPr="00BA6B8C">
      <w:rPr>
        <w:rStyle w:val="PageNumber"/>
      </w:rPr>
      <w:instrText xml:space="preserve"> PAGE  \* Arabic  \* MERGEFORMAT </w:instrText>
    </w:r>
    <w:r w:rsidRPr="00BA6B8C">
      <w:rPr>
        <w:rStyle w:val="PageNumber"/>
      </w:rPr>
      <w:fldChar w:fldCharType="separate"/>
    </w:r>
    <w:r w:rsidR="008D06D9">
      <w:rPr>
        <w:rStyle w:val="PageNumber"/>
        <w:noProof/>
      </w:rPr>
      <w:t>4</w:t>
    </w:r>
    <w:r w:rsidRPr="00BA6B8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96B" w:rsidRDefault="0013596B" w:rsidP="001E7D0D">
      <w:pPr>
        <w:spacing w:after="0" w:line="240" w:lineRule="auto"/>
      </w:pPr>
      <w:r>
        <w:separator/>
      </w:r>
    </w:p>
  </w:footnote>
  <w:footnote w:type="continuationSeparator" w:id="0">
    <w:p w:rsidR="0013596B" w:rsidRDefault="0013596B" w:rsidP="001E7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21" w:rsidRDefault="007E54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A2" w:rsidRPr="00575F8D" w:rsidRDefault="00381C44" w:rsidP="00440C3A">
    <w:pPr>
      <w:pStyle w:val="Header"/>
    </w:pPr>
    <w:r w:rsidRPr="00440C3A">
      <w:rPr>
        <w:smallCaps/>
        <w:noProof/>
        <w:lang w:eastAsia="en-AU"/>
      </w:rPr>
      <mc:AlternateContent>
        <mc:Choice Requires="wps">
          <w:drawing>
            <wp:anchor distT="0" distB="0" distL="114300" distR="114300" simplePos="0" relativeHeight="251681792" behindDoc="1" locked="0" layoutInCell="1" allowOverlap="1" wp14:anchorId="0AF4CEB5" wp14:editId="6CAAB837">
              <wp:simplePos x="0" y="0"/>
              <wp:positionH relativeFrom="column">
                <wp:posOffset>-921385</wp:posOffset>
              </wp:positionH>
              <wp:positionV relativeFrom="paragraph">
                <wp:posOffset>-473710</wp:posOffset>
              </wp:positionV>
              <wp:extent cx="6614160" cy="2933700"/>
              <wp:effectExtent l="0" t="0" r="0" b="0"/>
              <wp:wrapNone/>
              <wp:docPr id="2" name="Rectangle 2"/>
              <wp:cNvGraphicFramePr/>
              <a:graphic xmlns:a="http://schemas.openxmlformats.org/drawingml/2006/main">
                <a:graphicData uri="http://schemas.microsoft.com/office/word/2010/wordprocessingShape">
                  <wps:wsp>
                    <wps:cNvSpPr/>
                    <wps:spPr>
                      <a:xfrm>
                        <a:off x="0" y="0"/>
                        <a:ext cx="6614160" cy="2933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2.55pt;margin-top:-37.3pt;width:520.8pt;height:23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" fillcolor="#201547 [3204]" stroked="f" strokeweight="2pt"/>
          </w:pict>
        </mc:Fallback>
      </mc:AlternateContent>
    </w:r>
    <w:r w:rsidR="004B3EB7" w:rsidRPr="00440C3A">
      <w:rPr>
        <w:smallCaps/>
        <w:noProof/>
        <w:lang w:eastAsia="en-AU"/>
      </w:rPr>
      <mc:AlternateContent>
        <mc:Choice Requires="wps">
          <w:drawing>
            <wp:anchor distT="0" distB="0" distL="114300" distR="114300" simplePos="0" relativeHeight="251691008" behindDoc="0" locked="0" layoutInCell="1" allowOverlap="1" wp14:anchorId="6C69F43D" wp14:editId="37CBB555">
              <wp:simplePos x="0" y="0"/>
              <wp:positionH relativeFrom="column">
                <wp:posOffset>4003040</wp:posOffset>
              </wp:positionH>
              <wp:positionV relativeFrom="paragraph">
                <wp:posOffset>-743585</wp:posOffset>
              </wp:positionV>
              <wp:extent cx="6523355" cy="3206115"/>
              <wp:effectExtent l="0" t="0" r="0" b="0"/>
              <wp:wrapNone/>
              <wp:docPr id="5" name="Trapezoid 5"/>
              <wp:cNvGraphicFramePr/>
              <a:graphic xmlns:a="http://schemas.openxmlformats.org/drawingml/2006/main">
                <a:graphicData uri="http://schemas.microsoft.com/office/word/2010/wordprocessingShape">
                  <wps:wsp>
                    <wps:cNvSpPr/>
                    <wps:spPr>
                      <a:xfrm>
                        <a:off x="0" y="0"/>
                        <a:ext cx="6523355" cy="3206115"/>
                      </a:xfrm>
                      <a:prstGeom prst="trapezoid">
                        <a:avLst>
                          <a:gd name="adj" fmla="val 46792"/>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5" o:spid="_x0000_s1026" style="position:absolute;margin-left:315.2pt;margin-top:-58.55pt;width:513.65pt;height:25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23355,320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" path="m,3206115l1500205,,5023150,,6523355,3206115,,3206115xe" fillcolor="#0072ce [3206]" stroked="f" strokeweight="2pt">
              <v:path arrowok="t" o:connecttype="custom" o:connectlocs="0,3206115;1500205,0;5023150,0;6523355,3206115;0,3206115" o:connectangles="0,0,0,0,0"/>
            </v:shape>
          </w:pict>
        </mc:Fallback>
      </mc:AlternateContent>
    </w:r>
    <w:r w:rsidR="004B3EB7" w:rsidRPr="00440C3A">
      <w:rPr>
        <w:smallCaps/>
        <w:noProof/>
        <w:lang w:eastAsia="en-AU"/>
      </w:rPr>
      <w:drawing>
        <wp:anchor distT="0" distB="0" distL="114300" distR="114300" simplePos="0" relativeHeight="251693056" behindDoc="0" locked="0" layoutInCell="1" allowOverlap="1" wp14:anchorId="1CF84A62" wp14:editId="7C4A5688">
          <wp:simplePos x="0" y="0"/>
          <wp:positionH relativeFrom="column">
            <wp:posOffset>4679789</wp:posOffset>
          </wp:positionH>
          <wp:positionV relativeFrom="paragraph">
            <wp:posOffset>69850</wp:posOffset>
          </wp:positionV>
          <wp:extent cx="1567180" cy="467995"/>
          <wp:effectExtent l="0" t="0" r="0" b="8255"/>
          <wp:wrapNone/>
          <wp:docPr id="4" name="Picture 4" descr="T:\Corpcom_CSS\COMMUNICATIONS\Logos and branding\Brand Victoria logos DTF\Victoria State Government DTF\Victoria State Gov DTF right aligned\png\Victoria State Gov DTF right revers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rpcom_CSS\COMMUNICATIONS\Logos and branding\Brand Victoria logos DTF\Victoria State Government DTF\Victoria State Gov DTF right aligned\png\Victoria State Gov DTF right revers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C3A" w:rsidRPr="00440C3A">
      <w:rPr>
        <w:smallCaps/>
      </w:rPr>
      <w:t>ECONOMIC</w:t>
    </w:r>
    <w:r w:rsidR="00440C3A">
      <w:br/>
    </w:r>
    <w:r w:rsidR="00440C3A" w:rsidRPr="00053F71">
      <w:rPr>
        <w:b w:val="0"/>
        <w:sz w:val="56"/>
      </w:rPr>
      <w:t>UPDATE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21" w:rsidRDefault="007E54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7C" w:rsidRPr="003E507C" w:rsidRDefault="003E507C" w:rsidP="002F5D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151C8"/>
    <w:multiLevelType w:val="multilevel"/>
    <w:tmpl w:val="306ACA90"/>
    <w:lvl w:ilvl="0">
      <w:start w:val="1"/>
      <w:numFmt w:val="decimal"/>
      <w:pStyle w:val="Listnum"/>
      <w:lvlText w:val="%1."/>
      <w:lvlJc w:val="left"/>
      <w:pPr>
        <w:tabs>
          <w:tab w:val="num" w:pos="9075"/>
        </w:tabs>
        <w:ind w:left="9075" w:hanging="504"/>
      </w:pPr>
      <w:rPr>
        <w:rFonts w:hint="default"/>
      </w:rPr>
    </w:lvl>
    <w:lvl w:ilvl="1">
      <w:start w:val="1"/>
      <w:numFmt w:val="lowerLetter"/>
      <w:pStyle w:val="Listnum2"/>
      <w:lvlText w:val="(%2)"/>
      <w:lvlJc w:val="left"/>
      <w:pPr>
        <w:tabs>
          <w:tab w:val="num" w:pos="9579"/>
        </w:tabs>
        <w:ind w:left="9579" w:hanging="504"/>
      </w:pPr>
      <w:rPr>
        <w:rFonts w:hint="default"/>
      </w:rPr>
    </w:lvl>
    <w:lvl w:ilvl="2">
      <w:start w:val="1"/>
      <w:numFmt w:val="lowerRoman"/>
      <w:pStyle w:val="Listnum3"/>
      <w:lvlText w:val="(%3)"/>
      <w:lvlJc w:val="right"/>
      <w:pPr>
        <w:tabs>
          <w:tab w:val="num" w:pos="10083"/>
        </w:tabs>
        <w:ind w:left="10083" w:hanging="504"/>
      </w:pPr>
      <w:rPr>
        <w:rFonts w:hint="default"/>
      </w:rPr>
    </w:lvl>
    <w:lvl w:ilvl="3">
      <w:start w:val="1"/>
      <w:numFmt w:val="decimal"/>
      <w:lvlText w:val="%4."/>
      <w:lvlJc w:val="left"/>
      <w:pPr>
        <w:tabs>
          <w:tab w:val="num" w:pos="11153"/>
        </w:tabs>
        <w:ind w:left="10587" w:hanging="504"/>
      </w:pPr>
      <w:rPr>
        <w:rFonts w:hint="default"/>
      </w:rPr>
    </w:lvl>
    <w:lvl w:ilvl="4">
      <w:start w:val="1"/>
      <w:numFmt w:val="lowerLetter"/>
      <w:lvlText w:val="%5."/>
      <w:lvlJc w:val="left"/>
      <w:pPr>
        <w:tabs>
          <w:tab w:val="num" w:pos="11657"/>
        </w:tabs>
        <w:ind w:left="11091" w:hanging="504"/>
      </w:pPr>
      <w:rPr>
        <w:rFonts w:hint="default"/>
      </w:rPr>
    </w:lvl>
    <w:lvl w:ilvl="5">
      <w:start w:val="1"/>
      <w:numFmt w:val="lowerRoman"/>
      <w:lvlText w:val="%6."/>
      <w:lvlJc w:val="right"/>
      <w:pPr>
        <w:tabs>
          <w:tab w:val="num" w:pos="12161"/>
        </w:tabs>
        <w:ind w:left="11595" w:hanging="504"/>
      </w:pPr>
      <w:rPr>
        <w:rFonts w:hint="default"/>
      </w:rPr>
    </w:lvl>
    <w:lvl w:ilvl="6">
      <w:start w:val="1"/>
      <w:numFmt w:val="decimal"/>
      <w:lvlText w:val="%7."/>
      <w:lvlJc w:val="left"/>
      <w:pPr>
        <w:tabs>
          <w:tab w:val="num" w:pos="12665"/>
        </w:tabs>
        <w:ind w:left="12099" w:hanging="504"/>
      </w:pPr>
      <w:rPr>
        <w:rFonts w:hint="default"/>
      </w:rPr>
    </w:lvl>
    <w:lvl w:ilvl="7">
      <w:start w:val="1"/>
      <w:numFmt w:val="lowerLetter"/>
      <w:lvlText w:val="%8."/>
      <w:lvlJc w:val="left"/>
      <w:pPr>
        <w:tabs>
          <w:tab w:val="num" w:pos="13169"/>
        </w:tabs>
        <w:ind w:left="12603" w:hanging="504"/>
      </w:pPr>
      <w:rPr>
        <w:rFonts w:hint="default"/>
      </w:rPr>
    </w:lvl>
    <w:lvl w:ilvl="8">
      <w:start w:val="1"/>
      <w:numFmt w:val="lowerRoman"/>
      <w:lvlText w:val="%9."/>
      <w:lvlJc w:val="right"/>
      <w:pPr>
        <w:tabs>
          <w:tab w:val="num" w:pos="13673"/>
        </w:tabs>
        <w:ind w:left="13107" w:hanging="504"/>
      </w:pPr>
      <w:rPr>
        <w:rFonts w:hint="default"/>
      </w:rPr>
    </w:lvl>
  </w:abstractNum>
  <w:abstractNum w:abstractNumId="1">
    <w:nsid w:val="348C23D1"/>
    <w:multiLevelType w:val="hybridMultilevel"/>
    <w:tmpl w:val="934E8B8A"/>
    <w:lvl w:ilvl="0" w:tplc="A7F035D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5332250"/>
    <w:multiLevelType w:val="multilevel"/>
    <w:tmpl w:val="DA6E3D5C"/>
    <w:numStyleLink w:val="Highlightbulletstyle"/>
  </w:abstractNum>
  <w:abstractNum w:abstractNumId="3">
    <w:nsid w:val="5FB034FE"/>
    <w:multiLevelType w:val="hybridMultilevel"/>
    <w:tmpl w:val="EAFC73E8"/>
    <w:lvl w:ilvl="0" w:tplc="EBACE468">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nsid w:val="63D10536"/>
    <w:multiLevelType w:val="multilevel"/>
    <w:tmpl w:val="DA6E3D5C"/>
    <w:styleLink w:val="Highlightbulletstyle"/>
    <w:lvl w:ilvl="0">
      <w:start w:val="1"/>
      <w:numFmt w:val="bullet"/>
      <w:pStyle w:val="Bullet-highlight"/>
      <w:lvlText w:val="►"/>
      <w:lvlJc w:val="left"/>
      <w:pPr>
        <w:ind w:left="284" w:hanging="284"/>
      </w:pPr>
      <w:rPr>
        <w:rFonts w:ascii="Arial" w:hAnsi="Arial"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4065935"/>
    <w:multiLevelType w:val="multilevel"/>
    <w:tmpl w:val="DA6E3D5C"/>
    <w:numStyleLink w:val="Highlightbulletstyle"/>
  </w:abstractNum>
  <w:num w:numId="1">
    <w:abstractNumId w:val="4"/>
  </w:num>
  <w:num w:numId="2">
    <w:abstractNumId w:val="2"/>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BD"/>
    <w:rsid w:val="0000013E"/>
    <w:rsid w:val="00003429"/>
    <w:rsid w:val="000037BC"/>
    <w:rsid w:val="00004104"/>
    <w:rsid w:val="00004F57"/>
    <w:rsid w:val="000053A6"/>
    <w:rsid w:val="00010651"/>
    <w:rsid w:val="00012FB4"/>
    <w:rsid w:val="00014A00"/>
    <w:rsid w:val="000160BC"/>
    <w:rsid w:val="00016356"/>
    <w:rsid w:val="000176C9"/>
    <w:rsid w:val="00020018"/>
    <w:rsid w:val="00020292"/>
    <w:rsid w:val="00021D1F"/>
    <w:rsid w:val="00022C95"/>
    <w:rsid w:val="00023640"/>
    <w:rsid w:val="00025709"/>
    <w:rsid w:val="00027A5D"/>
    <w:rsid w:val="00031852"/>
    <w:rsid w:val="0003309C"/>
    <w:rsid w:val="00033485"/>
    <w:rsid w:val="00033C25"/>
    <w:rsid w:val="000359D7"/>
    <w:rsid w:val="00035A12"/>
    <w:rsid w:val="00036CD9"/>
    <w:rsid w:val="00042C14"/>
    <w:rsid w:val="00044907"/>
    <w:rsid w:val="00045DBC"/>
    <w:rsid w:val="00046F57"/>
    <w:rsid w:val="00047DD7"/>
    <w:rsid w:val="0005013A"/>
    <w:rsid w:val="00051BA4"/>
    <w:rsid w:val="00053341"/>
    <w:rsid w:val="00053F71"/>
    <w:rsid w:val="00054120"/>
    <w:rsid w:val="00054994"/>
    <w:rsid w:val="0005571F"/>
    <w:rsid w:val="00055855"/>
    <w:rsid w:val="000576D1"/>
    <w:rsid w:val="000611D9"/>
    <w:rsid w:val="00061229"/>
    <w:rsid w:val="0006130C"/>
    <w:rsid w:val="000621B6"/>
    <w:rsid w:val="00062BCA"/>
    <w:rsid w:val="000630DD"/>
    <w:rsid w:val="000636F8"/>
    <w:rsid w:val="00063D5E"/>
    <w:rsid w:val="0006406C"/>
    <w:rsid w:val="00064ECB"/>
    <w:rsid w:val="00065923"/>
    <w:rsid w:val="000660AA"/>
    <w:rsid w:val="0006662B"/>
    <w:rsid w:val="00066B58"/>
    <w:rsid w:val="00067C7B"/>
    <w:rsid w:val="000720FA"/>
    <w:rsid w:val="0007353B"/>
    <w:rsid w:val="00073A18"/>
    <w:rsid w:val="0007721B"/>
    <w:rsid w:val="000802EF"/>
    <w:rsid w:val="00081929"/>
    <w:rsid w:val="00081AA9"/>
    <w:rsid w:val="00082ABF"/>
    <w:rsid w:val="00083238"/>
    <w:rsid w:val="000848EB"/>
    <w:rsid w:val="0008503A"/>
    <w:rsid w:val="00085FDB"/>
    <w:rsid w:val="0008661D"/>
    <w:rsid w:val="00087930"/>
    <w:rsid w:val="00092EB0"/>
    <w:rsid w:val="00092FE6"/>
    <w:rsid w:val="00093F23"/>
    <w:rsid w:val="00095562"/>
    <w:rsid w:val="00097DC0"/>
    <w:rsid w:val="000A3879"/>
    <w:rsid w:val="000A3DE5"/>
    <w:rsid w:val="000A6218"/>
    <w:rsid w:val="000A7A17"/>
    <w:rsid w:val="000B16BD"/>
    <w:rsid w:val="000B3A27"/>
    <w:rsid w:val="000B4020"/>
    <w:rsid w:val="000B64BA"/>
    <w:rsid w:val="000B6B2E"/>
    <w:rsid w:val="000B71CD"/>
    <w:rsid w:val="000D2445"/>
    <w:rsid w:val="000D2A62"/>
    <w:rsid w:val="000D36C6"/>
    <w:rsid w:val="000D4112"/>
    <w:rsid w:val="000D517F"/>
    <w:rsid w:val="000D7E75"/>
    <w:rsid w:val="000E1FFA"/>
    <w:rsid w:val="000E5E7D"/>
    <w:rsid w:val="000F0189"/>
    <w:rsid w:val="000F0746"/>
    <w:rsid w:val="000F167A"/>
    <w:rsid w:val="000F1769"/>
    <w:rsid w:val="000F2FBA"/>
    <w:rsid w:val="000F6675"/>
    <w:rsid w:val="000F6F43"/>
    <w:rsid w:val="000F7908"/>
    <w:rsid w:val="001010BD"/>
    <w:rsid w:val="00103711"/>
    <w:rsid w:val="00103EC5"/>
    <w:rsid w:val="00106242"/>
    <w:rsid w:val="00106365"/>
    <w:rsid w:val="001063B6"/>
    <w:rsid w:val="001071BD"/>
    <w:rsid w:val="00107EEF"/>
    <w:rsid w:val="0011281B"/>
    <w:rsid w:val="001148E7"/>
    <w:rsid w:val="00114E7A"/>
    <w:rsid w:val="001178AE"/>
    <w:rsid w:val="001207CE"/>
    <w:rsid w:val="00123AFA"/>
    <w:rsid w:val="00125049"/>
    <w:rsid w:val="001272DB"/>
    <w:rsid w:val="00130B73"/>
    <w:rsid w:val="0013596B"/>
    <w:rsid w:val="001372E4"/>
    <w:rsid w:val="001428A1"/>
    <w:rsid w:val="001442F4"/>
    <w:rsid w:val="00144662"/>
    <w:rsid w:val="00146D13"/>
    <w:rsid w:val="00155E50"/>
    <w:rsid w:val="001578F5"/>
    <w:rsid w:val="00157F5E"/>
    <w:rsid w:val="0016508F"/>
    <w:rsid w:val="0016655B"/>
    <w:rsid w:val="001669BE"/>
    <w:rsid w:val="001679C0"/>
    <w:rsid w:val="001709F7"/>
    <w:rsid w:val="00170B8B"/>
    <w:rsid w:val="001716B5"/>
    <w:rsid w:val="00173104"/>
    <w:rsid w:val="00175390"/>
    <w:rsid w:val="00181D8E"/>
    <w:rsid w:val="001835D6"/>
    <w:rsid w:val="0019025E"/>
    <w:rsid w:val="0019153C"/>
    <w:rsid w:val="00191DDE"/>
    <w:rsid w:val="00192916"/>
    <w:rsid w:val="00192A6E"/>
    <w:rsid w:val="00195637"/>
    <w:rsid w:val="001A1164"/>
    <w:rsid w:val="001A179F"/>
    <w:rsid w:val="001A1E71"/>
    <w:rsid w:val="001B0012"/>
    <w:rsid w:val="001B0E91"/>
    <w:rsid w:val="001B3301"/>
    <w:rsid w:val="001B35BD"/>
    <w:rsid w:val="001B49A6"/>
    <w:rsid w:val="001B59EB"/>
    <w:rsid w:val="001B6034"/>
    <w:rsid w:val="001C1EC8"/>
    <w:rsid w:val="001C517E"/>
    <w:rsid w:val="001D0F0C"/>
    <w:rsid w:val="001D1AB4"/>
    <w:rsid w:val="001D2117"/>
    <w:rsid w:val="001D432C"/>
    <w:rsid w:val="001D5D39"/>
    <w:rsid w:val="001D71D3"/>
    <w:rsid w:val="001D7B30"/>
    <w:rsid w:val="001E03B1"/>
    <w:rsid w:val="001E1270"/>
    <w:rsid w:val="001E141A"/>
    <w:rsid w:val="001E2641"/>
    <w:rsid w:val="001E5D17"/>
    <w:rsid w:val="001E7A6D"/>
    <w:rsid w:val="001E7D0D"/>
    <w:rsid w:val="001E7D7B"/>
    <w:rsid w:val="001F03D2"/>
    <w:rsid w:val="001F0FBE"/>
    <w:rsid w:val="0020012F"/>
    <w:rsid w:val="00200D1F"/>
    <w:rsid w:val="002014B8"/>
    <w:rsid w:val="00202582"/>
    <w:rsid w:val="00202BAF"/>
    <w:rsid w:val="00204F11"/>
    <w:rsid w:val="002068A8"/>
    <w:rsid w:val="0021040C"/>
    <w:rsid w:val="00212251"/>
    <w:rsid w:val="0021539B"/>
    <w:rsid w:val="0022157A"/>
    <w:rsid w:val="00222DFE"/>
    <w:rsid w:val="00223311"/>
    <w:rsid w:val="002237C1"/>
    <w:rsid w:val="002277E2"/>
    <w:rsid w:val="00231277"/>
    <w:rsid w:val="0023586C"/>
    <w:rsid w:val="002414D2"/>
    <w:rsid w:val="0024227B"/>
    <w:rsid w:val="002437D6"/>
    <w:rsid w:val="00244136"/>
    <w:rsid w:val="00245E95"/>
    <w:rsid w:val="00246C5C"/>
    <w:rsid w:val="00253B12"/>
    <w:rsid w:val="00253D99"/>
    <w:rsid w:val="00256ABE"/>
    <w:rsid w:val="0025798D"/>
    <w:rsid w:val="00261436"/>
    <w:rsid w:val="00261D70"/>
    <w:rsid w:val="00262411"/>
    <w:rsid w:val="00264C87"/>
    <w:rsid w:val="00264F48"/>
    <w:rsid w:val="0026593D"/>
    <w:rsid w:val="00266582"/>
    <w:rsid w:val="00270AF2"/>
    <w:rsid w:val="00270CF1"/>
    <w:rsid w:val="00270E44"/>
    <w:rsid w:val="00274C7F"/>
    <w:rsid w:val="002751C4"/>
    <w:rsid w:val="0028118E"/>
    <w:rsid w:val="00282F8F"/>
    <w:rsid w:val="00283D37"/>
    <w:rsid w:val="00283D6B"/>
    <w:rsid w:val="00286478"/>
    <w:rsid w:val="002868CD"/>
    <w:rsid w:val="00290FB0"/>
    <w:rsid w:val="002920D2"/>
    <w:rsid w:val="00293A6B"/>
    <w:rsid w:val="002A0EE8"/>
    <w:rsid w:val="002A4E54"/>
    <w:rsid w:val="002B0039"/>
    <w:rsid w:val="002B5C85"/>
    <w:rsid w:val="002B6763"/>
    <w:rsid w:val="002C094C"/>
    <w:rsid w:val="002C0ACC"/>
    <w:rsid w:val="002C0AF7"/>
    <w:rsid w:val="002C4FEE"/>
    <w:rsid w:val="002C7493"/>
    <w:rsid w:val="002C7495"/>
    <w:rsid w:val="002D2638"/>
    <w:rsid w:val="002D4B7B"/>
    <w:rsid w:val="002D52D6"/>
    <w:rsid w:val="002E323E"/>
    <w:rsid w:val="002E5840"/>
    <w:rsid w:val="002E5AB4"/>
    <w:rsid w:val="002E5FA6"/>
    <w:rsid w:val="002E61AC"/>
    <w:rsid w:val="002E73F4"/>
    <w:rsid w:val="002E7663"/>
    <w:rsid w:val="002F04BA"/>
    <w:rsid w:val="002F13D9"/>
    <w:rsid w:val="002F21A5"/>
    <w:rsid w:val="002F3B96"/>
    <w:rsid w:val="002F5DE2"/>
    <w:rsid w:val="00301591"/>
    <w:rsid w:val="00306D76"/>
    <w:rsid w:val="0031220C"/>
    <w:rsid w:val="00315004"/>
    <w:rsid w:val="00320889"/>
    <w:rsid w:val="003228FA"/>
    <w:rsid w:val="003239BF"/>
    <w:rsid w:val="00323FC2"/>
    <w:rsid w:val="00331066"/>
    <w:rsid w:val="00335295"/>
    <w:rsid w:val="00335813"/>
    <w:rsid w:val="003371D7"/>
    <w:rsid w:val="00341AD3"/>
    <w:rsid w:val="00344153"/>
    <w:rsid w:val="00345476"/>
    <w:rsid w:val="0034648C"/>
    <w:rsid w:val="00346694"/>
    <w:rsid w:val="00346980"/>
    <w:rsid w:val="00347992"/>
    <w:rsid w:val="00347A78"/>
    <w:rsid w:val="00347BE0"/>
    <w:rsid w:val="003529D4"/>
    <w:rsid w:val="003540A1"/>
    <w:rsid w:val="00354235"/>
    <w:rsid w:val="00357F86"/>
    <w:rsid w:val="00360077"/>
    <w:rsid w:val="00360F22"/>
    <w:rsid w:val="00362CE1"/>
    <w:rsid w:val="0037175A"/>
    <w:rsid w:val="00372159"/>
    <w:rsid w:val="003806CD"/>
    <w:rsid w:val="00380DA2"/>
    <w:rsid w:val="00381798"/>
    <w:rsid w:val="00381C44"/>
    <w:rsid w:val="00381E61"/>
    <w:rsid w:val="0038201F"/>
    <w:rsid w:val="00382510"/>
    <w:rsid w:val="003831AB"/>
    <w:rsid w:val="00383918"/>
    <w:rsid w:val="003844EC"/>
    <w:rsid w:val="00384A23"/>
    <w:rsid w:val="003902A0"/>
    <w:rsid w:val="003915B9"/>
    <w:rsid w:val="00394456"/>
    <w:rsid w:val="003952AA"/>
    <w:rsid w:val="003A0F37"/>
    <w:rsid w:val="003A2CDC"/>
    <w:rsid w:val="003A3175"/>
    <w:rsid w:val="003A3AD2"/>
    <w:rsid w:val="003A4B92"/>
    <w:rsid w:val="003A65EF"/>
    <w:rsid w:val="003A70B8"/>
    <w:rsid w:val="003B00F1"/>
    <w:rsid w:val="003B27C9"/>
    <w:rsid w:val="003B2B53"/>
    <w:rsid w:val="003B3D66"/>
    <w:rsid w:val="003B43F8"/>
    <w:rsid w:val="003B66C0"/>
    <w:rsid w:val="003C20AB"/>
    <w:rsid w:val="003C3E82"/>
    <w:rsid w:val="003C5B4A"/>
    <w:rsid w:val="003C665B"/>
    <w:rsid w:val="003C690A"/>
    <w:rsid w:val="003C6D78"/>
    <w:rsid w:val="003D0FD1"/>
    <w:rsid w:val="003E507C"/>
    <w:rsid w:val="003E5648"/>
    <w:rsid w:val="003E6813"/>
    <w:rsid w:val="003F2540"/>
    <w:rsid w:val="003F77EE"/>
    <w:rsid w:val="003F78A6"/>
    <w:rsid w:val="003F78F1"/>
    <w:rsid w:val="0040027B"/>
    <w:rsid w:val="0040561C"/>
    <w:rsid w:val="00405FBA"/>
    <w:rsid w:val="00407DB0"/>
    <w:rsid w:val="0041014C"/>
    <w:rsid w:val="0041092A"/>
    <w:rsid w:val="00411C99"/>
    <w:rsid w:val="00412B93"/>
    <w:rsid w:val="00416A04"/>
    <w:rsid w:val="00423F92"/>
    <w:rsid w:val="004248E2"/>
    <w:rsid w:val="00425F13"/>
    <w:rsid w:val="004274C5"/>
    <w:rsid w:val="0043064C"/>
    <w:rsid w:val="0043096A"/>
    <w:rsid w:val="00434A99"/>
    <w:rsid w:val="00434C46"/>
    <w:rsid w:val="00435687"/>
    <w:rsid w:val="004371C3"/>
    <w:rsid w:val="00440C3A"/>
    <w:rsid w:val="004412FB"/>
    <w:rsid w:val="004431F4"/>
    <w:rsid w:val="0044340B"/>
    <w:rsid w:val="00443FD2"/>
    <w:rsid w:val="00450F23"/>
    <w:rsid w:val="004512C0"/>
    <w:rsid w:val="0045265F"/>
    <w:rsid w:val="00453A5E"/>
    <w:rsid w:val="00453CBD"/>
    <w:rsid w:val="004556E4"/>
    <w:rsid w:val="00455CCF"/>
    <w:rsid w:val="00456F3B"/>
    <w:rsid w:val="0046250A"/>
    <w:rsid w:val="00466052"/>
    <w:rsid w:val="00466B30"/>
    <w:rsid w:val="00466CDB"/>
    <w:rsid w:val="0047038E"/>
    <w:rsid w:val="00474854"/>
    <w:rsid w:val="004768B5"/>
    <w:rsid w:val="00480F7B"/>
    <w:rsid w:val="004834E8"/>
    <w:rsid w:val="00483862"/>
    <w:rsid w:val="00484190"/>
    <w:rsid w:val="00487A2E"/>
    <w:rsid w:val="004904DE"/>
    <w:rsid w:val="00494A89"/>
    <w:rsid w:val="00496637"/>
    <w:rsid w:val="00497555"/>
    <w:rsid w:val="004A4775"/>
    <w:rsid w:val="004A5EFF"/>
    <w:rsid w:val="004A60F4"/>
    <w:rsid w:val="004B0DE0"/>
    <w:rsid w:val="004B3EB7"/>
    <w:rsid w:val="004B6E36"/>
    <w:rsid w:val="004C0B0D"/>
    <w:rsid w:val="004C1EE8"/>
    <w:rsid w:val="004C2B18"/>
    <w:rsid w:val="004C630F"/>
    <w:rsid w:val="004C7246"/>
    <w:rsid w:val="004D315E"/>
    <w:rsid w:val="004D34CD"/>
    <w:rsid w:val="004D4AC5"/>
    <w:rsid w:val="004D582C"/>
    <w:rsid w:val="004E06F1"/>
    <w:rsid w:val="004E15F5"/>
    <w:rsid w:val="004E1C48"/>
    <w:rsid w:val="004E5ED2"/>
    <w:rsid w:val="004E5F2F"/>
    <w:rsid w:val="004E638E"/>
    <w:rsid w:val="004E7510"/>
    <w:rsid w:val="004F011B"/>
    <w:rsid w:val="004F2C65"/>
    <w:rsid w:val="004F3C3A"/>
    <w:rsid w:val="004F5D02"/>
    <w:rsid w:val="004F5DD2"/>
    <w:rsid w:val="004F650A"/>
    <w:rsid w:val="004F7193"/>
    <w:rsid w:val="0050041F"/>
    <w:rsid w:val="00501B53"/>
    <w:rsid w:val="00502141"/>
    <w:rsid w:val="00502D70"/>
    <w:rsid w:val="00504D17"/>
    <w:rsid w:val="00506EEE"/>
    <w:rsid w:val="00507432"/>
    <w:rsid w:val="00516980"/>
    <w:rsid w:val="005175E4"/>
    <w:rsid w:val="0052125D"/>
    <w:rsid w:val="00521BA8"/>
    <w:rsid w:val="00521DAF"/>
    <w:rsid w:val="00521F88"/>
    <w:rsid w:val="005221D6"/>
    <w:rsid w:val="00522682"/>
    <w:rsid w:val="00523A27"/>
    <w:rsid w:val="00524654"/>
    <w:rsid w:val="005246FB"/>
    <w:rsid w:val="005256FC"/>
    <w:rsid w:val="00525DDD"/>
    <w:rsid w:val="00526938"/>
    <w:rsid w:val="005279B1"/>
    <w:rsid w:val="005316CE"/>
    <w:rsid w:val="005318CE"/>
    <w:rsid w:val="005325F0"/>
    <w:rsid w:val="00534B86"/>
    <w:rsid w:val="00534C19"/>
    <w:rsid w:val="005379E5"/>
    <w:rsid w:val="00537EC6"/>
    <w:rsid w:val="00544A13"/>
    <w:rsid w:val="0054649F"/>
    <w:rsid w:val="005509BC"/>
    <w:rsid w:val="00552B82"/>
    <w:rsid w:val="00554F72"/>
    <w:rsid w:val="00557172"/>
    <w:rsid w:val="005572CF"/>
    <w:rsid w:val="005577EE"/>
    <w:rsid w:val="00557A3F"/>
    <w:rsid w:val="00561537"/>
    <w:rsid w:val="0056659D"/>
    <w:rsid w:val="00567A0F"/>
    <w:rsid w:val="00575F8D"/>
    <w:rsid w:val="00576235"/>
    <w:rsid w:val="00576DC6"/>
    <w:rsid w:val="005801E4"/>
    <w:rsid w:val="00580A73"/>
    <w:rsid w:val="005814E1"/>
    <w:rsid w:val="005859E0"/>
    <w:rsid w:val="00585DD0"/>
    <w:rsid w:val="00587521"/>
    <w:rsid w:val="00587AF4"/>
    <w:rsid w:val="00590640"/>
    <w:rsid w:val="00590DB3"/>
    <w:rsid w:val="00595836"/>
    <w:rsid w:val="005977E2"/>
    <w:rsid w:val="005A27E3"/>
    <w:rsid w:val="005A312B"/>
    <w:rsid w:val="005A3A8E"/>
    <w:rsid w:val="005A499A"/>
    <w:rsid w:val="005B02A3"/>
    <w:rsid w:val="005B50FE"/>
    <w:rsid w:val="005B5D8C"/>
    <w:rsid w:val="005B6236"/>
    <w:rsid w:val="005B799A"/>
    <w:rsid w:val="005B7D8B"/>
    <w:rsid w:val="005C2020"/>
    <w:rsid w:val="005C5FE2"/>
    <w:rsid w:val="005C66FE"/>
    <w:rsid w:val="005D5C2A"/>
    <w:rsid w:val="005D72B5"/>
    <w:rsid w:val="005E1F2C"/>
    <w:rsid w:val="005E2185"/>
    <w:rsid w:val="005E4620"/>
    <w:rsid w:val="005E4A36"/>
    <w:rsid w:val="005E64C4"/>
    <w:rsid w:val="005E672B"/>
    <w:rsid w:val="005F0E15"/>
    <w:rsid w:val="005F34B4"/>
    <w:rsid w:val="005F6FEE"/>
    <w:rsid w:val="006000A0"/>
    <w:rsid w:val="0060422F"/>
    <w:rsid w:val="00604447"/>
    <w:rsid w:val="006068E2"/>
    <w:rsid w:val="00606BF1"/>
    <w:rsid w:val="00607271"/>
    <w:rsid w:val="006072A0"/>
    <w:rsid w:val="00610201"/>
    <w:rsid w:val="006119A1"/>
    <w:rsid w:val="006135AB"/>
    <w:rsid w:val="00613DBA"/>
    <w:rsid w:val="00615915"/>
    <w:rsid w:val="00615B0C"/>
    <w:rsid w:val="006165B0"/>
    <w:rsid w:val="006202E5"/>
    <w:rsid w:val="00633A0A"/>
    <w:rsid w:val="006345C6"/>
    <w:rsid w:val="00634CB3"/>
    <w:rsid w:val="00637485"/>
    <w:rsid w:val="006375DD"/>
    <w:rsid w:val="00637684"/>
    <w:rsid w:val="00640214"/>
    <w:rsid w:val="00641691"/>
    <w:rsid w:val="0064291B"/>
    <w:rsid w:val="00643BA9"/>
    <w:rsid w:val="00643BE0"/>
    <w:rsid w:val="006446D1"/>
    <w:rsid w:val="00650127"/>
    <w:rsid w:val="00652783"/>
    <w:rsid w:val="00653989"/>
    <w:rsid w:val="006552ED"/>
    <w:rsid w:val="00655ADA"/>
    <w:rsid w:val="00655B24"/>
    <w:rsid w:val="00655CCE"/>
    <w:rsid w:val="006619C8"/>
    <w:rsid w:val="00664763"/>
    <w:rsid w:val="00664988"/>
    <w:rsid w:val="00666002"/>
    <w:rsid w:val="00666ED0"/>
    <w:rsid w:val="00667DB9"/>
    <w:rsid w:val="00670109"/>
    <w:rsid w:val="00670790"/>
    <w:rsid w:val="00670E78"/>
    <w:rsid w:val="006717DA"/>
    <w:rsid w:val="00675585"/>
    <w:rsid w:val="0068057E"/>
    <w:rsid w:val="00681947"/>
    <w:rsid w:val="0068446F"/>
    <w:rsid w:val="0069059D"/>
    <w:rsid w:val="0069470E"/>
    <w:rsid w:val="0069622A"/>
    <w:rsid w:val="00697374"/>
    <w:rsid w:val="00697F1F"/>
    <w:rsid w:val="006A0CDF"/>
    <w:rsid w:val="006A1032"/>
    <w:rsid w:val="006A5C90"/>
    <w:rsid w:val="006A7ABD"/>
    <w:rsid w:val="006B11CA"/>
    <w:rsid w:val="006B3A0B"/>
    <w:rsid w:val="006B47AE"/>
    <w:rsid w:val="006B486C"/>
    <w:rsid w:val="006C0DF2"/>
    <w:rsid w:val="006C36AC"/>
    <w:rsid w:val="006C400D"/>
    <w:rsid w:val="006C4435"/>
    <w:rsid w:val="006C6503"/>
    <w:rsid w:val="006D2C01"/>
    <w:rsid w:val="006D4C00"/>
    <w:rsid w:val="006E06AD"/>
    <w:rsid w:val="006E0DF0"/>
    <w:rsid w:val="006E169E"/>
    <w:rsid w:val="006E3ABA"/>
    <w:rsid w:val="006E401A"/>
    <w:rsid w:val="006E7709"/>
    <w:rsid w:val="006F35EB"/>
    <w:rsid w:val="006F3B8C"/>
    <w:rsid w:val="006F6780"/>
    <w:rsid w:val="00700502"/>
    <w:rsid w:val="00700764"/>
    <w:rsid w:val="00703EBC"/>
    <w:rsid w:val="00705025"/>
    <w:rsid w:val="00706673"/>
    <w:rsid w:val="00706D3B"/>
    <w:rsid w:val="00707BF6"/>
    <w:rsid w:val="00710B79"/>
    <w:rsid w:val="00713948"/>
    <w:rsid w:val="00717ED7"/>
    <w:rsid w:val="00721ED1"/>
    <w:rsid w:val="00722C03"/>
    <w:rsid w:val="007231C4"/>
    <w:rsid w:val="00730EFC"/>
    <w:rsid w:val="00731D4A"/>
    <w:rsid w:val="007343DC"/>
    <w:rsid w:val="007347B8"/>
    <w:rsid w:val="0073506D"/>
    <w:rsid w:val="007364C8"/>
    <w:rsid w:val="00736912"/>
    <w:rsid w:val="007412D0"/>
    <w:rsid w:val="007460B7"/>
    <w:rsid w:val="00750856"/>
    <w:rsid w:val="0075117C"/>
    <w:rsid w:val="00751643"/>
    <w:rsid w:val="00762B7E"/>
    <w:rsid w:val="00765E58"/>
    <w:rsid w:val="00771375"/>
    <w:rsid w:val="007757EB"/>
    <w:rsid w:val="0077773D"/>
    <w:rsid w:val="00781AB5"/>
    <w:rsid w:val="00787CBC"/>
    <w:rsid w:val="00790F3C"/>
    <w:rsid w:val="007941D3"/>
    <w:rsid w:val="00795744"/>
    <w:rsid w:val="007972CA"/>
    <w:rsid w:val="007A03AA"/>
    <w:rsid w:val="007A139F"/>
    <w:rsid w:val="007B0DDE"/>
    <w:rsid w:val="007B4BD4"/>
    <w:rsid w:val="007B66B0"/>
    <w:rsid w:val="007C3C47"/>
    <w:rsid w:val="007C7BE7"/>
    <w:rsid w:val="007D0358"/>
    <w:rsid w:val="007D2B8B"/>
    <w:rsid w:val="007D618F"/>
    <w:rsid w:val="007D688E"/>
    <w:rsid w:val="007D6F02"/>
    <w:rsid w:val="007D7C97"/>
    <w:rsid w:val="007D7CAD"/>
    <w:rsid w:val="007E2AD3"/>
    <w:rsid w:val="007E4A14"/>
    <w:rsid w:val="007E5421"/>
    <w:rsid w:val="007E6072"/>
    <w:rsid w:val="007E7CDF"/>
    <w:rsid w:val="007F2F37"/>
    <w:rsid w:val="007F6738"/>
    <w:rsid w:val="007F677F"/>
    <w:rsid w:val="007F7DBD"/>
    <w:rsid w:val="00801834"/>
    <w:rsid w:val="00802FB2"/>
    <w:rsid w:val="00803E2C"/>
    <w:rsid w:val="008061D0"/>
    <w:rsid w:val="0081037E"/>
    <w:rsid w:val="00810385"/>
    <w:rsid w:val="008115C7"/>
    <w:rsid w:val="008124B6"/>
    <w:rsid w:val="00813058"/>
    <w:rsid w:val="00816160"/>
    <w:rsid w:val="0081749B"/>
    <w:rsid w:val="00820021"/>
    <w:rsid w:val="00821A3A"/>
    <w:rsid w:val="008262D9"/>
    <w:rsid w:val="00827595"/>
    <w:rsid w:val="00831F56"/>
    <w:rsid w:val="00833B24"/>
    <w:rsid w:val="00833E9D"/>
    <w:rsid w:val="00834D07"/>
    <w:rsid w:val="00834D08"/>
    <w:rsid w:val="0083514C"/>
    <w:rsid w:val="00837C8E"/>
    <w:rsid w:val="008406AA"/>
    <w:rsid w:val="00840776"/>
    <w:rsid w:val="0084251F"/>
    <w:rsid w:val="008437E6"/>
    <w:rsid w:val="008447D1"/>
    <w:rsid w:val="008455DF"/>
    <w:rsid w:val="00846CB9"/>
    <w:rsid w:val="0085460C"/>
    <w:rsid w:val="00855C1D"/>
    <w:rsid w:val="008563E7"/>
    <w:rsid w:val="008565B3"/>
    <w:rsid w:val="008659CB"/>
    <w:rsid w:val="00865D5B"/>
    <w:rsid w:val="008660A0"/>
    <w:rsid w:val="00866111"/>
    <w:rsid w:val="00872BD9"/>
    <w:rsid w:val="00872BDF"/>
    <w:rsid w:val="008741A1"/>
    <w:rsid w:val="00874CD5"/>
    <w:rsid w:val="00876989"/>
    <w:rsid w:val="00876AC6"/>
    <w:rsid w:val="0088301A"/>
    <w:rsid w:val="008851AB"/>
    <w:rsid w:val="00885DAC"/>
    <w:rsid w:val="00887B0E"/>
    <w:rsid w:val="008926D2"/>
    <w:rsid w:val="0089355C"/>
    <w:rsid w:val="00894224"/>
    <w:rsid w:val="0089514C"/>
    <w:rsid w:val="008A0C1C"/>
    <w:rsid w:val="008A3F4A"/>
    <w:rsid w:val="008B2D78"/>
    <w:rsid w:val="008B5294"/>
    <w:rsid w:val="008C27B7"/>
    <w:rsid w:val="008C6468"/>
    <w:rsid w:val="008C67AB"/>
    <w:rsid w:val="008D06D9"/>
    <w:rsid w:val="008D419F"/>
    <w:rsid w:val="008D4C72"/>
    <w:rsid w:val="008D67D7"/>
    <w:rsid w:val="008D6A2F"/>
    <w:rsid w:val="008D7232"/>
    <w:rsid w:val="008E215E"/>
    <w:rsid w:val="008E2D29"/>
    <w:rsid w:val="008E5F1A"/>
    <w:rsid w:val="008F253E"/>
    <w:rsid w:val="00901872"/>
    <w:rsid w:val="00904A36"/>
    <w:rsid w:val="009057D1"/>
    <w:rsid w:val="00906AF7"/>
    <w:rsid w:val="0091308E"/>
    <w:rsid w:val="009131FD"/>
    <w:rsid w:val="00917DA7"/>
    <w:rsid w:val="0092123B"/>
    <w:rsid w:val="00922FDD"/>
    <w:rsid w:val="00925104"/>
    <w:rsid w:val="00925EF7"/>
    <w:rsid w:val="009264E6"/>
    <w:rsid w:val="00927445"/>
    <w:rsid w:val="00927E0D"/>
    <w:rsid w:val="009315CA"/>
    <w:rsid w:val="00932A32"/>
    <w:rsid w:val="00932E2E"/>
    <w:rsid w:val="00933184"/>
    <w:rsid w:val="00933546"/>
    <w:rsid w:val="00935902"/>
    <w:rsid w:val="00936D9D"/>
    <w:rsid w:val="009376A5"/>
    <w:rsid w:val="009379B3"/>
    <w:rsid w:val="00941922"/>
    <w:rsid w:val="00941FCC"/>
    <w:rsid w:val="00942979"/>
    <w:rsid w:val="009445EE"/>
    <w:rsid w:val="009506AF"/>
    <w:rsid w:val="00953D82"/>
    <w:rsid w:val="0095727E"/>
    <w:rsid w:val="00960B7C"/>
    <w:rsid w:val="00960C7E"/>
    <w:rsid w:val="00961DC4"/>
    <w:rsid w:val="0096265F"/>
    <w:rsid w:val="00964E4A"/>
    <w:rsid w:val="00965986"/>
    <w:rsid w:val="0096692A"/>
    <w:rsid w:val="00967403"/>
    <w:rsid w:val="00970105"/>
    <w:rsid w:val="00970D75"/>
    <w:rsid w:val="0097342E"/>
    <w:rsid w:val="00974505"/>
    <w:rsid w:val="009752D8"/>
    <w:rsid w:val="00976953"/>
    <w:rsid w:val="00980269"/>
    <w:rsid w:val="00981525"/>
    <w:rsid w:val="00983012"/>
    <w:rsid w:val="00983408"/>
    <w:rsid w:val="009840B1"/>
    <w:rsid w:val="00985F99"/>
    <w:rsid w:val="009910AD"/>
    <w:rsid w:val="009918D2"/>
    <w:rsid w:val="009946D6"/>
    <w:rsid w:val="009977C2"/>
    <w:rsid w:val="009A0CC6"/>
    <w:rsid w:val="009A3026"/>
    <w:rsid w:val="009A39A9"/>
    <w:rsid w:val="009A5772"/>
    <w:rsid w:val="009A5CE0"/>
    <w:rsid w:val="009A77B2"/>
    <w:rsid w:val="009B0BE4"/>
    <w:rsid w:val="009B6C4E"/>
    <w:rsid w:val="009B702A"/>
    <w:rsid w:val="009B76BE"/>
    <w:rsid w:val="009C533E"/>
    <w:rsid w:val="009C5582"/>
    <w:rsid w:val="009C6442"/>
    <w:rsid w:val="009C66D2"/>
    <w:rsid w:val="009C6BE6"/>
    <w:rsid w:val="009D2F44"/>
    <w:rsid w:val="009D35B5"/>
    <w:rsid w:val="009D42BF"/>
    <w:rsid w:val="009E0F7A"/>
    <w:rsid w:val="009E13DC"/>
    <w:rsid w:val="009E176B"/>
    <w:rsid w:val="009E3C8A"/>
    <w:rsid w:val="009E5B95"/>
    <w:rsid w:val="009E5DC7"/>
    <w:rsid w:val="009E654E"/>
    <w:rsid w:val="009E6852"/>
    <w:rsid w:val="009E7726"/>
    <w:rsid w:val="009F022A"/>
    <w:rsid w:val="009F0F64"/>
    <w:rsid w:val="009F277F"/>
    <w:rsid w:val="009F7CFF"/>
    <w:rsid w:val="00A0102A"/>
    <w:rsid w:val="00A011A5"/>
    <w:rsid w:val="00A03B82"/>
    <w:rsid w:val="00A05497"/>
    <w:rsid w:val="00A05F37"/>
    <w:rsid w:val="00A07DFA"/>
    <w:rsid w:val="00A1484B"/>
    <w:rsid w:val="00A15447"/>
    <w:rsid w:val="00A21056"/>
    <w:rsid w:val="00A21C79"/>
    <w:rsid w:val="00A226B1"/>
    <w:rsid w:val="00A22C6E"/>
    <w:rsid w:val="00A24EB7"/>
    <w:rsid w:val="00A25A6B"/>
    <w:rsid w:val="00A2697F"/>
    <w:rsid w:val="00A27B08"/>
    <w:rsid w:val="00A346D5"/>
    <w:rsid w:val="00A363B5"/>
    <w:rsid w:val="00A36F03"/>
    <w:rsid w:val="00A3710A"/>
    <w:rsid w:val="00A4205F"/>
    <w:rsid w:val="00A431B6"/>
    <w:rsid w:val="00A441AF"/>
    <w:rsid w:val="00A50B93"/>
    <w:rsid w:val="00A54258"/>
    <w:rsid w:val="00A55ECA"/>
    <w:rsid w:val="00A647DA"/>
    <w:rsid w:val="00A65B41"/>
    <w:rsid w:val="00A66E77"/>
    <w:rsid w:val="00A67716"/>
    <w:rsid w:val="00A67A0B"/>
    <w:rsid w:val="00A7050A"/>
    <w:rsid w:val="00A70602"/>
    <w:rsid w:val="00A73E99"/>
    <w:rsid w:val="00A743D7"/>
    <w:rsid w:val="00A75E1E"/>
    <w:rsid w:val="00A82B38"/>
    <w:rsid w:val="00A91509"/>
    <w:rsid w:val="00A93E7C"/>
    <w:rsid w:val="00A96140"/>
    <w:rsid w:val="00AA516F"/>
    <w:rsid w:val="00AA56BE"/>
    <w:rsid w:val="00AA68F7"/>
    <w:rsid w:val="00AA73B6"/>
    <w:rsid w:val="00AB30B6"/>
    <w:rsid w:val="00AB50B0"/>
    <w:rsid w:val="00AB67B5"/>
    <w:rsid w:val="00AB76CE"/>
    <w:rsid w:val="00AC0213"/>
    <w:rsid w:val="00AC14BE"/>
    <w:rsid w:val="00AC15BC"/>
    <w:rsid w:val="00AC3523"/>
    <w:rsid w:val="00AC47D6"/>
    <w:rsid w:val="00AC4B92"/>
    <w:rsid w:val="00AC77E6"/>
    <w:rsid w:val="00AD0968"/>
    <w:rsid w:val="00AD0D84"/>
    <w:rsid w:val="00AD2B97"/>
    <w:rsid w:val="00AD32EB"/>
    <w:rsid w:val="00AD5F43"/>
    <w:rsid w:val="00AD73F8"/>
    <w:rsid w:val="00AD7623"/>
    <w:rsid w:val="00AD7719"/>
    <w:rsid w:val="00AE2681"/>
    <w:rsid w:val="00AE310A"/>
    <w:rsid w:val="00AE5766"/>
    <w:rsid w:val="00AF0029"/>
    <w:rsid w:val="00AF03D6"/>
    <w:rsid w:val="00AF3830"/>
    <w:rsid w:val="00AF4080"/>
    <w:rsid w:val="00AF7DCA"/>
    <w:rsid w:val="00B0209A"/>
    <w:rsid w:val="00B042A1"/>
    <w:rsid w:val="00B05EAE"/>
    <w:rsid w:val="00B067DD"/>
    <w:rsid w:val="00B0702F"/>
    <w:rsid w:val="00B074C1"/>
    <w:rsid w:val="00B108A8"/>
    <w:rsid w:val="00B124E0"/>
    <w:rsid w:val="00B12616"/>
    <w:rsid w:val="00B12E53"/>
    <w:rsid w:val="00B15EA3"/>
    <w:rsid w:val="00B17DE6"/>
    <w:rsid w:val="00B23E2F"/>
    <w:rsid w:val="00B24275"/>
    <w:rsid w:val="00B343CB"/>
    <w:rsid w:val="00B34D62"/>
    <w:rsid w:val="00B36881"/>
    <w:rsid w:val="00B36DC9"/>
    <w:rsid w:val="00B36EAD"/>
    <w:rsid w:val="00B411F8"/>
    <w:rsid w:val="00B42707"/>
    <w:rsid w:val="00B463E1"/>
    <w:rsid w:val="00B51377"/>
    <w:rsid w:val="00B54575"/>
    <w:rsid w:val="00B56033"/>
    <w:rsid w:val="00B56DF5"/>
    <w:rsid w:val="00B5781B"/>
    <w:rsid w:val="00B602FB"/>
    <w:rsid w:val="00B60937"/>
    <w:rsid w:val="00B62F40"/>
    <w:rsid w:val="00B7051C"/>
    <w:rsid w:val="00B71C63"/>
    <w:rsid w:val="00B75088"/>
    <w:rsid w:val="00B7562B"/>
    <w:rsid w:val="00B7656C"/>
    <w:rsid w:val="00B81689"/>
    <w:rsid w:val="00B81B82"/>
    <w:rsid w:val="00B82663"/>
    <w:rsid w:val="00B85D08"/>
    <w:rsid w:val="00B94489"/>
    <w:rsid w:val="00B94DA6"/>
    <w:rsid w:val="00B95141"/>
    <w:rsid w:val="00B97E06"/>
    <w:rsid w:val="00BA0CEA"/>
    <w:rsid w:val="00BA1124"/>
    <w:rsid w:val="00BA2604"/>
    <w:rsid w:val="00BA3154"/>
    <w:rsid w:val="00BA58EB"/>
    <w:rsid w:val="00BA65B2"/>
    <w:rsid w:val="00BA6713"/>
    <w:rsid w:val="00BA6B8C"/>
    <w:rsid w:val="00BB032A"/>
    <w:rsid w:val="00BB07CD"/>
    <w:rsid w:val="00BB0BF9"/>
    <w:rsid w:val="00BB0D30"/>
    <w:rsid w:val="00BB20AA"/>
    <w:rsid w:val="00BB2557"/>
    <w:rsid w:val="00BB3C90"/>
    <w:rsid w:val="00BB5CEC"/>
    <w:rsid w:val="00BC0DCB"/>
    <w:rsid w:val="00BC0EF7"/>
    <w:rsid w:val="00BC0FAE"/>
    <w:rsid w:val="00BC2E59"/>
    <w:rsid w:val="00BC3E78"/>
    <w:rsid w:val="00BC672F"/>
    <w:rsid w:val="00BC6868"/>
    <w:rsid w:val="00BD0E69"/>
    <w:rsid w:val="00BD24EB"/>
    <w:rsid w:val="00BD2F35"/>
    <w:rsid w:val="00BD48CC"/>
    <w:rsid w:val="00BE3069"/>
    <w:rsid w:val="00BE3446"/>
    <w:rsid w:val="00BE4146"/>
    <w:rsid w:val="00BE514B"/>
    <w:rsid w:val="00BE7055"/>
    <w:rsid w:val="00BF1A63"/>
    <w:rsid w:val="00BF619B"/>
    <w:rsid w:val="00BF74D8"/>
    <w:rsid w:val="00BF7D7D"/>
    <w:rsid w:val="00C03C8B"/>
    <w:rsid w:val="00C04C72"/>
    <w:rsid w:val="00C06A48"/>
    <w:rsid w:val="00C1101F"/>
    <w:rsid w:val="00C12C22"/>
    <w:rsid w:val="00C13752"/>
    <w:rsid w:val="00C15903"/>
    <w:rsid w:val="00C15F1B"/>
    <w:rsid w:val="00C21D87"/>
    <w:rsid w:val="00C22FB4"/>
    <w:rsid w:val="00C2310E"/>
    <w:rsid w:val="00C2486C"/>
    <w:rsid w:val="00C25BFE"/>
    <w:rsid w:val="00C27218"/>
    <w:rsid w:val="00C3070A"/>
    <w:rsid w:val="00C32759"/>
    <w:rsid w:val="00C33630"/>
    <w:rsid w:val="00C33761"/>
    <w:rsid w:val="00C35431"/>
    <w:rsid w:val="00C4203F"/>
    <w:rsid w:val="00C42118"/>
    <w:rsid w:val="00C43A87"/>
    <w:rsid w:val="00C441C8"/>
    <w:rsid w:val="00C464BC"/>
    <w:rsid w:val="00C513CC"/>
    <w:rsid w:val="00C5163C"/>
    <w:rsid w:val="00C52410"/>
    <w:rsid w:val="00C53480"/>
    <w:rsid w:val="00C5410B"/>
    <w:rsid w:val="00C5427E"/>
    <w:rsid w:val="00C542A9"/>
    <w:rsid w:val="00C5434C"/>
    <w:rsid w:val="00C569A3"/>
    <w:rsid w:val="00C60AF1"/>
    <w:rsid w:val="00C65755"/>
    <w:rsid w:val="00C657FA"/>
    <w:rsid w:val="00C66A4E"/>
    <w:rsid w:val="00C67EA3"/>
    <w:rsid w:val="00C71A2D"/>
    <w:rsid w:val="00C75A3C"/>
    <w:rsid w:val="00C86481"/>
    <w:rsid w:val="00C86987"/>
    <w:rsid w:val="00C86AA1"/>
    <w:rsid w:val="00C87955"/>
    <w:rsid w:val="00C94806"/>
    <w:rsid w:val="00C94ED7"/>
    <w:rsid w:val="00C9664F"/>
    <w:rsid w:val="00CA0732"/>
    <w:rsid w:val="00CA275E"/>
    <w:rsid w:val="00CA3441"/>
    <w:rsid w:val="00CA4128"/>
    <w:rsid w:val="00CA6B20"/>
    <w:rsid w:val="00CB1FC1"/>
    <w:rsid w:val="00CB2339"/>
    <w:rsid w:val="00CB5401"/>
    <w:rsid w:val="00CB6120"/>
    <w:rsid w:val="00CB724D"/>
    <w:rsid w:val="00CB791F"/>
    <w:rsid w:val="00CB7BB7"/>
    <w:rsid w:val="00CB7F4A"/>
    <w:rsid w:val="00CC2A70"/>
    <w:rsid w:val="00CC3381"/>
    <w:rsid w:val="00CC4342"/>
    <w:rsid w:val="00CC6C1E"/>
    <w:rsid w:val="00CD1E1B"/>
    <w:rsid w:val="00CE0719"/>
    <w:rsid w:val="00CE300C"/>
    <w:rsid w:val="00CE361F"/>
    <w:rsid w:val="00CE4B53"/>
    <w:rsid w:val="00CE7BB0"/>
    <w:rsid w:val="00CE7C75"/>
    <w:rsid w:val="00CF1073"/>
    <w:rsid w:val="00CF2349"/>
    <w:rsid w:val="00CF2CDF"/>
    <w:rsid w:val="00CF339B"/>
    <w:rsid w:val="00CF4BAB"/>
    <w:rsid w:val="00CF74BB"/>
    <w:rsid w:val="00D00E91"/>
    <w:rsid w:val="00D019BB"/>
    <w:rsid w:val="00D02311"/>
    <w:rsid w:val="00D03447"/>
    <w:rsid w:val="00D04B28"/>
    <w:rsid w:val="00D10165"/>
    <w:rsid w:val="00D109FF"/>
    <w:rsid w:val="00D11CA8"/>
    <w:rsid w:val="00D12950"/>
    <w:rsid w:val="00D136D1"/>
    <w:rsid w:val="00D13E42"/>
    <w:rsid w:val="00D16D90"/>
    <w:rsid w:val="00D17E6E"/>
    <w:rsid w:val="00D2094E"/>
    <w:rsid w:val="00D23BD2"/>
    <w:rsid w:val="00D25C4F"/>
    <w:rsid w:val="00D2779D"/>
    <w:rsid w:val="00D30EAC"/>
    <w:rsid w:val="00D32372"/>
    <w:rsid w:val="00D32F5B"/>
    <w:rsid w:val="00D33825"/>
    <w:rsid w:val="00D33EEA"/>
    <w:rsid w:val="00D4035D"/>
    <w:rsid w:val="00D4106C"/>
    <w:rsid w:val="00D44DBB"/>
    <w:rsid w:val="00D4719C"/>
    <w:rsid w:val="00D478AB"/>
    <w:rsid w:val="00D50249"/>
    <w:rsid w:val="00D50BD3"/>
    <w:rsid w:val="00D5133B"/>
    <w:rsid w:val="00D55299"/>
    <w:rsid w:val="00D561C0"/>
    <w:rsid w:val="00D56286"/>
    <w:rsid w:val="00D57657"/>
    <w:rsid w:val="00D71C0C"/>
    <w:rsid w:val="00D73D8C"/>
    <w:rsid w:val="00D82C20"/>
    <w:rsid w:val="00D82ED6"/>
    <w:rsid w:val="00D847A0"/>
    <w:rsid w:val="00D84892"/>
    <w:rsid w:val="00D93B76"/>
    <w:rsid w:val="00D95B60"/>
    <w:rsid w:val="00D96239"/>
    <w:rsid w:val="00D963E4"/>
    <w:rsid w:val="00DA4C03"/>
    <w:rsid w:val="00DA526F"/>
    <w:rsid w:val="00DB1A1A"/>
    <w:rsid w:val="00DB1F96"/>
    <w:rsid w:val="00DB2C64"/>
    <w:rsid w:val="00DB5B98"/>
    <w:rsid w:val="00DB6329"/>
    <w:rsid w:val="00DB6F6F"/>
    <w:rsid w:val="00DC1432"/>
    <w:rsid w:val="00DC2A68"/>
    <w:rsid w:val="00DC43A0"/>
    <w:rsid w:val="00DC48FC"/>
    <w:rsid w:val="00DC7136"/>
    <w:rsid w:val="00DD259C"/>
    <w:rsid w:val="00DD5683"/>
    <w:rsid w:val="00DD77AA"/>
    <w:rsid w:val="00DD783C"/>
    <w:rsid w:val="00DE2069"/>
    <w:rsid w:val="00DE2338"/>
    <w:rsid w:val="00DE4AA3"/>
    <w:rsid w:val="00DE4F81"/>
    <w:rsid w:val="00DE61FA"/>
    <w:rsid w:val="00DE6A29"/>
    <w:rsid w:val="00DE74F0"/>
    <w:rsid w:val="00DF0B44"/>
    <w:rsid w:val="00DF100F"/>
    <w:rsid w:val="00DF19BC"/>
    <w:rsid w:val="00DF2029"/>
    <w:rsid w:val="00DF3025"/>
    <w:rsid w:val="00DF35C7"/>
    <w:rsid w:val="00DF6BCF"/>
    <w:rsid w:val="00E022B1"/>
    <w:rsid w:val="00E05878"/>
    <w:rsid w:val="00E07D12"/>
    <w:rsid w:val="00E104B2"/>
    <w:rsid w:val="00E13399"/>
    <w:rsid w:val="00E17CAD"/>
    <w:rsid w:val="00E226EC"/>
    <w:rsid w:val="00E23513"/>
    <w:rsid w:val="00E250FC"/>
    <w:rsid w:val="00E25471"/>
    <w:rsid w:val="00E265D8"/>
    <w:rsid w:val="00E317F3"/>
    <w:rsid w:val="00E36C16"/>
    <w:rsid w:val="00E37809"/>
    <w:rsid w:val="00E40BC0"/>
    <w:rsid w:val="00E42504"/>
    <w:rsid w:val="00E429D9"/>
    <w:rsid w:val="00E43FBF"/>
    <w:rsid w:val="00E443D7"/>
    <w:rsid w:val="00E446CC"/>
    <w:rsid w:val="00E44FC6"/>
    <w:rsid w:val="00E4564E"/>
    <w:rsid w:val="00E47D76"/>
    <w:rsid w:val="00E55C3F"/>
    <w:rsid w:val="00E60C52"/>
    <w:rsid w:val="00E61920"/>
    <w:rsid w:val="00E6390E"/>
    <w:rsid w:val="00E65EEA"/>
    <w:rsid w:val="00E71328"/>
    <w:rsid w:val="00E72367"/>
    <w:rsid w:val="00E80164"/>
    <w:rsid w:val="00E82082"/>
    <w:rsid w:val="00E831F7"/>
    <w:rsid w:val="00E84536"/>
    <w:rsid w:val="00E85299"/>
    <w:rsid w:val="00E8551D"/>
    <w:rsid w:val="00E904CC"/>
    <w:rsid w:val="00E9249E"/>
    <w:rsid w:val="00E935B6"/>
    <w:rsid w:val="00E95038"/>
    <w:rsid w:val="00E96437"/>
    <w:rsid w:val="00E9724A"/>
    <w:rsid w:val="00EA082F"/>
    <w:rsid w:val="00EA41B8"/>
    <w:rsid w:val="00EA5FDA"/>
    <w:rsid w:val="00EA6703"/>
    <w:rsid w:val="00EB0176"/>
    <w:rsid w:val="00EB15EC"/>
    <w:rsid w:val="00EB1897"/>
    <w:rsid w:val="00EB2EA9"/>
    <w:rsid w:val="00EC00CB"/>
    <w:rsid w:val="00EC2B7E"/>
    <w:rsid w:val="00EC53CB"/>
    <w:rsid w:val="00EC6B00"/>
    <w:rsid w:val="00ED0360"/>
    <w:rsid w:val="00ED0E66"/>
    <w:rsid w:val="00ED1F73"/>
    <w:rsid w:val="00ED5782"/>
    <w:rsid w:val="00ED66AF"/>
    <w:rsid w:val="00ED7CCB"/>
    <w:rsid w:val="00EE021A"/>
    <w:rsid w:val="00EE0231"/>
    <w:rsid w:val="00EE31AA"/>
    <w:rsid w:val="00EE4151"/>
    <w:rsid w:val="00EE619A"/>
    <w:rsid w:val="00EE652E"/>
    <w:rsid w:val="00EE6BB5"/>
    <w:rsid w:val="00EF2FE7"/>
    <w:rsid w:val="00EF343E"/>
    <w:rsid w:val="00EF50A3"/>
    <w:rsid w:val="00EF59AF"/>
    <w:rsid w:val="00EF5FE0"/>
    <w:rsid w:val="00EF6761"/>
    <w:rsid w:val="00F00EBF"/>
    <w:rsid w:val="00F02A19"/>
    <w:rsid w:val="00F02BA5"/>
    <w:rsid w:val="00F037AF"/>
    <w:rsid w:val="00F03B1B"/>
    <w:rsid w:val="00F049DC"/>
    <w:rsid w:val="00F06B50"/>
    <w:rsid w:val="00F078F0"/>
    <w:rsid w:val="00F10329"/>
    <w:rsid w:val="00F11348"/>
    <w:rsid w:val="00F12F87"/>
    <w:rsid w:val="00F14CAE"/>
    <w:rsid w:val="00F15B4E"/>
    <w:rsid w:val="00F174A1"/>
    <w:rsid w:val="00F222DA"/>
    <w:rsid w:val="00F24548"/>
    <w:rsid w:val="00F24D58"/>
    <w:rsid w:val="00F27342"/>
    <w:rsid w:val="00F3092C"/>
    <w:rsid w:val="00F3177B"/>
    <w:rsid w:val="00F3530C"/>
    <w:rsid w:val="00F36D48"/>
    <w:rsid w:val="00F37974"/>
    <w:rsid w:val="00F418F8"/>
    <w:rsid w:val="00F423C1"/>
    <w:rsid w:val="00F42CD0"/>
    <w:rsid w:val="00F42FC6"/>
    <w:rsid w:val="00F43E28"/>
    <w:rsid w:val="00F503D9"/>
    <w:rsid w:val="00F53CE6"/>
    <w:rsid w:val="00F56D37"/>
    <w:rsid w:val="00F62672"/>
    <w:rsid w:val="00F637EE"/>
    <w:rsid w:val="00F63F06"/>
    <w:rsid w:val="00F64EAE"/>
    <w:rsid w:val="00F6524B"/>
    <w:rsid w:val="00F6696B"/>
    <w:rsid w:val="00F7361A"/>
    <w:rsid w:val="00F73FDA"/>
    <w:rsid w:val="00F77CCC"/>
    <w:rsid w:val="00F800ED"/>
    <w:rsid w:val="00F82BD9"/>
    <w:rsid w:val="00F850AE"/>
    <w:rsid w:val="00F86551"/>
    <w:rsid w:val="00F87EFB"/>
    <w:rsid w:val="00F94020"/>
    <w:rsid w:val="00FA221B"/>
    <w:rsid w:val="00FA27EE"/>
    <w:rsid w:val="00FA31B4"/>
    <w:rsid w:val="00FA452C"/>
    <w:rsid w:val="00FA7BFE"/>
    <w:rsid w:val="00FB105E"/>
    <w:rsid w:val="00FB138B"/>
    <w:rsid w:val="00FB3EC2"/>
    <w:rsid w:val="00FB4C12"/>
    <w:rsid w:val="00FB78D5"/>
    <w:rsid w:val="00FC2759"/>
    <w:rsid w:val="00FC2C27"/>
    <w:rsid w:val="00FC46BB"/>
    <w:rsid w:val="00FC4DD9"/>
    <w:rsid w:val="00FC68A6"/>
    <w:rsid w:val="00FD0459"/>
    <w:rsid w:val="00FD1F64"/>
    <w:rsid w:val="00FD2703"/>
    <w:rsid w:val="00FD5CC6"/>
    <w:rsid w:val="00FE1F59"/>
    <w:rsid w:val="00FE2343"/>
    <w:rsid w:val="00FE2927"/>
    <w:rsid w:val="00FE2CF1"/>
    <w:rsid w:val="00FE4E7A"/>
    <w:rsid w:val="00FE679B"/>
    <w:rsid w:val="00FE78D5"/>
    <w:rsid w:val="00FF13DC"/>
    <w:rsid w:val="00FF1906"/>
    <w:rsid w:val="00FF2CB5"/>
    <w:rsid w:val="00FF4E17"/>
    <w:rsid w:val="00FF4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7DD7"/>
  </w:style>
  <w:style w:type="paragraph" w:styleId="Heading1">
    <w:name w:val="heading 1"/>
    <w:basedOn w:val="Normal"/>
    <w:next w:val="Normal"/>
    <w:link w:val="Heading1Char"/>
    <w:uiPriority w:val="9"/>
    <w:qFormat/>
    <w:rsid w:val="00103711"/>
    <w:pPr>
      <w:keepNext/>
      <w:keepLines/>
      <w:spacing w:after="240"/>
      <w:outlineLvl w:val="0"/>
    </w:pPr>
    <w:rPr>
      <w:rFonts w:asciiTheme="majorHAnsi" w:eastAsiaTheme="majorEastAsia" w:hAnsiTheme="majorHAnsi" w:cstheme="majorBidi"/>
      <w:b/>
      <w:bCs/>
      <w:color w:val="201547" w:themeColor="accent1"/>
      <w:sz w:val="32"/>
      <w:szCs w:val="28"/>
    </w:rPr>
  </w:style>
  <w:style w:type="paragraph" w:styleId="Heading2">
    <w:name w:val="heading 2"/>
    <w:basedOn w:val="Heading1"/>
    <w:next w:val="Normal"/>
    <w:link w:val="Heading2Char"/>
    <w:uiPriority w:val="9"/>
    <w:unhideWhenUsed/>
    <w:qFormat/>
    <w:rsid w:val="00BA2604"/>
    <w:pPr>
      <w:outlineLvl w:val="1"/>
    </w:pPr>
    <w:rPr>
      <w:bCs w:val="0"/>
      <w:caps/>
      <w:sz w:val="26"/>
      <w:szCs w:val="26"/>
    </w:rPr>
  </w:style>
  <w:style w:type="paragraph" w:styleId="Heading3">
    <w:name w:val="heading 3"/>
    <w:basedOn w:val="Normal"/>
    <w:next w:val="Normal"/>
    <w:link w:val="Heading3Char"/>
    <w:uiPriority w:val="9"/>
    <w:semiHidden/>
    <w:unhideWhenUsed/>
    <w:qFormat/>
    <w:rsid w:val="008406AA"/>
    <w:pPr>
      <w:keepNext/>
      <w:keepLines/>
      <w:spacing w:before="200" w:after="0"/>
      <w:outlineLvl w:val="2"/>
    </w:pPr>
    <w:rPr>
      <w:rFonts w:asciiTheme="majorHAnsi" w:eastAsiaTheme="majorEastAsia" w:hAnsiTheme="majorHAnsi" w:cstheme="majorBidi"/>
      <w:b/>
      <w:bCs/>
      <w:color w:val="20154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EB7"/>
    <w:pPr>
      <w:tabs>
        <w:tab w:val="center" w:pos="4513"/>
        <w:tab w:val="right" w:pos="9026"/>
      </w:tabs>
      <w:spacing w:before="720" w:after="0" w:line="240" w:lineRule="auto"/>
    </w:pPr>
    <w:rPr>
      <w:b/>
      <w:caps/>
      <w:color w:val="FFFFFF" w:themeColor="background1"/>
      <w:sz w:val="96"/>
    </w:rPr>
  </w:style>
  <w:style w:type="character" w:customStyle="1" w:styleId="HeaderChar">
    <w:name w:val="Header Char"/>
    <w:basedOn w:val="DefaultParagraphFont"/>
    <w:link w:val="Header"/>
    <w:uiPriority w:val="99"/>
    <w:rsid w:val="004B3EB7"/>
    <w:rPr>
      <w:b/>
      <w:caps/>
      <w:color w:val="FFFFFF" w:themeColor="background1"/>
      <w:sz w:val="96"/>
    </w:rPr>
  </w:style>
  <w:style w:type="paragraph" w:styleId="Footer">
    <w:name w:val="footer"/>
    <w:basedOn w:val="Normal"/>
    <w:link w:val="FooterChar"/>
    <w:uiPriority w:val="99"/>
    <w:unhideWhenUsed/>
    <w:rsid w:val="00474854"/>
    <w:pPr>
      <w:tabs>
        <w:tab w:val="center" w:pos="4513"/>
        <w:tab w:val="center" w:pos="10036"/>
      </w:tabs>
      <w:spacing w:after="0" w:line="240" w:lineRule="auto"/>
    </w:pPr>
    <w:rPr>
      <w:sz w:val="20"/>
    </w:rPr>
  </w:style>
  <w:style w:type="character" w:customStyle="1" w:styleId="FooterChar">
    <w:name w:val="Footer Char"/>
    <w:basedOn w:val="DefaultParagraphFont"/>
    <w:link w:val="Footer"/>
    <w:uiPriority w:val="99"/>
    <w:rsid w:val="00474854"/>
    <w:rPr>
      <w:sz w:val="20"/>
    </w:rPr>
  </w:style>
  <w:style w:type="paragraph" w:styleId="BalloonText">
    <w:name w:val="Balloon Text"/>
    <w:basedOn w:val="Normal"/>
    <w:link w:val="BalloonTextChar"/>
    <w:uiPriority w:val="99"/>
    <w:semiHidden/>
    <w:unhideWhenUsed/>
    <w:rsid w:val="001E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0D"/>
    <w:rPr>
      <w:rFonts w:ascii="Tahoma" w:hAnsi="Tahoma" w:cs="Tahoma"/>
      <w:sz w:val="16"/>
      <w:szCs w:val="16"/>
    </w:rPr>
  </w:style>
  <w:style w:type="paragraph" w:styleId="Title">
    <w:name w:val="Title"/>
    <w:basedOn w:val="Normal"/>
    <w:next w:val="Normal"/>
    <w:link w:val="TitleChar"/>
    <w:uiPriority w:val="89"/>
    <w:qFormat/>
    <w:rsid w:val="007D6F02"/>
    <w:pPr>
      <w:spacing w:after="240" w:line="240" w:lineRule="auto"/>
      <w:contextualSpacing/>
    </w:pPr>
    <w:rPr>
      <w:rFonts w:asciiTheme="majorHAnsi" w:eastAsiaTheme="majorEastAsia" w:hAnsiTheme="majorHAnsi" w:cstheme="majorBidi"/>
      <w:caps/>
      <w:color w:val="FFFFFF" w:themeColor="background1"/>
      <w:spacing w:val="5"/>
      <w:kern w:val="28"/>
      <w:sz w:val="52"/>
      <w:szCs w:val="52"/>
    </w:rPr>
  </w:style>
  <w:style w:type="character" w:customStyle="1" w:styleId="TitleChar">
    <w:name w:val="Title Char"/>
    <w:basedOn w:val="DefaultParagraphFont"/>
    <w:link w:val="Title"/>
    <w:uiPriority w:val="89"/>
    <w:rsid w:val="007D6F02"/>
    <w:rPr>
      <w:rFonts w:asciiTheme="majorHAnsi" w:eastAsiaTheme="majorEastAsia" w:hAnsiTheme="majorHAnsi" w:cstheme="majorBidi"/>
      <w:caps/>
      <w:color w:val="FFFFFF" w:themeColor="background1"/>
      <w:spacing w:val="5"/>
      <w:kern w:val="28"/>
      <w:sz w:val="52"/>
      <w:szCs w:val="52"/>
    </w:rPr>
  </w:style>
  <w:style w:type="paragraph" w:styleId="Subtitle">
    <w:name w:val="Subtitle"/>
    <w:aliases w:val="Month"/>
    <w:basedOn w:val="Title"/>
    <w:next w:val="Normal"/>
    <w:link w:val="SubtitleChar"/>
    <w:uiPriority w:val="90"/>
    <w:qFormat/>
    <w:rsid w:val="002868CD"/>
    <w:pPr>
      <w:numPr>
        <w:ilvl w:val="1"/>
      </w:numPr>
      <w:spacing w:before="240" w:after="600"/>
      <w:contextualSpacing w:val="0"/>
    </w:pPr>
    <w:rPr>
      <w:iCs/>
      <w:caps w:val="0"/>
      <w:spacing w:val="15"/>
      <w:sz w:val="32"/>
    </w:rPr>
  </w:style>
  <w:style w:type="character" w:customStyle="1" w:styleId="SubtitleChar">
    <w:name w:val="Subtitle Char"/>
    <w:aliases w:val="Month Char"/>
    <w:basedOn w:val="DefaultParagraphFont"/>
    <w:link w:val="Subtitle"/>
    <w:uiPriority w:val="90"/>
    <w:rsid w:val="002868CD"/>
    <w:rPr>
      <w:rFonts w:asciiTheme="majorHAnsi" w:eastAsiaTheme="majorEastAsia" w:hAnsiTheme="majorHAnsi" w:cstheme="majorBidi"/>
      <w:iCs/>
      <w:color w:val="FFFFFF" w:themeColor="background1"/>
      <w:spacing w:val="15"/>
      <w:kern w:val="28"/>
      <w:sz w:val="32"/>
      <w:szCs w:val="52"/>
    </w:rPr>
  </w:style>
  <w:style w:type="character" w:customStyle="1" w:styleId="Heading1Char">
    <w:name w:val="Heading 1 Char"/>
    <w:basedOn w:val="DefaultParagraphFont"/>
    <w:link w:val="Heading1"/>
    <w:uiPriority w:val="9"/>
    <w:rsid w:val="00103711"/>
    <w:rPr>
      <w:rFonts w:asciiTheme="majorHAnsi" w:eastAsiaTheme="majorEastAsia" w:hAnsiTheme="majorHAnsi" w:cstheme="majorBidi"/>
      <w:b/>
      <w:bCs/>
      <w:color w:val="201547" w:themeColor="accent1"/>
      <w:sz w:val="32"/>
      <w:szCs w:val="28"/>
    </w:rPr>
  </w:style>
  <w:style w:type="character" w:customStyle="1" w:styleId="Heading2Char">
    <w:name w:val="Heading 2 Char"/>
    <w:basedOn w:val="DefaultParagraphFont"/>
    <w:link w:val="Heading2"/>
    <w:uiPriority w:val="9"/>
    <w:rsid w:val="00BA2604"/>
    <w:rPr>
      <w:rFonts w:asciiTheme="majorHAnsi" w:eastAsiaTheme="majorEastAsia" w:hAnsiTheme="majorHAnsi" w:cstheme="majorBidi"/>
      <w:b/>
      <w:caps/>
      <w:color w:val="004EA8" w:themeColor="accent2"/>
      <w:sz w:val="26"/>
      <w:szCs w:val="26"/>
    </w:rPr>
  </w:style>
  <w:style w:type="character" w:customStyle="1" w:styleId="Heading3Char">
    <w:name w:val="Heading 3 Char"/>
    <w:basedOn w:val="DefaultParagraphFont"/>
    <w:link w:val="Heading3"/>
    <w:uiPriority w:val="9"/>
    <w:semiHidden/>
    <w:rsid w:val="008406AA"/>
    <w:rPr>
      <w:rFonts w:asciiTheme="majorHAnsi" w:eastAsiaTheme="majorEastAsia" w:hAnsiTheme="majorHAnsi" w:cstheme="majorBidi"/>
      <w:b/>
      <w:bCs/>
      <w:color w:val="201547" w:themeColor="accent1"/>
    </w:rPr>
  </w:style>
  <w:style w:type="character" w:styleId="PageNumber">
    <w:name w:val="page number"/>
    <w:basedOn w:val="DefaultParagraphFont"/>
    <w:uiPriority w:val="99"/>
    <w:unhideWhenUsed/>
    <w:rsid w:val="00BA6B8C"/>
    <w:rPr>
      <w:color w:val="FFFFFF" w:themeColor="background1"/>
      <w:sz w:val="20"/>
    </w:rPr>
  </w:style>
  <w:style w:type="paragraph" w:styleId="ListParagraph">
    <w:name w:val="List Paragraph"/>
    <w:basedOn w:val="Normal"/>
    <w:uiPriority w:val="34"/>
    <w:semiHidden/>
    <w:qFormat/>
    <w:rsid w:val="004B6E36"/>
    <w:pPr>
      <w:ind w:left="720"/>
      <w:contextualSpacing/>
    </w:pPr>
  </w:style>
  <w:style w:type="numbering" w:customStyle="1" w:styleId="Highlightbulletstyle">
    <w:name w:val="Highlight bullet style"/>
    <w:uiPriority w:val="99"/>
    <w:rsid w:val="004B6E36"/>
    <w:pPr>
      <w:numPr>
        <w:numId w:val="1"/>
      </w:numPr>
    </w:pPr>
  </w:style>
  <w:style w:type="table" w:styleId="TableGrid">
    <w:name w:val="Table Grid"/>
    <w:aliases w:val="DTF table"/>
    <w:basedOn w:val="TableNormal"/>
    <w:uiPriority w:val="59"/>
    <w:rsid w:val="002868CD"/>
    <w:pPr>
      <w:spacing w:before="120" w:after="120" w:line="240" w:lineRule="auto"/>
    </w:pPr>
    <w:rPr>
      <w:sz w:val="22"/>
    </w:rPr>
    <w:tblPr>
      <w:tblStyleRowBandSize w:val="1"/>
      <w:tblStyleColBandSize w:val="1"/>
      <w:tblBorders>
        <w:bottom w:val="single" w:sz="12" w:space="0" w:color="004EA8" w:themeColor="accent2"/>
      </w:tblBorders>
      <w:tblCellMar>
        <w:left w:w="57" w:type="dxa"/>
        <w:right w:w="57" w:type="dxa"/>
      </w:tblCellMar>
    </w:tblPr>
    <w:trPr>
      <w:cantSplit/>
    </w:trPr>
    <w:tblStylePr w:type="firstRow">
      <w:pPr>
        <w:wordWrap/>
        <w:spacing w:beforeLines="0" w:before="120" w:beforeAutospacing="0" w:afterLines="0" w:after="120" w:afterAutospacing="0"/>
      </w:pPr>
      <w:rPr>
        <w:i/>
        <w:color w:val="FFFFFF" w:themeColor="background1"/>
      </w:rPr>
      <w:tblPr/>
      <w:trPr>
        <w:cantSplit w:val="0"/>
        <w:tblHeader/>
      </w:trPr>
      <w:tcPr>
        <w:shd w:val="clear" w:color="auto" w:fill="004EA8" w:themeFill="accent2"/>
      </w:tcPr>
    </w:tblStylePr>
    <w:tblStylePr w:type="lastRow">
      <w:rPr>
        <w:b w:val="0"/>
        <w:color w:val="auto"/>
      </w:rPr>
      <w:tblPr/>
      <w:tcPr>
        <w:tcBorders>
          <w:top w:val="single" w:sz="6" w:space="0" w:color="004EA8" w:themeColor="accent2"/>
          <w:left w:val="nil"/>
          <w:bottom w:val="single" w:sz="12" w:space="0" w:color="004EA8" w:themeColor="accent2"/>
          <w:right w:val="nil"/>
          <w:insideH w:val="nil"/>
          <w:insideV w:val="nil"/>
          <w:tl2br w:val="nil"/>
          <w:tr2bl w:val="nil"/>
        </w:tcBorders>
      </w:tcPr>
    </w:tblStylePr>
    <w:tblStylePr w:type="firstCol">
      <w:tblPr/>
      <w:tcPr>
        <w:shd w:val="clear" w:color="auto" w:fill="CCE3F5" w:themeFill="accent6"/>
      </w:tcPr>
    </w:tblStylePr>
    <w:tblStylePr w:type="lastCol">
      <w:tblPr/>
      <w:tcPr>
        <w:shd w:val="clear" w:color="auto" w:fill="CCE3F5" w:themeFill="accent6"/>
      </w:tcPr>
    </w:tblStylePr>
    <w:tblStylePr w:type="band1Vert">
      <w:tblPr/>
      <w:tcPr>
        <w:shd w:val="clear" w:color="auto" w:fill="99B8DC" w:themeFill="accent5"/>
      </w:tcPr>
    </w:tblStylePr>
    <w:tblStylePr w:type="band2Vert">
      <w:tblPr/>
      <w:tcPr>
        <w:shd w:val="clear" w:color="auto" w:fill="CCE3F5" w:themeFill="accent6"/>
      </w:tcPr>
    </w:tblStylePr>
    <w:tblStylePr w:type="band1Horz">
      <w:tblPr/>
      <w:tcPr>
        <w:shd w:val="clear" w:color="auto" w:fill="CCE3F5" w:themeFill="accent6"/>
      </w:tcPr>
    </w:tblStylePr>
    <w:tblStylePr w:type="band2Horz">
      <w:tblPr/>
      <w:tcPr>
        <w:shd w:val="clear" w:color="auto" w:fill="99B8DC" w:themeFill="accent5"/>
      </w:tcPr>
    </w:tblStylePr>
  </w:style>
  <w:style w:type="paragraph" w:customStyle="1" w:styleId="Bullet-highlight">
    <w:name w:val="Bullet - highlight"/>
    <w:basedOn w:val="Normal"/>
    <w:uiPriority w:val="69"/>
    <w:rsid w:val="002F5DE2"/>
    <w:pPr>
      <w:numPr>
        <w:numId w:val="3"/>
      </w:numPr>
    </w:pPr>
    <w:rPr>
      <w:sz w:val="22"/>
    </w:rPr>
  </w:style>
  <w:style w:type="table" w:customStyle="1" w:styleId="Highlighttable">
    <w:name w:val="Highlight table"/>
    <w:basedOn w:val="TableNormal"/>
    <w:uiPriority w:val="99"/>
    <w:rsid w:val="003E507C"/>
    <w:pPr>
      <w:spacing w:before="120" w:after="120"/>
    </w:pPr>
    <w:rPr>
      <w:color w:val="FFFFFF" w:themeColor="background1"/>
      <w:sz w:val="22"/>
    </w:rPr>
    <w:tblPr>
      <w:tblCellMar>
        <w:left w:w="85" w:type="dxa"/>
        <w:right w:w="227" w:type="dxa"/>
      </w:tblCellMar>
    </w:tblPr>
    <w:trPr>
      <w:cantSplit/>
    </w:trPr>
    <w:tcPr>
      <w:shd w:val="clear" w:color="auto" w:fill="004EA8" w:themeFill="accent2"/>
    </w:tcPr>
    <w:tblStylePr w:type="firstRow">
      <w:rPr>
        <w:caps/>
        <w:smallCaps w:val="0"/>
      </w:rPr>
    </w:tblStylePr>
  </w:style>
  <w:style w:type="paragraph" w:customStyle="1" w:styleId="Note">
    <w:name w:val="Note"/>
    <w:basedOn w:val="Normal"/>
    <w:qFormat/>
    <w:rsid w:val="00D02311"/>
    <w:rPr>
      <w:sz w:val="18"/>
    </w:rPr>
  </w:style>
  <w:style w:type="table" w:styleId="LightShading">
    <w:name w:val="Light Shading"/>
    <w:basedOn w:val="TableNormal"/>
    <w:uiPriority w:val="60"/>
    <w:rsid w:val="0038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382510"/>
    <w:pPr>
      <w:spacing w:after="0" w:line="240" w:lineRule="auto"/>
    </w:pPr>
    <w:rPr>
      <w:color w:val="6DAFE2" w:themeColor="accent6" w:themeShade="BF"/>
    </w:rPr>
    <w:tblPr>
      <w:tblStyleRowBandSize w:val="1"/>
      <w:tblStyleColBandSize w:val="1"/>
      <w:tblBorders>
        <w:top w:val="single" w:sz="8" w:space="0" w:color="CCE3F5" w:themeColor="accent6"/>
        <w:bottom w:val="single" w:sz="8" w:space="0" w:color="CCE3F5" w:themeColor="accent6"/>
      </w:tblBorders>
    </w:tblPr>
    <w:tblStylePr w:type="fir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la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7FC" w:themeFill="accent6" w:themeFillTint="3F"/>
      </w:tcPr>
    </w:tblStylePr>
    <w:tblStylePr w:type="band1Horz">
      <w:tblPr/>
      <w:tcPr>
        <w:tcBorders>
          <w:left w:val="nil"/>
          <w:right w:val="nil"/>
          <w:insideH w:val="nil"/>
          <w:insideV w:val="nil"/>
        </w:tcBorders>
        <w:shd w:val="clear" w:color="auto" w:fill="F2F7FC" w:themeFill="accent6" w:themeFillTint="3F"/>
      </w:tcPr>
    </w:tblStylePr>
  </w:style>
  <w:style w:type="paragraph" w:styleId="Caption">
    <w:name w:val="caption"/>
    <w:basedOn w:val="Heading2"/>
    <w:next w:val="Normal"/>
    <w:uiPriority w:val="35"/>
    <w:qFormat/>
    <w:rsid w:val="00BA6B8C"/>
    <w:pPr>
      <w:spacing w:after="120"/>
    </w:pPr>
    <w:rPr>
      <w:caps w:val="0"/>
      <w:sz w:val="22"/>
    </w:rPr>
  </w:style>
  <w:style w:type="character" w:styleId="Emphasis">
    <w:name w:val="Emphasis"/>
    <w:basedOn w:val="DefaultParagraphFont"/>
    <w:uiPriority w:val="20"/>
    <w:qFormat/>
    <w:rsid w:val="00EE31AA"/>
    <w:rPr>
      <w:b/>
      <w:i w:val="0"/>
      <w:iCs/>
    </w:rPr>
  </w:style>
  <w:style w:type="paragraph" w:customStyle="1" w:styleId="Default">
    <w:name w:val="Default"/>
    <w:rsid w:val="00480F7B"/>
    <w:pPr>
      <w:autoSpaceDE w:val="0"/>
      <w:autoSpaceDN w:val="0"/>
      <w:adjustRightInd w:val="0"/>
      <w:spacing w:after="0" w:line="240" w:lineRule="auto"/>
    </w:pPr>
    <w:rPr>
      <w:rFonts w:ascii="Arial" w:hAnsi="Arial" w:cs="Arial"/>
      <w:color w:val="000000"/>
    </w:rPr>
  </w:style>
  <w:style w:type="character" w:styleId="CommentReference">
    <w:name w:val="annotation reference"/>
    <w:basedOn w:val="DefaultParagraphFont"/>
    <w:uiPriority w:val="99"/>
    <w:semiHidden/>
    <w:unhideWhenUsed/>
    <w:rsid w:val="006B11CA"/>
    <w:rPr>
      <w:sz w:val="16"/>
      <w:szCs w:val="16"/>
    </w:rPr>
  </w:style>
  <w:style w:type="paragraph" w:styleId="CommentText">
    <w:name w:val="annotation text"/>
    <w:basedOn w:val="Normal"/>
    <w:link w:val="CommentTextChar"/>
    <w:uiPriority w:val="99"/>
    <w:unhideWhenUsed/>
    <w:rsid w:val="006B11CA"/>
    <w:pPr>
      <w:spacing w:line="240" w:lineRule="auto"/>
    </w:pPr>
    <w:rPr>
      <w:sz w:val="20"/>
      <w:szCs w:val="20"/>
    </w:rPr>
  </w:style>
  <w:style w:type="character" w:customStyle="1" w:styleId="CommentTextChar">
    <w:name w:val="Comment Text Char"/>
    <w:basedOn w:val="DefaultParagraphFont"/>
    <w:link w:val="CommentText"/>
    <w:uiPriority w:val="99"/>
    <w:rsid w:val="006B11CA"/>
    <w:rPr>
      <w:sz w:val="20"/>
      <w:szCs w:val="20"/>
    </w:rPr>
  </w:style>
  <w:style w:type="paragraph" w:styleId="CommentSubject">
    <w:name w:val="annotation subject"/>
    <w:basedOn w:val="CommentText"/>
    <w:next w:val="CommentText"/>
    <w:link w:val="CommentSubjectChar"/>
    <w:uiPriority w:val="99"/>
    <w:semiHidden/>
    <w:unhideWhenUsed/>
    <w:rsid w:val="006B11CA"/>
    <w:rPr>
      <w:b/>
      <w:bCs/>
    </w:rPr>
  </w:style>
  <w:style w:type="character" w:customStyle="1" w:styleId="CommentSubjectChar">
    <w:name w:val="Comment Subject Char"/>
    <w:basedOn w:val="CommentTextChar"/>
    <w:link w:val="CommentSubject"/>
    <w:uiPriority w:val="99"/>
    <w:semiHidden/>
    <w:rsid w:val="006B11CA"/>
    <w:rPr>
      <w:b/>
      <w:bCs/>
      <w:sz w:val="20"/>
      <w:szCs w:val="20"/>
    </w:rPr>
  </w:style>
  <w:style w:type="paragraph" w:customStyle="1" w:styleId="Listnum">
    <w:name w:val="List num"/>
    <w:basedOn w:val="Normal"/>
    <w:qFormat/>
    <w:rsid w:val="00231277"/>
    <w:pPr>
      <w:numPr>
        <w:numId w:val="4"/>
      </w:numPr>
      <w:spacing w:before="240" w:after="240" w:line="240" w:lineRule="auto"/>
    </w:pPr>
    <w:rPr>
      <w:rFonts w:eastAsia="Times New Roman" w:cs="Arial"/>
      <w:bCs/>
      <w:color w:val="000000" w:themeColor="text1"/>
      <w:spacing w:val="2"/>
      <w:sz w:val="20"/>
    </w:rPr>
  </w:style>
  <w:style w:type="paragraph" w:customStyle="1" w:styleId="Listnum2">
    <w:name w:val="List num 2"/>
    <w:basedOn w:val="Normal"/>
    <w:rsid w:val="00231277"/>
    <w:pPr>
      <w:numPr>
        <w:ilvl w:val="1"/>
        <w:numId w:val="4"/>
      </w:numPr>
      <w:spacing w:after="0" w:line="240" w:lineRule="auto"/>
    </w:pPr>
    <w:rPr>
      <w:rFonts w:eastAsia="Times New Roman" w:cs="Times New Roman"/>
      <w:color w:val="000000" w:themeColor="text1"/>
      <w:spacing w:val="2"/>
      <w:sz w:val="20"/>
      <w:szCs w:val="20"/>
    </w:rPr>
  </w:style>
  <w:style w:type="paragraph" w:customStyle="1" w:styleId="Listnum3">
    <w:name w:val="List num 3"/>
    <w:basedOn w:val="Normal"/>
    <w:rsid w:val="00231277"/>
    <w:pPr>
      <w:numPr>
        <w:ilvl w:val="2"/>
        <w:numId w:val="4"/>
      </w:numPr>
      <w:spacing w:after="0" w:line="240" w:lineRule="auto"/>
    </w:pPr>
    <w:rPr>
      <w:rFonts w:eastAsia="Times New Roman" w:cs="Times New Roman"/>
      <w:color w:val="000000" w:themeColor="text1"/>
      <w:spacing w:val="2"/>
      <w:sz w:val="20"/>
      <w:szCs w:val="20"/>
    </w:rPr>
  </w:style>
  <w:style w:type="character" w:styleId="Hyperlink">
    <w:name w:val="Hyperlink"/>
    <w:basedOn w:val="DefaultParagraphFont"/>
    <w:uiPriority w:val="99"/>
    <w:unhideWhenUsed/>
    <w:rsid w:val="00DC2A68"/>
    <w:rPr>
      <w:color w:val="0000FF" w:themeColor="hyperlink"/>
      <w:u w:val="single"/>
    </w:rPr>
  </w:style>
  <w:style w:type="character" w:styleId="FollowedHyperlink">
    <w:name w:val="FollowedHyperlink"/>
    <w:basedOn w:val="DefaultParagraphFont"/>
    <w:uiPriority w:val="99"/>
    <w:semiHidden/>
    <w:unhideWhenUsed/>
    <w:rsid w:val="003B66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7DD7"/>
  </w:style>
  <w:style w:type="paragraph" w:styleId="Heading1">
    <w:name w:val="heading 1"/>
    <w:basedOn w:val="Normal"/>
    <w:next w:val="Normal"/>
    <w:link w:val="Heading1Char"/>
    <w:uiPriority w:val="9"/>
    <w:qFormat/>
    <w:rsid w:val="00103711"/>
    <w:pPr>
      <w:keepNext/>
      <w:keepLines/>
      <w:spacing w:after="240"/>
      <w:outlineLvl w:val="0"/>
    </w:pPr>
    <w:rPr>
      <w:rFonts w:asciiTheme="majorHAnsi" w:eastAsiaTheme="majorEastAsia" w:hAnsiTheme="majorHAnsi" w:cstheme="majorBidi"/>
      <w:b/>
      <w:bCs/>
      <w:color w:val="201547" w:themeColor="accent1"/>
      <w:sz w:val="32"/>
      <w:szCs w:val="28"/>
    </w:rPr>
  </w:style>
  <w:style w:type="paragraph" w:styleId="Heading2">
    <w:name w:val="heading 2"/>
    <w:basedOn w:val="Heading1"/>
    <w:next w:val="Normal"/>
    <w:link w:val="Heading2Char"/>
    <w:uiPriority w:val="9"/>
    <w:unhideWhenUsed/>
    <w:qFormat/>
    <w:rsid w:val="00BA2604"/>
    <w:pPr>
      <w:outlineLvl w:val="1"/>
    </w:pPr>
    <w:rPr>
      <w:bCs w:val="0"/>
      <w:caps/>
      <w:sz w:val="26"/>
      <w:szCs w:val="26"/>
    </w:rPr>
  </w:style>
  <w:style w:type="paragraph" w:styleId="Heading3">
    <w:name w:val="heading 3"/>
    <w:basedOn w:val="Normal"/>
    <w:next w:val="Normal"/>
    <w:link w:val="Heading3Char"/>
    <w:uiPriority w:val="9"/>
    <w:semiHidden/>
    <w:unhideWhenUsed/>
    <w:qFormat/>
    <w:rsid w:val="008406AA"/>
    <w:pPr>
      <w:keepNext/>
      <w:keepLines/>
      <w:spacing w:before="200" w:after="0"/>
      <w:outlineLvl w:val="2"/>
    </w:pPr>
    <w:rPr>
      <w:rFonts w:asciiTheme="majorHAnsi" w:eastAsiaTheme="majorEastAsia" w:hAnsiTheme="majorHAnsi" w:cstheme="majorBidi"/>
      <w:b/>
      <w:bCs/>
      <w:color w:val="20154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EB7"/>
    <w:pPr>
      <w:tabs>
        <w:tab w:val="center" w:pos="4513"/>
        <w:tab w:val="right" w:pos="9026"/>
      </w:tabs>
      <w:spacing w:before="720" w:after="0" w:line="240" w:lineRule="auto"/>
    </w:pPr>
    <w:rPr>
      <w:b/>
      <w:caps/>
      <w:color w:val="FFFFFF" w:themeColor="background1"/>
      <w:sz w:val="96"/>
    </w:rPr>
  </w:style>
  <w:style w:type="character" w:customStyle="1" w:styleId="HeaderChar">
    <w:name w:val="Header Char"/>
    <w:basedOn w:val="DefaultParagraphFont"/>
    <w:link w:val="Header"/>
    <w:uiPriority w:val="99"/>
    <w:rsid w:val="004B3EB7"/>
    <w:rPr>
      <w:b/>
      <w:caps/>
      <w:color w:val="FFFFFF" w:themeColor="background1"/>
      <w:sz w:val="96"/>
    </w:rPr>
  </w:style>
  <w:style w:type="paragraph" w:styleId="Footer">
    <w:name w:val="footer"/>
    <w:basedOn w:val="Normal"/>
    <w:link w:val="FooterChar"/>
    <w:uiPriority w:val="99"/>
    <w:unhideWhenUsed/>
    <w:rsid w:val="00474854"/>
    <w:pPr>
      <w:tabs>
        <w:tab w:val="center" w:pos="4513"/>
        <w:tab w:val="center" w:pos="10036"/>
      </w:tabs>
      <w:spacing w:after="0" w:line="240" w:lineRule="auto"/>
    </w:pPr>
    <w:rPr>
      <w:sz w:val="20"/>
    </w:rPr>
  </w:style>
  <w:style w:type="character" w:customStyle="1" w:styleId="FooterChar">
    <w:name w:val="Footer Char"/>
    <w:basedOn w:val="DefaultParagraphFont"/>
    <w:link w:val="Footer"/>
    <w:uiPriority w:val="99"/>
    <w:rsid w:val="00474854"/>
    <w:rPr>
      <w:sz w:val="20"/>
    </w:rPr>
  </w:style>
  <w:style w:type="paragraph" w:styleId="BalloonText">
    <w:name w:val="Balloon Text"/>
    <w:basedOn w:val="Normal"/>
    <w:link w:val="BalloonTextChar"/>
    <w:uiPriority w:val="99"/>
    <w:semiHidden/>
    <w:unhideWhenUsed/>
    <w:rsid w:val="001E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0D"/>
    <w:rPr>
      <w:rFonts w:ascii="Tahoma" w:hAnsi="Tahoma" w:cs="Tahoma"/>
      <w:sz w:val="16"/>
      <w:szCs w:val="16"/>
    </w:rPr>
  </w:style>
  <w:style w:type="paragraph" w:styleId="Title">
    <w:name w:val="Title"/>
    <w:basedOn w:val="Normal"/>
    <w:next w:val="Normal"/>
    <w:link w:val="TitleChar"/>
    <w:uiPriority w:val="89"/>
    <w:qFormat/>
    <w:rsid w:val="007D6F02"/>
    <w:pPr>
      <w:spacing w:after="240" w:line="240" w:lineRule="auto"/>
      <w:contextualSpacing/>
    </w:pPr>
    <w:rPr>
      <w:rFonts w:asciiTheme="majorHAnsi" w:eastAsiaTheme="majorEastAsia" w:hAnsiTheme="majorHAnsi" w:cstheme="majorBidi"/>
      <w:caps/>
      <w:color w:val="FFFFFF" w:themeColor="background1"/>
      <w:spacing w:val="5"/>
      <w:kern w:val="28"/>
      <w:sz w:val="52"/>
      <w:szCs w:val="52"/>
    </w:rPr>
  </w:style>
  <w:style w:type="character" w:customStyle="1" w:styleId="TitleChar">
    <w:name w:val="Title Char"/>
    <w:basedOn w:val="DefaultParagraphFont"/>
    <w:link w:val="Title"/>
    <w:uiPriority w:val="89"/>
    <w:rsid w:val="007D6F02"/>
    <w:rPr>
      <w:rFonts w:asciiTheme="majorHAnsi" w:eastAsiaTheme="majorEastAsia" w:hAnsiTheme="majorHAnsi" w:cstheme="majorBidi"/>
      <w:caps/>
      <w:color w:val="FFFFFF" w:themeColor="background1"/>
      <w:spacing w:val="5"/>
      <w:kern w:val="28"/>
      <w:sz w:val="52"/>
      <w:szCs w:val="52"/>
    </w:rPr>
  </w:style>
  <w:style w:type="paragraph" w:styleId="Subtitle">
    <w:name w:val="Subtitle"/>
    <w:aliases w:val="Month"/>
    <w:basedOn w:val="Title"/>
    <w:next w:val="Normal"/>
    <w:link w:val="SubtitleChar"/>
    <w:uiPriority w:val="90"/>
    <w:qFormat/>
    <w:rsid w:val="002868CD"/>
    <w:pPr>
      <w:numPr>
        <w:ilvl w:val="1"/>
      </w:numPr>
      <w:spacing w:before="240" w:after="600"/>
      <w:contextualSpacing w:val="0"/>
    </w:pPr>
    <w:rPr>
      <w:iCs/>
      <w:caps w:val="0"/>
      <w:spacing w:val="15"/>
      <w:sz w:val="32"/>
    </w:rPr>
  </w:style>
  <w:style w:type="character" w:customStyle="1" w:styleId="SubtitleChar">
    <w:name w:val="Subtitle Char"/>
    <w:aliases w:val="Month Char"/>
    <w:basedOn w:val="DefaultParagraphFont"/>
    <w:link w:val="Subtitle"/>
    <w:uiPriority w:val="90"/>
    <w:rsid w:val="002868CD"/>
    <w:rPr>
      <w:rFonts w:asciiTheme="majorHAnsi" w:eastAsiaTheme="majorEastAsia" w:hAnsiTheme="majorHAnsi" w:cstheme="majorBidi"/>
      <w:iCs/>
      <w:color w:val="FFFFFF" w:themeColor="background1"/>
      <w:spacing w:val="15"/>
      <w:kern w:val="28"/>
      <w:sz w:val="32"/>
      <w:szCs w:val="52"/>
    </w:rPr>
  </w:style>
  <w:style w:type="character" w:customStyle="1" w:styleId="Heading1Char">
    <w:name w:val="Heading 1 Char"/>
    <w:basedOn w:val="DefaultParagraphFont"/>
    <w:link w:val="Heading1"/>
    <w:uiPriority w:val="9"/>
    <w:rsid w:val="00103711"/>
    <w:rPr>
      <w:rFonts w:asciiTheme="majorHAnsi" w:eastAsiaTheme="majorEastAsia" w:hAnsiTheme="majorHAnsi" w:cstheme="majorBidi"/>
      <w:b/>
      <w:bCs/>
      <w:color w:val="201547" w:themeColor="accent1"/>
      <w:sz w:val="32"/>
      <w:szCs w:val="28"/>
    </w:rPr>
  </w:style>
  <w:style w:type="character" w:customStyle="1" w:styleId="Heading2Char">
    <w:name w:val="Heading 2 Char"/>
    <w:basedOn w:val="DefaultParagraphFont"/>
    <w:link w:val="Heading2"/>
    <w:uiPriority w:val="9"/>
    <w:rsid w:val="00BA2604"/>
    <w:rPr>
      <w:rFonts w:asciiTheme="majorHAnsi" w:eastAsiaTheme="majorEastAsia" w:hAnsiTheme="majorHAnsi" w:cstheme="majorBidi"/>
      <w:b/>
      <w:caps/>
      <w:color w:val="004EA8" w:themeColor="accent2"/>
      <w:sz w:val="26"/>
      <w:szCs w:val="26"/>
    </w:rPr>
  </w:style>
  <w:style w:type="character" w:customStyle="1" w:styleId="Heading3Char">
    <w:name w:val="Heading 3 Char"/>
    <w:basedOn w:val="DefaultParagraphFont"/>
    <w:link w:val="Heading3"/>
    <w:uiPriority w:val="9"/>
    <w:semiHidden/>
    <w:rsid w:val="008406AA"/>
    <w:rPr>
      <w:rFonts w:asciiTheme="majorHAnsi" w:eastAsiaTheme="majorEastAsia" w:hAnsiTheme="majorHAnsi" w:cstheme="majorBidi"/>
      <w:b/>
      <w:bCs/>
      <w:color w:val="201547" w:themeColor="accent1"/>
    </w:rPr>
  </w:style>
  <w:style w:type="character" w:styleId="PageNumber">
    <w:name w:val="page number"/>
    <w:basedOn w:val="DefaultParagraphFont"/>
    <w:uiPriority w:val="99"/>
    <w:unhideWhenUsed/>
    <w:rsid w:val="00BA6B8C"/>
    <w:rPr>
      <w:color w:val="FFFFFF" w:themeColor="background1"/>
      <w:sz w:val="20"/>
    </w:rPr>
  </w:style>
  <w:style w:type="paragraph" w:styleId="ListParagraph">
    <w:name w:val="List Paragraph"/>
    <w:basedOn w:val="Normal"/>
    <w:uiPriority w:val="34"/>
    <w:semiHidden/>
    <w:qFormat/>
    <w:rsid w:val="004B6E36"/>
    <w:pPr>
      <w:ind w:left="720"/>
      <w:contextualSpacing/>
    </w:pPr>
  </w:style>
  <w:style w:type="numbering" w:customStyle="1" w:styleId="Highlightbulletstyle">
    <w:name w:val="Highlight bullet style"/>
    <w:uiPriority w:val="99"/>
    <w:rsid w:val="004B6E36"/>
    <w:pPr>
      <w:numPr>
        <w:numId w:val="1"/>
      </w:numPr>
    </w:pPr>
  </w:style>
  <w:style w:type="table" w:styleId="TableGrid">
    <w:name w:val="Table Grid"/>
    <w:aliases w:val="DTF table"/>
    <w:basedOn w:val="TableNormal"/>
    <w:uiPriority w:val="59"/>
    <w:rsid w:val="002868CD"/>
    <w:pPr>
      <w:spacing w:before="120" w:after="120" w:line="240" w:lineRule="auto"/>
    </w:pPr>
    <w:rPr>
      <w:sz w:val="22"/>
    </w:rPr>
    <w:tblPr>
      <w:tblStyleRowBandSize w:val="1"/>
      <w:tblStyleColBandSize w:val="1"/>
      <w:tblBorders>
        <w:bottom w:val="single" w:sz="12" w:space="0" w:color="004EA8" w:themeColor="accent2"/>
      </w:tblBorders>
      <w:tblCellMar>
        <w:left w:w="57" w:type="dxa"/>
        <w:right w:w="57" w:type="dxa"/>
      </w:tblCellMar>
    </w:tblPr>
    <w:trPr>
      <w:cantSplit/>
    </w:trPr>
    <w:tblStylePr w:type="firstRow">
      <w:pPr>
        <w:wordWrap/>
        <w:spacing w:beforeLines="0" w:before="120" w:beforeAutospacing="0" w:afterLines="0" w:after="120" w:afterAutospacing="0"/>
      </w:pPr>
      <w:rPr>
        <w:i/>
        <w:color w:val="FFFFFF" w:themeColor="background1"/>
      </w:rPr>
      <w:tblPr/>
      <w:trPr>
        <w:cantSplit w:val="0"/>
        <w:tblHeader/>
      </w:trPr>
      <w:tcPr>
        <w:shd w:val="clear" w:color="auto" w:fill="004EA8" w:themeFill="accent2"/>
      </w:tcPr>
    </w:tblStylePr>
    <w:tblStylePr w:type="lastRow">
      <w:rPr>
        <w:b w:val="0"/>
        <w:color w:val="auto"/>
      </w:rPr>
      <w:tblPr/>
      <w:tcPr>
        <w:tcBorders>
          <w:top w:val="single" w:sz="6" w:space="0" w:color="004EA8" w:themeColor="accent2"/>
          <w:left w:val="nil"/>
          <w:bottom w:val="single" w:sz="12" w:space="0" w:color="004EA8" w:themeColor="accent2"/>
          <w:right w:val="nil"/>
          <w:insideH w:val="nil"/>
          <w:insideV w:val="nil"/>
          <w:tl2br w:val="nil"/>
          <w:tr2bl w:val="nil"/>
        </w:tcBorders>
      </w:tcPr>
    </w:tblStylePr>
    <w:tblStylePr w:type="firstCol">
      <w:tblPr/>
      <w:tcPr>
        <w:shd w:val="clear" w:color="auto" w:fill="CCE3F5" w:themeFill="accent6"/>
      </w:tcPr>
    </w:tblStylePr>
    <w:tblStylePr w:type="lastCol">
      <w:tblPr/>
      <w:tcPr>
        <w:shd w:val="clear" w:color="auto" w:fill="CCE3F5" w:themeFill="accent6"/>
      </w:tcPr>
    </w:tblStylePr>
    <w:tblStylePr w:type="band1Vert">
      <w:tblPr/>
      <w:tcPr>
        <w:shd w:val="clear" w:color="auto" w:fill="99B8DC" w:themeFill="accent5"/>
      </w:tcPr>
    </w:tblStylePr>
    <w:tblStylePr w:type="band2Vert">
      <w:tblPr/>
      <w:tcPr>
        <w:shd w:val="clear" w:color="auto" w:fill="CCE3F5" w:themeFill="accent6"/>
      </w:tcPr>
    </w:tblStylePr>
    <w:tblStylePr w:type="band1Horz">
      <w:tblPr/>
      <w:tcPr>
        <w:shd w:val="clear" w:color="auto" w:fill="CCE3F5" w:themeFill="accent6"/>
      </w:tcPr>
    </w:tblStylePr>
    <w:tblStylePr w:type="band2Horz">
      <w:tblPr/>
      <w:tcPr>
        <w:shd w:val="clear" w:color="auto" w:fill="99B8DC" w:themeFill="accent5"/>
      </w:tcPr>
    </w:tblStylePr>
  </w:style>
  <w:style w:type="paragraph" w:customStyle="1" w:styleId="Bullet-highlight">
    <w:name w:val="Bullet - highlight"/>
    <w:basedOn w:val="Normal"/>
    <w:uiPriority w:val="69"/>
    <w:rsid w:val="002F5DE2"/>
    <w:pPr>
      <w:numPr>
        <w:numId w:val="3"/>
      </w:numPr>
    </w:pPr>
    <w:rPr>
      <w:sz w:val="22"/>
    </w:rPr>
  </w:style>
  <w:style w:type="table" w:customStyle="1" w:styleId="Highlighttable">
    <w:name w:val="Highlight table"/>
    <w:basedOn w:val="TableNormal"/>
    <w:uiPriority w:val="99"/>
    <w:rsid w:val="003E507C"/>
    <w:pPr>
      <w:spacing w:before="120" w:after="120"/>
    </w:pPr>
    <w:rPr>
      <w:color w:val="FFFFFF" w:themeColor="background1"/>
      <w:sz w:val="22"/>
    </w:rPr>
    <w:tblPr>
      <w:tblCellMar>
        <w:left w:w="85" w:type="dxa"/>
        <w:right w:w="227" w:type="dxa"/>
      </w:tblCellMar>
    </w:tblPr>
    <w:trPr>
      <w:cantSplit/>
    </w:trPr>
    <w:tcPr>
      <w:shd w:val="clear" w:color="auto" w:fill="004EA8" w:themeFill="accent2"/>
    </w:tcPr>
    <w:tblStylePr w:type="firstRow">
      <w:rPr>
        <w:caps/>
        <w:smallCaps w:val="0"/>
      </w:rPr>
    </w:tblStylePr>
  </w:style>
  <w:style w:type="paragraph" w:customStyle="1" w:styleId="Note">
    <w:name w:val="Note"/>
    <w:basedOn w:val="Normal"/>
    <w:qFormat/>
    <w:rsid w:val="00D02311"/>
    <w:rPr>
      <w:sz w:val="18"/>
    </w:rPr>
  </w:style>
  <w:style w:type="table" w:styleId="LightShading">
    <w:name w:val="Light Shading"/>
    <w:basedOn w:val="TableNormal"/>
    <w:uiPriority w:val="60"/>
    <w:rsid w:val="0038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382510"/>
    <w:pPr>
      <w:spacing w:after="0" w:line="240" w:lineRule="auto"/>
    </w:pPr>
    <w:rPr>
      <w:color w:val="6DAFE2" w:themeColor="accent6" w:themeShade="BF"/>
    </w:rPr>
    <w:tblPr>
      <w:tblStyleRowBandSize w:val="1"/>
      <w:tblStyleColBandSize w:val="1"/>
      <w:tblBorders>
        <w:top w:val="single" w:sz="8" w:space="0" w:color="CCE3F5" w:themeColor="accent6"/>
        <w:bottom w:val="single" w:sz="8" w:space="0" w:color="CCE3F5" w:themeColor="accent6"/>
      </w:tblBorders>
    </w:tblPr>
    <w:tblStylePr w:type="fir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la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7FC" w:themeFill="accent6" w:themeFillTint="3F"/>
      </w:tcPr>
    </w:tblStylePr>
    <w:tblStylePr w:type="band1Horz">
      <w:tblPr/>
      <w:tcPr>
        <w:tcBorders>
          <w:left w:val="nil"/>
          <w:right w:val="nil"/>
          <w:insideH w:val="nil"/>
          <w:insideV w:val="nil"/>
        </w:tcBorders>
        <w:shd w:val="clear" w:color="auto" w:fill="F2F7FC" w:themeFill="accent6" w:themeFillTint="3F"/>
      </w:tcPr>
    </w:tblStylePr>
  </w:style>
  <w:style w:type="paragraph" w:styleId="Caption">
    <w:name w:val="caption"/>
    <w:basedOn w:val="Heading2"/>
    <w:next w:val="Normal"/>
    <w:uiPriority w:val="35"/>
    <w:qFormat/>
    <w:rsid w:val="00BA6B8C"/>
    <w:pPr>
      <w:spacing w:after="120"/>
    </w:pPr>
    <w:rPr>
      <w:caps w:val="0"/>
      <w:sz w:val="22"/>
    </w:rPr>
  </w:style>
  <w:style w:type="character" w:styleId="Emphasis">
    <w:name w:val="Emphasis"/>
    <w:basedOn w:val="DefaultParagraphFont"/>
    <w:uiPriority w:val="20"/>
    <w:qFormat/>
    <w:rsid w:val="00EE31AA"/>
    <w:rPr>
      <w:b/>
      <w:i w:val="0"/>
      <w:iCs/>
    </w:rPr>
  </w:style>
  <w:style w:type="paragraph" w:customStyle="1" w:styleId="Default">
    <w:name w:val="Default"/>
    <w:rsid w:val="00480F7B"/>
    <w:pPr>
      <w:autoSpaceDE w:val="0"/>
      <w:autoSpaceDN w:val="0"/>
      <w:adjustRightInd w:val="0"/>
      <w:spacing w:after="0" w:line="240" w:lineRule="auto"/>
    </w:pPr>
    <w:rPr>
      <w:rFonts w:ascii="Arial" w:hAnsi="Arial" w:cs="Arial"/>
      <w:color w:val="000000"/>
    </w:rPr>
  </w:style>
  <w:style w:type="character" w:styleId="CommentReference">
    <w:name w:val="annotation reference"/>
    <w:basedOn w:val="DefaultParagraphFont"/>
    <w:uiPriority w:val="99"/>
    <w:semiHidden/>
    <w:unhideWhenUsed/>
    <w:rsid w:val="006B11CA"/>
    <w:rPr>
      <w:sz w:val="16"/>
      <w:szCs w:val="16"/>
    </w:rPr>
  </w:style>
  <w:style w:type="paragraph" w:styleId="CommentText">
    <w:name w:val="annotation text"/>
    <w:basedOn w:val="Normal"/>
    <w:link w:val="CommentTextChar"/>
    <w:uiPriority w:val="99"/>
    <w:unhideWhenUsed/>
    <w:rsid w:val="006B11CA"/>
    <w:pPr>
      <w:spacing w:line="240" w:lineRule="auto"/>
    </w:pPr>
    <w:rPr>
      <w:sz w:val="20"/>
      <w:szCs w:val="20"/>
    </w:rPr>
  </w:style>
  <w:style w:type="character" w:customStyle="1" w:styleId="CommentTextChar">
    <w:name w:val="Comment Text Char"/>
    <w:basedOn w:val="DefaultParagraphFont"/>
    <w:link w:val="CommentText"/>
    <w:uiPriority w:val="99"/>
    <w:rsid w:val="006B11CA"/>
    <w:rPr>
      <w:sz w:val="20"/>
      <w:szCs w:val="20"/>
    </w:rPr>
  </w:style>
  <w:style w:type="paragraph" w:styleId="CommentSubject">
    <w:name w:val="annotation subject"/>
    <w:basedOn w:val="CommentText"/>
    <w:next w:val="CommentText"/>
    <w:link w:val="CommentSubjectChar"/>
    <w:uiPriority w:val="99"/>
    <w:semiHidden/>
    <w:unhideWhenUsed/>
    <w:rsid w:val="006B11CA"/>
    <w:rPr>
      <w:b/>
      <w:bCs/>
    </w:rPr>
  </w:style>
  <w:style w:type="character" w:customStyle="1" w:styleId="CommentSubjectChar">
    <w:name w:val="Comment Subject Char"/>
    <w:basedOn w:val="CommentTextChar"/>
    <w:link w:val="CommentSubject"/>
    <w:uiPriority w:val="99"/>
    <w:semiHidden/>
    <w:rsid w:val="006B11CA"/>
    <w:rPr>
      <w:b/>
      <w:bCs/>
      <w:sz w:val="20"/>
      <w:szCs w:val="20"/>
    </w:rPr>
  </w:style>
  <w:style w:type="paragraph" w:customStyle="1" w:styleId="Listnum">
    <w:name w:val="List num"/>
    <w:basedOn w:val="Normal"/>
    <w:qFormat/>
    <w:rsid w:val="00231277"/>
    <w:pPr>
      <w:numPr>
        <w:numId w:val="4"/>
      </w:numPr>
      <w:spacing w:before="240" w:after="240" w:line="240" w:lineRule="auto"/>
    </w:pPr>
    <w:rPr>
      <w:rFonts w:eastAsia="Times New Roman" w:cs="Arial"/>
      <w:bCs/>
      <w:color w:val="000000" w:themeColor="text1"/>
      <w:spacing w:val="2"/>
      <w:sz w:val="20"/>
    </w:rPr>
  </w:style>
  <w:style w:type="paragraph" w:customStyle="1" w:styleId="Listnum2">
    <w:name w:val="List num 2"/>
    <w:basedOn w:val="Normal"/>
    <w:rsid w:val="00231277"/>
    <w:pPr>
      <w:numPr>
        <w:ilvl w:val="1"/>
        <w:numId w:val="4"/>
      </w:numPr>
      <w:spacing w:after="0" w:line="240" w:lineRule="auto"/>
    </w:pPr>
    <w:rPr>
      <w:rFonts w:eastAsia="Times New Roman" w:cs="Times New Roman"/>
      <w:color w:val="000000" w:themeColor="text1"/>
      <w:spacing w:val="2"/>
      <w:sz w:val="20"/>
      <w:szCs w:val="20"/>
    </w:rPr>
  </w:style>
  <w:style w:type="paragraph" w:customStyle="1" w:styleId="Listnum3">
    <w:name w:val="List num 3"/>
    <w:basedOn w:val="Normal"/>
    <w:rsid w:val="00231277"/>
    <w:pPr>
      <w:numPr>
        <w:ilvl w:val="2"/>
        <w:numId w:val="4"/>
      </w:numPr>
      <w:spacing w:after="0" w:line="240" w:lineRule="auto"/>
    </w:pPr>
    <w:rPr>
      <w:rFonts w:eastAsia="Times New Roman" w:cs="Times New Roman"/>
      <w:color w:val="000000" w:themeColor="text1"/>
      <w:spacing w:val="2"/>
      <w:sz w:val="20"/>
      <w:szCs w:val="20"/>
    </w:rPr>
  </w:style>
  <w:style w:type="character" w:styleId="Hyperlink">
    <w:name w:val="Hyperlink"/>
    <w:basedOn w:val="DefaultParagraphFont"/>
    <w:uiPriority w:val="99"/>
    <w:unhideWhenUsed/>
    <w:rsid w:val="00DC2A68"/>
    <w:rPr>
      <w:color w:val="0000FF" w:themeColor="hyperlink"/>
      <w:u w:val="single"/>
    </w:rPr>
  </w:style>
  <w:style w:type="character" w:styleId="FollowedHyperlink">
    <w:name w:val="FollowedHyperlink"/>
    <w:basedOn w:val="DefaultParagraphFont"/>
    <w:uiPriority w:val="99"/>
    <w:semiHidden/>
    <w:unhideWhenUsed/>
    <w:rsid w:val="003B66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8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creativecommons.org/licenses/by/3.0/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and Victoria - Navy">
      <a:dk1>
        <a:sysClr val="windowText" lastClr="000000"/>
      </a:dk1>
      <a:lt1>
        <a:sysClr val="window" lastClr="FFFFFF"/>
      </a:lt1>
      <a:dk2>
        <a:srgbClr val="53565A"/>
      </a:dk2>
      <a:lt2>
        <a:srgbClr val="D9D9D6"/>
      </a:lt2>
      <a:accent1>
        <a:srgbClr val="201547"/>
      </a:accent1>
      <a:accent2>
        <a:srgbClr val="004EA8"/>
      </a:accent2>
      <a:accent3>
        <a:srgbClr val="0072CE"/>
      </a:accent3>
      <a:accent4>
        <a:srgbClr val="8F8AA3"/>
      </a:accent4>
      <a:accent5>
        <a:srgbClr val="99B8DC"/>
      </a:accent5>
      <a:accent6>
        <a:srgbClr val="CCE3F5"/>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F9631-2193-47BC-AC17-F5A85DD3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Economic update</vt:lpstr>
    </vt:vector>
  </TitlesOfParts>
  <Company>Victorian Government</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update</dc:title>
  <dc:creator>Department of Treasury and Finance</dc:creator>
  <cp:lastModifiedBy>Louise Koschmann</cp:lastModifiedBy>
  <cp:revision>2</cp:revision>
  <cp:lastPrinted>2017-07-27T23:18:00Z</cp:lastPrinted>
  <dcterms:created xsi:type="dcterms:W3CDTF">2018-01-24T00:14:00Z</dcterms:created>
  <dcterms:modified xsi:type="dcterms:W3CDTF">2018-01-24T00:14:00Z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7efd733e-57b7-434b-a069-6c89efd82d62</vt:lpwstr>
  </property>
  <property fmtid="{D5CDD505-2E9C-101B-9397-08002B2CF9AE}" pid="3" name="PSPFClassification">
    <vt:lpwstr>Do Not Mark</vt:lpwstr>
  </property>
</Properties>
</file>