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Default="00B5781B" w:rsidP="00440C3A">
      <w:pPr>
        <w:pStyle w:val="Subtitle"/>
        <w:rPr>
          <w:rFonts w:asciiTheme="minorHAnsi" w:hAnsiTheme="minorHAnsi" w:cstheme="minorHAnsi"/>
          <w:sz w:val="28"/>
          <w:szCs w:val="28"/>
        </w:rPr>
      </w:pPr>
      <w:bookmarkStart w:id="0" w:name="_GoBack"/>
      <w:bookmarkEnd w:id="0"/>
      <w:r>
        <w:rPr>
          <w:rFonts w:asciiTheme="minorHAnsi" w:hAnsiTheme="minorHAnsi" w:cstheme="minorHAnsi"/>
          <w:sz w:val="28"/>
          <w:szCs w:val="28"/>
        </w:rPr>
        <w:t>June</w:t>
      </w:r>
      <w:r w:rsidR="00ED7CCB">
        <w:rPr>
          <w:rFonts w:asciiTheme="minorHAnsi" w:hAnsiTheme="minorHAnsi" w:cstheme="minorHAnsi"/>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2992"/>
        <w:gridCol w:w="7464"/>
      </w:tblGrid>
      <w:tr w:rsidR="002751C4" w:rsidTr="002751C4">
        <w:trPr>
          <w:trHeight w:val="492"/>
        </w:trPr>
        <w:tc>
          <w:tcPr>
            <w:tcW w:w="2992" w:type="dxa"/>
          </w:tcPr>
          <w:p w:rsidR="002751C4" w:rsidRPr="00833E9D" w:rsidRDefault="002751C4"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2751C4" w:rsidRPr="006469B4" w:rsidRDefault="00293A6B" w:rsidP="00A603CF">
            <w:pPr>
              <w:pStyle w:val="Note"/>
              <w:spacing w:after="0"/>
              <w:jc w:val="right"/>
              <w:rPr>
                <w:b/>
                <w:color w:val="707068" w:themeColor="background2" w:themeShade="80"/>
              </w:rPr>
            </w:pPr>
            <w:r>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5899" w:type="dxa"/>
        <w:shd w:val="clear" w:color="auto" w:fill="99B8DC" w:themeFill="accent5"/>
        <w:tblCellMar>
          <w:left w:w="142" w:type="dxa"/>
          <w:right w:w="142" w:type="dxa"/>
        </w:tblCellMar>
        <w:tblLook w:val="04A0" w:firstRow="1" w:lastRow="0" w:firstColumn="1" w:lastColumn="0" w:noHBand="0" w:noVBand="1"/>
      </w:tblPr>
      <w:tblGrid>
        <w:gridCol w:w="1101"/>
        <w:gridCol w:w="2247"/>
        <w:gridCol w:w="2551"/>
      </w:tblGrid>
      <w:tr w:rsidR="002751C4" w:rsidRPr="00BB0BF9" w:rsidTr="00A603CF">
        <w:trPr>
          <w:gridAfter w:val="1"/>
          <w:wAfter w:w="2551" w:type="dxa"/>
          <w:trHeight w:val="9620"/>
        </w:trPr>
        <w:tc>
          <w:tcPr>
            <w:tcW w:w="3348" w:type="dxa"/>
            <w:gridSpan w:val="2"/>
            <w:shd w:val="clear" w:color="auto" w:fill="CCE3F5" w:themeFill="accent6"/>
          </w:tcPr>
          <w:p w:rsidR="009F277F" w:rsidRPr="00103711" w:rsidRDefault="008D6A2F" w:rsidP="00A603CF">
            <w:pPr>
              <w:tabs>
                <w:tab w:val="left" w:pos="360"/>
              </w:tabs>
              <w:spacing w:before="240" w:after="120"/>
              <w:rPr>
                <w:b/>
                <w:color w:val="201547" w:themeColor="accent1"/>
                <w:sz w:val="32"/>
              </w:rPr>
            </w:pPr>
            <w:r>
              <w:rPr>
                <w:b/>
                <w:color w:val="201547" w:themeColor="accent1"/>
                <w:sz w:val="32"/>
              </w:rPr>
              <w:lastRenderedPageBreak/>
              <w:tab/>
            </w:r>
            <w:r w:rsidR="002751C4" w:rsidRPr="00103711">
              <w:rPr>
                <w:b/>
                <w:color w:val="201547" w:themeColor="accent1"/>
                <w:sz w:val="32"/>
              </w:rPr>
              <w:t>Highlights</w:t>
            </w:r>
          </w:p>
          <w:p w:rsidR="00C15903" w:rsidRDefault="00A25A6B" w:rsidP="00C15903">
            <w:pPr>
              <w:pStyle w:val="Bullet-highlight"/>
            </w:pPr>
            <w:r>
              <w:t xml:space="preserve">Growth in Victorian state final demand </w:t>
            </w:r>
            <w:r w:rsidR="00A66E77">
              <w:t>outpaced</w:t>
            </w:r>
            <w:r>
              <w:t xml:space="preserve"> all other states</w:t>
            </w:r>
            <w:r w:rsidR="00C15903" w:rsidRPr="00C15903">
              <w:t xml:space="preserve"> in both quarterly and annual terms</w:t>
            </w:r>
            <w:r w:rsidR="00C15903">
              <w:t xml:space="preserve"> in March</w:t>
            </w:r>
            <w:r w:rsidR="00C15903" w:rsidRPr="00C15903">
              <w:t xml:space="preserve">. </w:t>
            </w:r>
          </w:p>
          <w:p w:rsidR="00BA3154" w:rsidRDefault="00C15903" w:rsidP="00C15903">
            <w:pPr>
              <w:pStyle w:val="Bullet-highlight"/>
            </w:pPr>
            <w:r>
              <w:t>Victorian l</w:t>
            </w:r>
            <w:r w:rsidR="005B5D8C" w:rsidRPr="005B5D8C">
              <w:t xml:space="preserve">abour market </w:t>
            </w:r>
            <w:r w:rsidR="003529D4">
              <w:t>conditions</w:t>
            </w:r>
            <w:r w:rsidR="005B5D8C" w:rsidRPr="005B5D8C">
              <w:t xml:space="preserve"> </w:t>
            </w:r>
            <w:r w:rsidR="005B5D8C">
              <w:t>remain strong</w:t>
            </w:r>
            <w:r w:rsidR="00D561C0">
              <w:t>.</w:t>
            </w:r>
            <w:r w:rsidR="005B5D8C">
              <w:t xml:space="preserve"> </w:t>
            </w:r>
          </w:p>
          <w:p w:rsidR="00282F8F" w:rsidRDefault="00282F8F" w:rsidP="00282F8F">
            <w:pPr>
              <w:pStyle w:val="Bullet-highlight"/>
            </w:pPr>
            <w:r w:rsidRPr="00282F8F">
              <w:t xml:space="preserve">Melbourne's </w:t>
            </w:r>
            <w:r w:rsidR="00D561C0">
              <w:t xml:space="preserve">house price </w:t>
            </w:r>
            <w:r w:rsidRPr="00282F8F">
              <w:t>growth was the highest among the mainland state capitals</w:t>
            </w:r>
            <w:r w:rsidR="00290FB0">
              <w:t xml:space="preserve"> in May</w:t>
            </w:r>
            <w:r w:rsidRPr="00282F8F">
              <w:t xml:space="preserve">. </w:t>
            </w:r>
          </w:p>
          <w:p w:rsidR="0005571F" w:rsidRDefault="00D561C0" w:rsidP="00D561C0">
            <w:pPr>
              <w:pStyle w:val="Bullet-highlight"/>
            </w:pPr>
            <w:r>
              <w:t xml:space="preserve">The US Federal Reserve raised rates in June as expected. The Fed also introduced its plan for reducing its balance sheet over time. </w:t>
            </w:r>
          </w:p>
          <w:p w:rsidR="00A603CF" w:rsidRDefault="00A603CF" w:rsidP="00A603CF">
            <w:pPr>
              <w:pStyle w:val="Bullet-highlight"/>
            </w:pPr>
            <w:r w:rsidRPr="00A603CF">
              <w:t>China’s manuf</w:t>
            </w:r>
            <w:r>
              <w:t xml:space="preserve">acturing sector remains robust, with </w:t>
            </w:r>
            <w:r w:rsidRPr="00A603CF">
              <w:t>growth maintained by increased spending on infrastru</w:t>
            </w:r>
            <w:r>
              <w:t>cture and property construction.</w:t>
            </w:r>
          </w:p>
          <w:p w:rsidR="00A603CF" w:rsidRPr="00BB0BF9" w:rsidRDefault="009F277F" w:rsidP="00A603CF">
            <w:pPr>
              <w:pStyle w:val="Bullet-highlight"/>
            </w:pPr>
            <w:r w:rsidRPr="009F277F">
              <w:t>The UK election resulted in a hung parliament in June with no party able to win a majority.</w:t>
            </w:r>
          </w:p>
        </w:tc>
      </w:tr>
      <w:tr w:rsidR="002751C4" w:rsidTr="00A603CF">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39126EA5" wp14:editId="132B8271">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798" w:type="dxa"/>
            <w:gridSpan w:val="2"/>
            <w:vAlign w:val="bottom"/>
          </w:tcPr>
          <w:p w:rsidR="002751C4" w:rsidRDefault="002751C4" w:rsidP="005164C2">
            <w:pPr>
              <w:pStyle w:val="Heading1"/>
            </w:pPr>
            <w:r>
              <w:t>Domestic developments</w:t>
            </w:r>
          </w:p>
        </w:tc>
      </w:tr>
    </w:tbl>
    <w:p w:rsidR="00B067DD" w:rsidRDefault="00083238" w:rsidP="00B067DD">
      <w:r>
        <w:t>The Victorian economy had another strong quarter in March</w:t>
      </w:r>
      <w:r w:rsidR="00B067DD">
        <w:t xml:space="preserve"> following the rebound in the December quarter. </w:t>
      </w:r>
    </w:p>
    <w:p w:rsidR="00A66E77" w:rsidRDefault="00A66E77" w:rsidP="00A66E77">
      <w:r w:rsidRPr="00AD0D84">
        <w:t>Victoria’s state final demand (SFD) grew</w:t>
      </w:r>
      <w:r w:rsidR="00081929">
        <w:t xml:space="preserve"> by</w:t>
      </w:r>
      <w:r w:rsidRPr="00AD0D84">
        <w:t xml:space="preserve"> 1.4</w:t>
      </w:r>
      <w:r w:rsidR="00576DC6">
        <w:t> </w:t>
      </w:r>
      <w:r w:rsidRPr="00AD0D84">
        <w:t>per</w:t>
      </w:r>
      <w:r w:rsidR="00855C1D">
        <w:t> </w:t>
      </w:r>
      <w:r w:rsidRPr="00AD0D84">
        <w:t>cent in the quarter and 4.5 per cent over the year to the March quarter</w:t>
      </w:r>
      <w:r w:rsidR="00A73E99" w:rsidRPr="00AD0D84">
        <w:t xml:space="preserve">. </w:t>
      </w:r>
      <w:r w:rsidR="00576DC6">
        <w:t>This represented</w:t>
      </w:r>
      <w:r w:rsidR="00CD5CA7">
        <w:t xml:space="preserve"> </w:t>
      </w:r>
      <w:r w:rsidR="00576DC6" w:rsidRPr="00576DC6">
        <w:t xml:space="preserve">the highest growth in state final demand of all the states. </w:t>
      </w:r>
      <w:r w:rsidR="00A73E99" w:rsidRPr="00AD0D84">
        <w:t xml:space="preserve">The quarterly growth </w:t>
      </w:r>
      <w:r w:rsidR="00A011A5" w:rsidRPr="00A011A5">
        <w:t>was led by public investment (16.8</w:t>
      </w:r>
      <w:r w:rsidR="00D50BD3">
        <w:t> </w:t>
      </w:r>
      <w:r w:rsidR="00A011A5" w:rsidRPr="00A011A5">
        <w:t>per</w:t>
      </w:r>
      <w:r w:rsidR="00D50BD3">
        <w:t> </w:t>
      </w:r>
      <w:r w:rsidR="00A011A5" w:rsidRPr="00A011A5">
        <w:t>cent), followed by dwelling investment (1.6</w:t>
      </w:r>
      <w:r w:rsidR="00D50BD3">
        <w:t> </w:t>
      </w:r>
      <w:r w:rsidR="00A011A5" w:rsidRPr="00A011A5">
        <w:t>per</w:t>
      </w:r>
      <w:r w:rsidR="00D50BD3">
        <w:t> </w:t>
      </w:r>
      <w:r w:rsidR="00A011A5" w:rsidRPr="00A011A5">
        <w:t>cent), government expenditure (1.0</w:t>
      </w:r>
      <w:r w:rsidR="00D50BD3">
        <w:t> </w:t>
      </w:r>
      <w:r w:rsidR="00A011A5" w:rsidRPr="00A011A5">
        <w:t>per</w:t>
      </w:r>
      <w:r w:rsidR="00D50BD3">
        <w:t> </w:t>
      </w:r>
      <w:r w:rsidR="00A011A5" w:rsidRPr="00A011A5">
        <w:t>cent) and household consumption (0.7</w:t>
      </w:r>
      <w:r w:rsidR="00D50BD3">
        <w:t> </w:t>
      </w:r>
      <w:r w:rsidR="00A011A5" w:rsidRPr="00A011A5">
        <w:t>per</w:t>
      </w:r>
      <w:r w:rsidR="00D50BD3">
        <w:t> </w:t>
      </w:r>
      <w:r w:rsidR="00A011A5" w:rsidRPr="00A011A5">
        <w:t>cent)</w:t>
      </w:r>
      <w:r w:rsidR="00286478">
        <w:t>.</w:t>
      </w:r>
      <w:r w:rsidR="00634CB3">
        <w:t xml:space="preserve"> </w:t>
      </w:r>
      <w:r w:rsidR="00286478">
        <w:t>However, b</w:t>
      </w:r>
      <w:r w:rsidRPr="00AD0D84">
        <w:t xml:space="preserve">usiness investment declined 3.7 per cent </w:t>
      </w:r>
      <w:r w:rsidR="00A73E99" w:rsidRPr="00AD0D84">
        <w:t xml:space="preserve">due to </w:t>
      </w:r>
      <w:r w:rsidR="004431F4">
        <w:t xml:space="preserve">a </w:t>
      </w:r>
      <w:r w:rsidRPr="00AD0D84">
        <w:t>large asset transfer to the public sector.</w:t>
      </w:r>
      <w:r>
        <w:t xml:space="preserve"> </w:t>
      </w:r>
    </w:p>
    <w:p w:rsidR="00320889" w:rsidRDefault="003A4B92" w:rsidP="00834D07">
      <w:r w:rsidRPr="003A4B92">
        <w:t xml:space="preserve">International trade </w:t>
      </w:r>
      <w:r w:rsidR="00E935B6">
        <w:t>continued</w:t>
      </w:r>
      <w:r w:rsidR="007D688E">
        <w:t xml:space="preserve"> to drag on growth as imports grew faster than exports.</w:t>
      </w:r>
      <w:r w:rsidRPr="003A4B92">
        <w:t xml:space="preserve"> </w:t>
      </w:r>
      <w:r w:rsidR="00925104" w:rsidRPr="00925104">
        <w:t xml:space="preserve">Victorian goods and services export volumes increased by 1.8 per cent </w:t>
      </w:r>
      <w:r w:rsidR="007D688E">
        <w:t>(</w:t>
      </w:r>
      <w:r w:rsidR="00B7656C">
        <w:t>7.0 </w:t>
      </w:r>
      <w:r w:rsidR="00925104" w:rsidRPr="00925104">
        <w:t>per cent over the year</w:t>
      </w:r>
      <w:r w:rsidR="007D688E">
        <w:t>) and i</w:t>
      </w:r>
      <w:r w:rsidR="009C5582">
        <w:t>mports of goods and services increased 2.8 per cent</w:t>
      </w:r>
      <w:r w:rsidR="00FE1F59">
        <w:t xml:space="preserve"> </w:t>
      </w:r>
      <w:r w:rsidR="00FE1F59" w:rsidRPr="00925104">
        <w:t>in the March quarter</w:t>
      </w:r>
      <w:r w:rsidR="001071BD">
        <w:t>.</w:t>
      </w:r>
      <w:r w:rsidR="009C5582">
        <w:t xml:space="preserve"> </w:t>
      </w:r>
    </w:p>
    <w:p w:rsidR="00A603CF" w:rsidRDefault="00FC2759" w:rsidP="003806CD">
      <w:r w:rsidRPr="00FC2759">
        <w:t xml:space="preserve">Victorian labour market conditions are strong. Employment in Victoria grew for the fourth consecutive month in May. Over the year, Victorian employment rose by 3.9 per cent (118 800 persons). </w:t>
      </w:r>
    </w:p>
    <w:p w:rsidR="00EE652E" w:rsidRDefault="00FC2759" w:rsidP="003806CD">
      <w:pPr>
        <w:sectPr w:rsidR="00EE652E" w:rsidSect="002751C4">
          <w:headerReference w:type="default" r:id="rId16"/>
          <w:footerReference w:type="default" r:id="rId17"/>
          <w:type w:val="continuous"/>
          <w:pgSz w:w="11906" w:h="16838" w:code="9"/>
          <w:pgMar w:top="964" w:right="1134" w:bottom="794" w:left="1134" w:header="709" w:footer="567" w:gutter="0"/>
          <w:cols w:num="2" w:space="562" w:equalWidth="0">
            <w:col w:w="3355" w:space="562"/>
            <w:col w:w="5721"/>
          </w:cols>
          <w:docGrid w:linePitch="360"/>
        </w:sectPr>
      </w:pPr>
      <w:r w:rsidRPr="00FC2759">
        <w:t xml:space="preserve">The labour force participation rate remained steady at an elevated 66.1 per cent in May which contributed to the unemployment rate drop of 0.1 percentage points to 6.0 per cent. </w:t>
      </w:r>
    </w:p>
    <w:p w:rsidR="001669BE" w:rsidRDefault="00FD5CC6" w:rsidP="00195637">
      <w:r>
        <w:lastRenderedPageBreak/>
        <w:t>Surveyed c</w:t>
      </w:r>
      <w:r w:rsidR="00195637" w:rsidRPr="003A4B92">
        <w:t xml:space="preserve">onditions for business investment remain </w:t>
      </w:r>
      <w:r w:rsidR="00C87955">
        <w:t xml:space="preserve">solid </w:t>
      </w:r>
      <w:r w:rsidRPr="003A4B92">
        <w:t>in Victoria</w:t>
      </w:r>
      <w:r w:rsidR="00F7361A">
        <w:t xml:space="preserve"> and </w:t>
      </w:r>
      <w:r w:rsidR="00A36F03">
        <w:t xml:space="preserve"> bodes well for future investment activity. </w:t>
      </w:r>
      <w:r w:rsidRPr="00C87955">
        <w:rPr>
          <w:b/>
        </w:rPr>
        <w:t>NAB</w:t>
      </w:r>
      <w:r>
        <w:t xml:space="preserve"> </w:t>
      </w:r>
      <w:r w:rsidR="00195637" w:rsidRPr="003A4B92">
        <w:rPr>
          <w:b/>
        </w:rPr>
        <w:t>business conditions</w:t>
      </w:r>
      <w:r w:rsidR="00195637" w:rsidRPr="003A4B92">
        <w:t xml:space="preserve"> </w:t>
      </w:r>
      <w:r>
        <w:t>for Victoria were</w:t>
      </w:r>
      <w:r w:rsidR="00E429D9" w:rsidRPr="003A4B92">
        <w:t xml:space="preserve"> </w:t>
      </w:r>
      <w:r w:rsidR="00D50BD3">
        <w:t xml:space="preserve">upbeat </w:t>
      </w:r>
      <w:r>
        <w:t xml:space="preserve">at </w:t>
      </w:r>
      <w:r w:rsidR="00E429D9" w:rsidRPr="003A4B92">
        <w:t>+</w:t>
      </w:r>
      <w:r w:rsidRPr="003A4B92">
        <w:t>10</w:t>
      </w:r>
      <w:r>
        <w:t> </w:t>
      </w:r>
      <w:r w:rsidR="00195637" w:rsidRPr="003A4B92">
        <w:t xml:space="preserve">index points in </w:t>
      </w:r>
      <w:r w:rsidR="00E429D9" w:rsidRPr="003A4B92">
        <w:t>May</w:t>
      </w:r>
      <w:r w:rsidR="00195637" w:rsidRPr="003A4B92">
        <w:t xml:space="preserve"> and </w:t>
      </w:r>
      <w:r w:rsidR="00195637" w:rsidRPr="003A4B92">
        <w:rPr>
          <w:b/>
        </w:rPr>
        <w:t>business confidence</w:t>
      </w:r>
      <w:r w:rsidR="00195637" w:rsidRPr="003A4B92">
        <w:t xml:space="preserve"> </w:t>
      </w:r>
      <w:r w:rsidR="00E429D9" w:rsidRPr="003A4B92">
        <w:t>remain</w:t>
      </w:r>
      <w:r>
        <w:t>ed</w:t>
      </w:r>
      <w:r w:rsidR="00E429D9" w:rsidRPr="003A4B92">
        <w:t xml:space="preserve"> </w:t>
      </w:r>
      <w:r w:rsidR="00D50BD3">
        <w:t>positive</w:t>
      </w:r>
      <w:r w:rsidR="0073506D" w:rsidRPr="003A4B92">
        <w:t xml:space="preserve"> at +3 index points</w:t>
      </w:r>
      <w:r w:rsidR="00E429D9" w:rsidRPr="003A4B92">
        <w:t>.</w:t>
      </w:r>
      <w:r>
        <w:t xml:space="preserve"> </w:t>
      </w:r>
    </w:p>
    <w:p w:rsidR="00195637" w:rsidRPr="003A4B92" w:rsidRDefault="00DC43A0" w:rsidP="00195637">
      <w:r>
        <w:t>Residential p</w:t>
      </w:r>
      <w:r w:rsidR="00195637" w:rsidRPr="003A4B92">
        <w:t xml:space="preserve">roperty prices continue to rise with the </w:t>
      </w:r>
      <w:proofErr w:type="spellStart"/>
      <w:r w:rsidR="00195637" w:rsidRPr="003A4B92">
        <w:rPr>
          <w:b/>
        </w:rPr>
        <w:t>CoreLogic</w:t>
      </w:r>
      <w:proofErr w:type="spellEnd"/>
      <w:r w:rsidR="00195637" w:rsidRPr="003A4B92">
        <w:rPr>
          <w:b/>
        </w:rPr>
        <w:t xml:space="preserve"> RP Data Home Value Index</w:t>
      </w:r>
      <w:r w:rsidR="000B3A27" w:rsidRPr="003A4B92">
        <w:t xml:space="preserve"> for Melbourne increasing by 11</w:t>
      </w:r>
      <w:r w:rsidR="00195637" w:rsidRPr="003A4B92">
        <w:t>.5</w:t>
      </w:r>
      <w:r w:rsidR="00F3177B">
        <w:t> </w:t>
      </w:r>
      <w:r w:rsidR="00195637" w:rsidRPr="003A4B92">
        <w:t>per cent over the year</w:t>
      </w:r>
      <w:r w:rsidR="000B3A27" w:rsidRPr="003A4B92">
        <w:t xml:space="preserve"> to </w:t>
      </w:r>
      <w:r w:rsidR="007F2F37" w:rsidRPr="003A4B92">
        <w:t>May</w:t>
      </w:r>
      <w:r w:rsidR="005246FB" w:rsidRPr="003A4B92">
        <w:t>.</w:t>
      </w:r>
      <w:r w:rsidR="00A346D5" w:rsidRPr="003A4B92">
        <w:t xml:space="preserve"> Melbourne's annual price growth for residential property was the highest among the mainland state capitals. </w:t>
      </w:r>
    </w:p>
    <w:p w:rsidR="00231277" w:rsidRPr="003A4B92" w:rsidRDefault="00F94020" w:rsidP="00195637">
      <w:r w:rsidRPr="003A4B92">
        <w:rPr>
          <w:b/>
        </w:rPr>
        <w:t>Building approvals</w:t>
      </w:r>
      <w:r w:rsidRPr="003A4B92">
        <w:t xml:space="preserve"> rebounded in April led by increases in both residential and non</w:t>
      </w:r>
      <w:r w:rsidRPr="003A4B92">
        <w:noBreakHyphen/>
      </w:r>
      <w:r w:rsidR="006119A1" w:rsidRPr="003A4B92">
        <w:t xml:space="preserve">residential building approvals. The value of non-residential building approvals increased by 52.8 per cent </w:t>
      </w:r>
      <w:r w:rsidR="00D4719C">
        <w:t>and</w:t>
      </w:r>
      <w:r w:rsidR="00CA6B20">
        <w:t xml:space="preserve"> </w:t>
      </w:r>
      <w:r w:rsidR="006119A1" w:rsidRPr="003A4B92">
        <w:t>residential building approvals rose by 2.3 per cent</w:t>
      </w:r>
      <w:r w:rsidR="00CA6B20">
        <w:t>.</w:t>
      </w:r>
    </w:p>
    <w:p w:rsidR="00335813" w:rsidRPr="003A4B92" w:rsidRDefault="00335813" w:rsidP="00335813">
      <w:r w:rsidRPr="003A4B92">
        <w:t>Victoria's v</w:t>
      </w:r>
      <w:r w:rsidR="00953D82" w:rsidRPr="003A4B92">
        <w:t>alue</w:t>
      </w:r>
      <w:r w:rsidRPr="003A4B92">
        <w:t xml:space="preserve"> of </w:t>
      </w:r>
      <w:r w:rsidRPr="00C5163C">
        <w:rPr>
          <w:b/>
        </w:rPr>
        <w:t>retail sales</w:t>
      </w:r>
      <w:r w:rsidRPr="003A4B92">
        <w:t xml:space="preserve"> grew by 1.</w:t>
      </w:r>
      <w:r w:rsidR="00953D82" w:rsidRPr="003A4B92">
        <w:t>0</w:t>
      </w:r>
      <w:r w:rsidR="00A70602" w:rsidRPr="003A4B92">
        <w:t> </w:t>
      </w:r>
      <w:r w:rsidRPr="003A4B92">
        <w:t xml:space="preserve">per cent </w:t>
      </w:r>
      <w:r w:rsidR="00953D82" w:rsidRPr="003A4B92">
        <w:t xml:space="preserve">in April led by growth in </w:t>
      </w:r>
      <w:r w:rsidR="00C5434C">
        <w:t>general merchandise.</w:t>
      </w:r>
      <w:r w:rsidR="00953D82" w:rsidRPr="003A4B92">
        <w:t xml:space="preserve"> </w:t>
      </w:r>
      <w:r w:rsidR="00927445">
        <w:t xml:space="preserve">Over the year, the value of retail sales increased by 4.2 per cent. </w:t>
      </w:r>
    </w:p>
    <w:p w:rsidR="00706673" w:rsidRDefault="00231277" w:rsidP="00231277">
      <w:r w:rsidRPr="003A4B92">
        <w:t>The</w:t>
      </w:r>
      <w:r w:rsidR="003D0FD1">
        <w:t xml:space="preserve"> RBA, in its latest decision, has left the</w:t>
      </w:r>
      <w:r w:rsidRPr="003A4B92">
        <w:t xml:space="preserve"> </w:t>
      </w:r>
      <w:r w:rsidRPr="003A4B92">
        <w:rPr>
          <w:b/>
        </w:rPr>
        <w:t>cash rate</w:t>
      </w:r>
      <w:r w:rsidRPr="003A4B92">
        <w:t xml:space="preserve"> unchanged at 1.50</w:t>
      </w:r>
      <w:r w:rsidR="005D5C2A" w:rsidRPr="003A4B92">
        <w:t> </w:t>
      </w:r>
      <w:r w:rsidRPr="003A4B92">
        <w:t>per</w:t>
      </w:r>
      <w:r w:rsidR="005D5C2A" w:rsidRPr="003A4B92">
        <w:t> </w:t>
      </w:r>
      <w:r w:rsidRPr="003A4B92">
        <w:t>cent</w:t>
      </w:r>
      <w:r w:rsidR="008D4C72" w:rsidRPr="003A4B92">
        <w:t>. The</w:t>
      </w:r>
      <w:r w:rsidR="003D0FD1">
        <w:t xml:space="preserve"> RBA</w:t>
      </w:r>
      <w:r w:rsidR="008D4C72" w:rsidRPr="003A4B92">
        <w:t xml:space="preserve"> </w:t>
      </w:r>
      <w:r w:rsidR="008E2D29" w:rsidRPr="003A4B92">
        <w:t>B</w:t>
      </w:r>
      <w:r w:rsidRPr="003A4B92">
        <w:t xml:space="preserve">oard </w:t>
      </w:r>
      <w:r w:rsidR="008D4C72" w:rsidRPr="003A4B92">
        <w:t>noted</w:t>
      </w:r>
      <w:r w:rsidRPr="003A4B92">
        <w:t xml:space="preserve"> that</w:t>
      </w:r>
      <w:r w:rsidR="007F6738" w:rsidRPr="003A4B92">
        <w:t xml:space="preserve"> the</w:t>
      </w:r>
      <w:r w:rsidRPr="003A4B92">
        <w:t xml:space="preserve"> </w:t>
      </w:r>
      <w:r w:rsidR="00615915" w:rsidRPr="003A4B92">
        <w:t>unchanged policy</w:t>
      </w:r>
      <w:r w:rsidR="007F6738" w:rsidRPr="003A4B92">
        <w:t xml:space="preserve"> stance</w:t>
      </w:r>
      <w:r w:rsidR="00615915" w:rsidRPr="003A4B92">
        <w:t xml:space="preserve"> </w:t>
      </w:r>
      <w:r w:rsidR="00855C1D">
        <w:t xml:space="preserve">is </w:t>
      </w:r>
      <w:r w:rsidR="00615915" w:rsidRPr="003A4B92">
        <w:t xml:space="preserve">consistent with sustainable growth in the economy and </w:t>
      </w:r>
      <w:r w:rsidR="008D4C72" w:rsidRPr="003A4B92">
        <w:t xml:space="preserve">the </w:t>
      </w:r>
      <w:r w:rsidR="00615915" w:rsidRPr="003A4B92">
        <w:t>achiev</w:t>
      </w:r>
      <w:r w:rsidR="00DE4AA3" w:rsidRPr="003A4B92">
        <w:t>ement</w:t>
      </w:r>
      <w:r w:rsidR="001B3301" w:rsidRPr="003A4B92">
        <w:t xml:space="preserve"> of</w:t>
      </w:r>
      <w:r w:rsidR="00615915" w:rsidRPr="003A4B92">
        <w:t xml:space="preserve"> the inflation target</w:t>
      </w:r>
      <w:r w:rsidR="00855C1D">
        <w:t>.</w:t>
      </w:r>
    </w:p>
    <w:p w:rsidR="00A1484B" w:rsidRDefault="00A1484B" w:rsidP="00231277"/>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br w:type="column"/>
            </w:r>
            <w:r w:rsidR="00047DD7" w:rsidRPr="00405FBA">
              <w:rPr>
                <w:noProof/>
                <w:lang w:eastAsia="en-AU"/>
              </w:rPr>
              <w:drawing>
                <wp:inline distT="0" distB="0" distL="0" distR="0" wp14:anchorId="7EEF09B0" wp14:editId="33539EFF">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BE3069" w:rsidRPr="003A4B92" w:rsidRDefault="00BE3069" w:rsidP="00231277">
      <w:pPr>
        <w:spacing w:before="120"/>
      </w:pPr>
      <w:r>
        <w:t>In June, t</w:t>
      </w:r>
      <w:r w:rsidRPr="00BE3069">
        <w:t xml:space="preserve">he </w:t>
      </w:r>
      <w:r w:rsidRPr="00BE3069">
        <w:rPr>
          <w:b/>
        </w:rPr>
        <w:t>Federal Reserve</w:t>
      </w:r>
      <w:r w:rsidRPr="00BE3069">
        <w:t xml:space="preserve"> raised rates by 25</w:t>
      </w:r>
      <w:r w:rsidR="007757EB">
        <w:t xml:space="preserve"> </w:t>
      </w:r>
      <w:r w:rsidRPr="00BE3069">
        <w:t>bps to 1.00</w:t>
      </w:r>
      <w:r w:rsidR="00634CB3">
        <w:noBreakHyphen/>
      </w:r>
      <w:r>
        <w:t xml:space="preserve">1.25 per cent, in line with market expectations. </w:t>
      </w:r>
      <w:r w:rsidRPr="00BE3069">
        <w:t>The Fed also announced plans to gradually</w:t>
      </w:r>
      <w:r w:rsidR="00097DC0" w:rsidRPr="00097DC0">
        <w:t xml:space="preserve"> </w:t>
      </w:r>
      <w:r w:rsidR="00097DC0" w:rsidRPr="00BE3069">
        <w:t>start</w:t>
      </w:r>
      <w:r w:rsidRPr="00BE3069">
        <w:t xml:space="preserve"> </w:t>
      </w:r>
      <w:r w:rsidR="009C6442">
        <w:t xml:space="preserve">reducing </w:t>
      </w:r>
      <w:r w:rsidRPr="00BE3069">
        <w:t>its bond holdings later this year, which could cause long-term rates to rise.</w:t>
      </w:r>
    </w:p>
    <w:p w:rsidR="00AC0213" w:rsidRPr="003A4B92" w:rsidRDefault="00637684" w:rsidP="00231277">
      <w:pPr>
        <w:spacing w:before="120"/>
      </w:pPr>
      <w:r w:rsidRPr="000D2A62">
        <w:rPr>
          <w:b/>
        </w:rPr>
        <w:t>US</w:t>
      </w:r>
      <w:r w:rsidRPr="003A4B92">
        <w:t xml:space="preserve"> economic indicators were subdued in the past four weeks. Real GDP growth in </w:t>
      </w:r>
      <w:r w:rsidRPr="003A4B92">
        <w:lastRenderedPageBreak/>
        <w:t xml:space="preserve">the first quarter of 2017 was revised up 0.5 percentage points but remained weak at an annual rate of </w:t>
      </w:r>
      <w:r w:rsidR="009C6442">
        <w:t xml:space="preserve">only </w:t>
      </w:r>
      <w:r w:rsidRPr="003A4B92">
        <w:t xml:space="preserve">1.2 per cent. The revision reflected higher business investment, consumer spending and state and local government spending. </w:t>
      </w:r>
    </w:p>
    <w:p w:rsidR="00231277" w:rsidRDefault="00231277" w:rsidP="00231277">
      <w:pPr>
        <w:spacing w:before="120"/>
      </w:pPr>
      <w:r w:rsidRPr="003A4B92">
        <w:t xml:space="preserve">The US labour market </w:t>
      </w:r>
      <w:r w:rsidR="00C5410B" w:rsidRPr="003A4B92">
        <w:t>continues to improve.</w:t>
      </w:r>
      <w:r w:rsidRPr="003A4B92">
        <w:t xml:space="preserve"> </w:t>
      </w:r>
      <w:r w:rsidR="00C5410B" w:rsidRPr="003A4B92">
        <w:rPr>
          <w:b/>
        </w:rPr>
        <w:t>Non-farm payrolls</w:t>
      </w:r>
      <w:r w:rsidR="00C5410B" w:rsidRPr="003A4B92">
        <w:t xml:space="preserve"> increased by 138 000 in May and the</w:t>
      </w:r>
      <w:r w:rsidR="00925104" w:rsidRPr="003A4B92">
        <w:t xml:space="preserve"> </w:t>
      </w:r>
      <w:r w:rsidR="00C5410B" w:rsidRPr="003A4B92">
        <w:t>unemployment rate declined to its lowest level (4.3</w:t>
      </w:r>
      <w:r w:rsidR="009F277F">
        <w:t> </w:t>
      </w:r>
      <w:r w:rsidR="00C5410B" w:rsidRPr="003A4B92">
        <w:t>per</w:t>
      </w:r>
      <w:r w:rsidR="009F277F">
        <w:t> </w:t>
      </w:r>
      <w:r w:rsidR="00C5410B" w:rsidRPr="003A4B92">
        <w:t>cent) since May 2001.</w:t>
      </w:r>
    </w:p>
    <w:p w:rsidR="00045DBC" w:rsidRPr="003A4B92" w:rsidRDefault="004D315E" w:rsidP="00231277">
      <w:pPr>
        <w:spacing w:before="120"/>
      </w:pPr>
      <w:r>
        <w:t>In early June, t</w:t>
      </w:r>
      <w:r w:rsidR="00045DBC">
        <w:t xml:space="preserve">he </w:t>
      </w:r>
      <w:r w:rsidR="00045DBC" w:rsidRPr="004D315E">
        <w:rPr>
          <w:b/>
        </w:rPr>
        <w:t>US</w:t>
      </w:r>
      <w:r w:rsidR="00045DBC">
        <w:t xml:space="preserve"> President announced</w:t>
      </w:r>
      <w:r w:rsidR="00045DBC" w:rsidRPr="00045DBC">
        <w:t xml:space="preserve"> his intention to withdra</w:t>
      </w:r>
      <w:r w:rsidR="004E15F5">
        <w:t>w the US</w:t>
      </w:r>
      <w:r w:rsidR="00045DBC" w:rsidRPr="00045DBC">
        <w:t xml:space="preserve"> from the Paris climate accord, a landmark global agreement to lower greenhouse gas emissions and minimi</w:t>
      </w:r>
      <w:r w:rsidR="00C22647">
        <w:t>se the impact of</w:t>
      </w:r>
      <w:r w:rsidR="00045DBC">
        <w:t xml:space="preserve"> climate </w:t>
      </w:r>
      <w:r w:rsidR="003B00F1">
        <w:t>change</w:t>
      </w:r>
      <w:r w:rsidR="003B00F1">
        <w:rPr>
          <w:rStyle w:val="CommentReference"/>
        </w:rPr>
        <w:t xml:space="preserve">. </w:t>
      </w:r>
    </w:p>
    <w:p w:rsidR="00876AC6" w:rsidRPr="00876AC6" w:rsidRDefault="00192916" w:rsidP="00335813">
      <w:pPr>
        <w:spacing w:before="120"/>
      </w:pPr>
      <w:r>
        <w:t>China’s manufacturing sector remains robust</w:t>
      </w:r>
      <w:r w:rsidR="009C6442">
        <w:t>. T</w:t>
      </w:r>
      <w:r>
        <w:t xml:space="preserve">he </w:t>
      </w:r>
      <w:r w:rsidR="009C6442">
        <w:t xml:space="preserve">official Manufacturing </w:t>
      </w:r>
      <w:r w:rsidRPr="008D67D7">
        <w:rPr>
          <w:b/>
        </w:rPr>
        <w:t>Purchasing Managers' Index (PMI)</w:t>
      </w:r>
      <w:r w:rsidRPr="00192916">
        <w:t xml:space="preserve"> </w:t>
      </w:r>
      <w:r w:rsidR="009C6442">
        <w:t xml:space="preserve">remained steady </w:t>
      </w:r>
      <w:r w:rsidR="00876AC6" w:rsidRPr="00876AC6">
        <w:t>at 51.2 in May. China’s recent growth is being maintained by increased spending on infrastructure and property construction including the ‘belt and road’ initiative.</w:t>
      </w:r>
    </w:p>
    <w:p w:rsidR="00335813" w:rsidRPr="00F87EFB" w:rsidRDefault="00781AB5" w:rsidP="00335813">
      <w:pPr>
        <w:spacing w:before="120"/>
        <w:rPr>
          <w:highlight w:val="red"/>
        </w:rPr>
      </w:pPr>
      <w:r>
        <w:rPr>
          <w:b/>
        </w:rPr>
        <w:t>China</w:t>
      </w:r>
      <w:r w:rsidR="00025709">
        <w:rPr>
          <w:b/>
        </w:rPr>
        <w:t>’s</w:t>
      </w:r>
      <w:r>
        <w:rPr>
          <w:b/>
        </w:rPr>
        <w:t xml:space="preserve"> </w:t>
      </w:r>
      <w:r w:rsidRPr="00781AB5">
        <w:t>inflation rate reached a</w:t>
      </w:r>
      <w:r w:rsidR="00933184">
        <w:t xml:space="preserve"> four</w:t>
      </w:r>
      <w:r w:rsidR="00025709">
        <w:noBreakHyphen/>
      </w:r>
      <w:r w:rsidRPr="00781AB5">
        <w:t>month high in May.</w:t>
      </w:r>
      <w:r w:rsidRPr="00781AB5">
        <w:rPr>
          <w:b/>
        </w:rPr>
        <w:t xml:space="preserve"> </w:t>
      </w:r>
      <w:r>
        <w:t>C</w:t>
      </w:r>
      <w:r w:rsidRPr="00781AB5">
        <w:t>onsumer prices rose 1.5</w:t>
      </w:r>
      <w:r>
        <w:t> </w:t>
      </w:r>
      <w:r w:rsidRPr="00781AB5">
        <w:t>per</w:t>
      </w:r>
      <w:r w:rsidR="009C6442">
        <w:t xml:space="preserve"> </w:t>
      </w:r>
      <w:r w:rsidRPr="00781AB5">
        <w:t xml:space="preserve">cent </w:t>
      </w:r>
      <w:r w:rsidR="009C6442">
        <w:t xml:space="preserve">over the year to </w:t>
      </w:r>
      <w:r w:rsidRPr="00781AB5">
        <w:t xml:space="preserve">May 2017, </w:t>
      </w:r>
      <w:r w:rsidR="009C6442">
        <w:t xml:space="preserve">driven mostly </w:t>
      </w:r>
      <w:r>
        <w:t>by increases in non</w:t>
      </w:r>
      <w:r>
        <w:noBreakHyphen/>
        <w:t>food items.</w:t>
      </w:r>
      <w:r w:rsidRPr="00781AB5">
        <w:rPr>
          <w:b/>
        </w:rPr>
        <w:t xml:space="preserve">  </w:t>
      </w:r>
    </w:p>
    <w:p w:rsidR="00231277" w:rsidRPr="00F87EFB" w:rsidRDefault="009C6442" w:rsidP="00231277">
      <w:pPr>
        <w:spacing w:before="120"/>
        <w:rPr>
          <w:highlight w:val="red"/>
        </w:rPr>
      </w:pPr>
      <w:r>
        <w:t>Economic activity in t</w:t>
      </w:r>
      <w:r w:rsidR="00DD783C">
        <w:t xml:space="preserve">he </w:t>
      </w:r>
      <w:r w:rsidR="00DD783C">
        <w:rPr>
          <w:b/>
        </w:rPr>
        <w:t>Euro zone</w:t>
      </w:r>
      <w:r w:rsidR="00DD783C">
        <w:t xml:space="preserve"> expan</w:t>
      </w:r>
      <w:r>
        <w:t xml:space="preserve">ded </w:t>
      </w:r>
      <w:r w:rsidR="00DD783C">
        <w:t xml:space="preserve">for </w:t>
      </w:r>
      <w:r>
        <w:t xml:space="preserve">the </w:t>
      </w:r>
      <w:r w:rsidR="00DD783C" w:rsidRPr="00DD783C">
        <w:t>16</w:t>
      </w:r>
      <w:r w:rsidRPr="000D2A62">
        <w:rPr>
          <w:vertAlign w:val="superscript"/>
        </w:rPr>
        <w:t>th</w:t>
      </w:r>
      <w:r>
        <w:t xml:space="preserve"> </w:t>
      </w:r>
      <w:r w:rsidR="00DD783C" w:rsidRPr="00DD783C">
        <w:t>consecutive quarter</w:t>
      </w:r>
      <w:r>
        <w:t xml:space="preserve"> in March</w:t>
      </w:r>
      <w:r w:rsidR="00DD783C">
        <w:t>. R</w:t>
      </w:r>
      <w:r w:rsidR="00DD783C" w:rsidRPr="00DD783C">
        <w:t xml:space="preserve">eal GDP grew </w:t>
      </w:r>
      <w:r w:rsidR="00DD783C">
        <w:t>by 1.7 per </w:t>
      </w:r>
      <w:r w:rsidR="00DD783C" w:rsidRPr="00DD783C">
        <w:t>cent over the year to the March quarter 2017</w:t>
      </w:r>
      <w:r w:rsidR="00DD783C">
        <w:t xml:space="preserve">. </w:t>
      </w:r>
      <w:r>
        <w:t xml:space="preserve">The labour market also continues to improve </w:t>
      </w:r>
      <w:r w:rsidR="00634CB3">
        <w:t>with</w:t>
      </w:r>
      <w:r>
        <w:t xml:space="preserve"> the u</w:t>
      </w:r>
      <w:r w:rsidR="00DD783C" w:rsidRPr="00DD783C">
        <w:t xml:space="preserve">nemployment </w:t>
      </w:r>
      <w:r>
        <w:t xml:space="preserve">rate </w:t>
      </w:r>
      <w:r w:rsidR="00634CB3">
        <w:t>falling</w:t>
      </w:r>
      <w:r w:rsidR="00DD783C" w:rsidRPr="00DD783C">
        <w:t xml:space="preserve"> to its lowest level since 2009</w:t>
      </w:r>
      <w:r>
        <w:t xml:space="preserve">. </w:t>
      </w:r>
    </w:p>
    <w:p w:rsidR="00CB7F4A" w:rsidRPr="00F87EFB" w:rsidRDefault="00A24EB7" w:rsidP="00CB7F4A">
      <w:pPr>
        <w:spacing w:before="120"/>
        <w:rPr>
          <w:highlight w:val="red"/>
        </w:rPr>
      </w:pPr>
      <w:r w:rsidRPr="00A24EB7">
        <w:t xml:space="preserve">The </w:t>
      </w:r>
      <w:r w:rsidRPr="00A24EB7">
        <w:rPr>
          <w:b/>
        </w:rPr>
        <w:t>UK</w:t>
      </w:r>
      <w:r w:rsidRPr="00A24EB7">
        <w:t xml:space="preserve"> election</w:t>
      </w:r>
      <w:r w:rsidR="003D0FD1">
        <w:t xml:space="preserve"> in June</w:t>
      </w:r>
      <w:r w:rsidRPr="00A24EB7">
        <w:t xml:space="preserve"> </w:t>
      </w:r>
      <w:r>
        <w:t>resulted in</w:t>
      </w:r>
      <w:r w:rsidRPr="00A24EB7">
        <w:t xml:space="preserve"> a hung parliament with no party able to win a majority</w:t>
      </w:r>
      <w:r>
        <w:t>. The</w:t>
      </w:r>
      <w:r w:rsidRPr="00A24EB7">
        <w:t xml:space="preserve"> incumbent Prime Minister Theresa May intends to stay on as </w:t>
      </w:r>
      <w:r w:rsidR="00AD0D84">
        <w:t xml:space="preserve">the </w:t>
      </w:r>
      <w:r w:rsidRPr="00A24EB7">
        <w:t>Conservatives</w:t>
      </w:r>
      <w:r w:rsidR="004E15F5">
        <w:t>’</w:t>
      </w:r>
      <w:r w:rsidRPr="00A24EB7">
        <w:t xml:space="preserve"> leader</w:t>
      </w:r>
      <w:r w:rsidR="00BB2557">
        <w:t xml:space="preserve"> and advance </w:t>
      </w:r>
      <w:r w:rsidR="00BB2557" w:rsidRPr="00BB2557">
        <w:t>Brexit n</w:t>
      </w:r>
      <w:r w:rsidR="00CA4128">
        <w:t>egotiations</w:t>
      </w:r>
      <w:r w:rsidR="00D561C0">
        <w:t xml:space="preserve"> but there is some uncertainty about her role</w:t>
      </w:r>
      <w:r w:rsidR="004E15F5">
        <w:t>.</w:t>
      </w:r>
      <w:r w:rsidR="00BB2557">
        <w:t xml:space="preserve"> </w:t>
      </w:r>
    </w:p>
    <w:p w:rsidR="00C4203F" w:rsidRPr="006E401A" w:rsidRDefault="00AD0D84" w:rsidP="00A603CF">
      <w:pPr>
        <w:spacing w:before="120" w:after="160"/>
      </w:pPr>
      <w:r>
        <w:lastRenderedPageBreak/>
        <w:t xml:space="preserve">The </w:t>
      </w:r>
      <w:r w:rsidRPr="00360077">
        <w:rPr>
          <w:b/>
        </w:rPr>
        <w:t xml:space="preserve">Japanese </w:t>
      </w:r>
      <w:r w:rsidRPr="00D561C0">
        <w:t>economy</w:t>
      </w:r>
      <w:r>
        <w:t xml:space="preserve"> remains weak as household consumption </w:t>
      </w:r>
      <w:r w:rsidR="00D561C0">
        <w:t xml:space="preserve">has </w:t>
      </w:r>
      <w:r>
        <w:t>fail</w:t>
      </w:r>
      <w:r w:rsidR="00D561C0">
        <w:t>ed</w:t>
      </w:r>
      <w:r>
        <w:t xml:space="preserve"> to pick</w:t>
      </w:r>
      <w:r w:rsidR="007E5421">
        <w:t xml:space="preserve"> up.</w:t>
      </w:r>
      <w:r>
        <w:t xml:space="preserve"> </w:t>
      </w:r>
      <w:r w:rsidR="007E5421" w:rsidRPr="007E5421">
        <w:t>T</w:t>
      </w:r>
      <w:r w:rsidR="007E5421">
        <w:t>he economy advanced by only 0.3 </w:t>
      </w:r>
      <w:r w:rsidR="007E5421" w:rsidRPr="007E5421">
        <w:t>per</w:t>
      </w:r>
      <w:r w:rsidR="007E5421">
        <w:t> </w:t>
      </w:r>
      <w:r w:rsidR="007E5421" w:rsidRPr="007E5421">
        <w:t>cent in the March</w:t>
      </w:r>
      <w:r w:rsidR="007E5421">
        <w:t xml:space="preserve"> </w:t>
      </w:r>
      <w:r w:rsidR="007E5421" w:rsidRPr="007E5421">
        <w:t>quarter</w:t>
      </w:r>
      <w:r w:rsidR="007E5421">
        <w:t xml:space="preserve"> </w:t>
      </w:r>
      <w:r w:rsidR="007E5421" w:rsidRPr="007E5421">
        <w:t>2017,</w:t>
      </w:r>
      <w:r w:rsidR="00C22647">
        <w:t xml:space="preserve"> </w:t>
      </w:r>
      <w:r w:rsidR="007E5421" w:rsidRPr="007E5421">
        <w:lastRenderedPageBreak/>
        <w:t>below preliminary estimates of 0.5</w:t>
      </w:r>
      <w:r w:rsidR="007E5421">
        <w:t> </w:t>
      </w:r>
      <w:r w:rsidR="007E5421" w:rsidRPr="007E5421">
        <w:t xml:space="preserve">per cent.  </w:t>
      </w:r>
    </w:p>
    <w:p w:rsidR="007E5421" w:rsidRPr="007E5421" w:rsidRDefault="00736912" w:rsidP="001E141A">
      <w:pPr>
        <w:sectPr w:rsidR="007E5421" w:rsidRPr="007E5421" w:rsidSect="002751C4">
          <w:type w:val="continuous"/>
          <w:pgSz w:w="11906" w:h="16838" w:code="9"/>
          <w:pgMar w:top="964" w:right="1134" w:bottom="794" w:left="1134" w:header="709" w:footer="567" w:gutter="0"/>
          <w:cols w:num="2" w:space="562"/>
          <w:docGrid w:linePitch="360"/>
        </w:sectPr>
      </w:pPr>
      <w:r>
        <w:rPr>
          <w:i/>
          <w:sz w:val="20"/>
        </w:rPr>
        <w:t>Note: A</w:t>
      </w:r>
      <w:r w:rsidR="00246C5C" w:rsidRPr="009865C5">
        <w:rPr>
          <w:i/>
          <w:sz w:val="20"/>
        </w:rPr>
        <w:t xml:space="preserve">ll data reported in the newsletter is as at </w:t>
      </w:r>
      <w:r w:rsidR="00CC4342">
        <w:rPr>
          <w:i/>
          <w:sz w:val="20"/>
        </w:rPr>
        <w:t>2</w:t>
      </w:r>
      <w:r w:rsidR="008851AB">
        <w:rPr>
          <w:i/>
          <w:sz w:val="20"/>
        </w:rPr>
        <w:t>5</w:t>
      </w:r>
      <w:r w:rsidR="00FA7BFE">
        <w:rPr>
          <w:i/>
          <w:sz w:val="20"/>
        </w:rPr>
        <w:t> </w:t>
      </w:r>
      <w:r w:rsidR="003228FA">
        <w:rPr>
          <w:i/>
          <w:sz w:val="20"/>
        </w:rPr>
        <w:t>June</w:t>
      </w:r>
      <w:r w:rsidR="00231277">
        <w:rPr>
          <w:i/>
          <w:sz w:val="20"/>
        </w:rPr>
        <w:t> </w:t>
      </w:r>
      <w:r w:rsidR="00246C5C" w:rsidRPr="009865C5">
        <w:rPr>
          <w:i/>
          <w:sz w:val="20"/>
        </w:rPr>
        <w:t>2017.</w:t>
      </w:r>
    </w:p>
    <w:p w:rsidR="007E5421" w:rsidRDefault="007E5421" w:rsidP="00D17E6E">
      <w:pPr>
        <w:pStyle w:val="Caption"/>
      </w:pPr>
    </w:p>
    <w:p w:rsidR="00A603CF" w:rsidRPr="00A603CF" w:rsidRDefault="00A603CF" w:rsidP="00A603CF"/>
    <w:p w:rsidR="00D17E6E" w:rsidRDefault="00D17E6E" w:rsidP="00D17E6E">
      <w:pPr>
        <w:pStyle w:val="Caption"/>
      </w:pPr>
      <w:r w:rsidRPr="00BA6B8C">
        <w:t>Movements</w:t>
      </w:r>
      <w:r w:rsidR="00771375">
        <w:t>*</w:t>
      </w:r>
      <w:r w:rsidRPr="00BA6B8C">
        <w:t xml:space="preserve"> in financial data over </w:t>
      </w:r>
      <w:r>
        <w:t>the past month</w:t>
      </w:r>
      <w:r w:rsidR="00771375">
        <w:t>**</w:t>
      </w:r>
    </w:p>
    <w:tbl>
      <w:tblPr>
        <w:tblStyle w:val="TableGrid"/>
        <w:tblW w:w="5000" w:type="pct"/>
        <w:tblLook w:val="0420" w:firstRow="1" w:lastRow="0" w:firstColumn="0" w:lastColumn="0" w:noHBand="0" w:noVBand="1"/>
      </w:tblPr>
      <w:tblGrid>
        <w:gridCol w:w="3419"/>
        <w:gridCol w:w="1681"/>
        <w:gridCol w:w="1824"/>
        <w:gridCol w:w="2828"/>
      </w:tblGrid>
      <w:tr w:rsidR="005D5C2A" w:rsidTr="00F64B07">
        <w:trPr>
          <w:cnfStyle w:val="100000000000" w:firstRow="1" w:lastRow="0" w:firstColumn="0" w:lastColumn="0" w:oddVBand="0" w:evenVBand="0" w:oddHBand="0" w:evenHBand="0" w:firstRowFirstColumn="0" w:firstRowLastColumn="0" w:lastRowFirstColumn="0" w:lastRowLastColumn="0"/>
        </w:trPr>
        <w:tc>
          <w:tcPr>
            <w:tcW w:w="1753" w:type="pct"/>
          </w:tcPr>
          <w:p w:rsidR="005D5C2A" w:rsidRDefault="005D5C2A" w:rsidP="005E371D"/>
        </w:tc>
        <w:tc>
          <w:tcPr>
            <w:tcW w:w="862" w:type="pct"/>
            <w:vAlign w:val="center"/>
          </w:tcPr>
          <w:p w:rsidR="005D5C2A" w:rsidRPr="005D5C2A" w:rsidRDefault="00974505">
            <w:pPr>
              <w:jc w:val="right"/>
            </w:pPr>
            <w:r>
              <w:t>31-May</w:t>
            </w:r>
            <w:r w:rsidR="005D5C2A" w:rsidRPr="005D5C2A">
              <w:t>-17</w:t>
            </w:r>
          </w:p>
        </w:tc>
        <w:tc>
          <w:tcPr>
            <w:tcW w:w="935" w:type="pct"/>
            <w:vAlign w:val="center"/>
          </w:tcPr>
          <w:p w:rsidR="005D5C2A" w:rsidRPr="005D5C2A" w:rsidRDefault="00974505">
            <w:pPr>
              <w:jc w:val="right"/>
            </w:pPr>
            <w:r>
              <w:t>28-Apr-</w:t>
            </w:r>
            <w:r w:rsidR="005D5C2A" w:rsidRPr="005D5C2A">
              <w:t>17</w:t>
            </w:r>
          </w:p>
        </w:tc>
        <w:tc>
          <w:tcPr>
            <w:tcW w:w="1450" w:type="pct"/>
          </w:tcPr>
          <w:p w:rsidR="005D5C2A" w:rsidRDefault="005D5C2A" w:rsidP="005E371D">
            <w:pPr>
              <w:jc w:val="right"/>
            </w:pPr>
            <w:r>
              <w:t>Change</w:t>
            </w:r>
          </w:p>
        </w:tc>
      </w:tr>
      <w:tr w:rsidR="005D5C2A"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Default="005D5C2A" w:rsidP="005E371D">
            <w:r>
              <w:t>AUD/USD</w:t>
            </w:r>
          </w:p>
        </w:tc>
        <w:tc>
          <w:tcPr>
            <w:tcW w:w="862" w:type="pct"/>
            <w:vAlign w:val="center"/>
          </w:tcPr>
          <w:p w:rsidR="005D5C2A" w:rsidRPr="005D5C2A" w:rsidRDefault="005D5C2A" w:rsidP="00876989">
            <w:pPr>
              <w:jc w:val="right"/>
            </w:pPr>
            <w:r w:rsidRPr="005D5C2A">
              <w:t>0.7</w:t>
            </w:r>
            <w:r>
              <w:t>4</w:t>
            </w:r>
            <w:r w:rsidR="00876989">
              <w:t>50</w:t>
            </w:r>
          </w:p>
        </w:tc>
        <w:tc>
          <w:tcPr>
            <w:tcW w:w="935" w:type="pct"/>
            <w:vAlign w:val="center"/>
          </w:tcPr>
          <w:p w:rsidR="005D5C2A" w:rsidRPr="005D5C2A" w:rsidRDefault="005D5C2A" w:rsidP="00876989">
            <w:pPr>
              <w:jc w:val="right"/>
            </w:pPr>
            <w:r w:rsidRPr="005D5C2A">
              <w:t>0.7</w:t>
            </w:r>
            <w:r w:rsidR="00876989">
              <w:t>475</w:t>
            </w:r>
          </w:p>
        </w:tc>
        <w:tc>
          <w:tcPr>
            <w:tcW w:w="1450" w:type="pct"/>
          </w:tcPr>
          <w:p w:rsidR="005D5C2A" w:rsidRPr="005C5FE2" w:rsidRDefault="007972CA" w:rsidP="005D5C2A">
            <w:pPr>
              <w:jc w:val="right"/>
              <w:rPr>
                <w:color w:val="FF0000"/>
              </w:rPr>
            </w:pPr>
            <w:r>
              <w:t>-0.3</w:t>
            </w:r>
            <w:r w:rsidR="005D5C2A">
              <w:t> per cent</w:t>
            </w:r>
          </w:p>
        </w:tc>
      </w:tr>
      <w:tr w:rsidR="005D5C2A"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Default="005D5C2A" w:rsidP="005E371D">
            <w:r>
              <w:t>ASX 200</w:t>
            </w:r>
          </w:p>
        </w:tc>
        <w:tc>
          <w:tcPr>
            <w:tcW w:w="862" w:type="pct"/>
            <w:vAlign w:val="center"/>
          </w:tcPr>
          <w:p w:rsidR="005D5C2A" w:rsidRPr="005D5C2A" w:rsidRDefault="00AD7719">
            <w:pPr>
              <w:jc w:val="right"/>
            </w:pPr>
            <w:r>
              <w:t>5,724</w:t>
            </w:r>
          </w:p>
        </w:tc>
        <w:tc>
          <w:tcPr>
            <w:tcW w:w="935" w:type="pct"/>
            <w:vAlign w:val="center"/>
          </w:tcPr>
          <w:p w:rsidR="005D5C2A" w:rsidRPr="005D5C2A" w:rsidRDefault="00AD7719">
            <w:pPr>
              <w:jc w:val="right"/>
            </w:pPr>
            <w:r>
              <w:t>5,924</w:t>
            </w:r>
          </w:p>
        </w:tc>
        <w:tc>
          <w:tcPr>
            <w:tcW w:w="1450" w:type="pct"/>
          </w:tcPr>
          <w:p w:rsidR="005D5C2A" w:rsidRPr="005C5FE2" w:rsidRDefault="009445EE" w:rsidP="005D5C2A">
            <w:pPr>
              <w:jc w:val="right"/>
              <w:rPr>
                <w:color w:val="FF0000"/>
              </w:rPr>
            </w:pPr>
            <w:r>
              <w:t>-3.4</w:t>
            </w:r>
            <w:r w:rsidR="005D5C2A">
              <w:t> per cent</w:t>
            </w:r>
          </w:p>
        </w:tc>
      </w:tr>
      <w:tr w:rsidR="005D5C2A"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Default="005D5C2A" w:rsidP="005E371D">
            <w:r>
              <w:t>S&amp;P 500</w:t>
            </w:r>
          </w:p>
        </w:tc>
        <w:tc>
          <w:tcPr>
            <w:tcW w:w="862" w:type="pct"/>
            <w:vAlign w:val="center"/>
          </w:tcPr>
          <w:p w:rsidR="005D5C2A" w:rsidRPr="005D5C2A" w:rsidRDefault="00103EC5">
            <w:pPr>
              <w:jc w:val="right"/>
            </w:pPr>
            <w:r>
              <w:t>2,412</w:t>
            </w:r>
          </w:p>
        </w:tc>
        <w:tc>
          <w:tcPr>
            <w:tcW w:w="935" w:type="pct"/>
            <w:vAlign w:val="center"/>
          </w:tcPr>
          <w:p w:rsidR="005D5C2A" w:rsidRPr="005D5C2A" w:rsidRDefault="00103EC5">
            <w:pPr>
              <w:jc w:val="right"/>
            </w:pPr>
            <w:r>
              <w:t>2,384</w:t>
            </w:r>
          </w:p>
        </w:tc>
        <w:tc>
          <w:tcPr>
            <w:tcW w:w="1450" w:type="pct"/>
          </w:tcPr>
          <w:p w:rsidR="005D5C2A" w:rsidRPr="005C5FE2" w:rsidRDefault="00253D99" w:rsidP="005D5C2A">
            <w:pPr>
              <w:jc w:val="right"/>
              <w:rPr>
                <w:color w:val="FF0000"/>
              </w:rPr>
            </w:pPr>
            <w:r>
              <w:t>+1.2</w:t>
            </w:r>
            <w:r w:rsidR="005D5C2A">
              <w:t> per cent</w:t>
            </w:r>
            <w:r w:rsidR="005D5C2A" w:rsidRPr="005C5FE2">
              <w:rPr>
                <w:color w:val="FF0000"/>
              </w:rPr>
              <w:t xml:space="preserve">                     </w:t>
            </w:r>
          </w:p>
        </w:tc>
      </w:tr>
      <w:tr w:rsidR="005D5C2A"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Default="005D5C2A" w:rsidP="005E371D">
            <w:r>
              <w:t>90 day bank bill rate</w:t>
            </w:r>
          </w:p>
        </w:tc>
        <w:tc>
          <w:tcPr>
            <w:tcW w:w="862" w:type="pct"/>
            <w:vAlign w:val="center"/>
          </w:tcPr>
          <w:p w:rsidR="005D5C2A" w:rsidRPr="005D5C2A" w:rsidRDefault="00504D17">
            <w:pPr>
              <w:jc w:val="right"/>
            </w:pPr>
            <w:r>
              <w:t>1.73</w:t>
            </w:r>
          </w:p>
        </w:tc>
        <w:tc>
          <w:tcPr>
            <w:tcW w:w="935" w:type="pct"/>
            <w:vAlign w:val="center"/>
          </w:tcPr>
          <w:p w:rsidR="005D5C2A" w:rsidRPr="005D5C2A" w:rsidRDefault="00504D17">
            <w:pPr>
              <w:jc w:val="right"/>
            </w:pPr>
            <w:r>
              <w:t>1.74</w:t>
            </w:r>
          </w:p>
        </w:tc>
        <w:tc>
          <w:tcPr>
            <w:tcW w:w="1450" w:type="pct"/>
          </w:tcPr>
          <w:p w:rsidR="005D5C2A" w:rsidRPr="005C5FE2" w:rsidRDefault="00335813" w:rsidP="005D5C2A">
            <w:pPr>
              <w:jc w:val="right"/>
              <w:rPr>
                <w:color w:val="FF0000"/>
              </w:rPr>
            </w:pPr>
            <w:r>
              <w:t>-</w:t>
            </w:r>
            <w:r w:rsidR="00504D17">
              <w:t>0.01</w:t>
            </w:r>
            <w:r w:rsidR="005D5C2A">
              <w:t xml:space="preserve"> </w:t>
            </w:r>
            <w:r w:rsidR="005D5C2A" w:rsidRPr="005C5FE2">
              <w:t>percentage points</w:t>
            </w:r>
          </w:p>
        </w:tc>
      </w:tr>
      <w:tr w:rsidR="005D5C2A" w:rsidTr="00E12389">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5D5C2A" w:rsidRDefault="005D5C2A" w:rsidP="005E371D">
            <w:pPr>
              <w:ind w:right="-381"/>
            </w:pPr>
            <w:r>
              <w:t>10 year Commonwealth bond rate</w:t>
            </w:r>
          </w:p>
        </w:tc>
        <w:tc>
          <w:tcPr>
            <w:tcW w:w="862" w:type="pct"/>
            <w:vAlign w:val="center"/>
          </w:tcPr>
          <w:p w:rsidR="005D5C2A" w:rsidRPr="005D5C2A" w:rsidRDefault="005D5C2A" w:rsidP="00974505">
            <w:pPr>
              <w:jc w:val="right"/>
            </w:pPr>
            <w:r w:rsidRPr="005D5C2A">
              <w:t>2.</w:t>
            </w:r>
            <w:r w:rsidR="00974505">
              <w:t>39</w:t>
            </w:r>
          </w:p>
        </w:tc>
        <w:tc>
          <w:tcPr>
            <w:tcW w:w="935" w:type="pct"/>
            <w:vAlign w:val="center"/>
          </w:tcPr>
          <w:p w:rsidR="005D5C2A" w:rsidRPr="005D5C2A" w:rsidRDefault="00974505">
            <w:pPr>
              <w:jc w:val="right"/>
            </w:pPr>
            <w:r>
              <w:t>2.58</w:t>
            </w:r>
          </w:p>
        </w:tc>
        <w:tc>
          <w:tcPr>
            <w:tcW w:w="1450" w:type="pct"/>
          </w:tcPr>
          <w:p w:rsidR="005D5C2A" w:rsidRPr="005C5FE2" w:rsidRDefault="00335813" w:rsidP="00434A99">
            <w:pPr>
              <w:jc w:val="right"/>
              <w:rPr>
                <w:color w:val="FF0000"/>
              </w:rPr>
            </w:pPr>
            <w:r>
              <w:t>-</w:t>
            </w:r>
            <w:r w:rsidR="005D5C2A">
              <w:t>0.</w:t>
            </w:r>
            <w:r w:rsidR="00434A99">
              <w:t>19</w:t>
            </w:r>
            <w:r w:rsidR="005D5C2A">
              <w:t xml:space="preserve"> </w:t>
            </w:r>
            <w:r w:rsidR="005D5C2A" w:rsidRPr="005C5FE2">
              <w:t>percentage points</w:t>
            </w:r>
          </w:p>
        </w:tc>
      </w:tr>
    </w:tbl>
    <w:p w:rsidR="00D30EAC" w:rsidRDefault="00D17E6E" w:rsidP="001E141A">
      <w:pPr>
        <w:rPr>
          <w:i/>
          <w:sz w:val="20"/>
        </w:rPr>
      </w:pPr>
      <w:r w:rsidRPr="007F677F">
        <w:rPr>
          <w:i/>
          <w:sz w:val="20"/>
        </w:rPr>
        <w:t>Note</w:t>
      </w:r>
      <w:r w:rsidR="00771375">
        <w:rPr>
          <w:i/>
          <w:sz w:val="20"/>
        </w:rPr>
        <w:t>s</w:t>
      </w:r>
      <w:r w:rsidRPr="007F677F">
        <w:rPr>
          <w:i/>
          <w:sz w:val="20"/>
        </w:rPr>
        <w:t xml:space="preserve">: </w:t>
      </w:r>
      <w:r w:rsidR="00771375">
        <w:rPr>
          <w:i/>
          <w:sz w:val="20"/>
        </w:rPr>
        <w:t>*</w:t>
      </w:r>
      <w:r w:rsidRPr="007F677F">
        <w:rPr>
          <w:i/>
          <w:sz w:val="20"/>
        </w:rPr>
        <w:t>Changes are based on t</w:t>
      </w:r>
      <w:r w:rsidR="00C94806">
        <w:rPr>
          <w:i/>
          <w:sz w:val="20"/>
        </w:rPr>
        <w:t>he movement in unrounded figures</w:t>
      </w:r>
      <w:r w:rsidR="00771375">
        <w:rPr>
          <w:i/>
          <w:sz w:val="20"/>
        </w:rPr>
        <w:t>. **Month-end dates are the last trading day of the month.</w:t>
      </w:r>
    </w:p>
    <w:p w:rsidR="005379E5" w:rsidRDefault="005379E5" w:rsidP="001E141A">
      <w:pPr>
        <w:rPr>
          <w:i/>
          <w:sz w:val="20"/>
        </w:rPr>
      </w:pPr>
    </w:p>
    <w:p w:rsidR="002751C4" w:rsidRDefault="002751C4"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086018AA" wp14:editId="699EE262">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94806" w:rsidRPr="00D17E6E" w:rsidRDefault="00C94806" w:rsidP="001E141A">
      <w:pPr>
        <w:rPr>
          <w:i/>
          <w:sz w:val="20"/>
        </w:rPr>
        <w:sectPr w:rsidR="00C94806" w:rsidRPr="00D17E6E" w:rsidSect="00D17E6E">
          <w:type w:val="continuous"/>
          <w:pgSz w:w="11906" w:h="16838" w:code="9"/>
          <w:pgMar w:top="964" w:right="1134" w:bottom="794" w:left="1134" w:header="709" w:footer="567" w:gutter="0"/>
          <w:cols w:space="567"/>
          <w:docGrid w:linePitch="360"/>
        </w:sectPr>
      </w:pPr>
    </w:p>
    <w:p w:rsidR="0023586C" w:rsidRPr="007F677F" w:rsidRDefault="0023586C" w:rsidP="002751C4"/>
    <w:sectPr w:rsidR="0023586C"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FE" w:rsidRDefault="00D151FE" w:rsidP="001E7D0D">
      <w:pPr>
        <w:spacing w:after="0" w:line="240" w:lineRule="auto"/>
      </w:pPr>
      <w:r>
        <w:separator/>
      </w:r>
    </w:p>
  </w:endnote>
  <w:endnote w:type="continuationSeparator" w:id="0">
    <w:p w:rsidR="00D151FE" w:rsidRDefault="00D151FE"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AE6A3CE" wp14:editId="0D26EE2E">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090BAA">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331EE5C7" wp14:editId="4361C6CE">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090BAA">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0D2A62">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FE" w:rsidRDefault="00D151FE" w:rsidP="001E7D0D">
      <w:pPr>
        <w:spacing w:after="0" w:line="240" w:lineRule="auto"/>
      </w:pPr>
      <w:r>
        <w:separator/>
      </w:r>
    </w:p>
  </w:footnote>
  <w:footnote w:type="continuationSeparator" w:id="0">
    <w:p w:rsidR="00D151FE" w:rsidRDefault="00D151FE"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0AF4CEB5" wp14:editId="6CAAB837">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C69F43D" wp14:editId="37CBB55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CF84A62" wp14:editId="7C4A5688">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1C8"/>
    <w:multiLevelType w:val="multilevel"/>
    <w:tmpl w:val="306ACA90"/>
    <w:lvl w:ilvl="0">
      <w:start w:val="1"/>
      <w:numFmt w:val="decimal"/>
      <w:pStyle w:val="Listnum"/>
      <w:lvlText w:val="%1."/>
      <w:lvlJc w:val="left"/>
      <w:pPr>
        <w:tabs>
          <w:tab w:val="num" w:pos="9075"/>
        </w:tabs>
        <w:ind w:left="9075" w:hanging="504"/>
      </w:pPr>
      <w:rPr>
        <w:rFonts w:hint="default"/>
      </w:rPr>
    </w:lvl>
    <w:lvl w:ilvl="1">
      <w:start w:val="1"/>
      <w:numFmt w:val="lowerLetter"/>
      <w:pStyle w:val="Listnum2"/>
      <w:lvlText w:val="(%2)"/>
      <w:lvlJc w:val="left"/>
      <w:pPr>
        <w:tabs>
          <w:tab w:val="num" w:pos="9579"/>
        </w:tabs>
        <w:ind w:left="9579" w:hanging="504"/>
      </w:pPr>
      <w:rPr>
        <w:rFonts w:hint="default"/>
      </w:rPr>
    </w:lvl>
    <w:lvl w:ilvl="2">
      <w:start w:val="1"/>
      <w:numFmt w:val="lowerRoman"/>
      <w:pStyle w:val="Listnum3"/>
      <w:lvlText w:val="(%3)"/>
      <w:lvlJc w:val="right"/>
      <w:pPr>
        <w:tabs>
          <w:tab w:val="num" w:pos="10083"/>
        </w:tabs>
        <w:ind w:left="10083" w:hanging="504"/>
      </w:pPr>
      <w:rPr>
        <w:rFonts w:hint="default"/>
      </w:rPr>
    </w:lvl>
    <w:lvl w:ilvl="3">
      <w:start w:val="1"/>
      <w:numFmt w:val="decimal"/>
      <w:lvlText w:val="%4."/>
      <w:lvlJc w:val="left"/>
      <w:pPr>
        <w:tabs>
          <w:tab w:val="num" w:pos="11153"/>
        </w:tabs>
        <w:ind w:left="10587" w:hanging="504"/>
      </w:pPr>
      <w:rPr>
        <w:rFonts w:hint="default"/>
      </w:rPr>
    </w:lvl>
    <w:lvl w:ilvl="4">
      <w:start w:val="1"/>
      <w:numFmt w:val="lowerLetter"/>
      <w:lvlText w:val="%5."/>
      <w:lvlJc w:val="left"/>
      <w:pPr>
        <w:tabs>
          <w:tab w:val="num" w:pos="11657"/>
        </w:tabs>
        <w:ind w:left="11091" w:hanging="504"/>
      </w:pPr>
      <w:rPr>
        <w:rFonts w:hint="default"/>
      </w:rPr>
    </w:lvl>
    <w:lvl w:ilvl="5">
      <w:start w:val="1"/>
      <w:numFmt w:val="lowerRoman"/>
      <w:lvlText w:val="%6."/>
      <w:lvlJc w:val="right"/>
      <w:pPr>
        <w:tabs>
          <w:tab w:val="num" w:pos="12161"/>
        </w:tabs>
        <w:ind w:left="11595" w:hanging="504"/>
      </w:pPr>
      <w:rPr>
        <w:rFonts w:hint="default"/>
      </w:rPr>
    </w:lvl>
    <w:lvl w:ilvl="6">
      <w:start w:val="1"/>
      <w:numFmt w:val="decimal"/>
      <w:lvlText w:val="%7."/>
      <w:lvlJc w:val="left"/>
      <w:pPr>
        <w:tabs>
          <w:tab w:val="num" w:pos="12665"/>
        </w:tabs>
        <w:ind w:left="12099" w:hanging="504"/>
      </w:pPr>
      <w:rPr>
        <w:rFonts w:hint="default"/>
      </w:rPr>
    </w:lvl>
    <w:lvl w:ilvl="7">
      <w:start w:val="1"/>
      <w:numFmt w:val="lowerLetter"/>
      <w:lvlText w:val="%8."/>
      <w:lvlJc w:val="left"/>
      <w:pPr>
        <w:tabs>
          <w:tab w:val="num" w:pos="13169"/>
        </w:tabs>
        <w:ind w:left="12603" w:hanging="504"/>
      </w:pPr>
      <w:rPr>
        <w:rFonts w:hint="default"/>
      </w:rPr>
    </w:lvl>
    <w:lvl w:ilvl="8">
      <w:start w:val="1"/>
      <w:numFmt w:val="lowerRoman"/>
      <w:lvlText w:val="%9."/>
      <w:lvlJc w:val="right"/>
      <w:pPr>
        <w:tabs>
          <w:tab w:val="num" w:pos="13673"/>
        </w:tabs>
        <w:ind w:left="13107" w:hanging="504"/>
      </w:pPr>
      <w:rPr>
        <w:rFonts w:hint="default"/>
      </w:rPr>
    </w:lvl>
  </w:abstractNum>
  <w:abstractNum w:abstractNumId="1">
    <w:nsid w:val="35332250"/>
    <w:multiLevelType w:val="multilevel"/>
    <w:tmpl w:val="DA6E3D5C"/>
    <w:numStyleLink w:val="Highlightbulletstyle"/>
  </w:abstractNum>
  <w:abstractNum w:abstractNumId="2">
    <w:nsid w:val="5FB034FE"/>
    <w:multiLevelType w:val="hybridMultilevel"/>
    <w:tmpl w:val="EAFC73E8"/>
    <w:lvl w:ilvl="0" w:tplc="EBACE46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4065935"/>
    <w:multiLevelType w:val="multilevel"/>
    <w:tmpl w:val="DA6E3D5C"/>
    <w:numStyleLink w:val="Highlightbulletstyle"/>
  </w:abstractNum>
  <w:num w:numId="1">
    <w:abstractNumId w:val="3"/>
  </w:num>
  <w:num w:numId="2">
    <w:abstractNumId w:val="1"/>
  </w:num>
  <w:num w:numId="3">
    <w:abstractNumId w:val="4"/>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04F57"/>
    <w:rsid w:val="00010651"/>
    <w:rsid w:val="00012FB4"/>
    <w:rsid w:val="00014A00"/>
    <w:rsid w:val="000160BC"/>
    <w:rsid w:val="00016356"/>
    <w:rsid w:val="000176C9"/>
    <w:rsid w:val="00020292"/>
    <w:rsid w:val="00021D1F"/>
    <w:rsid w:val="00022C95"/>
    <w:rsid w:val="00023640"/>
    <w:rsid w:val="00025709"/>
    <w:rsid w:val="00027A5D"/>
    <w:rsid w:val="0003309C"/>
    <w:rsid w:val="00033485"/>
    <w:rsid w:val="00035A12"/>
    <w:rsid w:val="00036CD9"/>
    <w:rsid w:val="00042C14"/>
    <w:rsid w:val="00044907"/>
    <w:rsid w:val="00045DBC"/>
    <w:rsid w:val="00046F57"/>
    <w:rsid w:val="00047DD7"/>
    <w:rsid w:val="00051BA4"/>
    <w:rsid w:val="00053341"/>
    <w:rsid w:val="00053F71"/>
    <w:rsid w:val="00054120"/>
    <w:rsid w:val="00054994"/>
    <w:rsid w:val="0005571F"/>
    <w:rsid w:val="000576D1"/>
    <w:rsid w:val="000611D9"/>
    <w:rsid w:val="00061229"/>
    <w:rsid w:val="000621B6"/>
    <w:rsid w:val="00062BCA"/>
    <w:rsid w:val="00063D5E"/>
    <w:rsid w:val="00064ECB"/>
    <w:rsid w:val="00065923"/>
    <w:rsid w:val="000660AA"/>
    <w:rsid w:val="0006662B"/>
    <w:rsid w:val="000720FA"/>
    <w:rsid w:val="0007353B"/>
    <w:rsid w:val="00073A18"/>
    <w:rsid w:val="0007721B"/>
    <w:rsid w:val="00081929"/>
    <w:rsid w:val="00081AA9"/>
    <w:rsid w:val="00083238"/>
    <w:rsid w:val="000848EB"/>
    <w:rsid w:val="0008661D"/>
    <w:rsid w:val="00087930"/>
    <w:rsid w:val="00090BAA"/>
    <w:rsid w:val="00092EB0"/>
    <w:rsid w:val="00092FE6"/>
    <w:rsid w:val="00093F23"/>
    <w:rsid w:val="00095562"/>
    <w:rsid w:val="00097DC0"/>
    <w:rsid w:val="000A3879"/>
    <w:rsid w:val="000A3DE5"/>
    <w:rsid w:val="000A6218"/>
    <w:rsid w:val="000B3A27"/>
    <w:rsid w:val="000B4020"/>
    <w:rsid w:val="000B6B2E"/>
    <w:rsid w:val="000D2445"/>
    <w:rsid w:val="000D2A62"/>
    <w:rsid w:val="000D4112"/>
    <w:rsid w:val="000D517F"/>
    <w:rsid w:val="000D7E75"/>
    <w:rsid w:val="000E1FFA"/>
    <w:rsid w:val="000E5E7D"/>
    <w:rsid w:val="000F167A"/>
    <w:rsid w:val="000F1769"/>
    <w:rsid w:val="000F2FBA"/>
    <w:rsid w:val="000F6F43"/>
    <w:rsid w:val="000F7908"/>
    <w:rsid w:val="001010BD"/>
    <w:rsid w:val="00103711"/>
    <w:rsid w:val="00103EC5"/>
    <w:rsid w:val="00106242"/>
    <w:rsid w:val="001071BD"/>
    <w:rsid w:val="00107EEF"/>
    <w:rsid w:val="0011281B"/>
    <w:rsid w:val="001148E7"/>
    <w:rsid w:val="00114E7A"/>
    <w:rsid w:val="001178AE"/>
    <w:rsid w:val="001207CE"/>
    <w:rsid w:val="00123AFA"/>
    <w:rsid w:val="00125049"/>
    <w:rsid w:val="00130B73"/>
    <w:rsid w:val="001372E4"/>
    <w:rsid w:val="001428A1"/>
    <w:rsid w:val="001442F4"/>
    <w:rsid w:val="00144662"/>
    <w:rsid w:val="00146D13"/>
    <w:rsid w:val="00155E50"/>
    <w:rsid w:val="001669BE"/>
    <w:rsid w:val="001709F7"/>
    <w:rsid w:val="00173104"/>
    <w:rsid w:val="00175390"/>
    <w:rsid w:val="00181D8E"/>
    <w:rsid w:val="0019025E"/>
    <w:rsid w:val="0019153C"/>
    <w:rsid w:val="00191DDE"/>
    <w:rsid w:val="00192916"/>
    <w:rsid w:val="00192A6E"/>
    <w:rsid w:val="00195637"/>
    <w:rsid w:val="001A1164"/>
    <w:rsid w:val="001A179F"/>
    <w:rsid w:val="001A1E71"/>
    <w:rsid w:val="001B0012"/>
    <w:rsid w:val="001B0E91"/>
    <w:rsid w:val="001B3301"/>
    <w:rsid w:val="001B35BD"/>
    <w:rsid w:val="001B59EB"/>
    <w:rsid w:val="001B6034"/>
    <w:rsid w:val="001C1EC8"/>
    <w:rsid w:val="001D0F0C"/>
    <w:rsid w:val="001D1AB4"/>
    <w:rsid w:val="001D2117"/>
    <w:rsid w:val="001D432C"/>
    <w:rsid w:val="001D5D39"/>
    <w:rsid w:val="001D7B30"/>
    <w:rsid w:val="001E03B1"/>
    <w:rsid w:val="001E1270"/>
    <w:rsid w:val="001E141A"/>
    <w:rsid w:val="001E5D17"/>
    <w:rsid w:val="001E7A6D"/>
    <w:rsid w:val="001E7D0D"/>
    <w:rsid w:val="001E7D7B"/>
    <w:rsid w:val="001F03D2"/>
    <w:rsid w:val="0020012F"/>
    <w:rsid w:val="00200D1F"/>
    <w:rsid w:val="002014B8"/>
    <w:rsid w:val="00202582"/>
    <w:rsid w:val="00202BAF"/>
    <w:rsid w:val="002068A8"/>
    <w:rsid w:val="00212251"/>
    <w:rsid w:val="00220638"/>
    <w:rsid w:val="0022157A"/>
    <w:rsid w:val="00222DFE"/>
    <w:rsid w:val="00223311"/>
    <w:rsid w:val="002237C1"/>
    <w:rsid w:val="00231277"/>
    <w:rsid w:val="0023586C"/>
    <w:rsid w:val="002414D2"/>
    <w:rsid w:val="0024227B"/>
    <w:rsid w:val="00244136"/>
    <w:rsid w:val="00245E95"/>
    <w:rsid w:val="00246C5C"/>
    <w:rsid w:val="00253B12"/>
    <w:rsid w:val="00253D99"/>
    <w:rsid w:val="00256ABE"/>
    <w:rsid w:val="0025798D"/>
    <w:rsid w:val="00261D70"/>
    <w:rsid w:val="00262411"/>
    <w:rsid w:val="00264F48"/>
    <w:rsid w:val="00270AF2"/>
    <w:rsid w:val="00270CF1"/>
    <w:rsid w:val="00274C7F"/>
    <w:rsid w:val="002751C4"/>
    <w:rsid w:val="0028118E"/>
    <w:rsid w:val="00282F8F"/>
    <w:rsid w:val="00283D6B"/>
    <w:rsid w:val="00286478"/>
    <w:rsid w:val="002868CD"/>
    <w:rsid w:val="00290FB0"/>
    <w:rsid w:val="002920D2"/>
    <w:rsid w:val="00293A6B"/>
    <w:rsid w:val="002A0EE8"/>
    <w:rsid w:val="002A4E54"/>
    <w:rsid w:val="002B0039"/>
    <w:rsid w:val="002B6763"/>
    <w:rsid w:val="002C094C"/>
    <w:rsid w:val="002C0ACC"/>
    <w:rsid w:val="002C4FEE"/>
    <w:rsid w:val="002C7493"/>
    <w:rsid w:val="002C7495"/>
    <w:rsid w:val="002D2638"/>
    <w:rsid w:val="002D4B7B"/>
    <w:rsid w:val="002D52D6"/>
    <w:rsid w:val="002E323E"/>
    <w:rsid w:val="002E5840"/>
    <w:rsid w:val="002E5AB4"/>
    <w:rsid w:val="002E5FA6"/>
    <w:rsid w:val="002E61AC"/>
    <w:rsid w:val="002E73F4"/>
    <w:rsid w:val="002F04BA"/>
    <w:rsid w:val="002F13D9"/>
    <w:rsid w:val="002F21A5"/>
    <w:rsid w:val="002F5DE2"/>
    <w:rsid w:val="00301591"/>
    <w:rsid w:val="00306D76"/>
    <w:rsid w:val="00320889"/>
    <w:rsid w:val="003228FA"/>
    <w:rsid w:val="00323FC2"/>
    <w:rsid w:val="00335813"/>
    <w:rsid w:val="00345476"/>
    <w:rsid w:val="0034648C"/>
    <w:rsid w:val="00346694"/>
    <w:rsid w:val="00346980"/>
    <w:rsid w:val="00347992"/>
    <w:rsid w:val="00347BE0"/>
    <w:rsid w:val="003529D4"/>
    <w:rsid w:val="003540A1"/>
    <w:rsid w:val="00354235"/>
    <w:rsid w:val="00360077"/>
    <w:rsid w:val="00360F22"/>
    <w:rsid w:val="0037175A"/>
    <w:rsid w:val="00372159"/>
    <w:rsid w:val="003806CD"/>
    <w:rsid w:val="00380DA2"/>
    <w:rsid w:val="00381798"/>
    <w:rsid w:val="00381C44"/>
    <w:rsid w:val="00381E61"/>
    <w:rsid w:val="0038201F"/>
    <w:rsid w:val="00382510"/>
    <w:rsid w:val="003831AB"/>
    <w:rsid w:val="003844EC"/>
    <w:rsid w:val="00384A23"/>
    <w:rsid w:val="003902A0"/>
    <w:rsid w:val="003915B9"/>
    <w:rsid w:val="00394456"/>
    <w:rsid w:val="003952AA"/>
    <w:rsid w:val="003A0F37"/>
    <w:rsid w:val="003A3175"/>
    <w:rsid w:val="003A3AD2"/>
    <w:rsid w:val="003A4B92"/>
    <w:rsid w:val="003A65EF"/>
    <w:rsid w:val="003B00F1"/>
    <w:rsid w:val="003B27C9"/>
    <w:rsid w:val="003B3D66"/>
    <w:rsid w:val="003C3E82"/>
    <w:rsid w:val="003C5B4A"/>
    <w:rsid w:val="003C665B"/>
    <w:rsid w:val="003C6D78"/>
    <w:rsid w:val="003D0FD1"/>
    <w:rsid w:val="003E507C"/>
    <w:rsid w:val="003E6813"/>
    <w:rsid w:val="003F2540"/>
    <w:rsid w:val="003F77EE"/>
    <w:rsid w:val="003F78A6"/>
    <w:rsid w:val="003F78F1"/>
    <w:rsid w:val="0040027B"/>
    <w:rsid w:val="0040561C"/>
    <w:rsid w:val="00405FBA"/>
    <w:rsid w:val="00407DB0"/>
    <w:rsid w:val="0041092A"/>
    <w:rsid w:val="00412B93"/>
    <w:rsid w:val="00416A04"/>
    <w:rsid w:val="004248E2"/>
    <w:rsid w:val="0043064C"/>
    <w:rsid w:val="0043096A"/>
    <w:rsid w:val="00434A99"/>
    <w:rsid w:val="00434C46"/>
    <w:rsid w:val="00435687"/>
    <w:rsid w:val="00440C3A"/>
    <w:rsid w:val="004412FB"/>
    <w:rsid w:val="004431F4"/>
    <w:rsid w:val="0044340B"/>
    <w:rsid w:val="00443FD2"/>
    <w:rsid w:val="00450F23"/>
    <w:rsid w:val="0045265F"/>
    <w:rsid w:val="00453A5E"/>
    <w:rsid w:val="00453CBD"/>
    <w:rsid w:val="004556E4"/>
    <w:rsid w:val="00455CCF"/>
    <w:rsid w:val="00456F3B"/>
    <w:rsid w:val="0046250A"/>
    <w:rsid w:val="00466052"/>
    <w:rsid w:val="00466B30"/>
    <w:rsid w:val="00466CDB"/>
    <w:rsid w:val="0047038E"/>
    <w:rsid w:val="00474854"/>
    <w:rsid w:val="004768B5"/>
    <w:rsid w:val="00480F7B"/>
    <w:rsid w:val="00483862"/>
    <w:rsid w:val="00484190"/>
    <w:rsid w:val="004904DE"/>
    <w:rsid w:val="00494A89"/>
    <w:rsid w:val="00496637"/>
    <w:rsid w:val="004A4775"/>
    <w:rsid w:val="004A5EFF"/>
    <w:rsid w:val="004A60F4"/>
    <w:rsid w:val="004B0DE0"/>
    <w:rsid w:val="004B3EB7"/>
    <w:rsid w:val="004B6E36"/>
    <w:rsid w:val="004C1EE8"/>
    <w:rsid w:val="004C2B18"/>
    <w:rsid w:val="004C630F"/>
    <w:rsid w:val="004D315E"/>
    <w:rsid w:val="004D34CD"/>
    <w:rsid w:val="004D582C"/>
    <w:rsid w:val="004E06F1"/>
    <w:rsid w:val="004E15F5"/>
    <w:rsid w:val="004E1C48"/>
    <w:rsid w:val="004E7510"/>
    <w:rsid w:val="004F011B"/>
    <w:rsid w:val="004F2C65"/>
    <w:rsid w:val="004F3C3A"/>
    <w:rsid w:val="004F5D02"/>
    <w:rsid w:val="004F650A"/>
    <w:rsid w:val="004F7193"/>
    <w:rsid w:val="00502D70"/>
    <w:rsid w:val="00504D17"/>
    <w:rsid w:val="00506EEE"/>
    <w:rsid w:val="00507432"/>
    <w:rsid w:val="00516980"/>
    <w:rsid w:val="00521BA8"/>
    <w:rsid w:val="00521F88"/>
    <w:rsid w:val="005221D6"/>
    <w:rsid w:val="00523A27"/>
    <w:rsid w:val="00524654"/>
    <w:rsid w:val="005246FB"/>
    <w:rsid w:val="005256FC"/>
    <w:rsid w:val="00525DDD"/>
    <w:rsid w:val="00526938"/>
    <w:rsid w:val="005279B1"/>
    <w:rsid w:val="005316CE"/>
    <w:rsid w:val="005318CE"/>
    <w:rsid w:val="005325F0"/>
    <w:rsid w:val="00532F90"/>
    <w:rsid w:val="00534B86"/>
    <w:rsid w:val="00534C19"/>
    <w:rsid w:val="005379E5"/>
    <w:rsid w:val="00537EC6"/>
    <w:rsid w:val="0054649F"/>
    <w:rsid w:val="005509BC"/>
    <w:rsid w:val="00554F72"/>
    <w:rsid w:val="00557172"/>
    <w:rsid w:val="005572CF"/>
    <w:rsid w:val="005577EE"/>
    <w:rsid w:val="00561537"/>
    <w:rsid w:val="0056659D"/>
    <w:rsid w:val="00567A0F"/>
    <w:rsid w:val="00575F8D"/>
    <w:rsid w:val="00576235"/>
    <w:rsid w:val="00576DC6"/>
    <w:rsid w:val="005801E4"/>
    <w:rsid w:val="00580A73"/>
    <w:rsid w:val="005859E0"/>
    <w:rsid w:val="00590DB3"/>
    <w:rsid w:val="005A312B"/>
    <w:rsid w:val="005A3A8E"/>
    <w:rsid w:val="005A499A"/>
    <w:rsid w:val="005B02A3"/>
    <w:rsid w:val="005B50FE"/>
    <w:rsid w:val="005B5D8C"/>
    <w:rsid w:val="005B6236"/>
    <w:rsid w:val="005B7D8B"/>
    <w:rsid w:val="005C2020"/>
    <w:rsid w:val="005C5FE2"/>
    <w:rsid w:val="005D5C2A"/>
    <w:rsid w:val="005D72B5"/>
    <w:rsid w:val="005E1F2C"/>
    <w:rsid w:val="005E2185"/>
    <w:rsid w:val="005E4620"/>
    <w:rsid w:val="005E4A36"/>
    <w:rsid w:val="005E64C4"/>
    <w:rsid w:val="005E672B"/>
    <w:rsid w:val="005F0E15"/>
    <w:rsid w:val="005F34B4"/>
    <w:rsid w:val="006000A0"/>
    <w:rsid w:val="0060422F"/>
    <w:rsid w:val="00604447"/>
    <w:rsid w:val="006068E2"/>
    <w:rsid w:val="00606BF1"/>
    <w:rsid w:val="00607271"/>
    <w:rsid w:val="006072A0"/>
    <w:rsid w:val="006119A1"/>
    <w:rsid w:val="006135AB"/>
    <w:rsid w:val="00613DBA"/>
    <w:rsid w:val="00615915"/>
    <w:rsid w:val="006166DD"/>
    <w:rsid w:val="006345C6"/>
    <w:rsid w:val="00634CB3"/>
    <w:rsid w:val="00637485"/>
    <w:rsid w:val="006375DD"/>
    <w:rsid w:val="00637684"/>
    <w:rsid w:val="00640214"/>
    <w:rsid w:val="00641691"/>
    <w:rsid w:val="0064291B"/>
    <w:rsid w:val="00643BE0"/>
    <w:rsid w:val="00650127"/>
    <w:rsid w:val="00652783"/>
    <w:rsid w:val="00655ADA"/>
    <w:rsid w:val="00655B24"/>
    <w:rsid w:val="00655CCE"/>
    <w:rsid w:val="006619C8"/>
    <w:rsid w:val="00664763"/>
    <w:rsid w:val="00666002"/>
    <w:rsid w:val="00666ED0"/>
    <w:rsid w:val="00670109"/>
    <w:rsid w:val="00670790"/>
    <w:rsid w:val="00670E78"/>
    <w:rsid w:val="006717DA"/>
    <w:rsid w:val="00675585"/>
    <w:rsid w:val="0068057E"/>
    <w:rsid w:val="00681947"/>
    <w:rsid w:val="0068446F"/>
    <w:rsid w:val="0069059D"/>
    <w:rsid w:val="0069470E"/>
    <w:rsid w:val="00697F1F"/>
    <w:rsid w:val="006A0CDF"/>
    <w:rsid w:val="006A1032"/>
    <w:rsid w:val="006A7ABD"/>
    <w:rsid w:val="006B11CA"/>
    <w:rsid w:val="006B3A0B"/>
    <w:rsid w:val="006B486C"/>
    <w:rsid w:val="006C0DF2"/>
    <w:rsid w:val="006C400D"/>
    <w:rsid w:val="006C4435"/>
    <w:rsid w:val="006C6503"/>
    <w:rsid w:val="006D2C01"/>
    <w:rsid w:val="006E06AD"/>
    <w:rsid w:val="006E0DF0"/>
    <w:rsid w:val="006E169E"/>
    <w:rsid w:val="006E3ABA"/>
    <w:rsid w:val="006E401A"/>
    <w:rsid w:val="006E7709"/>
    <w:rsid w:val="006F3B8C"/>
    <w:rsid w:val="006F6780"/>
    <w:rsid w:val="00700502"/>
    <w:rsid w:val="00700764"/>
    <w:rsid w:val="00703EBC"/>
    <w:rsid w:val="00705025"/>
    <w:rsid w:val="00706673"/>
    <w:rsid w:val="00707BF6"/>
    <w:rsid w:val="00710B79"/>
    <w:rsid w:val="00713948"/>
    <w:rsid w:val="00717ED7"/>
    <w:rsid w:val="00721ED1"/>
    <w:rsid w:val="00722C03"/>
    <w:rsid w:val="007231C4"/>
    <w:rsid w:val="00730EFC"/>
    <w:rsid w:val="00731D4A"/>
    <w:rsid w:val="007347B8"/>
    <w:rsid w:val="0073506D"/>
    <w:rsid w:val="007364C8"/>
    <w:rsid w:val="00736912"/>
    <w:rsid w:val="007460B7"/>
    <w:rsid w:val="00750856"/>
    <w:rsid w:val="0075117C"/>
    <w:rsid w:val="00751643"/>
    <w:rsid w:val="00765E58"/>
    <w:rsid w:val="00771375"/>
    <w:rsid w:val="007757EB"/>
    <w:rsid w:val="0077773D"/>
    <w:rsid w:val="00781AB5"/>
    <w:rsid w:val="00787CBC"/>
    <w:rsid w:val="007941D3"/>
    <w:rsid w:val="007972CA"/>
    <w:rsid w:val="007A03AA"/>
    <w:rsid w:val="007A139F"/>
    <w:rsid w:val="007B0DDE"/>
    <w:rsid w:val="007B4BD4"/>
    <w:rsid w:val="007C7BE7"/>
    <w:rsid w:val="007D0358"/>
    <w:rsid w:val="007D618F"/>
    <w:rsid w:val="007D688E"/>
    <w:rsid w:val="007D6F02"/>
    <w:rsid w:val="007E2AD3"/>
    <w:rsid w:val="007E4A14"/>
    <w:rsid w:val="007E5421"/>
    <w:rsid w:val="007E6072"/>
    <w:rsid w:val="007F2F37"/>
    <w:rsid w:val="007F6738"/>
    <w:rsid w:val="007F677F"/>
    <w:rsid w:val="00801834"/>
    <w:rsid w:val="00802FB2"/>
    <w:rsid w:val="00803E2C"/>
    <w:rsid w:val="008061D0"/>
    <w:rsid w:val="0081037E"/>
    <w:rsid w:val="008115C7"/>
    <w:rsid w:val="00813058"/>
    <w:rsid w:val="00816160"/>
    <w:rsid w:val="00820021"/>
    <w:rsid w:val="00827595"/>
    <w:rsid w:val="00831F56"/>
    <w:rsid w:val="00833B24"/>
    <w:rsid w:val="00833E9D"/>
    <w:rsid w:val="00834D07"/>
    <w:rsid w:val="0083514C"/>
    <w:rsid w:val="00837C8E"/>
    <w:rsid w:val="008406AA"/>
    <w:rsid w:val="00840776"/>
    <w:rsid w:val="0084251F"/>
    <w:rsid w:val="008437E6"/>
    <w:rsid w:val="008447D1"/>
    <w:rsid w:val="00846CB9"/>
    <w:rsid w:val="00855C1D"/>
    <w:rsid w:val="008563E7"/>
    <w:rsid w:val="008565B3"/>
    <w:rsid w:val="00865D5B"/>
    <w:rsid w:val="008660A0"/>
    <w:rsid w:val="00866111"/>
    <w:rsid w:val="00872BD9"/>
    <w:rsid w:val="00872BDF"/>
    <w:rsid w:val="00874CD5"/>
    <w:rsid w:val="00876989"/>
    <w:rsid w:val="00876AC6"/>
    <w:rsid w:val="008851AB"/>
    <w:rsid w:val="00885DAC"/>
    <w:rsid w:val="00887B0E"/>
    <w:rsid w:val="008926D2"/>
    <w:rsid w:val="0089355C"/>
    <w:rsid w:val="0089514C"/>
    <w:rsid w:val="008A0C1C"/>
    <w:rsid w:val="008A3F4A"/>
    <w:rsid w:val="008B2D78"/>
    <w:rsid w:val="008B5294"/>
    <w:rsid w:val="008C6468"/>
    <w:rsid w:val="008C67AB"/>
    <w:rsid w:val="008D419F"/>
    <w:rsid w:val="008D4C72"/>
    <w:rsid w:val="008D67D7"/>
    <w:rsid w:val="008D6A2F"/>
    <w:rsid w:val="008D7232"/>
    <w:rsid w:val="008E215E"/>
    <w:rsid w:val="008E2D29"/>
    <w:rsid w:val="008F253E"/>
    <w:rsid w:val="00901872"/>
    <w:rsid w:val="00904A36"/>
    <w:rsid w:val="009057D1"/>
    <w:rsid w:val="00906AF7"/>
    <w:rsid w:val="0091308E"/>
    <w:rsid w:val="00917DA7"/>
    <w:rsid w:val="0092123B"/>
    <w:rsid w:val="00925104"/>
    <w:rsid w:val="00925EF7"/>
    <w:rsid w:val="009264E6"/>
    <w:rsid w:val="00927445"/>
    <w:rsid w:val="00933184"/>
    <w:rsid w:val="00935902"/>
    <w:rsid w:val="009379B3"/>
    <w:rsid w:val="00941922"/>
    <w:rsid w:val="00941FCC"/>
    <w:rsid w:val="00942979"/>
    <w:rsid w:val="009445EE"/>
    <w:rsid w:val="009506AF"/>
    <w:rsid w:val="00953D82"/>
    <w:rsid w:val="0095727E"/>
    <w:rsid w:val="00960B7C"/>
    <w:rsid w:val="00960C7E"/>
    <w:rsid w:val="00961DC4"/>
    <w:rsid w:val="0096265F"/>
    <w:rsid w:val="00964E4A"/>
    <w:rsid w:val="00965986"/>
    <w:rsid w:val="0096692A"/>
    <w:rsid w:val="00967403"/>
    <w:rsid w:val="00970105"/>
    <w:rsid w:val="0097342E"/>
    <w:rsid w:val="00974505"/>
    <w:rsid w:val="00980269"/>
    <w:rsid w:val="00983012"/>
    <w:rsid w:val="00983408"/>
    <w:rsid w:val="009910AD"/>
    <w:rsid w:val="009946D6"/>
    <w:rsid w:val="009977C2"/>
    <w:rsid w:val="009A0CC6"/>
    <w:rsid w:val="009A3026"/>
    <w:rsid w:val="009A39A9"/>
    <w:rsid w:val="009A5772"/>
    <w:rsid w:val="009A5CE0"/>
    <w:rsid w:val="009A68DF"/>
    <w:rsid w:val="009A77B2"/>
    <w:rsid w:val="009B0BE4"/>
    <w:rsid w:val="009C533E"/>
    <w:rsid w:val="009C5582"/>
    <w:rsid w:val="009C6442"/>
    <w:rsid w:val="009C66D2"/>
    <w:rsid w:val="009D35B5"/>
    <w:rsid w:val="009E0F7A"/>
    <w:rsid w:val="009E13DC"/>
    <w:rsid w:val="009E176B"/>
    <w:rsid w:val="009E3C8A"/>
    <w:rsid w:val="009E5DC7"/>
    <w:rsid w:val="009E654E"/>
    <w:rsid w:val="009E6852"/>
    <w:rsid w:val="009E7726"/>
    <w:rsid w:val="009F022A"/>
    <w:rsid w:val="009F0F64"/>
    <w:rsid w:val="009F277F"/>
    <w:rsid w:val="00A0102A"/>
    <w:rsid w:val="00A011A5"/>
    <w:rsid w:val="00A03B82"/>
    <w:rsid w:val="00A05497"/>
    <w:rsid w:val="00A05F37"/>
    <w:rsid w:val="00A07DFA"/>
    <w:rsid w:val="00A1484B"/>
    <w:rsid w:val="00A15447"/>
    <w:rsid w:val="00A21056"/>
    <w:rsid w:val="00A22C6E"/>
    <w:rsid w:val="00A24EB7"/>
    <w:rsid w:val="00A25A6B"/>
    <w:rsid w:val="00A2697F"/>
    <w:rsid w:val="00A27B08"/>
    <w:rsid w:val="00A346D5"/>
    <w:rsid w:val="00A363B5"/>
    <w:rsid w:val="00A36F03"/>
    <w:rsid w:val="00A4205F"/>
    <w:rsid w:val="00A441AF"/>
    <w:rsid w:val="00A54258"/>
    <w:rsid w:val="00A54E58"/>
    <w:rsid w:val="00A55ECA"/>
    <w:rsid w:val="00A603CF"/>
    <w:rsid w:val="00A647DA"/>
    <w:rsid w:val="00A66E77"/>
    <w:rsid w:val="00A67716"/>
    <w:rsid w:val="00A67A0B"/>
    <w:rsid w:val="00A7050A"/>
    <w:rsid w:val="00A70602"/>
    <w:rsid w:val="00A73E99"/>
    <w:rsid w:val="00A743D7"/>
    <w:rsid w:val="00A75E1E"/>
    <w:rsid w:val="00A82B38"/>
    <w:rsid w:val="00A91509"/>
    <w:rsid w:val="00A96140"/>
    <w:rsid w:val="00AA516F"/>
    <w:rsid w:val="00AA56BE"/>
    <w:rsid w:val="00AA68F7"/>
    <w:rsid w:val="00AA73B6"/>
    <w:rsid w:val="00AC0213"/>
    <w:rsid w:val="00AC3523"/>
    <w:rsid w:val="00AC47D6"/>
    <w:rsid w:val="00AC4B92"/>
    <w:rsid w:val="00AD0968"/>
    <w:rsid w:val="00AD0D84"/>
    <w:rsid w:val="00AD2B97"/>
    <w:rsid w:val="00AD32EB"/>
    <w:rsid w:val="00AD5F43"/>
    <w:rsid w:val="00AD7623"/>
    <w:rsid w:val="00AD7719"/>
    <w:rsid w:val="00AE2681"/>
    <w:rsid w:val="00AE310A"/>
    <w:rsid w:val="00AE5766"/>
    <w:rsid w:val="00AE7CE2"/>
    <w:rsid w:val="00AF0029"/>
    <w:rsid w:val="00AF03D6"/>
    <w:rsid w:val="00AF3830"/>
    <w:rsid w:val="00AF4080"/>
    <w:rsid w:val="00B067DD"/>
    <w:rsid w:val="00B124E0"/>
    <w:rsid w:val="00B14BE2"/>
    <w:rsid w:val="00B15EA3"/>
    <w:rsid w:val="00B17DE6"/>
    <w:rsid w:val="00B23E2F"/>
    <w:rsid w:val="00B24275"/>
    <w:rsid w:val="00B343CB"/>
    <w:rsid w:val="00B34D62"/>
    <w:rsid w:val="00B36DC9"/>
    <w:rsid w:val="00B36EAD"/>
    <w:rsid w:val="00B51377"/>
    <w:rsid w:val="00B54575"/>
    <w:rsid w:val="00B56033"/>
    <w:rsid w:val="00B56DF5"/>
    <w:rsid w:val="00B5781B"/>
    <w:rsid w:val="00B602FB"/>
    <w:rsid w:val="00B60937"/>
    <w:rsid w:val="00B7051C"/>
    <w:rsid w:val="00B75088"/>
    <w:rsid w:val="00B7562B"/>
    <w:rsid w:val="00B7656C"/>
    <w:rsid w:val="00B81689"/>
    <w:rsid w:val="00B81B82"/>
    <w:rsid w:val="00B82663"/>
    <w:rsid w:val="00B94DA6"/>
    <w:rsid w:val="00B95141"/>
    <w:rsid w:val="00B97E06"/>
    <w:rsid w:val="00BA1124"/>
    <w:rsid w:val="00BA2604"/>
    <w:rsid w:val="00BA3154"/>
    <w:rsid w:val="00BA58EB"/>
    <w:rsid w:val="00BA65B2"/>
    <w:rsid w:val="00BA6B8C"/>
    <w:rsid w:val="00BB032A"/>
    <w:rsid w:val="00BB07CD"/>
    <w:rsid w:val="00BB0BF9"/>
    <w:rsid w:val="00BB0D30"/>
    <w:rsid w:val="00BB20AA"/>
    <w:rsid w:val="00BB2557"/>
    <w:rsid w:val="00BB5CEC"/>
    <w:rsid w:val="00BC0DCB"/>
    <w:rsid w:val="00BC0EF7"/>
    <w:rsid w:val="00BC0FAE"/>
    <w:rsid w:val="00BC2E59"/>
    <w:rsid w:val="00BC3E78"/>
    <w:rsid w:val="00BC672F"/>
    <w:rsid w:val="00BC6868"/>
    <w:rsid w:val="00BD24EB"/>
    <w:rsid w:val="00BD2F35"/>
    <w:rsid w:val="00BE3069"/>
    <w:rsid w:val="00BE3446"/>
    <w:rsid w:val="00BE514B"/>
    <w:rsid w:val="00BF619B"/>
    <w:rsid w:val="00C03C8B"/>
    <w:rsid w:val="00C1101F"/>
    <w:rsid w:val="00C13752"/>
    <w:rsid w:val="00C15903"/>
    <w:rsid w:val="00C22647"/>
    <w:rsid w:val="00C22FB4"/>
    <w:rsid w:val="00C25BFE"/>
    <w:rsid w:val="00C3070A"/>
    <w:rsid w:val="00C32759"/>
    <w:rsid w:val="00C33630"/>
    <w:rsid w:val="00C33761"/>
    <w:rsid w:val="00C4203F"/>
    <w:rsid w:val="00C43A87"/>
    <w:rsid w:val="00C441C8"/>
    <w:rsid w:val="00C464BC"/>
    <w:rsid w:val="00C5163C"/>
    <w:rsid w:val="00C53480"/>
    <w:rsid w:val="00C5410B"/>
    <w:rsid w:val="00C5427E"/>
    <w:rsid w:val="00C542A9"/>
    <w:rsid w:val="00C5434C"/>
    <w:rsid w:val="00C569A3"/>
    <w:rsid w:val="00C60AF1"/>
    <w:rsid w:val="00C65755"/>
    <w:rsid w:val="00C657FA"/>
    <w:rsid w:val="00C66A4E"/>
    <w:rsid w:val="00C71A2D"/>
    <w:rsid w:val="00C75A3C"/>
    <w:rsid w:val="00C86481"/>
    <w:rsid w:val="00C86987"/>
    <w:rsid w:val="00C86AA1"/>
    <w:rsid w:val="00C87955"/>
    <w:rsid w:val="00C94806"/>
    <w:rsid w:val="00C94ED7"/>
    <w:rsid w:val="00C9664F"/>
    <w:rsid w:val="00CA0732"/>
    <w:rsid w:val="00CA275E"/>
    <w:rsid w:val="00CA3441"/>
    <w:rsid w:val="00CA4128"/>
    <w:rsid w:val="00CA6B20"/>
    <w:rsid w:val="00CB1FC1"/>
    <w:rsid w:val="00CB2339"/>
    <w:rsid w:val="00CB6120"/>
    <w:rsid w:val="00CB724D"/>
    <w:rsid w:val="00CB791F"/>
    <w:rsid w:val="00CB7BB7"/>
    <w:rsid w:val="00CB7F4A"/>
    <w:rsid w:val="00CC2A70"/>
    <w:rsid w:val="00CC3381"/>
    <w:rsid w:val="00CC4342"/>
    <w:rsid w:val="00CD1E1B"/>
    <w:rsid w:val="00CD5CA7"/>
    <w:rsid w:val="00CE300C"/>
    <w:rsid w:val="00CE361F"/>
    <w:rsid w:val="00CE4B53"/>
    <w:rsid w:val="00CE7BB0"/>
    <w:rsid w:val="00CE7C75"/>
    <w:rsid w:val="00CF1073"/>
    <w:rsid w:val="00CF2349"/>
    <w:rsid w:val="00CF4BAB"/>
    <w:rsid w:val="00CF74BB"/>
    <w:rsid w:val="00D00E91"/>
    <w:rsid w:val="00D019BB"/>
    <w:rsid w:val="00D02311"/>
    <w:rsid w:val="00D03447"/>
    <w:rsid w:val="00D04B28"/>
    <w:rsid w:val="00D10165"/>
    <w:rsid w:val="00D12950"/>
    <w:rsid w:val="00D136D1"/>
    <w:rsid w:val="00D151FE"/>
    <w:rsid w:val="00D17E6E"/>
    <w:rsid w:val="00D2094E"/>
    <w:rsid w:val="00D23BD2"/>
    <w:rsid w:val="00D25C4F"/>
    <w:rsid w:val="00D2779D"/>
    <w:rsid w:val="00D30EAC"/>
    <w:rsid w:val="00D32372"/>
    <w:rsid w:val="00D32F5B"/>
    <w:rsid w:val="00D33EEA"/>
    <w:rsid w:val="00D4035D"/>
    <w:rsid w:val="00D44DBB"/>
    <w:rsid w:val="00D4719C"/>
    <w:rsid w:val="00D50249"/>
    <w:rsid w:val="00D50BD3"/>
    <w:rsid w:val="00D5133B"/>
    <w:rsid w:val="00D561C0"/>
    <w:rsid w:val="00D56286"/>
    <w:rsid w:val="00D71C0C"/>
    <w:rsid w:val="00D82C20"/>
    <w:rsid w:val="00D847A0"/>
    <w:rsid w:val="00D95B60"/>
    <w:rsid w:val="00D96239"/>
    <w:rsid w:val="00DA4C03"/>
    <w:rsid w:val="00DA526F"/>
    <w:rsid w:val="00DB1F96"/>
    <w:rsid w:val="00DB6329"/>
    <w:rsid w:val="00DB6F6F"/>
    <w:rsid w:val="00DC1432"/>
    <w:rsid w:val="00DC43A0"/>
    <w:rsid w:val="00DC48FC"/>
    <w:rsid w:val="00DC7136"/>
    <w:rsid w:val="00DD5683"/>
    <w:rsid w:val="00DD783C"/>
    <w:rsid w:val="00DE2338"/>
    <w:rsid w:val="00DE4AA3"/>
    <w:rsid w:val="00DE4F81"/>
    <w:rsid w:val="00DE61FA"/>
    <w:rsid w:val="00DE6A29"/>
    <w:rsid w:val="00DF2029"/>
    <w:rsid w:val="00DF3025"/>
    <w:rsid w:val="00DF6BCF"/>
    <w:rsid w:val="00E022B1"/>
    <w:rsid w:val="00E05878"/>
    <w:rsid w:val="00E07D12"/>
    <w:rsid w:val="00E104B2"/>
    <w:rsid w:val="00E13399"/>
    <w:rsid w:val="00E17CAD"/>
    <w:rsid w:val="00E226EC"/>
    <w:rsid w:val="00E23513"/>
    <w:rsid w:val="00E250FC"/>
    <w:rsid w:val="00E25471"/>
    <w:rsid w:val="00E317F3"/>
    <w:rsid w:val="00E36C16"/>
    <w:rsid w:val="00E37809"/>
    <w:rsid w:val="00E40BC0"/>
    <w:rsid w:val="00E429D9"/>
    <w:rsid w:val="00E446CC"/>
    <w:rsid w:val="00E44FC6"/>
    <w:rsid w:val="00E4564E"/>
    <w:rsid w:val="00E47D76"/>
    <w:rsid w:val="00E51B1B"/>
    <w:rsid w:val="00E55C3F"/>
    <w:rsid w:val="00E60C52"/>
    <w:rsid w:val="00E61920"/>
    <w:rsid w:val="00E6390E"/>
    <w:rsid w:val="00E65EEA"/>
    <w:rsid w:val="00E71328"/>
    <w:rsid w:val="00E72367"/>
    <w:rsid w:val="00E80164"/>
    <w:rsid w:val="00E831F7"/>
    <w:rsid w:val="00E84536"/>
    <w:rsid w:val="00E85299"/>
    <w:rsid w:val="00E8551D"/>
    <w:rsid w:val="00E904CC"/>
    <w:rsid w:val="00E9249E"/>
    <w:rsid w:val="00E935B6"/>
    <w:rsid w:val="00E96437"/>
    <w:rsid w:val="00E9724A"/>
    <w:rsid w:val="00EA082F"/>
    <w:rsid w:val="00EA41B8"/>
    <w:rsid w:val="00EA5FDA"/>
    <w:rsid w:val="00EA6703"/>
    <w:rsid w:val="00EB15EC"/>
    <w:rsid w:val="00EC2B7E"/>
    <w:rsid w:val="00EC53CB"/>
    <w:rsid w:val="00EC6B00"/>
    <w:rsid w:val="00ED1F73"/>
    <w:rsid w:val="00ED5782"/>
    <w:rsid w:val="00ED7CCB"/>
    <w:rsid w:val="00EE021A"/>
    <w:rsid w:val="00EE31AA"/>
    <w:rsid w:val="00EE619A"/>
    <w:rsid w:val="00EE652E"/>
    <w:rsid w:val="00EE6BB5"/>
    <w:rsid w:val="00EF343E"/>
    <w:rsid w:val="00EF50A3"/>
    <w:rsid w:val="00EF59AF"/>
    <w:rsid w:val="00EF5FE0"/>
    <w:rsid w:val="00EF6761"/>
    <w:rsid w:val="00F02A19"/>
    <w:rsid w:val="00F02BA5"/>
    <w:rsid w:val="00F037AF"/>
    <w:rsid w:val="00F03B1B"/>
    <w:rsid w:val="00F06B50"/>
    <w:rsid w:val="00F10329"/>
    <w:rsid w:val="00F11348"/>
    <w:rsid w:val="00F12F87"/>
    <w:rsid w:val="00F15B4E"/>
    <w:rsid w:val="00F174A1"/>
    <w:rsid w:val="00F24548"/>
    <w:rsid w:val="00F24D58"/>
    <w:rsid w:val="00F27342"/>
    <w:rsid w:val="00F3092C"/>
    <w:rsid w:val="00F3177B"/>
    <w:rsid w:val="00F3530C"/>
    <w:rsid w:val="00F36D48"/>
    <w:rsid w:val="00F418F8"/>
    <w:rsid w:val="00F423C1"/>
    <w:rsid w:val="00F42CD0"/>
    <w:rsid w:val="00F42FC6"/>
    <w:rsid w:val="00F503D9"/>
    <w:rsid w:val="00F53CE6"/>
    <w:rsid w:val="00F56D37"/>
    <w:rsid w:val="00F62672"/>
    <w:rsid w:val="00F637EE"/>
    <w:rsid w:val="00F63F06"/>
    <w:rsid w:val="00F6524B"/>
    <w:rsid w:val="00F6696B"/>
    <w:rsid w:val="00F7361A"/>
    <w:rsid w:val="00F73FDA"/>
    <w:rsid w:val="00F77CCC"/>
    <w:rsid w:val="00F800ED"/>
    <w:rsid w:val="00F82BD9"/>
    <w:rsid w:val="00F850AE"/>
    <w:rsid w:val="00F86551"/>
    <w:rsid w:val="00F87EFB"/>
    <w:rsid w:val="00F94020"/>
    <w:rsid w:val="00FA221B"/>
    <w:rsid w:val="00FA27EE"/>
    <w:rsid w:val="00FA31B4"/>
    <w:rsid w:val="00FA7BFE"/>
    <w:rsid w:val="00FB138B"/>
    <w:rsid w:val="00FB3EC2"/>
    <w:rsid w:val="00FB78D5"/>
    <w:rsid w:val="00FC2759"/>
    <w:rsid w:val="00FC2C27"/>
    <w:rsid w:val="00FC46BB"/>
    <w:rsid w:val="00FD1F64"/>
    <w:rsid w:val="00FD2703"/>
    <w:rsid w:val="00FD5CC6"/>
    <w:rsid w:val="00FE1F59"/>
    <w:rsid w:val="00FE2343"/>
    <w:rsid w:val="00FE2927"/>
    <w:rsid w:val="00FE2CF1"/>
    <w:rsid w:val="00FE4E7A"/>
    <w:rsid w:val="00FE78D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0130-9A52-488B-96D6-7E61604A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2017-07-03T02:56:00Z</cp:lastPrinted>
  <dcterms:created xsi:type="dcterms:W3CDTF">2018-01-24T00:56:00Z</dcterms:created>
  <dcterms:modified xsi:type="dcterms:W3CDTF">2018-01-24T00:56:00Z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670802cb-17d2-4d97-9809-efd2d2deef7b</vt:lpwstr>
  </property>
  <property fmtid="{D5CDD505-2E9C-101B-9397-08002B2CF9AE}" pid="3" name="PSPFClassification">
    <vt:lpwstr>Do Not Mark</vt:lpwstr>
  </property>
</Properties>
</file>