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Pr="00BB5CEC" w:rsidRDefault="008660A0" w:rsidP="00440C3A">
      <w:pPr>
        <w:pStyle w:val="Subtitle"/>
        <w:rPr>
          <w:rFonts w:asciiTheme="minorHAnsi" w:hAnsiTheme="minorHAnsi" w:cstheme="minorHAnsi"/>
          <w:sz w:val="28"/>
          <w:szCs w:val="28"/>
        </w:rPr>
        <w:sectPr w:rsidR="00D847A0" w:rsidRPr="00BB5CEC" w:rsidSect="004B3EB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572" w:right="1134" w:bottom="1134" w:left="1134" w:header="709" w:footer="567" w:gutter="0"/>
          <w:cols w:num="2" w:space="567" w:equalWidth="0">
            <w:col w:w="2858" w:space="567"/>
            <w:col w:w="6213"/>
          </w:cols>
          <w:docGrid w:linePitch="360"/>
        </w:sectPr>
      </w:pPr>
      <w:bookmarkStart w:id="0" w:name="_GoBack"/>
      <w:bookmarkEnd w:id="0"/>
      <w:r>
        <w:rPr>
          <w:rFonts w:asciiTheme="minorHAnsi" w:hAnsiTheme="minorHAnsi" w:cstheme="minorHAnsi"/>
          <w:sz w:val="28"/>
          <w:szCs w:val="28"/>
        </w:rPr>
        <w:t>OCTO</w:t>
      </w:r>
      <w:r w:rsidR="00BB5CEC" w:rsidRPr="00BB5CEC">
        <w:rPr>
          <w:rFonts w:asciiTheme="minorHAnsi" w:hAnsiTheme="minorHAnsi" w:cstheme="minorHAnsi"/>
          <w:sz w:val="28"/>
          <w:szCs w:val="28"/>
        </w:rPr>
        <w:t>BER</w:t>
      </w:r>
      <w:r w:rsidR="00103711" w:rsidRPr="00BB5CEC">
        <w:rPr>
          <w:rFonts w:asciiTheme="minorHAnsi" w:hAnsiTheme="minorHAnsi" w:cstheme="minorHAnsi"/>
          <w:sz w:val="28"/>
          <w:szCs w:val="28"/>
        </w:rPr>
        <w:t xml:space="preserve"> </w:t>
      </w:r>
      <w:r w:rsidR="00F77CCC" w:rsidRPr="00BB5CEC">
        <w:rPr>
          <w:rFonts w:asciiTheme="minorHAnsi" w:hAnsiTheme="minorHAnsi" w:cstheme="minorHAnsi"/>
          <w:sz w:val="28"/>
          <w:szCs w:val="28"/>
        </w:rPr>
        <w:t>2016</w:t>
      </w:r>
    </w:p>
    <w:tbl>
      <w:tblPr>
        <w:tblW w:w="17920" w:type="dxa"/>
        <w:tblLayout w:type="fixed"/>
        <w:tblLook w:val="04A0" w:firstRow="1" w:lastRow="0" w:firstColumn="1" w:lastColumn="0" w:noHBand="0" w:noVBand="1"/>
      </w:tblPr>
      <w:tblGrid>
        <w:gridCol w:w="2992"/>
        <w:gridCol w:w="7464"/>
        <w:gridCol w:w="7464"/>
      </w:tblGrid>
      <w:tr w:rsidR="001B398D" w:rsidTr="001B398D">
        <w:trPr>
          <w:trHeight w:val="492"/>
        </w:trPr>
        <w:tc>
          <w:tcPr>
            <w:tcW w:w="2992" w:type="dxa"/>
          </w:tcPr>
          <w:p w:rsidR="001B398D" w:rsidRPr="00833E9D" w:rsidRDefault="001B398D" w:rsidP="00103711">
            <w:pPr>
              <w:pStyle w:val="Note"/>
              <w:spacing w:after="0"/>
            </w:pPr>
            <w:r w:rsidRPr="00103711">
              <w:rPr>
                <w:b/>
              </w:rPr>
              <w:lastRenderedPageBreak/>
              <w:t>Scope:</w:t>
            </w:r>
            <w:r>
              <w:t xml:space="preserve"> This monthly newsletter outlines economic and financial developments in Victoria, nationally and globally.</w:t>
            </w:r>
          </w:p>
        </w:tc>
        <w:tc>
          <w:tcPr>
            <w:tcW w:w="7464" w:type="dxa"/>
          </w:tcPr>
          <w:p w:rsidR="001B398D" w:rsidRPr="00D847A0" w:rsidRDefault="001B398D" w:rsidP="00D62FC1">
            <w:pPr>
              <w:pStyle w:val="Note"/>
              <w:spacing w:after="0"/>
              <w:jc w:val="right"/>
              <w:rPr>
                <w:color w:val="53565A" w:themeColor="text2"/>
              </w:rPr>
            </w:pPr>
            <w:r w:rsidRPr="00BB2684">
              <w:rPr>
                <w:b/>
                <w:color w:val="53565A" w:themeColor="text2"/>
              </w:rPr>
              <w:t xml:space="preserve">By David Martine, </w:t>
            </w:r>
            <w:r w:rsidRPr="00BB2684">
              <w:rPr>
                <w:b/>
                <w:i/>
                <w:color w:val="53565A" w:themeColor="text2"/>
              </w:rPr>
              <w:t>Secretary</w:t>
            </w:r>
            <w:r w:rsidRPr="00BB2684">
              <w:rPr>
                <w:b/>
                <w:color w:val="53565A" w:themeColor="text2"/>
              </w:rPr>
              <w:t>, Treasury and Finance</w:t>
            </w:r>
          </w:p>
        </w:tc>
        <w:tc>
          <w:tcPr>
            <w:tcW w:w="7464" w:type="dxa"/>
          </w:tcPr>
          <w:p w:rsidR="001B398D" w:rsidRPr="00D847A0" w:rsidRDefault="001B398D" w:rsidP="00103711">
            <w:pPr>
              <w:pStyle w:val="Note"/>
              <w:spacing w:after="0"/>
              <w:jc w:val="right"/>
              <w:rPr>
                <w:color w:val="53565A" w:themeColor="text2"/>
              </w:rPr>
            </w:pPr>
          </w:p>
        </w:tc>
      </w:tr>
    </w:tbl>
    <w:p w:rsidR="009B0BE4" w:rsidRDefault="009B0BE4" w:rsidP="00D847A0">
      <w:pPr>
        <w:pStyle w:val="Note"/>
        <w:jc w:val="right"/>
        <w:rPr>
          <w:b/>
          <w:color w:val="53565A" w:themeColor="text2"/>
        </w:rPr>
        <w:sectPr w:rsidR="009B0BE4" w:rsidSect="00D847A0">
          <w:type w:val="continuous"/>
          <w:pgSz w:w="11906" w:h="16838" w:code="9"/>
          <w:pgMar w:top="3572" w:right="1134" w:bottom="1134" w:left="1134" w:header="709" w:footer="567" w:gutter="0"/>
          <w:cols w:space="567"/>
          <w:docGrid w:linePitch="360"/>
        </w:sectPr>
      </w:pPr>
    </w:p>
    <w:p w:rsidR="00BB0BF9" w:rsidRDefault="00BB0BF9" w:rsidP="00103711">
      <w:pPr>
        <w:pStyle w:val="Bullet-highlight"/>
        <w:numPr>
          <w:ilvl w:val="0"/>
          <w:numId w:val="0"/>
        </w:numPr>
        <w:spacing w:after="0"/>
      </w:pPr>
    </w:p>
    <w:p w:rsidR="00BB0BF9" w:rsidRDefault="00BB0BF9" w:rsidP="00103711">
      <w:pPr>
        <w:pStyle w:val="Bullet-highlight"/>
        <w:numPr>
          <w:ilvl w:val="0"/>
          <w:numId w:val="0"/>
        </w:numPr>
        <w:spacing w:after="0"/>
        <w:sectPr w:rsidR="00BB0BF9" w:rsidSect="00D847A0">
          <w:type w:val="continuous"/>
          <w:pgSz w:w="11906" w:h="16838" w:code="9"/>
          <w:pgMar w:top="3572" w:right="1134" w:bottom="1134" w:left="1134" w:header="709" w:footer="567" w:gutter="0"/>
          <w:cols w:space="567"/>
          <w:docGrid w:linePitch="360"/>
        </w:sectPr>
      </w:pPr>
    </w:p>
    <w:tbl>
      <w:tblPr>
        <w:tblW w:w="7054" w:type="dxa"/>
        <w:shd w:val="clear" w:color="auto" w:fill="99B8DC" w:themeFill="accent5"/>
        <w:tblLook w:val="04A0" w:firstRow="1" w:lastRow="0" w:firstColumn="1" w:lastColumn="0" w:noHBand="0" w:noVBand="1"/>
      </w:tblPr>
      <w:tblGrid>
        <w:gridCol w:w="1101"/>
        <w:gridCol w:w="1701"/>
        <w:gridCol w:w="4252"/>
      </w:tblGrid>
      <w:tr w:rsidR="00BB0BF9" w:rsidRPr="00BB0BF9" w:rsidTr="006135AB">
        <w:trPr>
          <w:gridAfter w:val="1"/>
          <w:wAfter w:w="4252" w:type="dxa"/>
          <w:trHeight w:val="9492"/>
        </w:trPr>
        <w:tc>
          <w:tcPr>
            <w:tcW w:w="2802" w:type="dxa"/>
            <w:gridSpan w:val="2"/>
            <w:shd w:val="clear" w:color="auto" w:fill="CCE3F5" w:themeFill="accent6"/>
          </w:tcPr>
          <w:p w:rsidR="00BB0BF9" w:rsidRPr="00103711" w:rsidRDefault="00261D70" w:rsidP="002F5DE2">
            <w:pPr>
              <w:spacing w:before="200"/>
              <w:rPr>
                <w:b/>
                <w:color w:val="201547" w:themeColor="accent1"/>
                <w:sz w:val="32"/>
              </w:rPr>
            </w:pPr>
            <w:r>
              <w:rPr>
                <w:b/>
                <w:color w:val="201547" w:themeColor="accent1"/>
                <w:sz w:val="32"/>
              </w:rPr>
              <w:lastRenderedPageBreak/>
              <w:t xml:space="preserve">   </w:t>
            </w:r>
            <w:r w:rsidR="00BB0BF9" w:rsidRPr="00103711">
              <w:rPr>
                <w:b/>
                <w:color w:val="201547" w:themeColor="accent1"/>
                <w:sz w:val="32"/>
              </w:rPr>
              <w:t>Highlights</w:t>
            </w:r>
          </w:p>
          <w:p w:rsidR="005E2185" w:rsidRPr="008660A0" w:rsidRDefault="00EC6B00" w:rsidP="005E2185">
            <w:pPr>
              <w:pStyle w:val="Bullet-highlight"/>
              <w:rPr>
                <w:color w:val="FF0000"/>
              </w:rPr>
            </w:pPr>
            <w:r w:rsidRPr="00F86551">
              <w:t>Victoria’s</w:t>
            </w:r>
            <w:r w:rsidR="00666ED0">
              <w:t xml:space="preserve"> annual pace of total and full-time</w:t>
            </w:r>
            <w:r w:rsidRPr="00F86551">
              <w:t xml:space="preserve"> </w:t>
            </w:r>
            <w:r w:rsidRPr="001B398D">
              <w:rPr>
                <w:b/>
              </w:rPr>
              <w:t>employment</w:t>
            </w:r>
            <w:r w:rsidRPr="00F86551">
              <w:t xml:space="preserve"> growth lead</w:t>
            </w:r>
            <w:r w:rsidR="00666ED0">
              <w:t>s</w:t>
            </w:r>
            <w:r w:rsidRPr="00F86551">
              <w:t xml:space="preserve"> the nation</w:t>
            </w:r>
            <w:r w:rsidR="00D33EEA" w:rsidRPr="006A3A00">
              <w:t>.</w:t>
            </w:r>
            <w:r w:rsidR="00D33EEA">
              <w:rPr>
                <w:color w:val="FF0000"/>
              </w:rPr>
              <w:t xml:space="preserve"> </w:t>
            </w:r>
          </w:p>
          <w:p w:rsidR="006135AB" w:rsidRPr="001E141A" w:rsidRDefault="00FA27EE" w:rsidP="00FA27EE">
            <w:pPr>
              <w:pStyle w:val="Bullet-highlight"/>
              <w:ind w:right="-108"/>
              <w:rPr>
                <w:color w:val="FF0000"/>
              </w:rPr>
            </w:pPr>
            <w:r w:rsidRPr="00FA27EE">
              <w:t>However, l</w:t>
            </w:r>
            <w:r w:rsidR="0064291B" w:rsidRPr="00FA27EE">
              <w:t xml:space="preserve">abour market spare capacity </w:t>
            </w:r>
            <w:r w:rsidRPr="00FA27EE">
              <w:t xml:space="preserve">remains elevated, with the </w:t>
            </w:r>
            <w:r w:rsidR="00D33EEA" w:rsidRPr="00FA27EE">
              <w:t xml:space="preserve"> underemployment </w:t>
            </w:r>
            <w:r w:rsidRPr="00FA27EE">
              <w:t xml:space="preserve">rate </w:t>
            </w:r>
            <w:r w:rsidR="001E141A">
              <w:t>at near-</w:t>
            </w:r>
            <w:r w:rsidR="00A96140">
              <w:t xml:space="preserve">record </w:t>
            </w:r>
            <w:r w:rsidR="00705025">
              <w:t>levels</w:t>
            </w:r>
            <w:r w:rsidRPr="00FA27EE">
              <w:t>.</w:t>
            </w:r>
          </w:p>
          <w:p w:rsidR="001E141A" w:rsidRPr="001E141A" w:rsidRDefault="001E141A" w:rsidP="00FA27EE">
            <w:pPr>
              <w:pStyle w:val="Bullet-highlight"/>
              <w:ind w:right="-108"/>
              <w:rPr>
                <w:color w:val="FF0000"/>
              </w:rPr>
            </w:pPr>
            <w:r w:rsidRPr="001E141A">
              <w:t xml:space="preserve">Victoria continues to record the fastest annual </w:t>
            </w:r>
            <w:r w:rsidRPr="001B398D">
              <w:rPr>
                <w:b/>
              </w:rPr>
              <w:t>population</w:t>
            </w:r>
            <w:r w:rsidRPr="001E141A">
              <w:t xml:space="preserve"> </w:t>
            </w:r>
            <w:r w:rsidRPr="001B398D">
              <w:rPr>
                <w:b/>
              </w:rPr>
              <w:t>growth</w:t>
            </w:r>
            <w:r w:rsidRPr="001E141A">
              <w:t xml:space="preserve"> across all jurisdictions, driven by net overseas migration.</w:t>
            </w:r>
          </w:p>
          <w:p w:rsidR="001372E4" w:rsidRPr="008660A0" w:rsidRDefault="00F15B4E" w:rsidP="001372E4">
            <w:pPr>
              <w:pStyle w:val="Bullet-highlight"/>
              <w:rPr>
                <w:color w:val="FF0000"/>
              </w:rPr>
            </w:pPr>
            <w:r w:rsidRPr="001B398D">
              <w:rPr>
                <w:b/>
              </w:rPr>
              <w:t>Consumer sentiment</w:t>
            </w:r>
            <w:r w:rsidRPr="00F15B4E">
              <w:t xml:space="preserve"> </w:t>
            </w:r>
            <w:r w:rsidR="00F6696B">
              <w:t>moved further into</w:t>
            </w:r>
            <w:r w:rsidRPr="00F15B4E">
              <w:t xml:space="preserve"> optimistic territory</w:t>
            </w:r>
            <w:r w:rsidR="00F6696B">
              <w:t xml:space="preserve"> in October, </w:t>
            </w:r>
            <w:r w:rsidR="00FE2CF1">
              <w:t>and</w:t>
            </w:r>
            <w:r w:rsidRPr="00F15B4E">
              <w:t xml:space="preserve"> Victorian </w:t>
            </w:r>
            <w:r w:rsidRPr="001B398D">
              <w:rPr>
                <w:b/>
              </w:rPr>
              <w:t>business conditions</w:t>
            </w:r>
            <w:r w:rsidR="00FE2CF1">
              <w:t xml:space="preserve"> were</w:t>
            </w:r>
            <w:r w:rsidRPr="00F15B4E">
              <w:t xml:space="preserve"> </w:t>
            </w:r>
            <w:r w:rsidR="00705025">
              <w:t xml:space="preserve">the </w:t>
            </w:r>
            <w:r w:rsidRPr="00F15B4E">
              <w:t xml:space="preserve">highest of </w:t>
            </w:r>
            <w:r w:rsidR="00F6696B">
              <w:t>all</w:t>
            </w:r>
            <w:r w:rsidRPr="00F15B4E">
              <w:t xml:space="preserve"> states in </w:t>
            </w:r>
            <w:r w:rsidR="00F6696B">
              <w:t>September</w:t>
            </w:r>
            <w:r w:rsidRPr="00F15B4E">
              <w:t>.</w:t>
            </w:r>
          </w:p>
          <w:p w:rsidR="006135AB" w:rsidRPr="00BB0BF9" w:rsidRDefault="007A139F" w:rsidP="001B398D">
            <w:pPr>
              <w:pStyle w:val="Bullet-highlight"/>
            </w:pPr>
            <w:r w:rsidRPr="001B398D">
              <w:rPr>
                <w:b/>
              </w:rPr>
              <w:t>Oil prices</w:t>
            </w:r>
            <w:r w:rsidRPr="00A96140">
              <w:t xml:space="preserve"> </w:t>
            </w:r>
            <w:r w:rsidR="00705025">
              <w:t xml:space="preserve">moved above </w:t>
            </w:r>
            <w:r w:rsidR="00B7051C">
              <w:t>$</w:t>
            </w:r>
            <w:r w:rsidR="00980269">
              <w:t>US</w:t>
            </w:r>
            <w:r w:rsidR="00705025">
              <w:t>50</w:t>
            </w:r>
            <w:r w:rsidR="00B7051C">
              <w:t xml:space="preserve"> a </w:t>
            </w:r>
            <w:r w:rsidR="00705025">
              <w:t>barrel</w:t>
            </w:r>
            <w:r w:rsidR="00A96140" w:rsidRPr="00A96140">
              <w:t xml:space="preserve"> </w:t>
            </w:r>
            <w:r w:rsidR="00B7051C">
              <w:t>after</w:t>
            </w:r>
            <w:r w:rsidR="00A96140" w:rsidRPr="00A96140">
              <w:t xml:space="preserve"> </w:t>
            </w:r>
            <w:r w:rsidR="00F42CD0">
              <w:t>it was</w:t>
            </w:r>
            <w:r w:rsidR="00A96140" w:rsidRPr="00A96140">
              <w:t xml:space="preserve"> announce</w:t>
            </w:r>
            <w:r w:rsidR="00F42CD0">
              <w:t>d</w:t>
            </w:r>
            <w:r w:rsidR="00A96140" w:rsidRPr="00A96140">
              <w:t xml:space="preserve"> OPEC had reached a consensus to scale back production.</w:t>
            </w:r>
          </w:p>
        </w:tc>
      </w:tr>
      <w:tr w:rsidR="00047DD7" w:rsidTr="00047DD7">
        <w:tblPrEx>
          <w:shd w:val="clear" w:color="auto" w:fill="auto"/>
        </w:tblPrEx>
        <w:tc>
          <w:tcPr>
            <w:tcW w:w="1101" w:type="dxa"/>
          </w:tcPr>
          <w:p w:rsidR="00047DD7" w:rsidRDefault="00103711" w:rsidP="00047DD7">
            <w:r>
              <w:rPr>
                <w:noProof/>
                <w:lang w:eastAsia="en-AU"/>
              </w:rPr>
              <w:lastRenderedPageBreak/>
              <w:drawing>
                <wp:inline distT="0" distB="0" distL="0" distR="0" wp14:anchorId="4AEEC8A8" wp14:editId="45949F5C">
                  <wp:extent cx="512935" cy="36000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5953" w:type="dxa"/>
            <w:gridSpan w:val="2"/>
            <w:vAlign w:val="bottom"/>
          </w:tcPr>
          <w:p w:rsidR="00047DD7" w:rsidRDefault="003A0F37" w:rsidP="00047DD7">
            <w:pPr>
              <w:pStyle w:val="Heading1"/>
            </w:pPr>
            <w:r>
              <w:t>Domestic</w:t>
            </w:r>
            <w:r w:rsidR="00047DD7">
              <w:t xml:space="preserve"> developments</w:t>
            </w:r>
          </w:p>
        </w:tc>
      </w:tr>
    </w:tbl>
    <w:p w:rsidR="001B0E91" w:rsidRPr="00652783" w:rsidRDefault="00652783" w:rsidP="001B0E91">
      <w:r w:rsidRPr="00652783">
        <w:t xml:space="preserve">Following seven consecutive monthly increases which saw Victorian </w:t>
      </w:r>
      <w:r w:rsidRPr="00652783">
        <w:rPr>
          <w:b/>
        </w:rPr>
        <w:t>employment</w:t>
      </w:r>
      <w:r w:rsidRPr="00652783">
        <w:t xml:space="preserve"> rise by more than 100 000 people, </w:t>
      </w:r>
      <w:r>
        <w:t xml:space="preserve">a fall of 11 700 persons was recorded </w:t>
      </w:r>
      <w:r w:rsidR="00F86551" w:rsidRPr="00652783">
        <w:t>in September</w:t>
      </w:r>
      <w:r w:rsidR="001B0E91" w:rsidRPr="00652783">
        <w:t>.</w:t>
      </w:r>
      <w:r>
        <w:t xml:space="preserve"> Despite th</w:t>
      </w:r>
      <w:r w:rsidR="00CE7C75">
        <w:t>is</w:t>
      </w:r>
      <w:r w:rsidRPr="00652783">
        <w:t>, Victoria’s annual pace of total and full-time jobs growth lead</w:t>
      </w:r>
      <w:r>
        <w:t>s</w:t>
      </w:r>
      <w:r w:rsidRPr="00652783">
        <w:t xml:space="preserve"> the nation. </w:t>
      </w:r>
      <w:r w:rsidR="00F86551" w:rsidRPr="00652783">
        <w:t>Of the</w:t>
      </w:r>
      <w:r w:rsidR="001B0E91" w:rsidRPr="00652783">
        <w:t xml:space="preserve"> </w:t>
      </w:r>
      <w:r w:rsidRPr="00652783">
        <w:t>105</w:t>
      </w:r>
      <w:r w:rsidR="001B0E91" w:rsidRPr="00652783">
        <w:t xml:space="preserve"> </w:t>
      </w:r>
      <w:r w:rsidRPr="00652783">
        <w:t>800</w:t>
      </w:r>
      <w:r w:rsidR="001B0E91" w:rsidRPr="00652783">
        <w:t xml:space="preserve"> jobs added</w:t>
      </w:r>
      <w:r w:rsidR="00F86551" w:rsidRPr="00652783">
        <w:t xml:space="preserve"> over the past year</w:t>
      </w:r>
      <w:r w:rsidR="001B0E91" w:rsidRPr="00652783">
        <w:t xml:space="preserve">, </w:t>
      </w:r>
      <w:r w:rsidRPr="00652783">
        <w:t>77 000</w:t>
      </w:r>
      <w:r w:rsidR="001B0E91" w:rsidRPr="00652783">
        <w:t xml:space="preserve"> </w:t>
      </w:r>
      <w:r w:rsidR="00F86551" w:rsidRPr="00652783">
        <w:t>have been full-</w:t>
      </w:r>
      <w:r w:rsidR="001B0E91" w:rsidRPr="00652783">
        <w:t>time</w:t>
      </w:r>
      <w:r w:rsidR="00F86551" w:rsidRPr="00652783">
        <w:t xml:space="preserve"> positions</w:t>
      </w:r>
      <w:r w:rsidR="001B0E91" w:rsidRPr="00652783">
        <w:t xml:space="preserve">. </w:t>
      </w:r>
    </w:p>
    <w:p w:rsidR="001B0E91" w:rsidRPr="001B0E91" w:rsidRDefault="00BA1124" w:rsidP="001B0E91">
      <w:pPr>
        <w:rPr>
          <w:color w:val="FF0000"/>
        </w:rPr>
      </w:pPr>
      <w:r w:rsidRPr="00652783">
        <w:t>Victoria’s</w:t>
      </w:r>
      <w:r w:rsidR="001B0E91" w:rsidRPr="00652783">
        <w:rPr>
          <w:b/>
        </w:rPr>
        <w:t xml:space="preserve"> unemployment rate</w:t>
      </w:r>
      <w:r w:rsidR="001B0E91" w:rsidRPr="00652783">
        <w:t xml:space="preserve"> </w:t>
      </w:r>
      <w:r w:rsidR="00652783" w:rsidRPr="00652783">
        <w:t>increased</w:t>
      </w:r>
      <w:r w:rsidR="001B0E91" w:rsidRPr="00652783">
        <w:t xml:space="preserve"> to </w:t>
      </w:r>
      <w:r w:rsidR="00652783" w:rsidRPr="00652783">
        <w:t>5</w:t>
      </w:r>
      <w:r w:rsidR="00E8551D" w:rsidRPr="00652783">
        <w:t>.</w:t>
      </w:r>
      <w:r w:rsidR="00652783" w:rsidRPr="00652783">
        <w:t>7</w:t>
      </w:r>
      <w:r w:rsidR="001B0E91" w:rsidRPr="00652783">
        <w:t xml:space="preserve"> per cent in </w:t>
      </w:r>
      <w:r w:rsidRPr="00652783">
        <w:t>September</w:t>
      </w:r>
      <w:r w:rsidR="001B0E91" w:rsidRPr="00652783">
        <w:t xml:space="preserve">, </w:t>
      </w:r>
      <w:r w:rsidR="00652783" w:rsidRPr="00652783">
        <w:t>moving slightly above the national average</w:t>
      </w:r>
      <w:r w:rsidR="001B0E91" w:rsidRPr="00652783">
        <w:t>.</w:t>
      </w:r>
      <w:r w:rsidR="00652783" w:rsidRPr="00652783">
        <w:t xml:space="preserve"> </w:t>
      </w:r>
      <w:r w:rsidR="006D2C01">
        <w:t>Reported quarterly, t</w:t>
      </w:r>
      <w:r w:rsidR="00652783" w:rsidRPr="00652783">
        <w:t xml:space="preserve">he </w:t>
      </w:r>
      <w:r w:rsidR="00652783">
        <w:t xml:space="preserve">underemployment rate </w:t>
      </w:r>
      <w:r w:rsidR="00AD0968">
        <w:t>was</w:t>
      </w:r>
      <w:r w:rsidR="001B0E91" w:rsidRPr="00833B24">
        <w:t xml:space="preserve"> 9.5 per cent in August, only slightly below its historical peak</w:t>
      </w:r>
      <w:r w:rsidR="00065923">
        <w:t>, indicating that</w:t>
      </w:r>
      <w:r w:rsidR="00833B24">
        <w:t xml:space="preserve"> </w:t>
      </w:r>
      <w:r w:rsidR="001B0E91" w:rsidRPr="00833B24">
        <w:t>wages growth is likely to remain low.</w:t>
      </w:r>
    </w:p>
    <w:p w:rsidR="001B0E91" w:rsidRPr="001B0E91" w:rsidRDefault="00065923" w:rsidP="001B0E91">
      <w:pPr>
        <w:rPr>
          <w:color w:val="FF0000"/>
        </w:rPr>
      </w:pPr>
      <w:r>
        <w:t>At the</w:t>
      </w:r>
      <w:r w:rsidR="00E8551D">
        <w:t xml:space="preserve"> </w:t>
      </w:r>
      <w:r w:rsidR="00E8551D">
        <w:rPr>
          <w:b/>
        </w:rPr>
        <w:t>industr</w:t>
      </w:r>
      <w:r>
        <w:rPr>
          <w:b/>
        </w:rPr>
        <w:t>y</w:t>
      </w:r>
      <w:r w:rsidR="00E8551D">
        <w:rPr>
          <w:b/>
        </w:rPr>
        <w:t xml:space="preserve"> </w:t>
      </w:r>
      <w:r w:rsidR="001B0E91" w:rsidRPr="00833B24">
        <w:t xml:space="preserve">level, Victoria’s jobs growth over the </w:t>
      </w:r>
      <w:r w:rsidR="00833B24">
        <w:t>year</w:t>
      </w:r>
      <w:r>
        <w:t xml:space="preserve"> to August was</w:t>
      </w:r>
      <w:r w:rsidR="001B0E91" w:rsidRPr="00833B24">
        <w:t xml:space="preserve"> largely driven by the health care</w:t>
      </w:r>
      <w:r w:rsidR="00E8551D">
        <w:t>,</w:t>
      </w:r>
      <w:r w:rsidR="001B0E91" w:rsidRPr="00833B24">
        <w:t xml:space="preserve"> social assistance and construction sectors.</w:t>
      </w:r>
      <w:r w:rsidR="009E3C8A">
        <w:t xml:space="preserve"> Consistent with strong growth in building activity in 2015-16,</w:t>
      </w:r>
      <w:r w:rsidR="001B0E91" w:rsidRPr="00833B24">
        <w:t xml:space="preserve"> </w:t>
      </w:r>
      <w:r w:rsidR="009E3C8A">
        <w:t>t</w:t>
      </w:r>
      <w:r w:rsidR="00E8551D">
        <w:t xml:space="preserve">he latter </w:t>
      </w:r>
      <w:r w:rsidR="00CE7C75">
        <w:t xml:space="preserve">has </w:t>
      </w:r>
      <w:r w:rsidR="001B0E91" w:rsidRPr="00833B24">
        <w:t>provid</w:t>
      </w:r>
      <w:r w:rsidR="00E8551D">
        <w:t>ed</w:t>
      </w:r>
      <w:r>
        <w:t xml:space="preserve"> strong</w:t>
      </w:r>
      <w:r w:rsidR="001B0E91" w:rsidRPr="00833B24">
        <w:t xml:space="preserve"> support for full-time employment.</w:t>
      </w:r>
      <w:r w:rsidR="001B0E91" w:rsidRPr="001B0E91">
        <w:rPr>
          <w:color w:val="FF0000"/>
        </w:rPr>
        <w:t xml:space="preserve"> </w:t>
      </w:r>
    </w:p>
    <w:p w:rsidR="001E141A" w:rsidRDefault="001B0E91" w:rsidP="001B0E91">
      <w:r w:rsidRPr="00F6696B">
        <w:t>The pace of</w:t>
      </w:r>
      <w:r w:rsidR="00065923">
        <w:t xml:space="preserve"> total and full-time</w:t>
      </w:r>
      <w:r w:rsidRPr="00F6696B">
        <w:t xml:space="preserve"> employment growth in regional Victoria</w:t>
      </w:r>
      <w:r w:rsidR="00E8551D">
        <w:t xml:space="preserve"> also leads the nation.</w:t>
      </w:r>
      <w:r w:rsidRPr="00F6696B">
        <w:t xml:space="preserve"> </w:t>
      </w:r>
      <w:r w:rsidR="00E8551D">
        <w:t>T</w:t>
      </w:r>
      <w:r w:rsidRPr="00F6696B">
        <w:t xml:space="preserve">he </w:t>
      </w:r>
      <w:r w:rsidRPr="00F6696B">
        <w:rPr>
          <w:b/>
        </w:rPr>
        <w:t xml:space="preserve">regional unemployment </w:t>
      </w:r>
      <w:r w:rsidRPr="00F6696B">
        <w:t>rate</w:t>
      </w:r>
      <w:r w:rsidR="00EF6761" w:rsidRPr="00F6696B">
        <w:t xml:space="preserve"> </w:t>
      </w:r>
      <w:r w:rsidR="00E8551D">
        <w:t>was</w:t>
      </w:r>
      <w:r w:rsidR="00EF6761" w:rsidRPr="00F6696B">
        <w:t xml:space="preserve"> 5.6 per cent</w:t>
      </w:r>
      <w:r w:rsidRPr="00F6696B">
        <w:t xml:space="preserve"> in the three months to August, </w:t>
      </w:r>
      <w:r w:rsidR="00B75088">
        <w:t>below the national regional average</w:t>
      </w:r>
      <w:r w:rsidRPr="00F6696B">
        <w:t>.</w:t>
      </w:r>
      <w:r w:rsidR="00EF6761" w:rsidRPr="00F6696B">
        <w:t xml:space="preserve"> </w:t>
      </w:r>
    </w:p>
    <w:p w:rsidR="00BA2604" w:rsidRDefault="00CE7C75" w:rsidP="001B0E91">
      <w:r>
        <w:t>However</w:t>
      </w:r>
      <w:r w:rsidR="00065923">
        <w:t>, l</w:t>
      </w:r>
      <w:r w:rsidR="001B0E91" w:rsidRPr="00F6696B">
        <w:t>abour market conditions</w:t>
      </w:r>
      <w:r w:rsidR="00A96140">
        <w:t xml:space="preserve"> remain</w:t>
      </w:r>
      <w:r w:rsidR="001B0E91" w:rsidRPr="00F6696B">
        <w:t xml:space="preserve"> </w:t>
      </w:r>
      <w:r w:rsidR="006A3A00">
        <w:t>uneven</w:t>
      </w:r>
      <w:r w:rsidR="001B0E91" w:rsidRPr="00F6696B">
        <w:t xml:space="preserve"> across the state, with </w:t>
      </w:r>
      <w:r w:rsidR="00CC129A">
        <w:t xml:space="preserve">the </w:t>
      </w:r>
      <w:r w:rsidR="001B0E91" w:rsidRPr="00F6696B">
        <w:t xml:space="preserve">unemployment </w:t>
      </w:r>
      <w:r w:rsidR="00CC129A">
        <w:t xml:space="preserve">rate </w:t>
      </w:r>
      <w:r w:rsidR="001B0E91" w:rsidRPr="00F6696B">
        <w:t xml:space="preserve">above </w:t>
      </w:r>
      <w:r w:rsidR="008E4831">
        <w:t xml:space="preserve">6 per cent in </w:t>
      </w:r>
      <w:r w:rsidR="006A3A00">
        <w:t>the Shepparton region</w:t>
      </w:r>
      <w:r w:rsidR="00065923">
        <w:t xml:space="preserve">. </w:t>
      </w:r>
      <w:r w:rsidR="00E43D3F">
        <w:t>T</w:t>
      </w:r>
      <w:r w:rsidR="008E4831">
        <w:t xml:space="preserve">he </w:t>
      </w:r>
      <w:r>
        <w:t>youth</w:t>
      </w:r>
      <w:r w:rsidR="00A96140">
        <w:t xml:space="preserve"> unemployment rate</w:t>
      </w:r>
      <w:r w:rsidR="008E4831">
        <w:t xml:space="preserve"> </w:t>
      </w:r>
      <w:r w:rsidR="00E43D3F">
        <w:t>is</w:t>
      </w:r>
      <w:r w:rsidR="008E4831">
        <w:t xml:space="preserve"> </w:t>
      </w:r>
      <w:r w:rsidR="00CC129A">
        <w:t xml:space="preserve">2.0 percentage points lower than the same time last year, </w:t>
      </w:r>
      <w:r w:rsidR="00E43D3F">
        <w:t xml:space="preserve">but </w:t>
      </w:r>
      <w:r w:rsidR="00CC129A">
        <w:t xml:space="preserve">it </w:t>
      </w:r>
      <w:r w:rsidR="00065923">
        <w:t>continues to be</w:t>
      </w:r>
      <w:r w:rsidR="00A96140">
        <w:t xml:space="preserve"> elevated in a number of metropolitan and regional areas</w:t>
      </w:r>
      <w:r w:rsidR="00065923">
        <w:t>, including Ballarat and Melbourne’s south eastern and western suburbs</w:t>
      </w:r>
      <w:r w:rsidR="001B0E91" w:rsidRPr="00F6696B">
        <w:t>.</w:t>
      </w:r>
    </w:p>
    <w:p w:rsidR="002F5DE2" w:rsidRDefault="002F5DE2" w:rsidP="00BA2604">
      <w:pPr>
        <w:sectPr w:rsidR="002F5DE2" w:rsidSect="002F5DE2">
          <w:type w:val="continuous"/>
          <w:pgSz w:w="11906" w:h="16838" w:code="9"/>
          <w:pgMar w:top="3572" w:right="1134" w:bottom="1134" w:left="1134" w:header="709" w:footer="567" w:gutter="0"/>
          <w:cols w:num="2" w:space="568" w:equalWidth="0">
            <w:col w:w="2835" w:space="568"/>
            <w:col w:w="6235"/>
          </w:cols>
          <w:docGrid w:linePitch="360"/>
        </w:sectPr>
      </w:pPr>
    </w:p>
    <w:p w:rsidR="00F6696B" w:rsidRDefault="00B75088" w:rsidP="00A933BA">
      <w:r>
        <w:lastRenderedPageBreak/>
        <w:t>Victoria</w:t>
      </w:r>
      <w:r w:rsidR="00965986">
        <w:t xml:space="preserve">’s annual </w:t>
      </w:r>
      <w:r w:rsidR="00965986" w:rsidRPr="00965986">
        <w:rPr>
          <w:b/>
        </w:rPr>
        <w:t>population</w:t>
      </w:r>
      <w:r w:rsidR="00965986">
        <w:t xml:space="preserve"> growth rate accelerated to 1.9 per cent over the year to March 2016. This remains the high</w:t>
      </w:r>
      <w:r>
        <w:t>est</w:t>
      </w:r>
      <w:r w:rsidR="00965986">
        <w:t xml:space="preserve"> rate of growth</w:t>
      </w:r>
      <w:r>
        <w:t xml:space="preserve"> across all jurisdictions,</w:t>
      </w:r>
      <w:r w:rsidR="00965986">
        <w:t xml:space="preserve"> </w:t>
      </w:r>
      <w:r w:rsidR="00065923">
        <w:t xml:space="preserve">largely </w:t>
      </w:r>
      <w:r w:rsidR="00965986">
        <w:t>driven by</w:t>
      </w:r>
      <w:r w:rsidRPr="00F6696B">
        <w:t xml:space="preserve"> net overseas migration</w:t>
      </w:r>
      <w:r>
        <w:t xml:space="preserve">. </w:t>
      </w:r>
      <w:r w:rsidR="00A96140">
        <w:t xml:space="preserve">According to revised estimates, </w:t>
      </w:r>
      <w:r>
        <w:t>Victoria’s</w:t>
      </w:r>
      <w:r w:rsidR="00F6696B" w:rsidRPr="00F6696B">
        <w:t xml:space="preserve"> </w:t>
      </w:r>
      <w:r w:rsidR="00F6696B" w:rsidRPr="00B75088">
        <w:t>population</w:t>
      </w:r>
      <w:r w:rsidR="00F6696B" w:rsidRPr="00F6696B">
        <w:t xml:space="preserve"> </w:t>
      </w:r>
      <w:r w:rsidR="00A96140">
        <w:t>exceeded</w:t>
      </w:r>
      <w:r w:rsidR="00F6696B" w:rsidRPr="00F6696B">
        <w:t xml:space="preserve"> six million</w:t>
      </w:r>
      <w:r w:rsidR="00965986">
        <w:t xml:space="preserve"> people</w:t>
      </w:r>
      <w:r w:rsidR="00A96140">
        <w:t xml:space="preserve"> </w:t>
      </w:r>
      <w:r w:rsidR="00F6696B" w:rsidRPr="00F6696B">
        <w:t xml:space="preserve">in the </w:t>
      </w:r>
      <w:r>
        <w:t>December quarter 2015.</w:t>
      </w:r>
    </w:p>
    <w:p w:rsidR="00450F23" w:rsidRDefault="00453A5E" w:rsidP="00A933BA">
      <w:r>
        <w:t>F</w:t>
      </w:r>
      <w:r w:rsidRPr="009C533E">
        <w:t>ollowing a sharp fall in July</w:t>
      </w:r>
      <w:r>
        <w:t xml:space="preserve">, </w:t>
      </w:r>
      <w:r w:rsidR="00B75088">
        <w:t>the value of Victoria’s</w:t>
      </w:r>
      <w:r w:rsidR="009C533E" w:rsidRPr="009C533E">
        <w:t xml:space="preserve"> </w:t>
      </w:r>
      <w:r w:rsidR="009C533E" w:rsidRPr="009C533E">
        <w:rPr>
          <w:b/>
        </w:rPr>
        <w:t>b</w:t>
      </w:r>
      <w:r w:rsidR="00450F23" w:rsidRPr="009C533E">
        <w:rPr>
          <w:b/>
        </w:rPr>
        <w:t>uilding approvals</w:t>
      </w:r>
      <w:r w:rsidR="00450F23" w:rsidRPr="009C533E">
        <w:t xml:space="preserve"> re</w:t>
      </w:r>
      <w:r w:rsidR="009C533E" w:rsidRPr="009C533E">
        <w:t>bounded strongly in August. While</w:t>
      </w:r>
      <w:r w:rsidR="00450F23" w:rsidRPr="009C533E">
        <w:t xml:space="preserve"> monthly results </w:t>
      </w:r>
      <w:r w:rsidR="00063D5E" w:rsidRPr="009C533E">
        <w:t>c</w:t>
      </w:r>
      <w:r w:rsidR="009C533E" w:rsidRPr="009C533E">
        <w:t>ontinue to be</w:t>
      </w:r>
      <w:r w:rsidR="00450F23" w:rsidRPr="009C533E">
        <w:t xml:space="preserve"> volatile</w:t>
      </w:r>
      <w:r w:rsidR="009C533E" w:rsidRPr="009C533E">
        <w:t>, Victoria’s a</w:t>
      </w:r>
      <w:r w:rsidR="00450F23" w:rsidRPr="009C533E">
        <w:t>nnual growth remains the second highest of the states</w:t>
      </w:r>
      <w:r w:rsidR="00044907">
        <w:t xml:space="preserve">, </w:t>
      </w:r>
      <w:r>
        <w:t>supported by</w:t>
      </w:r>
      <w:r w:rsidR="00450F23" w:rsidRPr="008660A0">
        <w:rPr>
          <w:color w:val="FF0000"/>
        </w:rPr>
        <w:t xml:space="preserve"> </w:t>
      </w:r>
      <w:r w:rsidR="00044907" w:rsidRPr="00453A5E">
        <w:t>s</w:t>
      </w:r>
      <w:r w:rsidR="00450F23" w:rsidRPr="00453A5E">
        <w:t>trong population growth and</w:t>
      </w:r>
      <w:r>
        <w:t xml:space="preserve"> record</w:t>
      </w:r>
      <w:r w:rsidR="00450F23" w:rsidRPr="00453A5E">
        <w:t xml:space="preserve"> low interest rates.</w:t>
      </w:r>
    </w:p>
    <w:p w:rsidR="00EF6761" w:rsidRDefault="009E3C8A" w:rsidP="00A933BA">
      <w:r>
        <w:t>According to ABS estimates, t</w:t>
      </w:r>
      <w:r w:rsidR="0083514C">
        <w:t xml:space="preserve">he annual pace of growth of </w:t>
      </w:r>
      <w:r w:rsidR="00F6696B" w:rsidRPr="00F6696B">
        <w:rPr>
          <w:b/>
        </w:rPr>
        <w:t xml:space="preserve">residential </w:t>
      </w:r>
      <w:r w:rsidR="00F6696B" w:rsidRPr="005B6236">
        <w:rPr>
          <w:b/>
        </w:rPr>
        <w:t>property prices</w:t>
      </w:r>
      <w:r w:rsidR="0083514C">
        <w:t xml:space="preserve"> in Melbourne moderated </w:t>
      </w:r>
      <w:r w:rsidR="005B6236">
        <w:t>to 8.2 per cent in the J</w:t>
      </w:r>
      <w:r w:rsidR="00F6696B" w:rsidRPr="00F6696B">
        <w:t>une quarter</w:t>
      </w:r>
      <w:r>
        <w:t>. However, this growth rate</w:t>
      </w:r>
      <w:r w:rsidR="005B6236">
        <w:t xml:space="preserve"> remains </w:t>
      </w:r>
      <w:r w:rsidR="00F6696B" w:rsidRPr="00F6696B">
        <w:t>highest</w:t>
      </w:r>
      <w:r>
        <w:t xml:space="preserve"> of</w:t>
      </w:r>
      <w:r w:rsidR="00F6696B" w:rsidRPr="00F6696B">
        <w:t xml:space="preserve"> the state capitals, ahead of Hobart and Brisbane.</w:t>
      </w:r>
    </w:p>
    <w:p w:rsidR="009E3C8A" w:rsidRPr="009E3C8A" w:rsidRDefault="00200D1F" w:rsidP="009E3C8A">
      <w:r>
        <w:t>Following two months of contraction, t</w:t>
      </w:r>
      <w:r w:rsidR="009E3C8A">
        <w:t>he</w:t>
      </w:r>
      <w:r>
        <w:t xml:space="preserve"> </w:t>
      </w:r>
      <w:r w:rsidR="009E3C8A">
        <w:t>value of</w:t>
      </w:r>
      <w:r>
        <w:t xml:space="preserve"> Victoria’s</w:t>
      </w:r>
      <w:r w:rsidR="009E3C8A">
        <w:t xml:space="preserve"> </w:t>
      </w:r>
      <w:r w:rsidR="009E3C8A" w:rsidRPr="00200D1F">
        <w:rPr>
          <w:b/>
        </w:rPr>
        <w:t>retail sales</w:t>
      </w:r>
      <w:r>
        <w:t xml:space="preserve"> grew by 0.7 per cent in August, equal highest </w:t>
      </w:r>
      <w:r w:rsidR="002D2638">
        <w:t>among the</w:t>
      </w:r>
      <w:r>
        <w:t xml:space="preserve"> states. While subdued, </w:t>
      </w:r>
      <w:r w:rsidR="009E3C8A" w:rsidRPr="009E3C8A">
        <w:t>Victoria's</w:t>
      </w:r>
      <w:r>
        <w:t xml:space="preserve"> annual retail</w:t>
      </w:r>
      <w:r w:rsidR="009E3C8A" w:rsidRPr="009E3C8A">
        <w:t xml:space="preserve"> sales growth</w:t>
      </w:r>
      <w:r w:rsidR="002D2638">
        <w:t xml:space="preserve"> rate of 2.9 per cent</w:t>
      </w:r>
      <w:r>
        <w:t xml:space="preserve"> remains</w:t>
      </w:r>
      <w:r w:rsidR="009E3C8A" w:rsidRPr="009E3C8A">
        <w:t xml:space="preserve"> </w:t>
      </w:r>
      <w:r>
        <w:t>s</w:t>
      </w:r>
      <w:r w:rsidR="009E3C8A" w:rsidRPr="009E3C8A">
        <w:t xml:space="preserve">lightly above the national </w:t>
      </w:r>
      <w:r>
        <w:t>average</w:t>
      </w:r>
      <w:r w:rsidR="009E3C8A" w:rsidRPr="009E3C8A">
        <w:t xml:space="preserve">. </w:t>
      </w:r>
    </w:p>
    <w:p w:rsidR="005E2185" w:rsidRPr="001B0E91" w:rsidRDefault="001B0E91" w:rsidP="00A933BA">
      <w:pPr>
        <w:rPr>
          <w:color w:val="FF0000"/>
        </w:rPr>
      </w:pPr>
      <w:r w:rsidRPr="00044907">
        <w:t>Victorian</w:t>
      </w:r>
      <w:r w:rsidR="005E2185" w:rsidRPr="00044907">
        <w:t xml:space="preserve"> </w:t>
      </w:r>
      <w:r w:rsidR="005E2185" w:rsidRPr="00044907">
        <w:rPr>
          <w:rStyle w:val="Emphasis"/>
        </w:rPr>
        <w:t>consumer sentiment</w:t>
      </w:r>
      <w:r w:rsidR="005E2185" w:rsidRPr="00044907">
        <w:t xml:space="preserve"> </w:t>
      </w:r>
      <w:r w:rsidRPr="00044907">
        <w:t>moved further into</w:t>
      </w:r>
      <w:r w:rsidR="003831AB" w:rsidRPr="00044907">
        <w:t xml:space="preserve"> optimistic territory</w:t>
      </w:r>
      <w:r w:rsidRPr="00044907">
        <w:t xml:space="preserve"> in Octo</w:t>
      </w:r>
      <w:r w:rsidR="00453A5E">
        <w:t>ber</w:t>
      </w:r>
      <w:r w:rsidR="003831AB" w:rsidRPr="00044907">
        <w:t>.</w:t>
      </w:r>
      <w:r w:rsidR="003831AB" w:rsidRPr="00044907">
        <w:rPr>
          <w:rFonts w:ascii="Helv" w:hAnsi="Helv" w:cs="Helv"/>
          <w:sz w:val="20"/>
          <w:szCs w:val="20"/>
        </w:rPr>
        <w:t xml:space="preserve"> </w:t>
      </w:r>
      <w:r w:rsidR="003831AB" w:rsidRPr="00044907">
        <w:t>Westpac noted that</w:t>
      </w:r>
      <w:r w:rsidR="00044907" w:rsidRPr="00044907">
        <w:t xml:space="preserve"> national</w:t>
      </w:r>
      <w:r w:rsidR="003831AB" w:rsidRPr="00044907">
        <w:t xml:space="preserve"> sentiment has been remarkably stable</w:t>
      </w:r>
      <w:r w:rsidR="00044907" w:rsidRPr="00044907">
        <w:t xml:space="preserve"> of late</w:t>
      </w:r>
      <w:r w:rsidR="003831AB" w:rsidRPr="00044907">
        <w:t>, despite two interest rate cuts from the RBA,</w:t>
      </w:r>
      <w:r w:rsidR="00044907" w:rsidRPr="00044907">
        <w:t xml:space="preserve"> </w:t>
      </w:r>
      <w:r w:rsidR="00044907" w:rsidRPr="00044907">
        <w:rPr>
          <w:bCs/>
        </w:rPr>
        <w:t xml:space="preserve">a very close Federal election, a Commonwealth Budget and international developments </w:t>
      </w:r>
      <w:r w:rsidR="0083514C">
        <w:rPr>
          <w:bCs/>
        </w:rPr>
        <w:t>including</w:t>
      </w:r>
      <w:r w:rsidR="00044907" w:rsidRPr="00044907">
        <w:rPr>
          <w:bCs/>
        </w:rPr>
        <w:t xml:space="preserve"> 'Brexit'.</w:t>
      </w:r>
    </w:p>
    <w:p w:rsidR="005E2185" w:rsidRDefault="003A3AD2" w:rsidP="005E2185">
      <w:r w:rsidRPr="00EF6761">
        <w:t xml:space="preserve">The </w:t>
      </w:r>
      <w:r w:rsidR="00453A5E" w:rsidRPr="00EF6761">
        <w:t>latest</w:t>
      </w:r>
      <w:r w:rsidR="005E2185" w:rsidRPr="00EF6761">
        <w:t xml:space="preserve"> NAB</w:t>
      </w:r>
      <w:r w:rsidR="00833B24" w:rsidRPr="00EF6761">
        <w:t xml:space="preserve"> monthly</w:t>
      </w:r>
      <w:r w:rsidR="005E2185" w:rsidRPr="00EF6761">
        <w:t xml:space="preserve"> </w:t>
      </w:r>
      <w:r w:rsidR="005E2185" w:rsidRPr="00EF6761">
        <w:rPr>
          <w:rStyle w:val="Emphasis"/>
        </w:rPr>
        <w:t>business survey</w:t>
      </w:r>
      <w:r w:rsidR="007A139F">
        <w:rPr>
          <w:rStyle w:val="Emphasis"/>
        </w:rPr>
        <w:t xml:space="preserve"> </w:t>
      </w:r>
      <w:r w:rsidR="007A139F">
        <w:rPr>
          <w:rStyle w:val="Emphasis"/>
          <w:b w:val="0"/>
        </w:rPr>
        <w:t>results</w:t>
      </w:r>
      <w:r w:rsidR="002E73F4" w:rsidRPr="00EF6761">
        <w:t xml:space="preserve"> show</w:t>
      </w:r>
      <w:r w:rsidR="005E2185" w:rsidRPr="00EF6761">
        <w:t xml:space="preserve"> that</w:t>
      </w:r>
      <w:r w:rsidR="002E73F4" w:rsidRPr="00EF6761">
        <w:t xml:space="preserve"> </w:t>
      </w:r>
      <w:r w:rsidRPr="00EF6761">
        <w:t>Victoria</w:t>
      </w:r>
      <w:r w:rsidR="00523A27" w:rsidRPr="00EF6761">
        <w:t>n business conditions</w:t>
      </w:r>
      <w:r w:rsidR="00833B24" w:rsidRPr="00EF6761">
        <w:t xml:space="preserve"> improve</w:t>
      </w:r>
      <w:r w:rsidR="00F6696B">
        <w:t>d further</w:t>
      </w:r>
      <w:r w:rsidR="00833B24" w:rsidRPr="00EF6761">
        <w:t xml:space="preserve"> in </w:t>
      </w:r>
      <w:r w:rsidR="00523A27" w:rsidRPr="00EF6761">
        <w:t>September</w:t>
      </w:r>
      <w:r w:rsidR="00833B24" w:rsidRPr="00EF6761">
        <w:t>,</w:t>
      </w:r>
      <w:r w:rsidR="00506EEE" w:rsidRPr="00EF6761">
        <w:t xml:space="preserve"> and are now</w:t>
      </w:r>
      <w:r w:rsidR="00833B24" w:rsidRPr="00EF6761">
        <w:t xml:space="preserve"> highest of all states</w:t>
      </w:r>
      <w:r w:rsidR="00523A27" w:rsidRPr="00EF6761">
        <w:t>.</w:t>
      </w:r>
      <w:r w:rsidR="00EF6761" w:rsidRPr="00EF6761">
        <w:t xml:space="preserve"> Despite falling over the month,</w:t>
      </w:r>
      <w:r w:rsidR="00833B24" w:rsidRPr="00EF6761">
        <w:t xml:space="preserve"> </w:t>
      </w:r>
      <w:r w:rsidR="00B75088">
        <w:t xml:space="preserve">Victorian </w:t>
      </w:r>
      <w:r w:rsidR="00833B24" w:rsidRPr="00EF6761">
        <w:t>business confidence</w:t>
      </w:r>
      <w:r w:rsidRPr="00EF6761">
        <w:t xml:space="preserve"> </w:t>
      </w:r>
      <w:r w:rsidR="00EF6761" w:rsidRPr="00EF6761">
        <w:t>remains in positive territory</w:t>
      </w:r>
      <w:r w:rsidR="00200D1F">
        <w:t xml:space="preserve">, and </w:t>
      </w:r>
      <w:r w:rsidR="00980269">
        <w:t>is higher</w:t>
      </w:r>
      <w:r w:rsidR="00200D1F">
        <w:t xml:space="preserve"> compared with the corresponding month last year</w:t>
      </w:r>
      <w:r w:rsidR="005E2185" w:rsidRPr="00EF6761">
        <w:t>.</w:t>
      </w:r>
    </w:p>
    <w:p w:rsidR="00EF6761" w:rsidRPr="009A39A9" w:rsidRDefault="00EF6761" w:rsidP="005E2185">
      <w:pPr>
        <w:rPr>
          <w:sz w:val="6"/>
        </w:rPr>
      </w:pPr>
    </w:p>
    <w:tbl>
      <w:tblPr>
        <w:tblW w:w="0" w:type="auto"/>
        <w:tblLook w:val="04A0" w:firstRow="1" w:lastRow="0" w:firstColumn="1" w:lastColumn="0" w:noHBand="0" w:noVBand="1"/>
      </w:tblPr>
      <w:tblGrid>
        <w:gridCol w:w="988"/>
        <w:gridCol w:w="3763"/>
      </w:tblGrid>
      <w:tr w:rsidR="00047DD7" w:rsidTr="00474854">
        <w:tc>
          <w:tcPr>
            <w:tcW w:w="988" w:type="dxa"/>
          </w:tcPr>
          <w:p w:rsidR="00047DD7" w:rsidRDefault="002868CD" w:rsidP="00EE60CF">
            <w:r>
              <w:lastRenderedPageBreak/>
              <w:br w:type="column"/>
            </w:r>
            <w:r w:rsidR="00047DD7">
              <w:rPr>
                <w:noProof/>
                <w:lang w:eastAsia="en-AU"/>
              </w:rPr>
              <w:drawing>
                <wp:inline distT="0" distB="0" distL="0" distR="0" wp14:anchorId="3C26B7D3" wp14:editId="3466DAD7">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63" w:type="dxa"/>
            <w:vAlign w:val="bottom"/>
          </w:tcPr>
          <w:p w:rsidR="00047DD7" w:rsidRDefault="00047DD7" w:rsidP="00EE60CF">
            <w:pPr>
              <w:pStyle w:val="Heading1"/>
            </w:pPr>
            <w:r>
              <w:t>Financial markets</w:t>
            </w:r>
          </w:p>
        </w:tc>
      </w:tr>
    </w:tbl>
    <w:p w:rsidR="005318CE" w:rsidRDefault="005B6236" w:rsidP="00F62672">
      <w:pPr>
        <w:spacing w:before="120"/>
        <w:rPr>
          <w:color w:val="FF0000"/>
        </w:rPr>
      </w:pPr>
      <w:r w:rsidRPr="005B6236">
        <w:t>For the first time in eight years,</w:t>
      </w:r>
      <w:r w:rsidR="005318CE" w:rsidRPr="005B6236">
        <w:t xml:space="preserve"> the Organisation of Petroleum Exporting Countries </w:t>
      </w:r>
      <w:r w:rsidR="005318CE" w:rsidRPr="005B6236">
        <w:rPr>
          <w:b/>
        </w:rPr>
        <w:t>(OPEC)</w:t>
      </w:r>
      <w:r w:rsidR="005318CE" w:rsidRPr="005B6236">
        <w:t xml:space="preserve"> reached a consensus to scale back oil production. </w:t>
      </w:r>
      <w:r w:rsidR="00BE514B">
        <w:t>N</w:t>
      </w:r>
      <w:r w:rsidRPr="005B6236">
        <w:t>ews of this</w:t>
      </w:r>
      <w:r w:rsidR="005318CE" w:rsidRPr="005B6236">
        <w:t xml:space="preserve"> proposal surprised the market,</w:t>
      </w:r>
      <w:r w:rsidRPr="005B6236">
        <w:t xml:space="preserve"> with</w:t>
      </w:r>
      <w:r w:rsidR="005318CE" w:rsidRPr="005B6236">
        <w:t xml:space="preserve"> crude prices </w:t>
      </w:r>
      <w:r w:rsidRPr="005B6236">
        <w:t xml:space="preserve">moving above </w:t>
      </w:r>
      <w:r w:rsidR="008926D2">
        <w:t>$</w:t>
      </w:r>
      <w:r w:rsidR="000A3879">
        <w:t>US</w:t>
      </w:r>
      <w:r w:rsidRPr="005B6236">
        <w:t>50 a barrel</w:t>
      </w:r>
      <w:r w:rsidR="005318CE" w:rsidRPr="005B6236">
        <w:t xml:space="preserve">, </w:t>
      </w:r>
      <w:r w:rsidRPr="005B6236">
        <w:t>having</w:t>
      </w:r>
      <w:r w:rsidR="005318CE" w:rsidRPr="005B6236">
        <w:t xml:space="preserve"> fall</w:t>
      </w:r>
      <w:r w:rsidRPr="005B6236">
        <w:t xml:space="preserve">en to a 13-year low of </w:t>
      </w:r>
      <w:r w:rsidR="00BE514B">
        <w:t>less than</w:t>
      </w:r>
      <w:r w:rsidR="005318CE" w:rsidRPr="005B6236">
        <w:t xml:space="preserve"> </w:t>
      </w:r>
      <w:r w:rsidR="008926D2">
        <w:t>$</w:t>
      </w:r>
      <w:r w:rsidR="000A3879">
        <w:t>US</w:t>
      </w:r>
      <w:r w:rsidR="005318CE" w:rsidRPr="005B6236">
        <w:t xml:space="preserve">30 </w:t>
      </w:r>
      <w:r w:rsidRPr="005B6236">
        <w:t xml:space="preserve">a barrel </w:t>
      </w:r>
      <w:r w:rsidR="005318CE" w:rsidRPr="005B6236">
        <w:t>earl</w:t>
      </w:r>
      <w:r w:rsidRPr="005B6236">
        <w:t>ier</w:t>
      </w:r>
      <w:r w:rsidR="005318CE" w:rsidRPr="005B6236">
        <w:t xml:space="preserve"> in the year.</w:t>
      </w:r>
    </w:p>
    <w:p w:rsidR="005318CE" w:rsidRDefault="005318CE" w:rsidP="00EE619A">
      <w:pPr>
        <w:rPr>
          <w:color w:val="FF0000"/>
        </w:rPr>
      </w:pPr>
      <w:r w:rsidRPr="00A27B08">
        <w:t>As</w:t>
      </w:r>
      <w:r w:rsidR="007A139F" w:rsidRPr="00A27B08">
        <w:t xml:space="preserve"> was</w:t>
      </w:r>
      <w:r w:rsidRPr="00A27B08">
        <w:t xml:space="preserve"> widely expected, the </w:t>
      </w:r>
      <w:r w:rsidRPr="00A27B08">
        <w:rPr>
          <w:b/>
        </w:rPr>
        <w:t>US Federal Reserve</w:t>
      </w:r>
      <w:r w:rsidRPr="00A27B08">
        <w:t xml:space="preserve"> left the</w:t>
      </w:r>
      <w:r w:rsidR="00CF74BB" w:rsidRPr="00A27B08">
        <w:t xml:space="preserve"> target</w:t>
      </w:r>
      <w:r w:rsidRPr="00A27B08">
        <w:t xml:space="preserve"> funds rate unchanged at </w:t>
      </w:r>
      <w:r w:rsidR="007A139F" w:rsidRPr="00A27B08">
        <w:t>its September meeting</w:t>
      </w:r>
      <w:r w:rsidRPr="00A27B08">
        <w:t>.</w:t>
      </w:r>
      <w:r w:rsidR="00A27B08" w:rsidRPr="00A27B08">
        <w:t xml:space="preserve"> While</w:t>
      </w:r>
      <w:r w:rsidRPr="00A27B08">
        <w:t xml:space="preserve"> the</w:t>
      </w:r>
      <w:r w:rsidR="00AD0968">
        <w:t xml:space="preserve"> path for higher interest rates is looking weaker</w:t>
      </w:r>
      <w:r w:rsidR="00A27B08" w:rsidRPr="00A27B08">
        <w:t>,</w:t>
      </w:r>
      <w:r w:rsidR="00AD0968">
        <w:t xml:space="preserve"> with the Fed again downgrading its interest rate projections,</w:t>
      </w:r>
      <w:r w:rsidR="00A27B08" w:rsidRPr="00A27B08">
        <w:t xml:space="preserve"> market expectations for a December hike </w:t>
      </w:r>
      <w:r w:rsidR="00AD0968">
        <w:t>remain</w:t>
      </w:r>
      <w:r w:rsidR="00A27B08" w:rsidRPr="00A27B08">
        <w:t xml:space="preserve"> at around 65 per cent</w:t>
      </w:r>
      <w:r w:rsidR="005E64C4">
        <w:t>.</w:t>
      </w:r>
    </w:p>
    <w:p w:rsidR="005318CE" w:rsidRPr="008660A0" w:rsidRDefault="00C94ED7" w:rsidP="00EE619A">
      <w:pPr>
        <w:rPr>
          <w:color w:val="FF0000"/>
        </w:rPr>
      </w:pPr>
      <w:r w:rsidRPr="005E64C4">
        <w:t>In response to</w:t>
      </w:r>
      <w:r w:rsidR="00EC6B00" w:rsidRPr="005E64C4">
        <w:t xml:space="preserve"> persistently low inflation,</w:t>
      </w:r>
      <w:r w:rsidRPr="005E64C4">
        <w:t xml:space="preserve"> </w:t>
      </w:r>
      <w:r w:rsidR="00EC6B00" w:rsidRPr="005E64C4">
        <w:t>t</w:t>
      </w:r>
      <w:r w:rsidRPr="005E64C4">
        <w:t xml:space="preserve">he </w:t>
      </w:r>
      <w:r w:rsidRPr="005E64C4">
        <w:rPr>
          <w:b/>
        </w:rPr>
        <w:t>Bank of Japan</w:t>
      </w:r>
      <w:r w:rsidRPr="005E64C4">
        <w:t xml:space="preserve"> announced a further</w:t>
      </w:r>
      <w:r w:rsidR="00EC6B00" w:rsidRPr="005E64C4">
        <w:t xml:space="preserve"> package of</w:t>
      </w:r>
      <w:r w:rsidR="005E64C4" w:rsidRPr="005E64C4">
        <w:t xml:space="preserve"> expansionary monetary policy</w:t>
      </w:r>
      <w:r w:rsidRPr="005E64C4">
        <w:t xml:space="preserve"> </w:t>
      </w:r>
      <w:r w:rsidR="00EC6B00" w:rsidRPr="005E64C4">
        <w:t>measures</w:t>
      </w:r>
      <w:r w:rsidR="005E64C4" w:rsidRPr="005E64C4">
        <w:t xml:space="preserve"> in an attempt to overshoot its</w:t>
      </w:r>
      <w:r w:rsidR="005318CE" w:rsidRPr="005E64C4">
        <w:t xml:space="preserve"> 2 per</w:t>
      </w:r>
      <w:r w:rsidR="00A27B08" w:rsidRPr="005E64C4">
        <w:t xml:space="preserve"> </w:t>
      </w:r>
      <w:r w:rsidR="005E64C4" w:rsidRPr="005E64C4">
        <w:t>cent annual inflation target</w:t>
      </w:r>
      <w:r w:rsidR="005318CE" w:rsidRPr="005E64C4">
        <w:t xml:space="preserve">. </w:t>
      </w:r>
      <w:r w:rsidR="00AD0968">
        <w:t>By doing so, it hopes to convince consumers and businesses that prices are rising, and thereby stimulate demand.</w:t>
      </w:r>
    </w:p>
    <w:p w:rsidR="00EE619A" w:rsidRDefault="00FA27EE" w:rsidP="00EE619A">
      <w:pPr>
        <w:rPr>
          <w:color w:val="FF0000"/>
        </w:rPr>
      </w:pPr>
      <w:r w:rsidRPr="00833B24">
        <w:t xml:space="preserve">The </w:t>
      </w:r>
      <w:r w:rsidRPr="00833B24">
        <w:rPr>
          <w:rStyle w:val="Emphasis"/>
        </w:rPr>
        <w:t>RBA</w:t>
      </w:r>
      <w:r w:rsidRPr="00833B24">
        <w:t xml:space="preserve"> held the cash rate steady at </w:t>
      </w:r>
      <w:r w:rsidR="00F6696B">
        <w:br/>
      </w:r>
      <w:r w:rsidRPr="00833B24">
        <w:t>1.5 per cent at its October meeting</w:t>
      </w:r>
      <w:r w:rsidR="00200D1F">
        <w:t xml:space="preserve"> as the </w:t>
      </w:r>
      <w:r w:rsidR="005E64C4">
        <w:t xml:space="preserve">Australian dollar </w:t>
      </w:r>
      <w:r w:rsidR="009A39A9" w:rsidRPr="009A39A9">
        <w:t>remained anchored in the mid-</w:t>
      </w:r>
      <w:r w:rsidR="00F6696B" w:rsidRPr="009A39A9">
        <w:t>70</w:t>
      </w:r>
      <w:r w:rsidR="009A39A9" w:rsidRPr="009A39A9">
        <w:t xml:space="preserve"> US</w:t>
      </w:r>
      <w:r w:rsidR="00F6696B" w:rsidRPr="009A39A9">
        <w:t xml:space="preserve"> cent range</w:t>
      </w:r>
      <w:r w:rsidR="00200D1F">
        <w:t>.</w:t>
      </w:r>
      <w:r w:rsidR="00833B24">
        <w:t xml:space="preserve"> </w:t>
      </w:r>
      <w:r w:rsidR="00EF6761">
        <w:t xml:space="preserve">In </w:t>
      </w:r>
      <w:r w:rsidR="009A39A9">
        <w:t>its</w:t>
      </w:r>
      <w:r w:rsidR="005E64C4">
        <w:t xml:space="preserve"> biannual</w:t>
      </w:r>
      <w:r w:rsidR="00EF6761">
        <w:t xml:space="preserve"> financial stability review</w:t>
      </w:r>
      <w:r w:rsidR="006F3B8C" w:rsidRPr="00833B24">
        <w:t xml:space="preserve">, </w:t>
      </w:r>
      <w:r w:rsidR="00833B24" w:rsidRPr="00833B24">
        <w:t>t</w:t>
      </w:r>
      <w:r w:rsidR="006F3B8C" w:rsidRPr="00833B24">
        <w:t>he RBA</w:t>
      </w:r>
      <w:r w:rsidR="00EF6761">
        <w:t xml:space="preserve"> </w:t>
      </w:r>
      <w:r w:rsidR="005E64C4">
        <w:t>noted</w:t>
      </w:r>
      <w:r w:rsidR="00EF6761">
        <w:t xml:space="preserve"> that </w:t>
      </w:r>
      <w:r w:rsidR="00EF6761" w:rsidRPr="00EF6761">
        <w:t>risks from apartment oversupply in some</w:t>
      </w:r>
      <w:r w:rsidR="00EF6761">
        <w:t xml:space="preserve"> capital city</w:t>
      </w:r>
      <w:r w:rsidR="00EF6761" w:rsidRPr="00EF6761">
        <w:t xml:space="preserve"> ma</w:t>
      </w:r>
      <w:r w:rsidR="00EF6761">
        <w:t xml:space="preserve">rkets </w:t>
      </w:r>
      <w:r w:rsidR="009A39A9">
        <w:t>are</w:t>
      </w:r>
      <w:r w:rsidR="00EF6761">
        <w:t xml:space="preserve"> starting to show</w:t>
      </w:r>
      <w:r w:rsidR="009A5CE0">
        <w:t>, and identified t</w:t>
      </w:r>
      <w:r w:rsidR="00F62672">
        <w:t>he</w:t>
      </w:r>
      <w:r w:rsidR="005E64C4">
        <w:t xml:space="preserve"> h</w:t>
      </w:r>
      <w:r w:rsidR="006F3B8C" w:rsidRPr="00833B24">
        <w:t xml:space="preserve">igh level of debt in China as the </w:t>
      </w:r>
      <w:r w:rsidR="00F62672">
        <w:t>predominant</w:t>
      </w:r>
      <w:r w:rsidR="006F3B8C" w:rsidRPr="00833B24">
        <w:t xml:space="preserve"> globa</w:t>
      </w:r>
      <w:r w:rsidR="005E64C4">
        <w:t>l</w:t>
      </w:r>
      <w:r w:rsidR="006F3B8C" w:rsidRPr="00833B24">
        <w:t xml:space="preserve"> risk.</w:t>
      </w:r>
    </w:p>
    <w:p w:rsidR="00D30EAC" w:rsidRPr="001E141A" w:rsidRDefault="009A5CE0" w:rsidP="001E141A">
      <w:pPr>
        <w:rPr>
          <w:color w:val="FF0000"/>
        </w:rPr>
        <w:sectPr w:rsidR="00D30EAC" w:rsidRPr="001E141A" w:rsidSect="00474854">
          <w:headerReference w:type="default" r:id="rId17"/>
          <w:type w:val="continuous"/>
          <w:pgSz w:w="11906" w:h="16838" w:code="9"/>
          <w:pgMar w:top="964" w:right="1134" w:bottom="794" w:left="1134" w:header="709" w:footer="567" w:gutter="0"/>
          <w:cols w:num="2" w:space="567"/>
          <w:docGrid w:linePitch="360"/>
        </w:sectPr>
      </w:pPr>
      <w:r w:rsidRPr="009A5CE0">
        <w:t xml:space="preserve">Despite concerns </w:t>
      </w:r>
      <w:r w:rsidR="002D2638">
        <w:t>in relation to debt and</w:t>
      </w:r>
      <w:r w:rsidRPr="009A5CE0">
        <w:t xml:space="preserve"> the sustainability of growth</w:t>
      </w:r>
      <w:r w:rsidR="002D2638">
        <w:t xml:space="preserve">, </w:t>
      </w:r>
      <w:r w:rsidR="002D2638" w:rsidRPr="002D2638">
        <w:rPr>
          <w:b/>
        </w:rPr>
        <w:t>China’s</w:t>
      </w:r>
      <w:r w:rsidR="002D2638">
        <w:t xml:space="preserve"> economy expanded at an unchanged annual pace of 6.7 per cent over the year to the September quarter. As a result, it is now almost certain that the </w:t>
      </w:r>
      <w:r w:rsidR="001E141A" w:rsidRPr="00705025">
        <w:t>government</w:t>
      </w:r>
      <w:r w:rsidR="00705025" w:rsidRPr="00705025">
        <w:t xml:space="preserve">’s </w:t>
      </w:r>
      <w:r w:rsidR="001E141A" w:rsidRPr="00705025">
        <w:t>growth</w:t>
      </w:r>
      <w:r w:rsidR="00705025" w:rsidRPr="00705025">
        <w:t xml:space="preserve"> target</w:t>
      </w:r>
      <w:r w:rsidR="001E141A" w:rsidRPr="00705025">
        <w:t xml:space="preserve"> of between 6.5 per</w:t>
      </w:r>
      <w:r w:rsidR="00705025" w:rsidRPr="00705025">
        <w:t xml:space="preserve"> </w:t>
      </w:r>
      <w:r w:rsidR="001E141A" w:rsidRPr="00705025">
        <w:t>cent and 7 per</w:t>
      </w:r>
      <w:r w:rsidR="00705025" w:rsidRPr="00705025">
        <w:t xml:space="preserve"> </w:t>
      </w:r>
      <w:r w:rsidR="001E141A" w:rsidRPr="00705025">
        <w:t>cent</w:t>
      </w:r>
      <w:r w:rsidR="002D2638">
        <w:t xml:space="preserve"> will be achieved</w:t>
      </w:r>
      <w:r w:rsidR="001E141A" w:rsidRPr="00705025">
        <w:t xml:space="preserve"> </w:t>
      </w:r>
      <w:r w:rsidR="00705025">
        <w:t>in 2016</w:t>
      </w:r>
      <w:r w:rsidR="001E141A" w:rsidRPr="00705025">
        <w:t>.</w:t>
      </w:r>
    </w:p>
    <w:p w:rsidR="00D00E91" w:rsidRPr="001B398D" w:rsidRDefault="00D30EAC" w:rsidP="00BA6B8C">
      <w:pPr>
        <w:pStyle w:val="Caption"/>
        <w:rPr>
          <w:sz w:val="24"/>
        </w:rPr>
      </w:pPr>
      <w:r w:rsidRPr="001B398D">
        <w:rPr>
          <w:sz w:val="24"/>
        </w:rPr>
        <w:lastRenderedPageBreak/>
        <w:t xml:space="preserve">Movements in financial data over </w:t>
      </w:r>
      <w:r w:rsidR="00DF6BCF" w:rsidRPr="001B398D">
        <w:rPr>
          <w:sz w:val="24"/>
        </w:rPr>
        <w:t>the past month</w:t>
      </w:r>
    </w:p>
    <w:tbl>
      <w:tblPr>
        <w:tblStyle w:val="TableGrid"/>
        <w:tblW w:w="5000" w:type="pct"/>
        <w:tblLook w:val="0420" w:firstRow="1" w:lastRow="0" w:firstColumn="0" w:lastColumn="0" w:noHBand="0" w:noVBand="1"/>
      </w:tblPr>
      <w:tblGrid>
        <w:gridCol w:w="3458"/>
        <w:gridCol w:w="1701"/>
        <w:gridCol w:w="1845"/>
        <w:gridCol w:w="2861"/>
      </w:tblGrid>
      <w:tr w:rsidR="009E176B" w:rsidRPr="001B398D" w:rsidTr="002868CD">
        <w:trPr>
          <w:cnfStyle w:val="100000000000" w:firstRow="1" w:lastRow="0" w:firstColumn="0" w:lastColumn="0" w:oddVBand="0" w:evenVBand="0" w:oddHBand="0" w:evenHBand="0" w:firstRowFirstColumn="0" w:firstRowLastColumn="0" w:lastRowFirstColumn="0" w:lastRowLastColumn="0"/>
        </w:trPr>
        <w:tc>
          <w:tcPr>
            <w:tcW w:w="1753" w:type="pct"/>
          </w:tcPr>
          <w:p w:rsidR="009A5772" w:rsidRPr="001B398D" w:rsidRDefault="009A5772" w:rsidP="0023586C">
            <w:pPr>
              <w:rPr>
                <w:b/>
                <w:i w:val="0"/>
                <w:szCs w:val="20"/>
              </w:rPr>
            </w:pPr>
          </w:p>
        </w:tc>
        <w:tc>
          <w:tcPr>
            <w:tcW w:w="862" w:type="pct"/>
          </w:tcPr>
          <w:p w:rsidR="009A5772" w:rsidRPr="001B398D" w:rsidRDefault="005C5FE2" w:rsidP="00DF6BCF">
            <w:pPr>
              <w:jc w:val="right"/>
              <w:rPr>
                <w:b/>
                <w:i w:val="0"/>
                <w:szCs w:val="20"/>
              </w:rPr>
            </w:pPr>
            <w:r w:rsidRPr="001B398D">
              <w:rPr>
                <w:b/>
                <w:i w:val="0"/>
                <w:szCs w:val="20"/>
              </w:rPr>
              <w:t>20</w:t>
            </w:r>
            <w:r w:rsidR="00450F23" w:rsidRPr="001B398D">
              <w:rPr>
                <w:b/>
                <w:i w:val="0"/>
                <w:szCs w:val="20"/>
              </w:rPr>
              <w:t xml:space="preserve"> </w:t>
            </w:r>
            <w:r w:rsidR="00DF6BCF" w:rsidRPr="001B398D">
              <w:rPr>
                <w:b/>
                <w:i w:val="0"/>
                <w:szCs w:val="20"/>
              </w:rPr>
              <w:t>Oct</w:t>
            </w:r>
            <w:r w:rsidR="00450F23" w:rsidRPr="001B398D">
              <w:rPr>
                <w:b/>
                <w:i w:val="0"/>
                <w:szCs w:val="20"/>
              </w:rPr>
              <w:t xml:space="preserve"> 2016</w:t>
            </w:r>
          </w:p>
        </w:tc>
        <w:tc>
          <w:tcPr>
            <w:tcW w:w="935" w:type="pct"/>
          </w:tcPr>
          <w:p w:rsidR="009A5772" w:rsidRPr="001B398D" w:rsidRDefault="005C5FE2" w:rsidP="00DF6BCF">
            <w:pPr>
              <w:jc w:val="right"/>
              <w:rPr>
                <w:b/>
                <w:i w:val="0"/>
                <w:szCs w:val="20"/>
              </w:rPr>
            </w:pPr>
            <w:r w:rsidRPr="001B398D">
              <w:rPr>
                <w:b/>
                <w:i w:val="0"/>
                <w:szCs w:val="20"/>
              </w:rPr>
              <w:t>20</w:t>
            </w:r>
            <w:r w:rsidR="00820021" w:rsidRPr="001B398D">
              <w:rPr>
                <w:b/>
                <w:i w:val="0"/>
                <w:szCs w:val="20"/>
              </w:rPr>
              <w:t xml:space="preserve"> </w:t>
            </w:r>
            <w:r w:rsidR="00DF6BCF" w:rsidRPr="001B398D">
              <w:rPr>
                <w:b/>
                <w:i w:val="0"/>
                <w:szCs w:val="20"/>
              </w:rPr>
              <w:t xml:space="preserve">Sep </w:t>
            </w:r>
            <w:r w:rsidR="00967403" w:rsidRPr="001B398D">
              <w:rPr>
                <w:b/>
                <w:i w:val="0"/>
                <w:szCs w:val="20"/>
              </w:rPr>
              <w:t>2016</w:t>
            </w:r>
          </w:p>
        </w:tc>
        <w:tc>
          <w:tcPr>
            <w:tcW w:w="1451" w:type="pct"/>
          </w:tcPr>
          <w:p w:rsidR="009A5772" w:rsidRPr="001B398D" w:rsidRDefault="00967403" w:rsidP="00967403">
            <w:pPr>
              <w:jc w:val="right"/>
              <w:rPr>
                <w:b/>
                <w:i w:val="0"/>
                <w:szCs w:val="20"/>
              </w:rPr>
            </w:pPr>
            <w:r w:rsidRPr="001B398D">
              <w:rPr>
                <w:b/>
                <w:i w:val="0"/>
                <w:szCs w:val="20"/>
              </w:rPr>
              <w:t>Change</w:t>
            </w:r>
          </w:p>
        </w:tc>
      </w:tr>
      <w:tr w:rsidR="009E176B" w:rsidRPr="001B398D" w:rsidTr="002868CD">
        <w:trPr>
          <w:cnfStyle w:val="000000100000" w:firstRow="0" w:lastRow="0" w:firstColumn="0" w:lastColumn="0" w:oddVBand="0" w:evenVBand="0" w:oddHBand="1" w:evenHBand="0" w:firstRowFirstColumn="0" w:firstRowLastColumn="0" w:lastRowFirstColumn="0" w:lastRowLastColumn="0"/>
        </w:trPr>
        <w:tc>
          <w:tcPr>
            <w:tcW w:w="1753" w:type="pct"/>
          </w:tcPr>
          <w:p w:rsidR="009A5772" w:rsidRPr="001B398D" w:rsidRDefault="00967403" w:rsidP="0023586C">
            <w:pPr>
              <w:rPr>
                <w:b/>
                <w:sz w:val="20"/>
                <w:szCs w:val="20"/>
              </w:rPr>
            </w:pPr>
            <w:r w:rsidRPr="001B398D">
              <w:rPr>
                <w:b/>
                <w:sz w:val="20"/>
                <w:szCs w:val="20"/>
              </w:rPr>
              <w:t>AUD/USD</w:t>
            </w:r>
          </w:p>
        </w:tc>
        <w:tc>
          <w:tcPr>
            <w:tcW w:w="862" w:type="pct"/>
          </w:tcPr>
          <w:p w:rsidR="009A5772" w:rsidRPr="001B398D" w:rsidRDefault="00450F23" w:rsidP="00E72367">
            <w:pPr>
              <w:jc w:val="right"/>
              <w:rPr>
                <w:color w:val="FF0000"/>
                <w:sz w:val="20"/>
                <w:szCs w:val="20"/>
              </w:rPr>
            </w:pPr>
            <w:r w:rsidRPr="001B398D">
              <w:rPr>
                <w:sz w:val="20"/>
                <w:szCs w:val="20"/>
              </w:rPr>
              <w:t>0.7</w:t>
            </w:r>
            <w:r w:rsidR="00E72367" w:rsidRPr="001B398D">
              <w:rPr>
                <w:sz w:val="20"/>
                <w:szCs w:val="20"/>
              </w:rPr>
              <w:t>7</w:t>
            </w:r>
          </w:p>
        </w:tc>
        <w:tc>
          <w:tcPr>
            <w:tcW w:w="935" w:type="pct"/>
          </w:tcPr>
          <w:p w:rsidR="009A5772" w:rsidRPr="001B398D" w:rsidRDefault="007F677F" w:rsidP="00967403">
            <w:pPr>
              <w:jc w:val="right"/>
              <w:rPr>
                <w:color w:val="FF0000"/>
                <w:sz w:val="20"/>
                <w:szCs w:val="20"/>
              </w:rPr>
            </w:pPr>
            <w:r w:rsidRPr="001B398D">
              <w:rPr>
                <w:sz w:val="20"/>
                <w:szCs w:val="20"/>
              </w:rPr>
              <w:t>0.75</w:t>
            </w:r>
          </w:p>
        </w:tc>
        <w:tc>
          <w:tcPr>
            <w:tcW w:w="1451" w:type="pct"/>
          </w:tcPr>
          <w:p w:rsidR="009A5772" w:rsidRPr="001B398D" w:rsidRDefault="00E72367" w:rsidP="005C5FE2">
            <w:pPr>
              <w:jc w:val="right"/>
              <w:rPr>
                <w:color w:val="FF0000"/>
                <w:sz w:val="20"/>
                <w:szCs w:val="20"/>
              </w:rPr>
            </w:pPr>
            <w:r w:rsidRPr="001B398D">
              <w:rPr>
                <w:sz w:val="20"/>
                <w:szCs w:val="20"/>
              </w:rPr>
              <w:t>+1.</w:t>
            </w:r>
            <w:r w:rsidR="005C5FE2" w:rsidRPr="001B398D">
              <w:rPr>
                <w:sz w:val="20"/>
                <w:szCs w:val="20"/>
              </w:rPr>
              <w:t>70</w:t>
            </w:r>
            <w:r w:rsidR="00967403" w:rsidRPr="001B398D">
              <w:rPr>
                <w:sz w:val="20"/>
                <w:szCs w:val="20"/>
              </w:rPr>
              <w:t xml:space="preserve"> per cent</w:t>
            </w:r>
          </w:p>
        </w:tc>
      </w:tr>
      <w:tr w:rsidR="009E176B" w:rsidRPr="001B398D" w:rsidTr="002868CD">
        <w:trPr>
          <w:cnfStyle w:val="000000010000" w:firstRow="0" w:lastRow="0" w:firstColumn="0" w:lastColumn="0" w:oddVBand="0" w:evenVBand="0" w:oddHBand="0" w:evenHBand="1" w:firstRowFirstColumn="0" w:firstRowLastColumn="0" w:lastRowFirstColumn="0" w:lastRowLastColumn="0"/>
        </w:trPr>
        <w:tc>
          <w:tcPr>
            <w:tcW w:w="1753" w:type="pct"/>
          </w:tcPr>
          <w:p w:rsidR="009A5772" w:rsidRPr="001B398D" w:rsidRDefault="00967403" w:rsidP="0023586C">
            <w:pPr>
              <w:rPr>
                <w:b/>
                <w:sz w:val="20"/>
                <w:szCs w:val="20"/>
              </w:rPr>
            </w:pPr>
            <w:r w:rsidRPr="001B398D">
              <w:rPr>
                <w:b/>
                <w:sz w:val="20"/>
                <w:szCs w:val="20"/>
              </w:rPr>
              <w:t>ASX 200</w:t>
            </w:r>
          </w:p>
        </w:tc>
        <w:tc>
          <w:tcPr>
            <w:tcW w:w="862" w:type="pct"/>
          </w:tcPr>
          <w:p w:rsidR="009A5772" w:rsidRPr="001B398D" w:rsidRDefault="00466CDB" w:rsidP="005C5FE2">
            <w:pPr>
              <w:jc w:val="right"/>
              <w:rPr>
                <w:color w:val="FF0000"/>
                <w:sz w:val="20"/>
                <w:szCs w:val="20"/>
              </w:rPr>
            </w:pPr>
            <w:r w:rsidRPr="001B398D">
              <w:rPr>
                <w:sz w:val="20"/>
                <w:szCs w:val="20"/>
              </w:rPr>
              <w:t>5 4</w:t>
            </w:r>
            <w:r w:rsidR="005C5FE2" w:rsidRPr="001B398D">
              <w:rPr>
                <w:sz w:val="20"/>
                <w:szCs w:val="20"/>
              </w:rPr>
              <w:t>42</w:t>
            </w:r>
          </w:p>
        </w:tc>
        <w:tc>
          <w:tcPr>
            <w:tcW w:w="935" w:type="pct"/>
          </w:tcPr>
          <w:p w:rsidR="009A5772" w:rsidRPr="001B398D" w:rsidRDefault="00466CDB" w:rsidP="005C5FE2">
            <w:pPr>
              <w:jc w:val="right"/>
              <w:rPr>
                <w:color w:val="FF0000"/>
                <w:sz w:val="20"/>
                <w:szCs w:val="20"/>
              </w:rPr>
            </w:pPr>
            <w:r w:rsidRPr="001B398D">
              <w:rPr>
                <w:sz w:val="20"/>
                <w:szCs w:val="20"/>
              </w:rPr>
              <w:t xml:space="preserve">5 </w:t>
            </w:r>
            <w:r w:rsidR="005C5FE2" w:rsidRPr="001B398D">
              <w:rPr>
                <w:sz w:val="20"/>
                <w:szCs w:val="20"/>
              </w:rPr>
              <w:t>304</w:t>
            </w:r>
          </w:p>
        </w:tc>
        <w:tc>
          <w:tcPr>
            <w:tcW w:w="1451" w:type="pct"/>
          </w:tcPr>
          <w:p w:rsidR="009A5772" w:rsidRPr="001B398D" w:rsidRDefault="00E72367" w:rsidP="005C5FE2">
            <w:pPr>
              <w:jc w:val="right"/>
              <w:rPr>
                <w:color w:val="FF0000"/>
                <w:sz w:val="20"/>
                <w:szCs w:val="20"/>
              </w:rPr>
            </w:pPr>
            <w:r w:rsidRPr="001B398D">
              <w:rPr>
                <w:sz w:val="20"/>
                <w:szCs w:val="20"/>
              </w:rPr>
              <w:t>+2.6</w:t>
            </w:r>
            <w:r w:rsidR="005C5FE2" w:rsidRPr="001B398D">
              <w:rPr>
                <w:sz w:val="20"/>
                <w:szCs w:val="20"/>
              </w:rPr>
              <w:t>1</w:t>
            </w:r>
            <w:r w:rsidR="00967403" w:rsidRPr="001B398D">
              <w:rPr>
                <w:sz w:val="20"/>
                <w:szCs w:val="20"/>
              </w:rPr>
              <w:t xml:space="preserve"> per cent</w:t>
            </w:r>
          </w:p>
        </w:tc>
      </w:tr>
      <w:tr w:rsidR="009E176B" w:rsidRPr="001B398D" w:rsidTr="002868CD">
        <w:trPr>
          <w:cnfStyle w:val="000000100000" w:firstRow="0" w:lastRow="0" w:firstColumn="0" w:lastColumn="0" w:oddVBand="0" w:evenVBand="0" w:oddHBand="1" w:evenHBand="0" w:firstRowFirstColumn="0" w:firstRowLastColumn="0" w:lastRowFirstColumn="0" w:lastRowLastColumn="0"/>
        </w:trPr>
        <w:tc>
          <w:tcPr>
            <w:tcW w:w="1753" w:type="pct"/>
          </w:tcPr>
          <w:p w:rsidR="009A5772" w:rsidRPr="001B398D" w:rsidRDefault="00967403" w:rsidP="0023586C">
            <w:pPr>
              <w:rPr>
                <w:b/>
                <w:sz w:val="20"/>
                <w:szCs w:val="20"/>
              </w:rPr>
            </w:pPr>
            <w:r w:rsidRPr="001B398D">
              <w:rPr>
                <w:b/>
                <w:sz w:val="20"/>
                <w:szCs w:val="20"/>
              </w:rPr>
              <w:t>S&amp;P 500</w:t>
            </w:r>
          </w:p>
        </w:tc>
        <w:tc>
          <w:tcPr>
            <w:tcW w:w="862" w:type="pct"/>
          </w:tcPr>
          <w:p w:rsidR="009A5772" w:rsidRPr="001B398D" w:rsidRDefault="00466CDB" w:rsidP="005C5FE2">
            <w:pPr>
              <w:jc w:val="right"/>
              <w:rPr>
                <w:color w:val="FF0000"/>
                <w:sz w:val="20"/>
                <w:szCs w:val="20"/>
              </w:rPr>
            </w:pPr>
            <w:r w:rsidRPr="001B398D">
              <w:rPr>
                <w:sz w:val="20"/>
                <w:szCs w:val="20"/>
              </w:rPr>
              <w:t>2 1</w:t>
            </w:r>
            <w:r w:rsidR="00E72367" w:rsidRPr="001B398D">
              <w:rPr>
                <w:sz w:val="20"/>
                <w:szCs w:val="20"/>
              </w:rPr>
              <w:t>4</w:t>
            </w:r>
            <w:r w:rsidR="005C5FE2" w:rsidRPr="001B398D">
              <w:rPr>
                <w:sz w:val="20"/>
                <w:szCs w:val="20"/>
              </w:rPr>
              <w:t>1</w:t>
            </w:r>
          </w:p>
        </w:tc>
        <w:tc>
          <w:tcPr>
            <w:tcW w:w="935" w:type="pct"/>
          </w:tcPr>
          <w:p w:rsidR="009A5772" w:rsidRPr="001B398D" w:rsidRDefault="00466CDB" w:rsidP="005C5FE2">
            <w:pPr>
              <w:jc w:val="right"/>
              <w:rPr>
                <w:color w:val="FF0000"/>
                <w:sz w:val="20"/>
                <w:szCs w:val="20"/>
              </w:rPr>
            </w:pPr>
            <w:r w:rsidRPr="001B398D">
              <w:rPr>
                <w:sz w:val="20"/>
                <w:szCs w:val="20"/>
              </w:rPr>
              <w:t>2 1</w:t>
            </w:r>
            <w:r w:rsidR="005C5FE2" w:rsidRPr="001B398D">
              <w:rPr>
                <w:sz w:val="20"/>
                <w:szCs w:val="20"/>
              </w:rPr>
              <w:t>40</w:t>
            </w:r>
          </w:p>
        </w:tc>
        <w:tc>
          <w:tcPr>
            <w:tcW w:w="1451" w:type="pct"/>
          </w:tcPr>
          <w:p w:rsidR="009A5772" w:rsidRPr="001B398D" w:rsidRDefault="00466CDB" w:rsidP="005C5FE2">
            <w:pPr>
              <w:jc w:val="right"/>
              <w:rPr>
                <w:color w:val="FF0000"/>
                <w:sz w:val="20"/>
                <w:szCs w:val="20"/>
              </w:rPr>
            </w:pPr>
            <w:r w:rsidRPr="001B398D">
              <w:rPr>
                <w:sz w:val="20"/>
                <w:szCs w:val="20"/>
              </w:rPr>
              <w:t>+</w:t>
            </w:r>
            <w:r w:rsidR="00E72367" w:rsidRPr="001B398D">
              <w:rPr>
                <w:sz w:val="20"/>
                <w:szCs w:val="20"/>
              </w:rPr>
              <w:t>0</w:t>
            </w:r>
            <w:r w:rsidRPr="001B398D">
              <w:rPr>
                <w:sz w:val="20"/>
                <w:szCs w:val="20"/>
              </w:rPr>
              <w:t>.</w:t>
            </w:r>
            <w:r w:rsidR="005C5FE2" w:rsidRPr="001B398D">
              <w:rPr>
                <w:sz w:val="20"/>
                <w:szCs w:val="20"/>
              </w:rPr>
              <w:t>07</w:t>
            </w:r>
            <w:r w:rsidRPr="001B398D">
              <w:rPr>
                <w:sz w:val="20"/>
                <w:szCs w:val="20"/>
              </w:rPr>
              <w:t xml:space="preserve"> per cent</w:t>
            </w:r>
            <w:r w:rsidR="00466052" w:rsidRPr="001B398D">
              <w:rPr>
                <w:color w:val="FF0000"/>
                <w:sz w:val="20"/>
                <w:szCs w:val="20"/>
              </w:rPr>
              <w:t xml:space="preserve">                     </w:t>
            </w:r>
          </w:p>
        </w:tc>
      </w:tr>
      <w:tr w:rsidR="009E176B" w:rsidRPr="001B398D" w:rsidTr="002868CD">
        <w:trPr>
          <w:cnfStyle w:val="000000010000" w:firstRow="0" w:lastRow="0" w:firstColumn="0" w:lastColumn="0" w:oddVBand="0" w:evenVBand="0" w:oddHBand="0" w:evenHBand="1" w:firstRowFirstColumn="0" w:firstRowLastColumn="0" w:lastRowFirstColumn="0" w:lastRowLastColumn="0"/>
        </w:trPr>
        <w:tc>
          <w:tcPr>
            <w:tcW w:w="1753" w:type="pct"/>
          </w:tcPr>
          <w:p w:rsidR="009E176B" w:rsidRPr="001B398D" w:rsidRDefault="009E176B" w:rsidP="0023586C">
            <w:pPr>
              <w:rPr>
                <w:b/>
                <w:sz w:val="20"/>
                <w:szCs w:val="20"/>
              </w:rPr>
            </w:pPr>
            <w:r w:rsidRPr="001B398D">
              <w:rPr>
                <w:b/>
                <w:sz w:val="20"/>
                <w:szCs w:val="20"/>
              </w:rPr>
              <w:t>90 day bank bill rate</w:t>
            </w:r>
          </w:p>
        </w:tc>
        <w:tc>
          <w:tcPr>
            <w:tcW w:w="862" w:type="pct"/>
          </w:tcPr>
          <w:p w:rsidR="009E176B" w:rsidRPr="001B398D" w:rsidRDefault="00466052" w:rsidP="005C5FE2">
            <w:pPr>
              <w:jc w:val="right"/>
              <w:rPr>
                <w:color w:val="FF0000"/>
                <w:sz w:val="20"/>
                <w:szCs w:val="20"/>
              </w:rPr>
            </w:pPr>
            <w:r w:rsidRPr="001B398D">
              <w:rPr>
                <w:sz w:val="20"/>
                <w:szCs w:val="20"/>
              </w:rPr>
              <w:t>1.7</w:t>
            </w:r>
            <w:r w:rsidR="005C5FE2" w:rsidRPr="001B398D">
              <w:rPr>
                <w:sz w:val="20"/>
                <w:szCs w:val="20"/>
              </w:rPr>
              <w:t>4</w:t>
            </w:r>
          </w:p>
        </w:tc>
        <w:tc>
          <w:tcPr>
            <w:tcW w:w="935" w:type="pct"/>
          </w:tcPr>
          <w:p w:rsidR="009E176B" w:rsidRPr="001B398D" w:rsidRDefault="00466052" w:rsidP="007F677F">
            <w:pPr>
              <w:jc w:val="right"/>
              <w:rPr>
                <w:color w:val="FF0000"/>
                <w:sz w:val="20"/>
                <w:szCs w:val="20"/>
              </w:rPr>
            </w:pPr>
            <w:r w:rsidRPr="001B398D">
              <w:rPr>
                <w:sz w:val="20"/>
                <w:szCs w:val="20"/>
              </w:rPr>
              <w:t>1.7</w:t>
            </w:r>
            <w:r w:rsidR="007F677F" w:rsidRPr="001B398D">
              <w:rPr>
                <w:sz w:val="20"/>
                <w:szCs w:val="20"/>
              </w:rPr>
              <w:t>3</w:t>
            </w:r>
          </w:p>
        </w:tc>
        <w:tc>
          <w:tcPr>
            <w:tcW w:w="1451" w:type="pct"/>
          </w:tcPr>
          <w:p w:rsidR="009E176B" w:rsidRPr="001B398D" w:rsidRDefault="005C5FE2" w:rsidP="000A3DE5">
            <w:pPr>
              <w:jc w:val="right"/>
              <w:rPr>
                <w:color w:val="FF0000"/>
                <w:sz w:val="20"/>
                <w:szCs w:val="20"/>
              </w:rPr>
            </w:pPr>
            <w:r w:rsidRPr="001B398D">
              <w:rPr>
                <w:sz w:val="20"/>
                <w:szCs w:val="20"/>
              </w:rPr>
              <w:t>+0.01</w:t>
            </w:r>
            <w:r w:rsidR="00466CDB" w:rsidRPr="001B398D">
              <w:rPr>
                <w:sz w:val="20"/>
                <w:szCs w:val="20"/>
              </w:rPr>
              <w:t xml:space="preserve"> percent</w:t>
            </w:r>
            <w:r w:rsidR="00820021" w:rsidRPr="001B398D">
              <w:rPr>
                <w:sz w:val="20"/>
                <w:szCs w:val="20"/>
              </w:rPr>
              <w:t>age points</w:t>
            </w:r>
          </w:p>
        </w:tc>
      </w:tr>
      <w:tr w:rsidR="009E176B" w:rsidRPr="001B398D" w:rsidTr="002868CD">
        <w:trPr>
          <w:cnfStyle w:val="000000100000" w:firstRow="0" w:lastRow="0" w:firstColumn="0" w:lastColumn="0" w:oddVBand="0" w:evenVBand="0" w:oddHBand="1" w:evenHBand="0" w:firstRowFirstColumn="0" w:firstRowLastColumn="0" w:lastRowFirstColumn="0" w:lastRowLastColumn="0"/>
        </w:trPr>
        <w:tc>
          <w:tcPr>
            <w:tcW w:w="1753" w:type="pct"/>
          </w:tcPr>
          <w:p w:rsidR="009E176B" w:rsidRPr="001B398D" w:rsidRDefault="009E176B" w:rsidP="0023586C">
            <w:pPr>
              <w:rPr>
                <w:b/>
                <w:sz w:val="20"/>
                <w:szCs w:val="20"/>
              </w:rPr>
            </w:pPr>
            <w:r w:rsidRPr="001B398D">
              <w:rPr>
                <w:b/>
                <w:sz w:val="20"/>
                <w:szCs w:val="20"/>
              </w:rPr>
              <w:t>10 year Commonwealth bond rate</w:t>
            </w:r>
          </w:p>
        </w:tc>
        <w:tc>
          <w:tcPr>
            <w:tcW w:w="862" w:type="pct"/>
          </w:tcPr>
          <w:p w:rsidR="009E176B" w:rsidRPr="001B398D" w:rsidRDefault="00E72367" w:rsidP="005C5FE2">
            <w:pPr>
              <w:jc w:val="right"/>
              <w:rPr>
                <w:color w:val="FF0000"/>
                <w:sz w:val="20"/>
                <w:szCs w:val="20"/>
              </w:rPr>
            </w:pPr>
            <w:r w:rsidRPr="001B398D">
              <w:rPr>
                <w:sz w:val="20"/>
                <w:szCs w:val="20"/>
              </w:rPr>
              <w:t>2.2</w:t>
            </w:r>
            <w:r w:rsidR="005C5FE2" w:rsidRPr="001B398D">
              <w:rPr>
                <w:sz w:val="20"/>
                <w:szCs w:val="20"/>
              </w:rPr>
              <w:t>4</w:t>
            </w:r>
          </w:p>
        </w:tc>
        <w:tc>
          <w:tcPr>
            <w:tcW w:w="935" w:type="pct"/>
          </w:tcPr>
          <w:p w:rsidR="009E176B" w:rsidRPr="001B398D" w:rsidRDefault="00DF6BCF" w:rsidP="00DF6BCF">
            <w:pPr>
              <w:jc w:val="right"/>
              <w:rPr>
                <w:color w:val="FF0000"/>
                <w:sz w:val="20"/>
                <w:szCs w:val="20"/>
              </w:rPr>
            </w:pPr>
            <w:r w:rsidRPr="001B398D">
              <w:rPr>
                <w:sz w:val="20"/>
                <w:szCs w:val="20"/>
              </w:rPr>
              <w:t>2</w:t>
            </w:r>
            <w:r w:rsidR="00466052" w:rsidRPr="001B398D">
              <w:rPr>
                <w:sz w:val="20"/>
                <w:szCs w:val="20"/>
              </w:rPr>
              <w:t>.</w:t>
            </w:r>
            <w:r w:rsidRPr="001B398D">
              <w:rPr>
                <w:sz w:val="20"/>
                <w:szCs w:val="20"/>
              </w:rPr>
              <w:t>12</w:t>
            </w:r>
          </w:p>
        </w:tc>
        <w:tc>
          <w:tcPr>
            <w:tcW w:w="1451" w:type="pct"/>
          </w:tcPr>
          <w:p w:rsidR="009E176B" w:rsidRPr="001B398D" w:rsidRDefault="00466052" w:rsidP="00E72367">
            <w:pPr>
              <w:jc w:val="right"/>
              <w:rPr>
                <w:color w:val="FF0000"/>
                <w:sz w:val="20"/>
                <w:szCs w:val="20"/>
              </w:rPr>
            </w:pPr>
            <w:r w:rsidRPr="001B398D">
              <w:rPr>
                <w:sz w:val="20"/>
                <w:szCs w:val="20"/>
              </w:rPr>
              <w:t>+0.</w:t>
            </w:r>
            <w:r w:rsidR="005C5FE2" w:rsidRPr="001B398D">
              <w:rPr>
                <w:sz w:val="20"/>
                <w:szCs w:val="20"/>
              </w:rPr>
              <w:t>13</w:t>
            </w:r>
            <w:r w:rsidR="009E176B" w:rsidRPr="001B398D">
              <w:rPr>
                <w:sz w:val="20"/>
                <w:szCs w:val="20"/>
              </w:rPr>
              <w:t xml:space="preserve"> percentage points</w:t>
            </w:r>
          </w:p>
        </w:tc>
      </w:tr>
    </w:tbl>
    <w:p w:rsidR="0023586C" w:rsidRPr="007F677F" w:rsidRDefault="007F677F" w:rsidP="0023586C">
      <w:pPr>
        <w:rPr>
          <w:i/>
        </w:rPr>
      </w:pPr>
      <w:r w:rsidRPr="007F677F">
        <w:rPr>
          <w:i/>
          <w:sz w:val="20"/>
        </w:rPr>
        <w:t>Note: Changes are based on the movement in unrounded figures</w:t>
      </w:r>
    </w:p>
    <w:sectPr w:rsidR="0023586C" w:rsidRPr="007F677F" w:rsidSect="002868CD">
      <w:footerReference w:type="default" r:id="rId18"/>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EF" w:rsidRDefault="009E3CEF" w:rsidP="001E7D0D">
      <w:pPr>
        <w:spacing w:after="0" w:line="240" w:lineRule="auto"/>
      </w:pPr>
      <w:r>
        <w:separator/>
      </w:r>
    </w:p>
  </w:endnote>
  <w:endnote w:type="continuationSeparator" w:id="0">
    <w:p w:rsidR="009E3CEF" w:rsidRDefault="009E3CEF"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CF" w:rsidRDefault="00455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4B2608D8" wp14:editId="0D2E312C">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E322C8">
      <w:rPr>
        <w:rStyle w:val="PageNumber"/>
        <w:noProof/>
      </w:rPr>
      <w:t>1</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CF" w:rsidRDefault="00455C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349"/>
    </w:tblGrid>
    <w:tr w:rsidR="00382510" w:rsidTr="00BA6B8C">
      <w:trPr>
        <w:trHeight w:val="1223"/>
      </w:trPr>
      <w:tc>
        <w:tcPr>
          <w:tcW w:w="4082" w:type="dxa"/>
        </w:tcPr>
        <w:p w:rsidR="00382510" w:rsidRPr="002868CD" w:rsidRDefault="00382510" w:rsidP="002868CD">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382510" w:rsidRDefault="00382510" w:rsidP="00BA6B8C">
          <w:pPr>
            <w:pStyle w:val="Note"/>
          </w:pPr>
        </w:p>
      </w:tc>
      <w:tc>
        <w:tcPr>
          <w:tcW w:w="4349" w:type="dxa"/>
          <w:vMerge w:val="restart"/>
          <w:vAlign w:val="bottom"/>
        </w:tcPr>
        <w:p w:rsidR="00382510" w:rsidRDefault="00474854" w:rsidP="00BA6B8C">
          <w:pPr>
            <w:pStyle w:val="Note"/>
          </w:pPr>
          <w:r>
            <w:rPr>
              <w:noProof/>
              <w:lang w:eastAsia="en-AU"/>
            </w:rPr>
            <mc:AlternateContent>
              <mc:Choice Requires="wps">
                <w:drawing>
                  <wp:anchor distT="0" distB="0" distL="114300" distR="114300" simplePos="0" relativeHeight="251672576" behindDoc="1" locked="0" layoutInCell="1" allowOverlap="1" wp14:anchorId="3EEF38B0" wp14:editId="7A5E8CC1">
                    <wp:simplePos x="0" y="0"/>
                    <wp:positionH relativeFrom="column">
                      <wp:posOffset>2732405</wp:posOffset>
                    </wp:positionH>
                    <wp:positionV relativeFrom="paragraph">
                      <wp:posOffset>293370</wp:posOffset>
                    </wp:positionV>
                    <wp:extent cx="3328035" cy="2295525"/>
                    <wp:effectExtent l="0" t="0" r="5715" b="9525"/>
                    <wp:wrapNone/>
                    <wp:docPr id="33" name="Trapezoid 33"/>
                    <wp:cNvGraphicFramePr/>
                    <a:graphic xmlns:a="http://schemas.openxmlformats.org/drawingml/2006/main">
                      <a:graphicData uri="http://schemas.microsoft.com/office/word/2010/wordprocessingShape">
                        <wps:wsp>
                          <wps:cNvSpPr/>
                          <wps:spPr>
                            <a:xfrm>
                              <a:off x="0" y="0"/>
                              <a:ext cx="3328035" cy="2295525"/>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3" o:spid="_x0000_s1026" style="position:absolute;margin-left:215.15pt;margin-top:23.1pt;width:262.05pt;height:18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8035,229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" path="m,2295525l1074122,,2253913,,3328035,2295525,,2295525xe" fillcolor="#53565a [3215]" stroked="f" strokeweight="2pt">
                    <v:path arrowok="t" o:connecttype="custom" o:connectlocs="0,2295525;1074122,0;2253913,0;3328035,2295525;0,2295525" o:connectangles="0,0,0,0,0"/>
                  </v:shape>
                </w:pict>
              </mc:Fallback>
            </mc:AlternateContent>
          </w:r>
          <w:r w:rsidR="00382510" w:rsidRPr="000C21C3">
            <w:rPr>
              <w:noProof/>
              <w:lang w:eastAsia="en-AU"/>
            </w:rPr>
            <w:drawing>
              <wp:inline distT="0" distB="0" distL="0" distR="0" wp14:anchorId="184AB9A2" wp14:editId="05C03686">
                <wp:extent cx="1117460" cy="393651"/>
                <wp:effectExtent l="0" t="0" r="6985" b="6985"/>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382510" w:rsidRDefault="00382510" w:rsidP="00BA6B8C">
          <w:pPr>
            <w:pStyle w:val="Note"/>
          </w:pPr>
          <w:r w:rsidRPr="00382510">
            <w:t xml:space="preserve">You are free to re-use this work under a Creative Commons Attribution 4.0 licence, provided you credit the State of Victoria (Department of Treasury and Finance) as author, indicate if changes were made and comply with the other licence terms. </w:t>
          </w:r>
          <w:r>
            <w:br/>
          </w:r>
          <w:r w:rsidRPr="00382510">
            <w:t>The licence does not apply to any branding, including Government logos.</w:t>
          </w:r>
        </w:p>
      </w:tc>
    </w:tr>
    <w:tr w:rsidR="00382510" w:rsidTr="00BA6B8C">
      <w:trPr>
        <w:trHeight w:val="1222"/>
      </w:trPr>
      <w:tc>
        <w:tcPr>
          <w:tcW w:w="4082" w:type="dxa"/>
          <w:vAlign w:val="bottom"/>
        </w:tcPr>
        <w:p w:rsidR="00382510" w:rsidRDefault="00382510" w:rsidP="00BA6B8C">
          <w:pPr>
            <w:pStyle w:val="Note"/>
          </w:pPr>
          <w:r w:rsidRPr="00382510">
            <w:t>© State of Victoria 2016</w:t>
          </w:r>
        </w:p>
        <w:p w:rsidR="00382510" w:rsidRPr="00382510" w:rsidRDefault="00382510" w:rsidP="00BA6B8C">
          <w:pPr>
            <w:pStyle w:val="Note"/>
            <w:spacing w:line="312" w:lineRule="auto"/>
          </w:pPr>
          <w:r w:rsidRPr="00382510">
            <w:t>Copyright queries may be directed to IPpolicy@dtf.vic.gov.au.</w:t>
          </w:r>
        </w:p>
      </w:tc>
      <w:tc>
        <w:tcPr>
          <w:tcW w:w="709" w:type="dxa"/>
          <w:vMerge/>
          <w:vAlign w:val="bottom"/>
        </w:tcPr>
        <w:p w:rsidR="00382510" w:rsidRDefault="00382510" w:rsidP="00BA6B8C">
          <w:pPr>
            <w:pStyle w:val="Note"/>
          </w:pPr>
        </w:p>
      </w:tc>
      <w:tc>
        <w:tcPr>
          <w:tcW w:w="4349" w:type="dxa"/>
          <w:vMerge/>
          <w:vAlign w:val="bottom"/>
        </w:tcPr>
        <w:p w:rsidR="00382510" w:rsidRPr="000C21C3" w:rsidRDefault="00382510" w:rsidP="00BA6B8C">
          <w:pPr>
            <w:pStyle w:val="Note"/>
            <w:rPr>
              <w:noProof/>
              <w:lang w:eastAsia="en-AU"/>
            </w:rPr>
          </w:pPr>
        </w:p>
      </w:tc>
    </w:tr>
  </w:tbl>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E322C8">
      <w:rPr>
        <w:rStyle w:val="PageNumber"/>
        <w:noProof/>
      </w:rPr>
      <w:t>3</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EF" w:rsidRDefault="009E3CEF" w:rsidP="001E7D0D">
      <w:pPr>
        <w:spacing w:after="0" w:line="240" w:lineRule="auto"/>
      </w:pPr>
      <w:r>
        <w:separator/>
      </w:r>
    </w:p>
  </w:footnote>
  <w:footnote w:type="continuationSeparator" w:id="0">
    <w:p w:rsidR="009E3CEF" w:rsidRDefault="009E3CEF"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CF" w:rsidRDefault="00455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2888E589" wp14:editId="26DA7F0E">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2748FE19" wp14:editId="3648DFE5">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24C233BA" wp14:editId="494730C0">
          <wp:simplePos x="0" y="0"/>
          <wp:positionH relativeFrom="column">
            <wp:posOffset>4679789</wp:posOffset>
          </wp:positionH>
          <wp:positionV relativeFrom="paragraph">
            <wp:posOffset>69850</wp:posOffset>
          </wp:positionV>
          <wp:extent cx="1567180" cy="467995"/>
          <wp:effectExtent l="0" t="0" r="0" b="8255"/>
          <wp:wrapNone/>
          <wp:docPr id="6" name="Picture 6"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CF" w:rsidRDefault="00455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07C" w:rsidRPr="003E507C" w:rsidRDefault="003E507C"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2250"/>
    <w:multiLevelType w:val="multilevel"/>
    <w:tmpl w:val="DA6E3D5C"/>
    <w:numStyleLink w:val="Highlightbulletstyle"/>
  </w:abstractNum>
  <w:abstractNum w:abstractNumId="1">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4065935"/>
    <w:multiLevelType w:val="multilevel"/>
    <w:tmpl w:val="DA6E3D5C"/>
    <w:numStyleLink w:val="Highlightbulletstyle"/>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37BC"/>
    <w:rsid w:val="000160BC"/>
    <w:rsid w:val="00027A5D"/>
    <w:rsid w:val="00044907"/>
    <w:rsid w:val="00047DD7"/>
    <w:rsid w:val="00053341"/>
    <w:rsid w:val="00053F71"/>
    <w:rsid w:val="00061229"/>
    <w:rsid w:val="00063D5E"/>
    <w:rsid w:val="00065923"/>
    <w:rsid w:val="000A3879"/>
    <w:rsid w:val="000A3DE5"/>
    <w:rsid w:val="000E1FFA"/>
    <w:rsid w:val="000E46E5"/>
    <w:rsid w:val="000E5E7D"/>
    <w:rsid w:val="000F2FBA"/>
    <w:rsid w:val="00103711"/>
    <w:rsid w:val="001372E4"/>
    <w:rsid w:val="00181D8E"/>
    <w:rsid w:val="001B0E91"/>
    <w:rsid w:val="001B398D"/>
    <w:rsid w:val="001E141A"/>
    <w:rsid w:val="001E7D0D"/>
    <w:rsid w:val="00200D1F"/>
    <w:rsid w:val="00202582"/>
    <w:rsid w:val="00222DFE"/>
    <w:rsid w:val="0023586C"/>
    <w:rsid w:val="00245E95"/>
    <w:rsid w:val="00261D70"/>
    <w:rsid w:val="002868CD"/>
    <w:rsid w:val="002B6763"/>
    <w:rsid w:val="002D2638"/>
    <w:rsid w:val="002E5AB4"/>
    <w:rsid w:val="002E73F4"/>
    <w:rsid w:val="002F5DE2"/>
    <w:rsid w:val="00306D76"/>
    <w:rsid w:val="003540A1"/>
    <w:rsid w:val="00380DA2"/>
    <w:rsid w:val="00381C44"/>
    <w:rsid w:val="00382510"/>
    <w:rsid w:val="003831AB"/>
    <w:rsid w:val="003902A0"/>
    <w:rsid w:val="003A0F37"/>
    <w:rsid w:val="003A3AD2"/>
    <w:rsid w:val="003E507C"/>
    <w:rsid w:val="0040561C"/>
    <w:rsid w:val="00412B93"/>
    <w:rsid w:val="004248E2"/>
    <w:rsid w:val="00435687"/>
    <w:rsid w:val="00440C3A"/>
    <w:rsid w:val="00443FD2"/>
    <w:rsid w:val="00450F23"/>
    <w:rsid w:val="00453A5E"/>
    <w:rsid w:val="00453CBD"/>
    <w:rsid w:val="00455CCF"/>
    <w:rsid w:val="00466052"/>
    <w:rsid w:val="00466CDB"/>
    <w:rsid w:val="0047038E"/>
    <w:rsid w:val="00474854"/>
    <w:rsid w:val="00494A89"/>
    <w:rsid w:val="004A60F4"/>
    <w:rsid w:val="004B3EB7"/>
    <w:rsid w:val="004B6E36"/>
    <w:rsid w:val="004D34CD"/>
    <w:rsid w:val="004F7193"/>
    <w:rsid w:val="00506EEE"/>
    <w:rsid w:val="00521BA8"/>
    <w:rsid w:val="00521F88"/>
    <w:rsid w:val="00523A27"/>
    <w:rsid w:val="005318CE"/>
    <w:rsid w:val="00537EC6"/>
    <w:rsid w:val="00561537"/>
    <w:rsid w:val="00575F8D"/>
    <w:rsid w:val="00585393"/>
    <w:rsid w:val="005B6236"/>
    <w:rsid w:val="005C5FE2"/>
    <w:rsid w:val="005E2185"/>
    <w:rsid w:val="005E64C4"/>
    <w:rsid w:val="0060422F"/>
    <w:rsid w:val="006068E2"/>
    <w:rsid w:val="006135AB"/>
    <w:rsid w:val="006375DD"/>
    <w:rsid w:val="0064291B"/>
    <w:rsid w:val="00643BE0"/>
    <w:rsid w:val="00652783"/>
    <w:rsid w:val="00655B24"/>
    <w:rsid w:val="006619C8"/>
    <w:rsid w:val="00664763"/>
    <w:rsid w:val="00666ED0"/>
    <w:rsid w:val="0068446F"/>
    <w:rsid w:val="006A3A00"/>
    <w:rsid w:val="006A7ABD"/>
    <w:rsid w:val="006D2C01"/>
    <w:rsid w:val="006E06AD"/>
    <w:rsid w:val="006E3ABA"/>
    <w:rsid w:val="006F3B8C"/>
    <w:rsid w:val="00705025"/>
    <w:rsid w:val="00721ED1"/>
    <w:rsid w:val="007347B8"/>
    <w:rsid w:val="007A139F"/>
    <w:rsid w:val="007D0D7F"/>
    <w:rsid w:val="007D6F02"/>
    <w:rsid w:val="007F677F"/>
    <w:rsid w:val="00816160"/>
    <w:rsid w:val="00820021"/>
    <w:rsid w:val="00833B24"/>
    <w:rsid w:val="00833E9D"/>
    <w:rsid w:val="0083514C"/>
    <w:rsid w:val="008406AA"/>
    <w:rsid w:val="008660A0"/>
    <w:rsid w:val="00873914"/>
    <w:rsid w:val="008926D2"/>
    <w:rsid w:val="0089514C"/>
    <w:rsid w:val="008D7232"/>
    <w:rsid w:val="008E215E"/>
    <w:rsid w:val="008E4831"/>
    <w:rsid w:val="00904A36"/>
    <w:rsid w:val="00917DA7"/>
    <w:rsid w:val="0092123B"/>
    <w:rsid w:val="009379B3"/>
    <w:rsid w:val="00961DC4"/>
    <w:rsid w:val="00965986"/>
    <w:rsid w:val="0096692A"/>
    <w:rsid w:val="00967403"/>
    <w:rsid w:val="00980269"/>
    <w:rsid w:val="009A3026"/>
    <w:rsid w:val="009A39A9"/>
    <w:rsid w:val="009A5772"/>
    <w:rsid w:val="009A5CE0"/>
    <w:rsid w:val="009B0BE4"/>
    <w:rsid w:val="009B5FC8"/>
    <w:rsid w:val="009C533E"/>
    <w:rsid w:val="009E176B"/>
    <w:rsid w:val="009E3C8A"/>
    <w:rsid w:val="009E3CEF"/>
    <w:rsid w:val="00A0075C"/>
    <w:rsid w:val="00A05497"/>
    <w:rsid w:val="00A05F37"/>
    <w:rsid w:val="00A27B08"/>
    <w:rsid w:val="00A7050A"/>
    <w:rsid w:val="00A96140"/>
    <w:rsid w:val="00AD0968"/>
    <w:rsid w:val="00AE310A"/>
    <w:rsid w:val="00AE703D"/>
    <w:rsid w:val="00B56DF5"/>
    <w:rsid w:val="00B7051C"/>
    <w:rsid w:val="00B75088"/>
    <w:rsid w:val="00B7562B"/>
    <w:rsid w:val="00BA1124"/>
    <w:rsid w:val="00BA2604"/>
    <w:rsid w:val="00BA6B8C"/>
    <w:rsid w:val="00BB0BF9"/>
    <w:rsid w:val="00BB5CEC"/>
    <w:rsid w:val="00BC672F"/>
    <w:rsid w:val="00BE514B"/>
    <w:rsid w:val="00C33630"/>
    <w:rsid w:val="00C60AF1"/>
    <w:rsid w:val="00C71A2D"/>
    <w:rsid w:val="00C86481"/>
    <w:rsid w:val="00C94ED7"/>
    <w:rsid w:val="00CC129A"/>
    <w:rsid w:val="00CE300C"/>
    <w:rsid w:val="00CE7C75"/>
    <w:rsid w:val="00CF1073"/>
    <w:rsid w:val="00CF381C"/>
    <w:rsid w:val="00CF74BB"/>
    <w:rsid w:val="00D00E91"/>
    <w:rsid w:val="00D02311"/>
    <w:rsid w:val="00D30EAC"/>
    <w:rsid w:val="00D33EEA"/>
    <w:rsid w:val="00D847A0"/>
    <w:rsid w:val="00DB6329"/>
    <w:rsid w:val="00DF3025"/>
    <w:rsid w:val="00DF6BCF"/>
    <w:rsid w:val="00E13D2F"/>
    <w:rsid w:val="00E17CAD"/>
    <w:rsid w:val="00E322C8"/>
    <w:rsid w:val="00E43D3F"/>
    <w:rsid w:val="00E6390E"/>
    <w:rsid w:val="00E72367"/>
    <w:rsid w:val="00E8551D"/>
    <w:rsid w:val="00EA41B8"/>
    <w:rsid w:val="00EC6B00"/>
    <w:rsid w:val="00EE31AA"/>
    <w:rsid w:val="00EE619A"/>
    <w:rsid w:val="00EF50A3"/>
    <w:rsid w:val="00EF6761"/>
    <w:rsid w:val="00F037AF"/>
    <w:rsid w:val="00F11348"/>
    <w:rsid w:val="00F15B4E"/>
    <w:rsid w:val="00F42CD0"/>
    <w:rsid w:val="00F62672"/>
    <w:rsid w:val="00F6524B"/>
    <w:rsid w:val="00F6696B"/>
    <w:rsid w:val="00F73FDA"/>
    <w:rsid w:val="00F77CCC"/>
    <w:rsid w:val="00F86551"/>
    <w:rsid w:val="00FA27EE"/>
    <w:rsid w:val="00FE2CF1"/>
    <w:rsid w:val="00FE4E7A"/>
    <w:rsid w:val="00FE7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6B37-7523-4D64-93CD-3B8C7300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2016-10-20T01:46:00Z</cp:lastPrinted>
  <dcterms:created xsi:type="dcterms:W3CDTF">2018-01-24T02:57:00Z</dcterms:created>
  <dcterms:modified xsi:type="dcterms:W3CDTF">2018-01-24T02:57:00Z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6fee81d4-570d-4d81-9ff6-5abca5bfd57d</vt:lpwstr>
  </property>
  <property fmtid="{D5CDD505-2E9C-101B-9397-08002B2CF9AE}" pid="3" name="PSPFClassification">
    <vt:lpwstr>Do Not Mark</vt:lpwstr>
  </property>
</Properties>
</file>