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0B6F08"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0B6F08" w:rsidRPr="00231BD3" w:rsidRDefault="000B6F08" w:rsidP="000B6F08">
            <w:pPr>
              <w:pStyle w:val="FRDNumber"/>
            </w:pPr>
            <w:r w:rsidRPr="002E50A4">
              <w:t>FRD</w:t>
            </w:r>
            <w:r w:rsidRPr="003C5E9F">
              <w:t xml:space="preserve"> </w:t>
            </w:r>
            <w:r>
              <w:t>17B</w:t>
            </w:r>
          </w:p>
        </w:tc>
        <w:tc>
          <w:tcPr>
            <w:tcW w:w="270" w:type="dxa"/>
          </w:tcPr>
          <w:p w:rsidR="000B6F08" w:rsidRPr="00231BD3" w:rsidRDefault="000B6F08" w:rsidP="000B6F08"/>
        </w:tc>
        <w:tc>
          <w:tcPr>
            <w:tcW w:w="540" w:type="dxa"/>
          </w:tcPr>
          <w:p w:rsidR="000B6F08" w:rsidRPr="00231BD3" w:rsidRDefault="000B6F08" w:rsidP="000B6F08"/>
        </w:tc>
        <w:tc>
          <w:tcPr>
            <w:tcW w:w="6134" w:type="dxa"/>
          </w:tcPr>
          <w:p w:rsidR="000B6F08" w:rsidRPr="00231BD3" w:rsidRDefault="000B6F08" w:rsidP="000B6F08">
            <w:pPr>
              <w:pStyle w:val="FRDHeader"/>
            </w:pPr>
            <w:r>
              <w:t>Wage Inflation and Discount Rates for Employee Benefits (May 2014)</w:t>
            </w:r>
          </w:p>
        </w:tc>
      </w:tr>
      <w:tr w:rsidR="006C78FB" w:rsidRPr="00E10ADB" w:rsidTr="000B6F08">
        <w:trPr>
          <w:trHeight w:hRule="exact" w:val="120"/>
        </w:trPr>
        <w:tc>
          <w:tcPr>
            <w:tcW w:w="2293" w:type="dxa"/>
          </w:tcPr>
          <w:p w:rsidR="006C78FB" w:rsidRPr="008A601F" w:rsidRDefault="006C78FB" w:rsidP="000B6F08">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0B6F08"/>
        </w:tc>
        <w:tc>
          <w:tcPr>
            <w:tcW w:w="6134" w:type="dxa"/>
          </w:tcPr>
          <w:p w:rsidR="006C78FB" w:rsidRPr="008A601F" w:rsidRDefault="006C78FB" w:rsidP="000B6F08"/>
        </w:tc>
      </w:tr>
      <w:tr w:rsidR="005828FE" w:rsidRPr="005828FE" w:rsidTr="000B6F08">
        <w:tc>
          <w:tcPr>
            <w:tcW w:w="2293" w:type="dxa"/>
          </w:tcPr>
          <w:p w:rsidR="006C78FB" w:rsidRPr="005828FE" w:rsidRDefault="006C78FB" w:rsidP="00382EE1">
            <w:pPr>
              <w:pStyle w:val="Normalgrey"/>
            </w:pPr>
            <w:r w:rsidRPr="005828FE">
              <w:t>Purpose</w:t>
            </w:r>
          </w:p>
        </w:tc>
        <w:tc>
          <w:tcPr>
            <w:tcW w:w="270" w:type="dxa"/>
          </w:tcPr>
          <w:p w:rsidR="006C78FB" w:rsidRPr="005828FE" w:rsidRDefault="006C78FB" w:rsidP="000B6F08">
            <w:pPr>
              <w:pStyle w:val="Refnum1"/>
            </w:pPr>
          </w:p>
        </w:tc>
        <w:tc>
          <w:tcPr>
            <w:tcW w:w="540" w:type="dxa"/>
          </w:tcPr>
          <w:p w:rsidR="006C78FB" w:rsidRPr="005828FE" w:rsidRDefault="006C78FB" w:rsidP="000B6F08">
            <w:pPr>
              <w:pStyle w:val="Refnum2"/>
            </w:pPr>
          </w:p>
        </w:tc>
        <w:tc>
          <w:tcPr>
            <w:tcW w:w="6134" w:type="dxa"/>
          </w:tcPr>
          <w:p w:rsidR="006C78FB" w:rsidRPr="000B6F08" w:rsidRDefault="000B6F08" w:rsidP="000B6F08">
            <w:pPr>
              <w:pStyle w:val="Normalgrey"/>
            </w:pPr>
            <w:r>
              <w:t>To prescribe the wage inflation and discount rates to be used in calculating an entity’s leave liability for annual leave and long service leave.</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0B6F08">
            <w:pPr>
              <w:pStyle w:val="Refnum1grey"/>
            </w:pPr>
          </w:p>
        </w:tc>
        <w:tc>
          <w:tcPr>
            <w:tcW w:w="540" w:type="dxa"/>
            <w:shd w:val="clear" w:color="auto" w:fill="F2F2F2" w:themeFill="background1" w:themeFillShade="F2"/>
          </w:tcPr>
          <w:p w:rsidR="006C78FB" w:rsidRPr="005828FE" w:rsidRDefault="006C78FB" w:rsidP="000B6F08">
            <w:pPr>
              <w:pStyle w:val="Refnum2"/>
            </w:pPr>
          </w:p>
        </w:tc>
        <w:tc>
          <w:tcPr>
            <w:tcW w:w="6134" w:type="dxa"/>
            <w:shd w:val="clear" w:color="auto" w:fill="F2F2F2" w:themeFill="background1" w:themeFillShade="F2"/>
          </w:tcPr>
          <w:p w:rsidR="006C78FB" w:rsidRPr="000B6F08" w:rsidRDefault="000B6F08" w:rsidP="000B6F08">
            <w:pPr>
              <w:pStyle w:val="Normalbold"/>
            </w:pPr>
            <w:r>
              <w:t xml:space="preserve">Applies </w:t>
            </w:r>
            <w:r w:rsidRPr="007203B3">
              <w:t xml:space="preserve">to all entities defined as either a public body or a department under section 3 of the </w:t>
            </w:r>
            <w:r w:rsidRPr="007203B3">
              <w:rPr>
                <w:i/>
              </w:rPr>
              <w:t>Financial Management Act</w:t>
            </w:r>
            <w:r w:rsidRPr="007203B3">
              <w:t xml:space="preserve"> 1994 (FMA).</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0B6F08">
            <w:pPr>
              <w:pStyle w:val="Refnum1grey"/>
            </w:pPr>
          </w:p>
        </w:tc>
        <w:tc>
          <w:tcPr>
            <w:tcW w:w="540" w:type="dxa"/>
            <w:shd w:val="clear" w:color="auto" w:fill="F2F2F2" w:themeFill="background1" w:themeFillShade="F2"/>
          </w:tcPr>
          <w:p w:rsidR="006C78FB" w:rsidRPr="005828FE" w:rsidRDefault="006C78FB" w:rsidP="000B6F08">
            <w:pPr>
              <w:pStyle w:val="Refnum2"/>
            </w:pPr>
          </w:p>
        </w:tc>
        <w:tc>
          <w:tcPr>
            <w:tcW w:w="6134" w:type="dxa"/>
            <w:shd w:val="clear" w:color="auto" w:fill="F2F2F2" w:themeFill="background1" w:themeFillShade="F2"/>
          </w:tcPr>
          <w:p w:rsidR="006C78FB" w:rsidRPr="005828FE" w:rsidRDefault="000B6F08" w:rsidP="00A516DE">
            <w:pPr>
              <w:pStyle w:val="Normalbold"/>
            </w:pPr>
            <w:r>
              <w:t>Reporting periods commencing 1 July 2013.</w:t>
            </w:r>
          </w:p>
        </w:tc>
      </w:tr>
      <w:tr w:rsidR="00BC6691" w:rsidRPr="005828FE" w:rsidTr="000B6F08">
        <w:tc>
          <w:tcPr>
            <w:tcW w:w="2293" w:type="dxa"/>
            <w:shd w:val="clear" w:color="auto" w:fill="F2F2F2" w:themeFill="background1" w:themeFillShade="F2"/>
          </w:tcPr>
          <w:p w:rsidR="00BC6691" w:rsidRPr="005828FE" w:rsidRDefault="00BC6691" w:rsidP="000B6F08">
            <w:pPr>
              <w:pStyle w:val="Normalbold"/>
            </w:pPr>
            <w:r w:rsidRPr="005828FE">
              <w:t>Requirement</w:t>
            </w:r>
            <w:r>
              <w:t>s</w:t>
            </w:r>
          </w:p>
        </w:tc>
        <w:tc>
          <w:tcPr>
            <w:tcW w:w="270" w:type="dxa"/>
            <w:shd w:val="clear" w:color="auto" w:fill="F2F2F2" w:themeFill="background1" w:themeFillShade="F2"/>
          </w:tcPr>
          <w:p w:rsidR="00BC6691" w:rsidRPr="008B2A17" w:rsidRDefault="00BC6691" w:rsidP="000B6F08">
            <w:pPr>
              <w:pStyle w:val="Refnum1grey"/>
            </w:pPr>
          </w:p>
        </w:tc>
        <w:tc>
          <w:tcPr>
            <w:tcW w:w="540" w:type="dxa"/>
            <w:shd w:val="clear" w:color="auto" w:fill="F2F2F2" w:themeFill="background1" w:themeFillShade="F2"/>
          </w:tcPr>
          <w:p w:rsidR="00BC6691" w:rsidRPr="005828FE" w:rsidRDefault="00BC6691" w:rsidP="000B6F08">
            <w:pPr>
              <w:pStyle w:val="Refnum2"/>
            </w:pPr>
          </w:p>
        </w:tc>
        <w:tc>
          <w:tcPr>
            <w:tcW w:w="6134" w:type="dxa"/>
            <w:shd w:val="clear" w:color="auto" w:fill="F2F2F2" w:themeFill="background1" w:themeFillShade="F2"/>
          </w:tcPr>
          <w:p w:rsidR="00BC6691" w:rsidRPr="005828FE" w:rsidRDefault="000B6F08" w:rsidP="000B6F08">
            <w:pPr>
              <w:pStyle w:val="Normalbold"/>
            </w:pPr>
            <w:r>
              <w:t xml:space="preserve">To calculate the present </w:t>
            </w:r>
            <w:r w:rsidRPr="0040708E">
              <w:t xml:space="preserve">value of leave liabilities for the quarter concerned, an entity must use the wage inflation rate and discount rates advised by the Minister for Finance, </w:t>
            </w:r>
            <w:r w:rsidRPr="000B6F08">
              <w:rPr>
                <w:i/>
              </w:rPr>
              <w:t>unless</w:t>
            </w:r>
            <w:r w:rsidRPr="0040708E">
              <w:t xml:space="preserve"> the entity can demonstrate that an alternative rate is more relevant and reliable.</w:t>
            </w:r>
          </w:p>
        </w:tc>
      </w:tr>
      <w:tr w:rsidR="000B6F08" w:rsidRPr="005828FE" w:rsidTr="000B6F08">
        <w:tc>
          <w:tcPr>
            <w:tcW w:w="2293" w:type="dxa"/>
            <w:shd w:val="clear" w:color="auto" w:fill="F2F2F2" w:themeFill="background1" w:themeFillShade="F2"/>
          </w:tcPr>
          <w:p w:rsidR="000B6F08" w:rsidRPr="005828FE" w:rsidRDefault="000B6F08" w:rsidP="000B6F08">
            <w:pPr>
              <w:pStyle w:val="Normalbold"/>
            </w:pPr>
          </w:p>
        </w:tc>
        <w:tc>
          <w:tcPr>
            <w:tcW w:w="270" w:type="dxa"/>
            <w:shd w:val="clear" w:color="auto" w:fill="F2F2F2" w:themeFill="background1" w:themeFillShade="F2"/>
          </w:tcPr>
          <w:p w:rsidR="000B6F08" w:rsidRPr="008B2A17" w:rsidRDefault="000B6F08" w:rsidP="000B6F08"/>
        </w:tc>
        <w:tc>
          <w:tcPr>
            <w:tcW w:w="540" w:type="dxa"/>
            <w:shd w:val="clear" w:color="auto" w:fill="F2F2F2" w:themeFill="background1" w:themeFillShade="F2"/>
          </w:tcPr>
          <w:p w:rsidR="000B6F08" w:rsidRPr="005828FE" w:rsidRDefault="000B6F08" w:rsidP="000B6F08">
            <w:pPr>
              <w:pStyle w:val="Refnum2"/>
            </w:pPr>
          </w:p>
        </w:tc>
        <w:tc>
          <w:tcPr>
            <w:tcW w:w="6134" w:type="dxa"/>
            <w:shd w:val="clear" w:color="auto" w:fill="F2F2F2" w:themeFill="background1" w:themeFillShade="F2"/>
          </w:tcPr>
          <w:p w:rsidR="000B6F08" w:rsidRDefault="000B6F08" w:rsidP="000B6F08">
            <w:pPr>
              <w:pStyle w:val="Normalbold"/>
            </w:pPr>
            <w:r>
              <w:t>An entity</w:t>
            </w:r>
            <w:r>
              <w:rPr>
                <w:bCs/>
              </w:rPr>
              <w:t xml:space="preserve"> </w:t>
            </w:r>
            <w:r w:rsidRPr="0040708E">
              <w:t>must seek approval from the Minister for Finance and consult with the Victorian Auditor-General’s Office prior to the use of an alternative rate.</w:t>
            </w:r>
          </w:p>
        </w:tc>
      </w:tr>
      <w:tr w:rsidR="005828FE" w:rsidRPr="005828FE" w:rsidTr="000B6F08">
        <w:tc>
          <w:tcPr>
            <w:tcW w:w="2293" w:type="dxa"/>
          </w:tcPr>
          <w:p w:rsidR="006C78FB" w:rsidRPr="005828FE" w:rsidRDefault="006C78FB" w:rsidP="00382EE1">
            <w:pPr>
              <w:pStyle w:val="Normalgrey"/>
            </w:pPr>
            <w:r w:rsidRPr="005828FE">
              <w:t>Guidance</w:t>
            </w:r>
          </w:p>
        </w:tc>
        <w:tc>
          <w:tcPr>
            <w:tcW w:w="270" w:type="dxa"/>
          </w:tcPr>
          <w:p w:rsidR="006C78FB" w:rsidRPr="005828FE" w:rsidRDefault="006C78FB" w:rsidP="000B6F08">
            <w:pPr>
              <w:pStyle w:val="Refnum1"/>
            </w:pPr>
          </w:p>
        </w:tc>
        <w:tc>
          <w:tcPr>
            <w:tcW w:w="540" w:type="dxa"/>
          </w:tcPr>
          <w:p w:rsidR="006C78FB" w:rsidRPr="005828FE" w:rsidRDefault="006C78FB" w:rsidP="000B6F08">
            <w:pPr>
              <w:pStyle w:val="Refnum2"/>
            </w:pPr>
          </w:p>
        </w:tc>
        <w:tc>
          <w:tcPr>
            <w:tcW w:w="6134" w:type="dxa"/>
          </w:tcPr>
          <w:p w:rsidR="006C78FB" w:rsidRPr="005828FE" w:rsidRDefault="000B6F08" w:rsidP="000B6F08">
            <w:pPr>
              <w:pStyle w:val="Normalgrey"/>
            </w:pPr>
            <w:r w:rsidRPr="0033032E">
              <w:t>DTF issues the wage inflation and discount rates on a quarterly basis.</w:t>
            </w:r>
          </w:p>
        </w:tc>
      </w:tr>
      <w:tr w:rsidR="000B6F08" w:rsidRPr="005828FE" w:rsidTr="000B6F08">
        <w:tc>
          <w:tcPr>
            <w:tcW w:w="2293" w:type="dxa"/>
          </w:tcPr>
          <w:p w:rsidR="000B6F08" w:rsidRPr="005828FE" w:rsidRDefault="000B6F08" w:rsidP="00382EE1">
            <w:pPr>
              <w:pStyle w:val="Normalgrey"/>
            </w:pPr>
          </w:p>
        </w:tc>
        <w:tc>
          <w:tcPr>
            <w:tcW w:w="270" w:type="dxa"/>
          </w:tcPr>
          <w:p w:rsidR="000B6F08" w:rsidRPr="005828FE" w:rsidRDefault="000B6F08" w:rsidP="000B6F08"/>
        </w:tc>
        <w:tc>
          <w:tcPr>
            <w:tcW w:w="540" w:type="dxa"/>
          </w:tcPr>
          <w:p w:rsidR="000B6F08" w:rsidRPr="005828FE" w:rsidRDefault="000B6F08" w:rsidP="000B6F08">
            <w:pPr>
              <w:pStyle w:val="Refnum2"/>
            </w:pPr>
          </w:p>
        </w:tc>
        <w:tc>
          <w:tcPr>
            <w:tcW w:w="6134" w:type="dxa"/>
          </w:tcPr>
          <w:p w:rsidR="000B6F08" w:rsidRDefault="000B6F08" w:rsidP="000B6F08">
            <w:pPr>
              <w:pStyle w:val="Normalgrey"/>
            </w:pPr>
            <w:r w:rsidRPr="0033032E">
              <w:t>An entity must, in writing, seek prior approval from the Minister for Finance for the use of an alternative rate and provide the following information in its request:</w:t>
            </w:r>
          </w:p>
          <w:p w:rsidR="000B6F08" w:rsidRDefault="000B6F08" w:rsidP="000B6F08">
            <w:pPr>
              <w:pStyle w:val="Bullet1grey"/>
            </w:pPr>
            <w:r>
              <w:t>proposed alternative rate,</w:t>
            </w:r>
          </w:p>
          <w:p w:rsidR="000B6F08" w:rsidRDefault="000B6F08" w:rsidP="000B6F08">
            <w:pPr>
              <w:pStyle w:val="Bullet1grey"/>
            </w:pPr>
            <w:r>
              <w:t>reasons for using the alternative rate, and</w:t>
            </w:r>
          </w:p>
          <w:p w:rsidR="000B6F08" w:rsidRPr="0033032E" w:rsidRDefault="000B6F08" w:rsidP="000B6F08">
            <w:pPr>
              <w:pStyle w:val="Bullet1grey"/>
            </w:pPr>
            <w:r>
              <w:t xml:space="preserve">other information relevant in supporting an entity's request, such as a </w:t>
            </w:r>
            <w:r w:rsidRPr="000B6F08">
              <w:t>comparison</w:t>
            </w:r>
            <w:r>
              <w:t xml:space="preserve"> of the financial effect of using the specified rate and an alternative rate.</w:t>
            </w:r>
          </w:p>
        </w:tc>
      </w:tr>
      <w:tr w:rsidR="000B6F08" w:rsidRPr="005828FE" w:rsidTr="000B6F08">
        <w:tc>
          <w:tcPr>
            <w:tcW w:w="2293" w:type="dxa"/>
          </w:tcPr>
          <w:p w:rsidR="000B6F08" w:rsidRPr="005828FE" w:rsidRDefault="000B6F08" w:rsidP="00382EE1">
            <w:pPr>
              <w:pStyle w:val="Normalgrey"/>
            </w:pPr>
          </w:p>
        </w:tc>
        <w:tc>
          <w:tcPr>
            <w:tcW w:w="270" w:type="dxa"/>
          </w:tcPr>
          <w:p w:rsidR="000B6F08" w:rsidRPr="005828FE" w:rsidRDefault="000B6F08" w:rsidP="000B6F08"/>
        </w:tc>
        <w:tc>
          <w:tcPr>
            <w:tcW w:w="540" w:type="dxa"/>
          </w:tcPr>
          <w:p w:rsidR="000B6F08" w:rsidRPr="005828FE" w:rsidRDefault="000B6F08" w:rsidP="000B6F08">
            <w:pPr>
              <w:pStyle w:val="Refnum2"/>
            </w:pPr>
          </w:p>
        </w:tc>
        <w:tc>
          <w:tcPr>
            <w:tcW w:w="6134" w:type="dxa"/>
          </w:tcPr>
          <w:p w:rsidR="000B6F08" w:rsidRPr="0033032E" w:rsidRDefault="000B6F08" w:rsidP="000B6F08">
            <w:pPr>
              <w:pStyle w:val="Normalgrey"/>
            </w:pPr>
            <w:r w:rsidRPr="0033032E">
              <w:t>The request should be forwarded to the Director, Budget and Financial Management, DTF.</w:t>
            </w:r>
          </w:p>
        </w:tc>
      </w:tr>
      <w:tr w:rsidR="005828FE" w:rsidRPr="005828FE" w:rsidTr="000B6F08">
        <w:tc>
          <w:tcPr>
            <w:tcW w:w="2293" w:type="dxa"/>
          </w:tcPr>
          <w:p w:rsidR="006C78FB" w:rsidRPr="005828FE" w:rsidRDefault="006C78FB" w:rsidP="00382EE1">
            <w:pPr>
              <w:pStyle w:val="Normalgrey"/>
            </w:pPr>
            <w:r w:rsidRPr="005828FE">
              <w:t>Relevant pronouncements</w:t>
            </w:r>
          </w:p>
        </w:tc>
        <w:tc>
          <w:tcPr>
            <w:tcW w:w="270" w:type="dxa"/>
          </w:tcPr>
          <w:p w:rsidR="006C78FB" w:rsidRPr="005828FE" w:rsidRDefault="006C78FB" w:rsidP="000B6F08">
            <w:pPr>
              <w:pStyle w:val="Refnum1"/>
            </w:pPr>
          </w:p>
        </w:tc>
        <w:tc>
          <w:tcPr>
            <w:tcW w:w="540" w:type="dxa"/>
          </w:tcPr>
          <w:p w:rsidR="006C78FB" w:rsidRPr="005828FE" w:rsidRDefault="006C78FB" w:rsidP="000B6F08">
            <w:pPr>
              <w:pStyle w:val="Refnum2"/>
            </w:pPr>
          </w:p>
        </w:tc>
        <w:tc>
          <w:tcPr>
            <w:tcW w:w="6134" w:type="dxa"/>
          </w:tcPr>
          <w:p w:rsidR="00421F2E" w:rsidRPr="005828FE" w:rsidRDefault="000B6F08" w:rsidP="000B6F08">
            <w:pPr>
              <w:pStyle w:val="Normalgrey"/>
            </w:pPr>
            <w:r>
              <w:t xml:space="preserve">AASB 119 </w:t>
            </w:r>
            <w:r w:rsidRPr="001A45C6">
              <w:t>Employee Benefits</w:t>
            </w:r>
          </w:p>
        </w:tc>
      </w:tr>
      <w:tr w:rsidR="005828FE" w:rsidRPr="005828FE" w:rsidTr="000B6F08">
        <w:tc>
          <w:tcPr>
            <w:tcW w:w="2293" w:type="dxa"/>
          </w:tcPr>
          <w:p w:rsidR="006C78FB" w:rsidRPr="005828FE" w:rsidRDefault="006C78FB" w:rsidP="00382EE1">
            <w:pPr>
              <w:pStyle w:val="Normalgrey"/>
            </w:pPr>
            <w:r w:rsidRPr="005828FE">
              <w:t>Background</w:t>
            </w:r>
          </w:p>
        </w:tc>
        <w:tc>
          <w:tcPr>
            <w:tcW w:w="270" w:type="dxa"/>
          </w:tcPr>
          <w:p w:rsidR="006C78FB" w:rsidRPr="005828FE" w:rsidRDefault="006C78FB" w:rsidP="000B6F08">
            <w:pPr>
              <w:pStyle w:val="Refnum1"/>
            </w:pPr>
          </w:p>
        </w:tc>
        <w:tc>
          <w:tcPr>
            <w:tcW w:w="540" w:type="dxa"/>
          </w:tcPr>
          <w:p w:rsidR="006C78FB" w:rsidRPr="005828FE" w:rsidRDefault="000C28B8" w:rsidP="000B6F08">
            <w:r>
              <w:t>7.1</w:t>
            </w:r>
            <w:bookmarkStart w:id="0" w:name="_GoBack"/>
            <w:bookmarkEnd w:id="0"/>
          </w:p>
        </w:tc>
        <w:tc>
          <w:tcPr>
            <w:tcW w:w="6134" w:type="dxa"/>
          </w:tcPr>
          <w:p w:rsidR="00740302" w:rsidRDefault="000B6F08" w:rsidP="000B6F08">
            <w:pPr>
              <w:pStyle w:val="Normalgrey"/>
            </w:pPr>
            <w:r>
              <w:t>Using the wage inflation and discount rates specified by the Minister for Finance will ensure consistent measurement is applied in the preparation and presentation of consolidated financial reports.</w:t>
            </w:r>
          </w:p>
          <w:p w:rsidR="000B6F08" w:rsidRDefault="000B6F08" w:rsidP="000B6F08">
            <w:pPr>
              <w:pStyle w:val="Normalgrey"/>
            </w:pPr>
            <w:r w:rsidRPr="001A45C6">
              <w:t>FRD 17B has been amended to</w:t>
            </w:r>
            <w:r>
              <w:t xml:space="preserve"> apply to annual leave liabilities</w:t>
            </w:r>
            <w:r w:rsidRPr="001A45C6">
              <w:t xml:space="preserve"> (where applicable). This is because the revised AASB 119 also changed the definition of short-term employee benefits. </w:t>
            </w:r>
            <w:r>
              <w:t>The superseded AASB 119 defined short-term employee benefits as those due to be settled within 12 months after the end of the period in which the employee rendered the related service. The revised AASB 119 defines them as benefits that are expected to be settled wholly within 12 months after the end of the annual reporting period in which the employee rendered the service.</w:t>
            </w:r>
          </w:p>
          <w:p w:rsidR="000B6F08" w:rsidRPr="005828FE" w:rsidRDefault="000B6F08" w:rsidP="000B6F08">
            <w:pPr>
              <w:pStyle w:val="Normalgrey"/>
            </w:pPr>
            <w:r>
              <w:t xml:space="preserve">The change in definition changed the focus to the benefit as a whole, and to when the entity expects the benefit to be settled, as opposed to when settlement is due. As a result, this may result in benefits previously classified as short-term being treated as long-term benefits, which will require measurement on a discounted basis. </w:t>
            </w:r>
          </w:p>
        </w:tc>
      </w:tr>
    </w:tbl>
    <w:p w:rsidR="008C63EE" w:rsidRDefault="008C63EE" w:rsidP="000B6F08">
      <w:pPr>
        <w:pStyle w:val="Spacer"/>
      </w:pPr>
    </w:p>
    <w:sectPr w:rsidR="008C63EE"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F08" w:rsidRDefault="000B6F08" w:rsidP="002D711A">
      <w:pPr>
        <w:spacing w:after="0" w:line="240" w:lineRule="auto"/>
      </w:pPr>
      <w:r>
        <w:separator/>
      </w:r>
    </w:p>
    <w:p w:rsidR="000B6F08" w:rsidRDefault="000B6F08"/>
  </w:endnote>
  <w:endnote w:type="continuationSeparator" w:id="0">
    <w:p w:rsidR="000B6F08" w:rsidRDefault="000B6F08" w:rsidP="002D711A">
      <w:pPr>
        <w:spacing w:after="0" w:line="240" w:lineRule="auto"/>
      </w:pPr>
      <w:r>
        <w:continuationSeparator/>
      </w:r>
    </w:p>
    <w:p w:rsidR="000B6F08" w:rsidRDefault="000B6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1AE47F3F" wp14:editId="4AF25646">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rsidP="00A516DE">
    <w:pPr>
      <w:pStyle w:val="Spacer"/>
    </w:pPr>
  </w:p>
  <w:p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0C28B8">
      <w:rPr>
        <w:b/>
      </w:rPr>
      <w:t>FRD 17B</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0C28B8">
      <w:t>Wage Inflation and Discount Rates for Employee Benefits (May 2014)</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0C28B8">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F08" w:rsidRDefault="000B6F08" w:rsidP="002D711A">
      <w:pPr>
        <w:spacing w:after="0" w:line="240" w:lineRule="auto"/>
      </w:pPr>
      <w:r>
        <w:separator/>
      </w:r>
    </w:p>
    <w:p w:rsidR="000B6F08" w:rsidRDefault="000B6F08"/>
  </w:footnote>
  <w:footnote w:type="continuationSeparator" w:id="0">
    <w:p w:rsidR="000B6F08" w:rsidRDefault="000B6F08" w:rsidP="002D711A">
      <w:pPr>
        <w:spacing w:after="0" w:line="240" w:lineRule="auto"/>
      </w:pPr>
      <w:r>
        <w:continuationSeparator/>
      </w:r>
    </w:p>
    <w:p w:rsidR="000B6F08" w:rsidRDefault="000B6F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5828FE" w:rsidP="005828FE">
    <w:pPr>
      <w:pStyle w:val="Header"/>
      <w:tabs>
        <w:tab w:val="clear" w:pos="9026"/>
      </w:tabs>
      <w:ind w:right="-694"/>
      <w:jc w:val="right"/>
    </w:pPr>
    <w:r>
      <w:rPr>
        <w:noProof/>
      </w:rPr>
      <w:drawing>
        <wp:inline distT="0" distB="0" distL="0" distR="0" wp14:anchorId="412DD3EE" wp14:editId="16281619">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08"/>
    <w:rsid w:val="0000176A"/>
    <w:rsid w:val="00012F6F"/>
    <w:rsid w:val="00014213"/>
    <w:rsid w:val="00014B55"/>
    <w:rsid w:val="00020E3E"/>
    <w:rsid w:val="00023BF3"/>
    <w:rsid w:val="00026811"/>
    <w:rsid w:val="0004356D"/>
    <w:rsid w:val="00045296"/>
    <w:rsid w:val="00075E6C"/>
    <w:rsid w:val="000B29AD"/>
    <w:rsid w:val="000B6F08"/>
    <w:rsid w:val="000C059C"/>
    <w:rsid w:val="000C28B8"/>
    <w:rsid w:val="000C6372"/>
    <w:rsid w:val="000E392D"/>
    <w:rsid w:val="000F4288"/>
    <w:rsid w:val="000F7165"/>
    <w:rsid w:val="00102379"/>
    <w:rsid w:val="001065D6"/>
    <w:rsid w:val="00106E44"/>
    <w:rsid w:val="00117C6B"/>
    <w:rsid w:val="00121252"/>
    <w:rsid w:val="00124609"/>
    <w:rsid w:val="001254CE"/>
    <w:rsid w:val="001302DE"/>
    <w:rsid w:val="00134CEA"/>
    <w:rsid w:val="001422CC"/>
    <w:rsid w:val="00154FDB"/>
    <w:rsid w:val="001617B6"/>
    <w:rsid w:val="00165E66"/>
    <w:rsid w:val="001C7BAE"/>
    <w:rsid w:val="001E31FA"/>
    <w:rsid w:val="001E64F6"/>
    <w:rsid w:val="00204CB9"/>
    <w:rsid w:val="00215F7C"/>
    <w:rsid w:val="00222BEB"/>
    <w:rsid w:val="00225E60"/>
    <w:rsid w:val="00231BD3"/>
    <w:rsid w:val="0023202C"/>
    <w:rsid w:val="00236203"/>
    <w:rsid w:val="00245043"/>
    <w:rsid w:val="00257760"/>
    <w:rsid w:val="002752C5"/>
    <w:rsid w:val="00286F9A"/>
    <w:rsid w:val="00292D36"/>
    <w:rsid w:val="00297281"/>
    <w:rsid w:val="002A4004"/>
    <w:rsid w:val="002A79B8"/>
    <w:rsid w:val="002C54E0"/>
    <w:rsid w:val="002D711A"/>
    <w:rsid w:val="002D7336"/>
    <w:rsid w:val="002E3396"/>
    <w:rsid w:val="0031149C"/>
    <w:rsid w:val="00321AC8"/>
    <w:rsid w:val="003225E4"/>
    <w:rsid w:val="00361426"/>
    <w:rsid w:val="00382EE1"/>
    <w:rsid w:val="00385422"/>
    <w:rsid w:val="0038771C"/>
    <w:rsid w:val="0039405B"/>
    <w:rsid w:val="003A1C92"/>
    <w:rsid w:val="003A541A"/>
    <w:rsid w:val="003A6923"/>
    <w:rsid w:val="003C2C67"/>
    <w:rsid w:val="003C5BA4"/>
    <w:rsid w:val="003E3E26"/>
    <w:rsid w:val="003F1295"/>
    <w:rsid w:val="003F76FC"/>
    <w:rsid w:val="004002EB"/>
    <w:rsid w:val="0041689E"/>
    <w:rsid w:val="00421F2E"/>
    <w:rsid w:val="004236C8"/>
    <w:rsid w:val="00427681"/>
    <w:rsid w:val="00433DB7"/>
    <w:rsid w:val="00453750"/>
    <w:rsid w:val="00456941"/>
    <w:rsid w:val="00464F7E"/>
    <w:rsid w:val="0046697B"/>
    <w:rsid w:val="004702EA"/>
    <w:rsid w:val="00482D02"/>
    <w:rsid w:val="004A7519"/>
    <w:rsid w:val="004D3518"/>
    <w:rsid w:val="004D62D6"/>
    <w:rsid w:val="004D71D7"/>
    <w:rsid w:val="004E1EC2"/>
    <w:rsid w:val="004F163E"/>
    <w:rsid w:val="004F6445"/>
    <w:rsid w:val="0053416C"/>
    <w:rsid w:val="00541C2F"/>
    <w:rsid w:val="00554086"/>
    <w:rsid w:val="00563527"/>
    <w:rsid w:val="00565CF3"/>
    <w:rsid w:val="0057703D"/>
    <w:rsid w:val="0058124E"/>
    <w:rsid w:val="005828FE"/>
    <w:rsid w:val="005875A3"/>
    <w:rsid w:val="005A3416"/>
    <w:rsid w:val="005B27FE"/>
    <w:rsid w:val="005C3E6D"/>
    <w:rsid w:val="005D51F0"/>
    <w:rsid w:val="005F61DF"/>
    <w:rsid w:val="005F681F"/>
    <w:rsid w:val="006023F9"/>
    <w:rsid w:val="00610559"/>
    <w:rsid w:val="006332F6"/>
    <w:rsid w:val="006519F6"/>
    <w:rsid w:val="00652625"/>
    <w:rsid w:val="006534B2"/>
    <w:rsid w:val="0065615D"/>
    <w:rsid w:val="00657011"/>
    <w:rsid w:val="006650B5"/>
    <w:rsid w:val="006651B1"/>
    <w:rsid w:val="00665778"/>
    <w:rsid w:val="006A5B34"/>
    <w:rsid w:val="006A5F5B"/>
    <w:rsid w:val="006B2873"/>
    <w:rsid w:val="006C77A9"/>
    <w:rsid w:val="006C78FB"/>
    <w:rsid w:val="006D66F9"/>
    <w:rsid w:val="006F6693"/>
    <w:rsid w:val="0070117D"/>
    <w:rsid w:val="00707FE8"/>
    <w:rsid w:val="00724962"/>
    <w:rsid w:val="00724A0F"/>
    <w:rsid w:val="00732162"/>
    <w:rsid w:val="00736732"/>
    <w:rsid w:val="00740302"/>
    <w:rsid w:val="0074281E"/>
    <w:rsid w:val="00745174"/>
    <w:rsid w:val="00750CBE"/>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63669"/>
    <w:rsid w:val="008A4900"/>
    <w:rsid w:val="008B2A17"/>
    <w:rsid w:val="008C63EE"/>
    <w:rsid w:val="008D0281"/>
    <w:rsid w:val="008E3C4E"/>
    <w:rsid w:val="008F6D45"/>
    <w:rsid w:val="00942CF8"/>
    <w:rsid w:val="00957221"/>
    <w:rsid w:val="00962BE9"/>
    <w:rsid w:val="00963C94"/>
    <w:rsid w:val="009834C0"/>
    <w:rsid w:val="00986322"/>
    <w:rsid w:val="00986AAC"/>
    <w:rsid w:val="0099093E"/>
    <w:rsid w:val="009A1DA2"/>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2559E"/>
    <w:rsid w:val="00A25FD9"/>
    <w:rsid w:val="00A46BA8"/>
    <w:rsid w:val="00A47634"/>
    <w:rsid w:val="00A516DE"/>
    <w:rsid w:val="00A612FE"/>
    <w:rsid w:val="00A736BE"/>
    <w:rsid w:val="00AA26B8"/>
    <w:rsid w:val="00AA4D53"/>
    <w:rsid w:val="00AB3FE2"/>
    <w:rsid w:val="00AC11CF"/>
    <w:rsid w:val="00AC4B9D"/>
    <w:rsid w:val="00AD3322"/>
    <w:rsid w:val="00AD7E4E"/>
    <w:rsid w:val="00AF3D47"/>
    <w:rsid w:val="00AF48A0"/>
    <w:rsid w:val="00AF4D58"/>
    <w:rsid w:val="00AF6666"/>
    <w:rsid w:val="00B10154"/>
    <w:rsid w:val="00B6366E"/>
    <w:rsid w:val="00B81B44"/>
    <w:rsid w:val="00B9053B"/>
    <w:rsid w:val="00B93C44"/>
    <w:rsid w:val="00BC3422"/>
    <w:rsid w:val="00BC6691"/>
    <w:rsid w:val="00C015B9"/>
    <w:rsid w:val="00C022F9"/>
    <w:rsid w:val="00C032EA"/>
    <w:rsid w:val="00C04715"/>
    <w:rsid w:val="00C06EB5"/>
    <w:rsid w:val="00C1145F"/>
    <w:rsid w:val="00C637E1"/>
    <w:rsid w:val="00C70D50"/>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718D7"/>
    <w:rsid w:val="00D814B7"/>
    <w:rsid w:val="00D90688"/>
    <w:rsid w:val="00DA3AAD"/>
    <w:rsid w:val="00DA7832"/>
    <w:rsid w:val="00DB312B"/>
    <w:rsid w:val="00DC5654"/>
    <w:rsid w:val="00DC658F"/>
    <w:rsid w:val="00DD5EB6"/>
    <w:rsid w:val="00DE60CC"/>
    <w:rsid w:val="00E122DB"/>
    <w:rsid w:val="00E1551F"/>
    <w:rsid w:val="00E20142"/>
    <w:rsid w:val="00E26B32"/>
    <w:rsid w:val="00E30E0A"/>
    <w:rsid w:val="00E3232B"/>
    <w:rsid w:val="00E407B6"/>
    <w:rsid w:val="00E41EF1"/>
    <w:rsid w:val="00E42942"/>
    <w:rsid w:val="00E468A6"/>
    <w:rsid w:val="00E71BDF"/>
    <w:rsid w:val="00E83CA7"/>
    <w:rsid w:val="00EA03A3"/>
    <w:rsid w:val="00EC171D"/>
    <w:rsid w:val="00ED487E"/>
    <w:rsid w:val="00EE7A0D"/>
    <w:rsid w:val="00F17CE1"/>
    <w:rsid w:val="00F2115C"/>
    <w:rsid w:val="00F22ABA"/>
    <w:rsid w:val="00F23366"/>
    <w:rsid w:val="00F36B12"/>
    <w:rsid w:val="00F55AF4"/>
    <w:rsid w:val="00F60F9F"/>
    <w:rsid w:val="00F64F08"/>
    <w:rsid w:val="00F734F5"/>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C4AC8-474C-4451-83C5-25E0FFCD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Shareen Singh</cp:lastModifiedBy>
  <cp:revision>3</cp:revision>
  <cp:lastPrinted>2016-03-03T04:13:00Z</cp:lastPrinted>
  <dcterms:created xsi:type="dcterms:W3CDTF">2017-11-24T01:17:00Z</dcterms:created>
  <dcterms:modified xsi:type="dcterms:W3CDTF">2017-11-24T01:27:00Z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ies>
</file>