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442780672"/>
    <w:p w14:paraId="06EE6D57" w14:textId="4D81EA97" w:rsidR="00045296" w:rsidRPr="0027122F" w:rsidRDefault="004C7125" w:rsidP="00AD60C7">
      <w:pPr>
        <w:pStyle w:val="Title"/>
        <w:rPr>
          <w:sz w:val="44"/>
        </w:rPr>
      </w:pPr>
      <w:r w:rsidRPr="0027122F">
        <w:rPr>
          <w:noProof/>
          <w:sz w:val="44"/>
        </w:rPr>
        <mc:AlternateContent>
          <mc:Choice Requires="wpg">
            <w:drawing>
              <wp:anchor distT="0" distB="0" distL="114300" distR="114300" simplePos="0" relativeHeight="251658240" behindDoc="1" locked="0" layoutInCell="1" allowOverlap="1" wp14:anchorId="39138CC5" wp14:editId="3E0C44EC">
                <wp:simplePos x="0" y="0"/>
                <wp:positionH relativeFrom="column">
                  <wp:posOffset>-594360</wp:posOffset>
                </wp:positionH>
                <wp:positionV relativeFrom="paragraph">
                  <wp:posOffset>-514350</wp:posOffset>
                </wp:positionV>
                <wp:extent cx="5200762" cy="2962179"/>
                <wp:effectExtent l="0" t="0" r="0" b="0"/>
                <wp:wrapNone/>
                <wp:docPr id="1"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10"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w16sdtdh="http://schemas.microsoft.com/office/word/2020/wordml/sdtdatahash">
            <w:pict>
              <v:group w14:anchorId="32D70B3D" id="Page banner" o:spid="_x0000_s1026" alt="&quot;&quot;" style="position:absolute;margin-left:-46.8pt;margin-top:-40.5pt;width:409.5pt;height:233.25pt;z-index:-251657216" coordsize="52007,2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">
                <v:shape id="Shape 2" o:spid="_x0000_s1027" style="position:absolute;top:106;width:52007;height:29515;visibility:visible;mso-wrap-style:square;v-text-anchor:middle" coordsize="3875055,220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" path="m3875056,2201513l2834449,,,,,2201513r3875056,xe" fillcolor="#00bac7 [3204]" stroked="f">
                  <v:stroke joinstyle="miter"/>
                  <v:path arrowok="t" o:connecttype="custom" o:connectlocs="5200763,2951546;3804151,0;0,0;0,2951546;5200763,2951546" o:connectangles="0,0,0,0,0"/>
                </v:shape>
                <v:shape id="Shape 1" o:spid="_x0000_s1028" style="position:absolute;width:42298;height:26976;visibility:visible;mso-wrap-style:square;v-text-anchor:middle" coordsize="3151632,2012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" path="m3151632,2012156l3151632,,,,,1112520r425291,899636l3151632,2012156xe" fillcolor="#232b39 [3213]" stroked="f">
                  <v:stroke joinstyle="miter"/>
                  <v:path arrowok="t" o:connecttype="custom" o:connectlocs="4229846,2697677;4229846,0;0,0;0,1491544;570789,2697677;4229846,2697677" o:connectangles="0,0,0,0,0,0"/>
                </v:shape>
                <v:line id="Line" o:spid="_x0000_s1029" style="position:absolute;flip:y;visibility:visible;mso-wrap-style:square" from="28495,15820" to="38402,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" strokecolor="#00bac7 [3204]" strokeweight="4.5pt"/>
              </v:group>
            </w:pict>
          </mc:Fallback>
        </mc:AlternateContent>
      </w:r>
      <w:r w:rsidR="00AD60C7" w:rsidRPr="0027122F">
        <w:rPr>
          <w:sz w:val="44"/>
        </w:rPr>
        <w:t xml:space="preserve">Accounting policy </w:t>
      </w:r>
      <w:r w:rsidR="0027122F" w:rsidRPr="0027122F">
        <w:rPr>
          <w:sz w:val="44"/>
        </w:rPr>
        <w:t>update – newsletter</w:t>
      </w:r>
    </w:p>
    <w:p w14:paraId="03E54C6B" w14:textId="6DA1A918" w:rsidR="00522F8A" w:rsidRPr="00AD60C7" w:rsidRDefault="00AD60C7" w:rsidP="00A06F34">
      <w:pPr>
        <w:pStyle w:val="Subtitle"/>
        <w:spacing w:line="240" w:lineRule="auto"/>
        <w:ind w:left="2966"/>
      </w:pPr>
      <w:r>
        <w:t>Edition No. 4</w:t>
      </w:r>
      <w:r w:rsidR="00B96DCF">
        <w:t>1</w:t>
      </w:r>
      <w:r w:rsidR="00A06F34">
        <w:t xml:space="preserve"> </w:t>
      </w:r>
      <w:r w:rsidR="00B96DCF">
        <w:t xml:space="preserve">December </w:t>
      </w:r>
      <w:r>
        <w:t>2021</w:t>
      </w:r>
    </w:p>
    <w:p w14:paraId="0EB165FD" w14:textId="33CD91DD" w:rsidR="00522F8A" w:rsidRPr="007B141C" w:rsidRDefault="00522F8A" w:rsidP="00AD60C7">
      <w:pPr>
        <w:pStyle w:val="CM"/>
        <w:shd w:val="clear" w:color="auto" w:fill="232B39" w:themeFill="text1"/>
        <w:spacing w:after="1400"/>
      </w:pPr>
    </w:p>
    <w:p w14:paraId="46A24877" w14:textId="77777777" w:rsidR="00822DEC" w:rsidRDefault="00822DEC" w:rsidP="0027122F">
      <w:pPr>
        <w:pStyle w:val="Heading1"/>
        <w:sectPr w:rsidR="00822DEC" w:rsidSect="00126CC7">
          <w:headerReference w:type="even" r:id="rId12"/>
          <w:headerReference w:type="default" r:id="rId13"/>
          <w:footerReference w:type="even" r:id="rId14"/>
          <w:footerReference w:type="default" r:id="rId15"/>
          <w:headerReference w:type="first" r:id="rId16"/>
          <w:footerReference w:type="first" r:id="rId17"/>
          <w:pgSz w:w="11906" w:h="16838" w:code="9"/>
          <w:pgMar w:top="810" w:right="936" w:bottom="1728" w:left="936" w:header="450" w:footer="461" w:gutter="0"/>
          <w:cols w:space="708"/>
          <w:titlePg/>
          <w:docGrid w:linePitch="360"/>
        </w:sectPr>
      </w:pPr>
    </w:p>
    <w:p w14:paraId="7985DCE7" w14:textId="351EB8A5" w:rsidR="00045296" w:rsidRDefault="00AD60C7" w:rsidP="00AD60C7">
      <w:pPr>
        <w:spacing w:before="400"/>
        <w:rPr>
          <w:rFonts w:asciiTheme="majorHAnsi" w:eastAsia="Times New Roman" w:hAnsiTheme="majorHAnsi"/>
        </w:rPr>
      </w:pPr>
      <w:r w:rsidRPr="00AD60C7">
        <w:rPr>
          <w:rFonts w:asciiTheme="majorHAnsi" w:eastAsia="Times New Roman" w:hAnsiTheme="majorHAnsi"/>
        </w:rPr>
        <w:t>Scope: This biannual newsletter outlines areas of importance in public sector financial reporting. Please distribute to both budget and financial reporting areas of Victorian public sector entities.</w:t>
      </w:r>
    </w:p>
    <w:p w14:paraId="769E597F" w14:textId="77777777" w:rsidR="0027122F" w:rsidRPr="00AD60C7" w:rsidRDefault="0027122F" w:rsidP="00AD60C7">
      <w:pPr>
        <w:spacing w:before="400"/>
        <w:rPr>
          <w:rFonts w:asciiTheme="majorHAnsi" w:eastAsia="Times New Roman" w:hAnsiTheme="majorHAnsi"/>
        </w:rPr>
      </w:pPr>
    </w:p>
    <w:p w14:paraId="0F92213C" w14:textId="3DBECEAD" w:rsidR="00AD60C7" w:rsidRDefault="00AD60C7" w:rsidP="00AD60C7">
      <w:pPr>
        <w:pStyle w:val="Heading3"/>
      </w:pPr>
      <w:r>
        <w:t>Inside this edition</w:t>
      </w:r>
    </w:p>
    <w:p w14:paraId="09AE4841" w14:textId="45CA9FD5" w:rsidR="00422D08" w:rsidRPr="00327EF9" w:rsidRDefault="00AD60C7">
      <w:pPr>
        <w:pStyle w:val="TOC1"/>
        <w:rPr>
          <w:color w:val="232B39" w:themeColor="text1"/>
          <w:sz w:val="22"/>
          <w:szCs w:val="22"/>
        </w:rPr>
      </w:pPr>
      <w:r w:rsidRPr="00B90E28">
        <w:rPr>
          <w:color w:val="232B39" w:themeColor="text1"/>
        </w:rPr>
        <w:fldChar w:fldCharType="begin"/>
      </w:r>
      <w:r w:rsidRPr="00B90E28">
        <w:instrText xml:space="preserve"> TOC \h \z \t "Heading 1,1" </w:instrText>
      </w:r>
      <w:r w:rsidRPr="00B90E28">
        <w:rPr>
          <w:color w:val="232B39" w:themeColor="text1"/>
        </w:rPr>
        <w:fldChar w:fldCharType="separate"/>
      </w:r>
      <w:hyperlink w:anchor="_Toc91074729" w:history="1">
        <w:r w:rsidR="00422D08" w:rsidRPr="00327EF9">
          <w:rPr>
            <w:rStyle w:val="Hyperlink"/>
            <w:color w:val="232B39" w:themeColor="text1"/>
          </w:rPr>
          <w:t>Overview</w:t>
        </w:r>
        <w:r w:rsidR="00422D08" w:rsidRPr="00327EF9">
          <w:rPr>
            <w:webHidden/>
            <w:color w:val="232B39" w:themeColor="text1"/>
          </w:rPr>
          <w:tab/>
        </w:r>
        <w:r w:rsidR="00422D08" w:rsidRPr="00327EF9">
          <w:rPr>
            <w:webHidden/>
            <w:color w:val="232B39" w:themeColor="text1"/>
          </w:rPr>
          <w:fldChar w:fldCharType="begin"/>
        </w:r>
        <w:r w:rsidR="00422D08" w:rsidRPr="00327EF9">
          <w:rPr>
            <w:webHidden/>
            <w:color w:val="232B39" w:themeColor="text1"/>
          </w:rPr>
          <w:instrText xml:space="preserve"> PAGEREF _Toc91074729 \h </w:instrText>
        </w:r>
        <w:r w:rsidR="00422D08" w:rsidRPr="00327EF9">
          <w:rPr>
            <w:webHidden/>
            <w:color w:val="232B39" w:themeColor="text1"/>
          </w:rPr>
        </w:r>
        <w:r w:rsidR="00422D08" w:rsidRPr="00327EF9">
          <w:rPr>
            <w:webHidden/>
            <w:color w:val="232B39" w:themeColor="text1"/>
          </w:rPr>
          <w:fldChar w:fldCharType="separate"/>
        </w:r>
        <w:r w:rsidR="00422D08" w:rsidRPr="00327EF9">
          <w:rPr>
            <w:webHidden/>
            <w:color w:val="232B39" w:themeColor="text1"/>
          </w:rPr>
          <w:t>1</w:t>
        </w:r>
        <w:r w:rsidR="00422D08" w:rsidRPr="00327EF9">
          <w:rPr>
            <w:webHidden/>
            <w:color w:val="232B39" w:themeColor="text1"/>
          </w:rPr>
          <w:fldChar w:fldCharType="end"/>
        </w:r>
      </w:hyperlink>
    </w:p>
    <w:p w14:paraId="7E16AB98" w14:textId="5671B62D" w:rsidR="00422D08" w:rsidRPr="00F15E9C" w:rsidRDefault="004A2B3B">
      <w:pPr>
        <w:pStyle w:val="TOC1"/>
        <w:rPr>
          <w:color w:val="232B39" w:themeColor="text1"/>
          <w:sz w:val="22"/>
          <w:szCs w:val="22"/>
        </w:rPr>
      </w:pPr>
      <w:hyperlink w:anchor="_Toc91074730" w:history="1">
        <w:r w:rsidR="00422D08" w:rsidRPr="00327EF9">
          <w:rPr>
            <w:rStyle w:val="Hyperlink"/>
            <w:color w:val="232B39" w:themeColor="text1"/>
          </w:rPr>
          <w:t>Developments</w:t>
        </w:r>
        <w:r w:rsidR="00422D08" w:rsidRPr="00F15E9C">
          <w:rPr>
            <w:webHidden/>
            <w:color w:val="232B39" w:themeColor="text1"/>
          </w:rPr>
          <w:tab/>
        </w:r>
        <w:r w:rsidR="00422D08" w:rsidRPr="00F15E9C">
          <w:rPr>
            <w:webHidden/>
            <w:color w:val="232B39" w:themeColor="text1"/>
          </w:rPr>
          <w:fldChar w:fldCharType="begin"/>
        </w:r>
        <w:r w:rsidR="00422D08" w:rsidRPr="00F15E9C">
          <w:rPr>
            <w:webHidden/>
            <w:color w:val="232B39" w:themeColor="text1"/>
          </w:rPr>
          <w:instrText xml:space="preserve"> PAGEREF _Toc91074730 \h </w:instrText>
        </w:r>
        <w:r w:rsidR="00422D08" w:rsidRPr="00F15E9C">
          <w:rPr>
            <w:webHidden/>
            <w:color w:val="232B39" w:themeColor="text1"/>
          </w:rPr>
        </w:r>
        <w:r w:rsidR="00422D08" w:rsidRPr="00F15E9C">
          <w:rPr>
            <w:webHidden/>
            <w:color w:val="232B39" w:themeColor="text1"/>
          </w:rPr>
          <w:fldChar w:fldCharType="separate"/>
        </w:r>
        <w:r w:rsidR="00422D08" w:rsidRPr="00F15E9C">
          <w:rPr>
            <w:webHidden/>
            <w:color w:val="232B39" w:themeColor="text1"/>
          </w:rPr>
          <w:t>2</w:t>
        </w:r>
        <w:r w:rsidR="00422D08" w:rsidRPr="00F15E9C">
          <w:rPr>
            <w:webHidden/>
            <w:color w:val="232B39" w:themeColor="text1"/>
          </w:rPr>
          <w:fldChar w:fldCharType="end"/>
        </w:r>
      </w:hyperlink>
    </w:p>
    <w:p w14:paraId="46C1D915" w14:textId="3E1E8892" w:rsidR="00422D08" w:rsidRPr="00327EF9" w:rsidRDefault="004A2B3B">
      <w:pPr>
        <w:pStyle w:val="TOC1"/>
        <w:rPr>
          <w:color w:val="232B39" w:themeColor="text1"/>
          <w:sz w:val="22"/>
          <w:szCs w:val="22"/>
        </w:rPr>
      </w:pPr>
      <w:hyperlink w:anchor="_Toc91074731" w:history="1">
        <w:r w:rsidR="00422D08" w:rsidRPr="00327EF9">
          <w:rPr>
            <w:rStyle w:val="Hyperlink"/>
            <w:color w:val="232B39" w:themeColor="text1"/>
          </w:rPr>
          <w:t xml:space="preserve">Reminders for </w:t>
        </w:r>
        <w:r w:rsidR="00422D08" w:rsidRPr="00327EF9">
          <w:rPr>
            <w:rStyle w:val="Hyperlink"/>
            <w:color w:val="232B39" w:themeColor="text1"/>
          </w:rPr>
          <w:br/>
          <w:t>31 December 2021</w:t>
        </w:r>
        <w:r w:rsidR="00422D08" w:rsidRPr="00327EF9">
          <w:rPr>
            <w:webHidden/>
            <w:color w:val="232B39" w:themeColor="text1"/>
          </w:rPr>
          <w:tab/>
        </w:r>
        <w:r w:rsidR="00422D08" w:rsidRPr="00327EF9">
          <w:rPr>
            <w:webHidden/>
            <w:color w:val="232B39" w:themeColor="text1"/>
          </w:rPr>
          <w:fldChar w:fldCharType="begin"/>
        </w:r>
        <w:r w:rsidR="00422D08" w:rsidRPr="00327EF9">
          <w:rPr>
            <w:webHidden/>
            <w:color w:val="232B39" w:themeColor="text1"/>
          </w:rPr>
          <w:instrText xml:space="preserve"> PAGEREF _Toc91074731 \h </w:instrText>
        </w:r>
        <w:r w:rsidR="00422D08" w:rsidRPr="00327EF9">
          <w:rPr>
            <w:webHidden/>
            <w:color w:val="232B39" w:themeColor="text1"/>
          </w:rPr>
        </w:r>
        <w:r w:rsidR="00422D08" w:rsidRPr="00327EF9">
          <w:rPr>
            <w:webHidden/>
            <w:color w:val="232B39" w:themeColor="text1"/>
          </w:rPr>
          <w:fldChar w:fldCharType="separate"/>
        </w:r>
        <w:r w:rsidR="00422D08" w:rsidRPr="00327EF9">
          <w:rPr>
            <w:webHidden/>
            <w:color w:val="232B39" w:themeColor="text1"/>
          </w:rPr>
          <w:t>4</w:t>
        </w:r>
        <w:r w:rsidR="00422D08" w:rsidRPr="00327EF9">
          <w:rPr>
            <w:webHidden/>
            <w:color w:val="232B39" w:themeColor="text1"/>
          </w:rPr>
          <w:fldChar w:fldCharType="end"/>
        </w:r>
      </w:hyperlink>
    </w:p>
    <w:p w14:paraId="15B1E601" w14:textId="68106CED" w:rsidR="00422D08" w:rsidRPr="00327EF9" w:rsidRDefault="004A2B3B">
      <w:pPr>
        <w:pStyle w:val="TOC1"/>
        <w:rPr>
          <w:color w:val="232B39" w:themeColor="text1"/>
          <w:sz w:val="22"/>
          <w:szCs w:val="22"/>
        </w:rPr>
      </w:pPr>
      <w:hyperlink w:anchor="_Toc91074732" w:history="1">
        <w:r w:rsidR="00422D08" w:rsidRPr="00327EF9">
          <w:rPr>
            <w:rStyle w:val="Hyperlink"/>
            <w:color w:val="232B39" w:themeColor="text1"/>
          </w:rPr>
          <w:t xml:space="preserve">Australian Accounting </w:t>
        </w:r>
        <w:r w:rsidR="00422D08" w:rsidRPr="00327EF9">
          <w:rPr>
            <w:rStyle w:val="Hyperlink"/>
            <w:color w:val="232B39" w:themeColor="text1"/>
          </w:rPr>
          <w:br/>
          <w:t>Standards update</w:t>
        </w:r>
        <w:r w:rsidR="00422D08" w:rsidRPr="00327EF9">
          <w:rPr>
            <w:webHidden/>
            <w:color w:val="232B39" w:themeColor="text1"/>
          </w:rPr>
          <w:tab/>
        </w:r>
        <w:r w:rsidR="00422D08" w:rsidRPr="00327EF9">
          <w:rPr>
            <w:webHidden/>
            <w:color w:val="232B39" w:themeColor="text1"/>
          </w:rPr>
          <w:fldChar w:fldCharType="begin"/>
        </w:r>
        <w:r w:rsidR="00422D08" w:rsidRPr="00327EF9">
          <w:rPr>
            <w:webHidden/>
            <w:color w:val="232B39" w:themeColor="text1"/>
          </w:rPr>
          <w:instrText xml:space="preserve"> PAGEREF _Toc91074732 \h </w:instrText>
        </w:r>
        <w:r w:rsidR="00422D08" w:rsidRPr="00327EF9">
          <w:rPr>
            <w:webHidden/>
            <w:color w:val="232B39" w:themeColor="text1"/>
          </w:rPr>
        </w:r>
        <w:r w:rsidR="00422D08" w:rsidRPr="00327EF9">
          <w:rPr>
            <w:webHidden/>
            <w:color w:val="232B39" w:themeColor="text1"/>
          </w:rPr>
          <w:fldChar w:fldCharType="separate"/>
        </w:r>
        <w:r w:rsidR="00422D08" w:rsidRPr="00327EF9">
          <w:rPr>
            <w:webHidden/>
            <w:color w:val="232B39" w:themeColor="text1"/>
          </w:rPr>
          <w:t>7</w:t>
        </w:r>
        <w:r w:rsidR="00422D08" w:rsidRPr="00327EF9">
          <w:rPr>
            <w:webHidden/>
            <w:color w:val="232B39" w:themeColor="text1"/>
          </w:rPr>
          <w:fldChar w:fldCharType="end"/>
        </w:r>
      </w:hyperlink>
    </w:p>
    <w:p w14:paraId="64D17300" w14:textId="3C938ABE" w:rsidR="00422D08" w:rsidRPr="00327EF9" w:rsidRDefault="004A2B3B">
      <w:pPr>
        <w:pStyle w:val="TOC1"/>
        <w:rPr>
          <w:color w:val="232B39" w:themeColor="text1"/>
          <w:sz w:val="22"/>
          <w:szCs w:val="22"/>
        </w:rPr>
      </w:pPr>
      <w:hyperlink w:anchor="_Toc91074733" w:history="1">
        <w:r w:rsidR="00422D08" w:rsidRPr="00327EF9">
          <w:rPr>
            <w:rStyle w:val="Hyperlink"/>
            <w:color w:val="232B39" w:themeColor="text1"/>
          </w:rPr>
          <w:t>Other developments</w:t>
        </w:r>
        <w:r w:rsidR="00422D08" w:rsidRPr="00327EF9">
          <w:rPr>
            <w:webHidden/>
            <w:color w:val="232B39" w:themeColor="text1"/>
          </w:rPr>
          <w:tab/>
        </w:r>
        <w:r w:rsidR="00422D08" w:rsidRPr="00327EF9">
          <w:rPr>
            <w:webHidden/>
            <w:color w:val="232B39" w:themeColor="text1"/>
          </w:rPr>
          <w:fldChar w:fldCharType="begin"/>
        </w:r>
        <w:r w:rsidR="00422D08" w:rsidRPr="00327EF9">
          <w:rPr>
            <w:webHidden/>
            <w:color w:val="232B39" w:themeColor="text1"/>
          </w:rPr>
          <w:instrText xml:space="preserve"> PAGEREF _Toc91074733 \h </w:instrText>
        </w:r>
        <w:r w:rsidR="00422D08" w:rsidRPr="00327EF9">
          <w:rPr>
            <w:webHidden/>
            <w:color w:val="232B39" w:themeColor="text1"/>
          </w:rPr>
        </w:r>
        <w:r w:rsidR="00422D08" w:rsidRPr="00327EF9">
          <w:rPr>
            <w:webHidden/>
            <w:color w:val="232B39" w:themeColor="text1"/>
          </w:rPr>
          <w:fldChar w:fldCharType="separate"/>
        </w:r>
        <w:r w:rsidR="00422D08" w:rsidRPr="00327EF9">
          <w:rPr>
            <w:webHidden/>
            <w:color w:val="232B39" w:themeColor="text1"/>
          </w:rPr>
          <w:t>9</w:t>
        </w:r>
        <w:r w:rsidR="00422D08" w:rsidRPr="00327EF9">
          <w:rPr>
            <w:webHidden/>
            <w:color w:val="232B39" w:themeColor="text1"/>
          </w:rPr>
          <w:fldChar w:fldCharType="end"/>
        </w:r>
      </w:hyperlink>
    </w:p>
    <w:p w14:paraId="5235C182" w14:textId="1055B91C" w:rsidR="00422D08" w:rsidRPr="00327EF9" w:rsidRDefault="004A2B3B">
      <w:pPr>
        <w:pStyle w:val="TOC1"/>
        <w:rPr>
          <w:color w:val="232B39" w:themeColor="text1"/>
          <w:sz w:val="22"/>
          <w:szCs w:val="22"/>
        </w:rPr>
      </w:pPr>
      <w:hyperlink w:anchor="_Toc91074734" w:history="1">
        <w:r w:rsidR="00422D08" w:rsidRPr="00327EF9">
          <w:rPr>
            <w:rStyle w:val="Hyperlink"/>
            <w:color w:val="232B39" w:themeColor="text1"/>
          </w:rPr>
          <w:t>How to contact us</w:t>
        </w:r>
        <w:r w:rsidR="00422D08" w:rsidRPr="00327EF9">
          <w:rPr>
            <w:webHidden/>
            <w:color w:val="232B39" w:themeColor="text1"/>
          </w:rPr>
          <w:tab/>
        </w:r>
        <w:r w:rsidR="00422D08" w:rsidRPr="00327EF9">
          <w:rPr>
            <w:webHidden/>
            <w:color w:val="232B39" w:themeColor="text1"/>
          </w:rPr>
          <w:fldChar w:fldCharType="begin"/>
        </w:r>
        <w:r w:rsidR="00422D08" w:rsidRPr="00327EF9">
          <w:rPr>
            <w:webHidden/>
            <w:color w:val="232B39" w:themeColor="text1"/>
          </w:rPr>
          <w:instrText xml:space="preserve"> PAGEREF _Toc91074734 \h </w:instrText>
        </w:r>
        <w:r w:rsidR="00422D08" w:rsidRPr="00327EF9">
          <w:rPr>
            <w:webHidden/>
            <w:color w:val="232B39" w:themeColor="text1"/>
          </w:rPr>
        </w:r>
        <w:r w:rsidR="00422D08" w:rsidRPr="00327EF9">
          <w:rPr>
            <w:webHidden/>
            <w:color w:val="232B39" w:themeColor="text1"/>
          </w:rPr>
          <w:fldChar w:fldCharType="separate"/>
        </w:r>
        <w:r w:rsidR="00422D08" w:rsidRPr="00327EF9">
          <w:rPr>
            <w:webHidden/>
            <w:color w:val="232B39" w:themeColor="text1"/>
          </w:rPr>
          <w:t>10</w:t>
        </w:r>
        <w:r w:rsidR="00422D08" w:rsidRPr="00327EF9">
          <w:rPr>
            <w:webHidden/>
            <w:color w:val="232B39" w:themeColor="text1"/>
          </w:rPr>
          <w:fldChar w:fldCharType="end"/>
        </w:r>
      </w:hyperlink>
    </w:p>
    <w:p w14:paraId="5C0B9AE3" w14:textId="734D7163" w:rsidR="00AD60C7" w:rsidRDefault="00AD60C7" w:rsidP="00AD60C7">
      <w:r w:rsidRPr="00B90E28">
        <w:fldChar w:fldCharType="end"/>
      </w:r>
    </w:p>
    <w:p w14:paraId="7D999847" w14:textId="33708B7E" w:rsidR="00AD60C7" w:rsidRPr="00000C9B" w:rsidRDefault="005129A3" w:rsidP="0027122F">
      <w:pPr>
        <w:pStyle w:val="Heading1"/>
        <w:spacing w:before="300"/>
      </w:pPr>
      <w:r>
        <w:br w:type="column"/>
      </w:r>
      <w:bookmarkStart w:id="1" w:name="_Toc33614830"/>
      <w:bookmarkStart w:id="2" w:name="_Toc75950898"/>
      <w:bookmarkStart w:id="3" w:name="_Toc91074729"/>
      <w:r w:rsidR="00AD60C7" w:rsidRPr="00923519">
        <w:t>Overview</w:t>
      </w:r>
      <w:bookmarkEnd w:id="1"/>
      <w:bookmarkEnd w:id="2"/>
      <w:bookmarkEnd w:id="3"/>
    </w:p>
    <w:p w14:paraId="44F1E873" w14:textId="53A39B23" w:rsidR="00623A55" w:rsidRDefault="00623A55" w:rsidP="006320FD">
      <w:bookmarkStart w:id="4" w:name="_Hlk49950924"/>
      <w:bookmarkEnd w:id="0"/>
      <w:r>
        <w:t xml:space="preserve">In hopes of simplifying and improving upon the </w:t>
      </w:r>
      <w:r w:rsidR="003F4FAA">
        <w:t xml:space="preserve">existing </w:t>
      </w:r>
      <w:r>
        <w:t>Accounting Policy frameworks</w:t>
      </w:r>
      <w:r w:rsidR="00C703B6">
        <w:t xml:space="preserve">, the Accounting Policy team has been working on </w:t>
      </w:r>
      <w:r w:rsidR="00694E75">
        <w:t>several</w:t>
      </w:r>
      <w:r w:rsidR="00C703B6">
        <w:t xml:space="preserve"> new developments to the Model Report and Financial Reporting Directions</w:t>
      </w:r>
      <w:r w:rsidR="00562A30">
        <w:t xml:space="preserve"> that should make them more timely </w:t>
      </w:r>
      <w:r w:rsidR="00DD3AE4">
        <w:t>and</w:t>
      </w:r>
      <w:r w:rsidR="00562A30">
        <w:t xml:space="preserve"> user friendly for preparers. This edition of the Accounting Policy update </w:t>
      </w:r>
      <w:r w:rsidR="00694E75">
        <w:t>provide</w:t>
      </w:r>
      <w:r w:rsidR="00DD3AE4">
        <w:t>s</w:t>
      </w:r>
      <w:r w:rsidR="00694E75">
        <w:t xml:space="preserve"> detail on </w:t>
      </w:r>
      <w:r w:rsidR="00562A30">
        <w:t>some of th</w:t>
      </w:r>
      <w:r w:rsidR="00694E75">
        <w:t>ese updates</w:t>
      </w:r>
      <w:r w:rsidR="00C615A3">
        <w:t xml:space="preserve"> </w:t>
      </w:r>
      <w:r w:rsidR="004F0222">
        <w:t xml:space="preserve">under the </w:t>
      </w:r>
      <w:r w:rsidR="004F0222" w:rsidRPr="00EB7A96">
        <w:rPr>
          <w:b/>
          <w:bCs/>
        </w:rPr>
        <w:t>Developments</w:t>
      </w:r>
      <w:r w:rsidR="004F0222">
        <w:t xml:space="preserve"> section on page 2</w:t>
      </w:r>
      <w:r w:rsidR="00064248">
        <w:t>.</w:t>
      </w:r>
    </w:p>
    <w:p w14:paraId="4B4BA191" w14:textId="6DC6DDFE" w:rsidR="00064248" w:rsidRDefault="00214EAC" w:rsidP="006320FD">
      <w:r>
        <w:t xml:space="preserve">As we are halfway through the </w:t>
      </w:r>
      <w:r w:rsidR="003F5024">
        <w:t xml:space="preserve">June </w:t>
      </w:r>
      <w:r>
        <w:t>2021</w:t>
      </w:r>
      <w:r w:rsidR="006053B3">
        <w:t>–</w:t>
      </w:r>
      <w:r>
        <w:t>22 financial year, all entities are reminded to:</w:t>
      </w:r>
    </w:p>
    <w:p w14:paraId="2B101490" w14:textId="1A63AA3C" w:rsidR="006320FD" w:rsidRDefault="006320FD" w:rsidP="006320FD">
      <w:pPr>
        <w:pStyle w:val="ListParagraph"/>
        <w:numPr>
          <w:ilvl w:val="0"/>
          <w:numId w:val="13"/>
        </w:numPr>
        <w:spacing w:line="276" w:lineRule="auto"/>
      </w:pPr>
      <w:r>
        <w:t>ensure they continue to roll out their key management personnel AASB</w:t>
      </w:r>
      <w:r>
        <w:rPr>
          <w:rFonts w:ascii="Cambria" w:hAnsi="Cambria" w:cs="Cambria"/>
        </w:rPr>
        <w:t> </w:t>
      </w:r>
      <w:r>
        <w:t xml:space="preserve">124 </w:t>
      </w:r>
      <w:r>
        <w:rPr>
          <w:i/>
        </w:rPr>
        <w:t>Related Party Disclosures</w:t>
      </w:r>
      <w:r>
        <w:t xml:space="preserve"> declarations and attestation statements to support their annual reporting process</w:t>
      </w:r>
      <w:r w:rsidR="00AF6C63">
        <w:t>es</w:t>
      </w:r>
    </w:p>
    <w:p w14:paraId="1F17984E" w14:textId="7C86791D" w:rsidR="006825C8" w:rsidRDefault="006320FD" w:rsidP="001821BB">
      <w:pPr>
        <w:pStyle w:val="ListParagraph"/>
        <w:numPr>
          <w:ilvl w:val="0"/>
          <w:numId w:val="13"/>
        </w:numPr>
        <w:spacing w:line="276" w:lineRule="auto"/>
      </w:pPr>
      <w:r>
        <w:t xml:space="preserve">assess </w:t>
      </w:r>
      <w:r w:rsidR="00E91847">
        <w:t xml:space="preserve">annually </w:t>
      </w:r>
      <w:r>
        <w:t xml:space="preserve">their non-financial assets </w:t>
      </w:r>
      <w:r w:rsidR="00E91847">
        <w:t>to ensure these</w:t>
      </w:r>
      <w:r>
        <w:t xml:space="preserve"> are </w:t>
      </w:r>
      <w:r w:rsidR="00E91847">
        <w:t xml:space="preserve">carried </w:t>
      </w:r>
      <w:r>
        <w:t xml:space="preserve">at fair value and consider whether </w:t>
      </w:r>
      <w:r w:rsidR="00FD553A">
        <w:t xml:space="preserve">a </w:t>
      </w:r>
      <w:r>
        <w:t>revalu</w:t>
      </w:r>
      <w:r w:rsidR="00FD553A">
        <w:t xml:space="preserve">ation </w:t>
      </w:r>
      <w:r w:rsidR="00E15451">
        <w:t>is required</w:t>
      </w:r>
    </w:p>
    <w:p w14:paraId="1C87F115" w14:textId="61A49939" w:rsidR="006D399C" w:rsidRDefault="00876EBE" w:rsidP="00E27A4A">
      <w:pPr>
        <w:pStyle w:val="ListParagraph"/>
        <w:numPr>
          <w:ilvl w:val="0"/>
          <w:numId w:val="13"/>
        </w:numPr>
        <w:spacing w:line="276" w:lineRule="auto"/>
      </w:pPr>
      <w:r>
        <w:t>update</w:t>
      </w:r>
      <w:r w:rsidR="006320FD">
        <w:t xml:space="preserve"> wage inflation rates</w:t>
      </w:r>
      <w:r w:rsidR="00DE217E">
        <w:t>,</w:t>
      </w:r>
      <w:r w:rsidR="006320FD">
        <w:t xml:space="preserve"> as following the release of the </w:t>
      </w:r>
      <w:r w:rsidR="006320FD" w:rsidRPr="006D399C">
        <w:rPr>
          <w:i/>
          <w:iCs/>
        </w:rPr>
        <w:t>202</w:t>
      </w:r>
      <w:r w:rsidR="00EE34AB" w:rsidRPr="006D399C">
        <w:rPr>
          <w:i/>
          <w:iCs/>
        </w:rPr>
        <w:t>1</w:t>
      </w:r>
      <w:r w:rsidR="003F0FBE">
        <w:rPr>
          <w:i/>
          <w:iCs/>
        </w:rPr>
        <w:noBreakHyphen/>
      </w:r>
      <w:r w:rsidR="006320FD" w:rsidRPr="006D399C">
        <w:rPr>
          <w:i/>
          <w:iCs/>
        </w:rPr>
        <w:t>2</w:t>
      </w:r>
      <w:r w:rsidR="00EE34AB" w:rsidRPr="006D399C">
        <w:rPr>
          <w:i/>
          <w:iCs/>
        </w:rPr>
        <w:t>2</w:t>
      </w:r>
      <w:r w:rsidR="003F0FBE">
        <w:rPr>
          <w:rFonts w:ascii="Calibri" w:hAnsi="Calibri" w:cs="Calibri"/>
          <w:i/>
          <w:iCs/>
        </w:rPr>
        <w:t> </w:t>
      </w:r>
      <w:r w:rsidR="006320FD" w:rsidRPr="006D399C">
        <w:rPr>
          <w:i/>
          <w:iCs/>
        </w:rPr>
        <w:t>Budget</w:t>
      </w:r>
      <w:r w:rsidR="006320FD">
        <w:t xml:space="preserve"> the wage inflation rate </w:t>
      </w:r>
      <w:r>
        <w:t>was</w:t>
      </w:r>
      <w:r w:rsidR="006320FD">
        <w:t xml:space="preserve"> revised</w:t>
      </w:r>
      <w:r w:rsidR="006D399C">
        <w:t>.</w:t>
      </w:r>
    </w:p>
    <w:p w14:paraId="6F2F2F62" w14:textId="3ABFA03F" w:rsidR="005357AD" w:rsidRPr="002F13D4" w:rsidRDefault="005357AD" w:rsidP="006D399C">
      <w:pPr>
        <w:sectPr w:rsidR="005357AD" w:rsidRPr="002F13D4" w:rsidSect="00AD60C7">
          <w:type w:val="continuous"/>
          <w:pgSz w:w="11906" w:h="16838" w:code="9"/>
          <w:pgMar w:top="648" w:right="1152" w:bottom="1728" w:left="1152" w:header="706" w:footer="461" w:gutter="0"/>
          <w:cols w:num="2" w:space="534" w:equalWidth="0">
            <w:col w:w="2631" w:space="533"/>
            <w:col w:w="6438"/>
          </w:cols>
          <w:titlePg/>
          <w:docGrid w:linePitch="360"/>
        </w:sectPr>
      </w:pPr>
    </w:p>
    <w:p w14:paraId="18A95F3D" w14:textId="3B00E714" w:rsidR="00AD60C7" w:rsidRDefault="001E61E3" w:rsidP="00DA3A1D">
      <w:pPr>
        <w:pStyle w:val="Heading1"/>
      </w:pPr>
      <w:bookmarkStart w:id="5" w:name="_Toc91074730"/>
      <w:bookmarkStart w:id="6" w:name="_Hlk531073932"/>
      <w:bookmarkEnd w:id="4"/>
      <w:r>
        <w:lastRenderedPageBreak/>
        <w:t>Developments</w:t>
      </w:r>
      <w:bookmarkEnd w:id="5"/>
    </w:p>
    <w:p w14:paraId="2EBCB330" w14:textId="19790536" w:rsidR="001E61E3" w:rsidRPr="00364741" w:rsidRDefault="001E61E3" w:rsidP="002F6C39">
      <w:pPr>
        <w:pStyle w:val="Heading2"/>
        <w:rPr>
          <w:rFonts w:eastAsia="Times New Roman"/>
        </w:rPr>
      </w:pPr>
      <w:r w:rsidRPr="00364741">
        <w:rPr>
          <w:rFonts w:eastAsia="Times New Roman"/>
        </w:rPr>
        <w:t>Back</w:t>
      </w:r>
      <w:r w:rsidR="00EC6F4A">
        <w:rPr>
          <w:rFonts w:eastAsia="Times New Roman"/>
        </w:rPr>
        <w:t>-</w:t>
      </w:r>
      <w:r w:rsidRPr="00364741">
        <w:rPr>
          <w:rFonts w:eastAsia="Times New Roman"/>
        </w:rPr>
        <w:t>to</w:t>
      </w:r>
      <w:r w:rsidR="00EC6F4A">
        <w:rPr>
          <w:rFonts w:eastAsia="Times New Roman"/>
        </w:rPr>
        <w:t>-</w:t>
      </w:r>
      <w:r w:rsidR="00DE217E">
        <w:rPr>
          <w:rFonts w:eastAsia="Times New Roman"/>
        </w:rPr>
        <w:t>b</w:t>
      </w:r>
      <w:r w:rsidRPr="00364741">
        <w:rPr>
          <w:rFonts w:eastAsia="Times New Roman"/>
        </w:rPr>
        <w:t>asics</w:t>
      </w:r>
    </w:p>
    <w:p w14:paraId="5D3C96BE" w14:textId="029AD0D0" w:rsidR="005610A5" w:rsidRDefault="00CB6081" w:rsidP="00733808">
      <w:r>
        <w:t xml:space="preserve">The Accounting Policy Team launched </w:t>
      </w:r>
      <w:r w:rsidR="00E17092">
        <w:t xml:space="preserve">an accounting technical initiative in November 2021 entitled </w:t>
      </w:r>
      <w:r w:rsidR="00E17092" w:rsidRPr="00800656">
        <w:rPr>
          <w:b/>
          <w:bCs/>
        </w:rPr>
        <w:t>Back-to-</w:t>
      </w:r>
      <w:r w:rsidR="00A805F1">
        <w:rPr>
          <w:b/>
          <w:bCs/>
        </w:rPr>
        <w:t>b</w:t>
      </w:r>
      <w:r w:rsidR="00E17092" w:rsidRPr="00800656">
        <w:rPr>
          <w:b/>
          <w:bCs/>
        </w:rPr>
        <w:t>asics</w:t>
      </w:r>
      <w:r w:rsidR="00E17092">
        <w:t xml:space="preserve"> with the aim of </w:t>
      </w:r>
      <w:r w:rsidR="00390724">
        <w:t>addressing some</w:t>
      </w:r>
      <w:r w:rsidR="00CA447A" w:rsidRPr="00CA447A">
        <w:t xml:space="preserve"> fundamental accounting principles in layman</w:t>
      </w:r>
      <w:r w:rsidR="0043243C">
        <w:t>’s</w:t>
      </w:r>
      <w:r w:rsidR="00CA447A" w:rsidRPr="00CA447A">
        <w:t xml:space="preserve"> terms</w:t>
      </w:r>
      <w:r w:rsidR="00390724">
        <w:t>. The purpose of the initiative</w:t>
      </w:r>
      <w:r w:rsidR="00CA447A" w:rsidRPr="00CA447A">
        <w:t xml:space="preserve"> </w:t>
      </w:r>
      <w:r w:rsidR="00CF3453">
        <w:t>i</w:t>
      </w:r>
      <w:r w:rsidR="00CA447A" w:rsidRPr="00CA447A">
        <w:t xml:space="preserve">s to provide a refresher to finance </w:t>
      </w:r>
      <w:r w:rsidR="00CF3453">
        <w:t xml:space="preserve">and other </w:t>
      </w:r>
      <w:r w:rsidR="00CA447A" w:rsidRPr="00CA447A">
        <w:t>staff that work across the broader Victorian public sector</w:t>
      </w:r>
      <w:r w:rsidR="00FB26CF">
        <w:t xml:space="preserve"> </w:t>
      </w:r>
      <w:r w:rsidR="00152AAF">
        <w:t>and increase</w:t>
      </w:r>
      <w:r w:rsidR="005610A5" w:rsidRPr="005610A5">
        <w:t xml:space="preserve"> financial literacy and understanding of </w:t>
      </w:r>
      <w:r w:rsidR="004B4C0A">
        <w:t xml:space="preserve">the </w:t>
      </w:r>
      <w:r w:rsidR="005610A5" w:rsidRPr="005610A5">
        <w:t xml:space="preserve">financial consequences of decisions that impact the public sector. </w:t>
      </w:r>
    </w:p>
    <w:p w14:paraId="48278343" w14:textId="796AD8F2" w:rsidR="009E3861" w:rsidRDefault="009E3861" w:rsidP="00733808">
      <w:pPr>
        <w:ind w:right="-208"/>
      </w:pPr>
      <w:r>
        <w:t xml:space="preserve">After an initial consultation with </w:t>
      </w:r>
      <w:r w:rsidR="004B4C0A">
        <w:t>d</w:t>
      </w:r>
      <w:r>
        <w:t xml:space="preserve">epartmental representatives, </w:t>
      </w:r>
      <w:r w:rsidR="004243E7">
        <w:t>the initial scope of the presentations was set as:</w:t>
      </w:r>
    </w:p>
    <w:p w14:paraId="7C2DF06E" w14:textId="17F87CB0" w:rsidR="00804370" w:rsidRDefault="0047312C" w:rsidP="0083243C">
      <w:pPr>
        <w:pStyle w:val="Bullet1"/>
      </w:pPr>
      <w:r w:rsidRPr="0083243C">
        <w:t>F</w:t>
      </w:r>
      <w:r w:rsidR="00804370" w:rsidRPr="0083243C">
        <w:t>oundation</w:t>
      </w:r>
      <w:r w:rsidRPr="0083243C">
        <w:t>s</w:t>
      </w:r>
      <w:r>
        <w:t xml:space="preserve"> of cost capitalisation</w:t>
      </w:r>
      <w:r w:rsidR="00706D01">
        <w:t xml:space="preserve"> – </w:t>
      </w:r>
      <w:r w:rsidR="00706D01" w:rsidRPr="00C61C08">
        <w:rPr>
          <w:i/>
          <w:iCs/>
        </w:rPr>
        <w:t>delivered on 23 November 2021</w:t>
      </w:r>
    </w:p>
    <w:p w14:paraId="32D42183" w14:textId="259AFB24" w:rsidR="00804370" w:rsidRDefault="00706D01" w:rsidP="0083243C">
      <w:pPr>
        <w:pStyle w:val="Bullet1"/>
      </w:pPr>
      <w:r>
        <w:t>Departmental reporting (controlled v</w:t>
      </w:r>
      <w:r w:rsidR="002E1696">
        <w:t>s.</w:t>
      </w:r>
      <w:r>
        <w:t xml:space="preserve"> administered / transactions v</w:t>
      </w:r>
      <w:r w:rsidR="002E1696">
        <w:t>s.</w:t>
      </w:r>
      <w:r>
        <w:t xml:space="preserve"> other economic flows) – </w:t>
      </w:r>
      <w:r w:rsidRPr="00C61C08">
        <w:rPr>
          <w:i/>
          <w:iCs/>
        </w:rPr>
        <w:t>delivered on 25 November 2021</w:t>
      </w:r>
    </w:p>
    <w:p w14:paraId="50A62B3E" w14:textId="0894D130" w:rsidR="00804370" w:rsidRPr="00C61C08" w:rsidRDefault="00804370" w:rsidP="0083243C">
      <w:pPr>
        <w:pStyle w:val="Bullet1"/>
        <w:rPr>
          <w:i/>
          <w:iCs/>
        </w:rPr>
      </w:pPr>
      <w:r w:rsidRPr="00804370">
        <w:t>Structuring considerations - control/significant influence/or simply an investment</w:t>
      </w:r>
      <w:r w:rsidR="00B93E7D">
        <w:t xml:space="preserve"> – </w:t>
      </w:r>
      <w:r w:rsidR="00B93E7D" w:rsidRPr="00C61C08">
        <w:rPr>
          <w:i/>
          <w:iCs/>
        </w:rPr>
        <w:t>delivered on 2</w:t>
      </w:r>
      <w:r w:rsidR="00F15E9C">
        <w:rPr>
          <w:rFonts w:ascii="Calibri" w:hAnsi="Calibri"/>
          <w:i/>
          <w:iCs/>
        </w:rPr>
        <w:t> </w:t>
      </w:r>
      <w:r w:rsidR="00B93E7D" w:rsidRPr="00C61C08">
        <w:rPr>
          <w:i/>
          <w:iCs/>
        </w:rPr>
        <w:t>December 2021</w:t>
      </w:r>
    </w:p>
    <w:p w14:paraId="231F9340" w14:textId="30760FD0" w:rsidR="00804370" w:rsidRPr="00804370" w:rsidRDefault="00F54AB3" w:rsidP="0083243C">
      <w:pPr>
        <w:pStyle w:val="Bullet1"/>
      </w:pPr>
      <w:r>
        <w:t>Capital contributions</w:t>
      </w:r>
      <w:r w:rsidR="00AE2D1E">
        <w:t xml:space="preserve"> v operating grants – </w:t>
      </w:r>
      <w:r w:rsidR="00AE2D1E" w:rsidRPr="00C61C08">
        <w:rPr>
          <w:i/>
          <w:iCs/>
        </w:rPr>
        <w:t>delivered on 7 December 2021</w:t>
      </w:r>
    </w:p>
    <w:p w14:paraId="315BD65E" w14:textId="7944F328" w:rsidR="00AE2D1E" w:rsidRDefault="00AE2D1E" w:rsidP="00733808">
      <w:r>
        <w:t>The</w:t>
      </w:r>
      <w:r w:rsidR="009A44A4">
        <w:t>se</w:t>
      </w:r>
      <w:r>
        <w:t xml:space="preserve"> sessions were </w:t>
      </w:r>
      <w:r w:rsidR="004475E3">
        <w:t>presented by Karen Foo and were recorded.</w:t>
      </w:r>
    </w:p>
    <w:p w14:paraId="7DE07A9A" w14:textId="3771EFD5" w:rsidR="004475E3" w:rsidRDefault="004475E3" w:rsidP="00733808">
      <w:r>
        <w:t xml:space="preserve">Keep an eye out for more sessions in the </w:t>
      </w:r>
      <w:r w:rsidR="00CD02E3">
        <w:t xml:space="preserve">new year and feel free to reach out to your </w:t>
      </w:r>
      <w:r w:rsidR="006041C2">
        <w:t>d</w:t>
      </w:r>
      <w:r w:rsidR="00CD02E3">
        <w:t>epartmental representative for more informatio</w:t>
      </w:r>
      <w:r w:rsidR="009A44A4">
        <w:t>n.</w:t>
      </w:r>
    </w:p>
    <w:p w14:paraId="34B7656D" w14:textId="6F5D285F" w:rsidR="00AD60C7" w:rsidRDefault="00AD60C7" w:rsidP="00DA3A1D">
      <w:pPr>
        <w:pStyle w:val="Heading2"/>
        <w:rPr>
          <w:rFonts w:eastAsia="Times New Roman"/>
        </w:rPr>
      </w:pPr>
      <w:r w:rsidRPr="00364741">
        <w:rPr>
          <w:rFonts w:eastAsia="Times New Roman"/>
        </w:rPr>
        <w:t xml:space="preserve">Model Report for Victorian </w:t>
      </w:r>
      <w:r w:rsidR="006041C2">
        <w:rPr>
          <w:rFonts w:eastAsia="Times New Roman"/>
        </w:rPr>
        <w:t>G</w:t>
      </w:r>
      <w:r w:rsidRPr="00364741">
        <w:rPr>
          <w:rFonts w:eastAsia="Times New Roman"/>
        </w:rPr>
        <w:t xml:space="preserve">overnment </w:t>
      </w:r>
      <w:r w:rsidR="006041C2">
        <w:rPr>
          <w:rFonts w:eastAsia="Times New Roman"/>
        </w:rPr>
        <w:t>d</w:t>
      </w:r>
      <w:r w:rsidRPr="00364741">
        <w:rPr>
          <w:rFonts w:eastAsia="Times New Roman"/>
        </w:rPr>
        <w:t>epartments</w:t>
      </w:r>
    </w:p>
    <w:p w14:paraId="2DCBD0F3" w14:textId="3ED42AEF" w:rsidR="00EE5EC7" w:rsidRDefault="00EE5EC7" w:rsidP="002F6C39">
      <w:pPr>
        <w:pStyle w:val="Heading3"/>
        <w:rPr>
          <w:rFonts w:eastAsia="Times New Roman"/>
        </w:rPr>
      </w:pPr>
      <w:r>
        <w:rPr>
          <w:rFonts w:eastAsia="Times New Roman"/>
        </w:rPr>
        <w:t>G</w:t>
      </w:r>
      <w:r w:rsidRPr="00EE5EC7">
        <w:rPr>
          <w:rFonts w:eastAsia="Times New Roman"/>
        </w:rPr>
        <w:t>uidance on amending reporting requirements of the Model Report and related Financial Reporting Directions</w:t>
      </w:r>
    </w:p>
    <w:p w14:paraId="54155CD8" w14:textId="485D92FA" w:rsidR="00A70B35" w:rsidRDefault="00A70B35" w:rsidP="00B96DCF">
      <w:pPr>
        <w:rPr>
          <w:rFonts w:eastAsia="Times New Roman"/>
        </w:rPr>
      </w:pPr>
      <w:r>
        <w:rPr>
          <w:rFonts w:eastAsia="Times New Roman"/>
        </w:rPr>
        <w:t xml:space="preserve">The Accounting Policy team </w:t>
      </w:r>
      <w:r w:rsidRPr="00A70B35">
        <w:rPr>
          <w:rFonts w:eastAsia="Times New Roman"/>
        </w:rPr>
        <w:t xml:space="preserve">developed a guidance document </w:t>
      </w:r>
      <w:r>
        <w:rPr>
          <w:rFonts w:eastAsia="Times New Roman"/>
        </w:rPr>
        <w:t xml:space="preserve">to </w:t>
      </w:r>
      <w:r w:rsidR="009951D9">
        <w:rPr>
          <w:rFonts w:eastAsia="Times New Roman"/>
        </w:rPr>
        <w:t>help teams understand</w:t>
      </w:r>
      <w:r w:rsidR="00195C00">
        <w:rPr>
          <w:rFonts w:eastAsia="Times New Roman"/>
        </w:rPr>
        <w:t xml:space="preserve"> </w:t>
      </w:r>
      <w:r w:rsidRPr="00A70B35">
        <w:rPr>
          <w:rFonts w:eastAsia="Times New Roman"/>
        </w:rPr>
        <w:t xml:space="preserve">the process required </w:t>
      </w:r>
      <w:r w:rsidR="00DA3CB2">
        <w:rPr>
          <w:rFonts w:eastAsia="Times New Roman"/>
        </w:rPr>
        <w:t xml:space="preserve">to make </w:t>
      </w:r>
      <w:r w:rsidRPr="00A70B35">
        <w:rPr>
          <w:rFonts w:eastAsia="Times New Roman"/>
        </w:rPr>
        <w:t>amendment</w:t>
      </w:r>
      <w:r w:rsidR="00195C00">
        <w:rPr>
          <w:rFonts w:eastAsia="Times New Roman"/>
        </w:rPr>
        <w:t>s</w:t>
      </w:r>
      <w:r w:rsidRPr="00A70B35">
        <w:rPr>
          <w:rFonts w:eastAsia="Times New Roman"/>
        </w:rPr>
        <w:t xml:space="preserve"> or </w:t>
      </w:r>
      <w:r w:rsidR="006E04B0">
        <w:rPr>
          <w:rFonts w:eastAsia="Times New Roman"/>
        </w:rPr>
        <w:t xml:space="preserve">introduce new </w:t>
      </w:r>
      <w:r w:rsidRPr="00A70B35">
        <w:rPr>
          <w:rFonts w:eastAsia="Times New Roman"/>
        </w:rPr>
        <w:t xml:space="preserve">disclosure </w:t>
      </w:r>
      <w:r w:rsidR="00195C00">
        <w:rPr>
          <w:rFonts w:eastAsia="Times New Roman"/>
        </w:rPr>
        <w:t>requirement</w:t>
      </w:r>
      <w:r w:rsidR="00281DFD">
        <w:rPr>
          <w:rFonts w:eastAsia="Times New Roman"/>
        </w:rPr>
        <w:t>s</w:t>
      </w:r>
      <w:r w:rsidR="00195C00">
        <w:rPr>
          <w:rFonts w:eastAsia="Times New Roman"/>
        </w:rPr>
        <w:t xml:space="preserve"> </w:t>
      </w:r>
      <w:r w:rsidRPr="00A70B35">
        <w:rPr>
          <w:rFonts w:eastAsia="Times New Roman"/>
        </w:rPr>
        <w:t>in the Model Report and related Financial Reporting Directions. This document also address</w:t>
      </w:r>
      <w:r w:rsidR="00B80CA4">
        <w:rPr>
          <w:rFonts w:eastAsia="Times New Roman"/>
        </w:rPr>
        <w:t>es</w:t>
      </w:r>
      <w:r w:rsidRPr="00A70B35">
        <w:rPr>
          <w:rFonts w:eastAsia="Times New Roman"/>
        </w:rPr>
        <w:t xml:space="preserve"> some of the frequently asked questions </w:t>
      </w:r>
      <w:r w:rsidR="00B80CA4">
        <w:rPr>
          <w:rFonts w:eastAsia="Times New Roman"/>
        </w:rPr>
        <w:t xml:space="preserve">the </w:t>
      </w:r>
      <w:r w:rsidR="006D5771">
        <w:rPr>
          <w:rFonts w:eastAsia="Times New Roman"/>
        </w:rPr>
        <w:t xml:space="preserve">Accounting Policy </w:t>
      </w:r>
      <w:r w:rsidR="00B80CA4">
        <w:rPr>
          <w:rFonts w:eastAsia="Times New Roman"/>
        </w:rPr>
        <w:t>team receives on this topic</w:t>
      </w:r>
      <w:r w:rsidRPr="00A70B35">
        <w:rPr>
          <w:rFonts w:eastAsia="Times New Roman"/>
        </w:rPr>
        <w:t>.</w:t>
      </w:r>
      <w:r w:rsidR="00B80CA4">
        <w:rPr>
          <w:rFonts w:eastAsia="Times New Roman"/>
        </w:rPr>
        <w:t xml:space="preserve"> </w:t>
      </w:r>
    </w:p>
    <w:p w14:paraId="2EF29AC4" w14:textId="6E814223" w:rsidR="00EE5EC7" w:rsidRDefault="00EE5EC7" w:rsidP="00B96DCF">
      <w:pPr>
        <w:rPr>
          <w:rFonts w:eastAsia="Times New Roman"/>
        </w:rPr>
      </w:pPr>
      <w:r>
        <w:rPr>
          <w:rFonts w:eastAsia="Times New Roman"/>
        </w:rPr>
        <w:t xml:space="preserve">The guidance document is available on the DTF website at the following address: </w:t>
      </w:r>
      <w:hyperlink r:id="rId18" w:history="1">
        <w:r w:rsidR="002F75EF" w:rsidRPr="001D3A50">
          <w:rPr>
            <w:rStyle w:val="Hyperlink"/>
            <w:rFonts w:eastAsia="Times New Roman"/>
          </w:rPr>
          <w:t>https://www.dtf.vic.gov.au/financial-reporting-policy/model-report</w:t>
        </w:r>
      </w:hyperlink>
    </w:p>
    <w:p w14:paraId="640A9BC5" w14:textId="57BCC365" w:rsidR="00B96DCF" w:rsidRPr="00364741" w:rsidRDefault="000C6272" w:rsidP="002F6C39">
      <w:pPr>
        <w:pStyle w:val="Heading3"/>
        <w:rPr>
          <w:rFonts w:eastAsia="Times New Roman"/>
        </w:rPr>
      </w:pPr>
      <w:r>
        <w:rPr>
          <w:rFonts w:eastAsia="Times New Roman"/>
        </w:rPr>
        <w:t>Anticipated changes</w:t>
      </w:r>
      <w:r w:rsidR="00C37F42">
        <w:rPr>
          <w:rFonts w:eastAsia="Times New Roman"/>
        </w:rPr>
        <w:t xml:space="preserve"> to </w:t>
      </w:r>
      <w:r w:rsidR="002F75EF">
        <w:rPr>
          <w:rFonts w:eastAsia="Times New Roman"/>
        </w:rPr>
        <w:t xml:space="preserve">the </w:t>
      </w:r>
      <w:r w:rsidR="005B7EB7">
        <w:rPr>
          <w:rFonts w:eastAsia="Times New Roman"/>
        </w:rPr>
        <w:t xml:space="preserve">Model Report </w:t>
      </w:r>
    </w:p>
    <w:p w14:paraId="734D227F" w14:textId="3FC1FAC9" w:rsidR="00AD60C7" w:rsidRDefault="00F85E54" w:rsidP="001C458E">
      <w:pPr>
        <w:pStyle w:val="Bullet1"/>
        <w:keepLines w:val="0"/>
        <w:numPr>
          <w:ilvl w:val="0"/>
          <w:numId w:val="0"/>
        </w:numPr>
        <w:spacing w:line="240" w:lineRule="auto"/>
      </w:pPr>
      <w:r>
        <w:t xml:space="preserve">In October 2021, the Accounting Policy Team held a consultation session with </w:t>
      </w:r>
      <w:r w:rsidR="00515A80">
        <w:t xml:space="preserve">the sector on the </w:t>
      </w:r>
      <w:r w:rsidR="009F6EA9">
        <w:t>planned changes to the Model Report</w:t>
      </w:r>
      <w:r w:rsidR="00043D16">
        <w:t xml:space="preserve">. </w:t>
      </w:r>
      <w:r w:rsidR="00A63901">
        <w:t>The consultation received a</w:t>
      </w:r>
      <w:r w:rsidR="00C73E9E">
        <w:t>n overwhelming</w:t>
      </w:r>
      <w:r w:rsidR="00CD21B5">
        <w:t>ly</w:t>
      </w:r>
      <w:r w:rsidR="00A63901">
        <w:t xml:space="preserve"> positive </w:t>
      </w:r>
      <w:r w:rsidR="00B27252">
        <w:t>response</w:t>
      </w:r>
      <w:r w:rsidR="00A63901">
        <w:t xml:space="preserve"> </w:t>
      </w:r>
      <w:r w:rsidR="003956E2">
        <w:t xml:space="preserve">and the changes were approved by the Assistant Treasurer </w:t>
      </w:r>
      <w:r w:rsidR="00B27252">
        <w:t xml:space="preserve">in December 2021. </w:t>
      </w:r>
      <w:r w:rsidR="00A0430D">
        <w:t>The changes are as follows:</w:t>
      </w:r>
    </w:p>
    <w:p w14:paraId="66C6FC0C" w14:textId="7C806AB2" w:rsidR="004A391A" w:rsidRDefault="00C27583" w:rsidP="002F6C39">
      <w:pPr>
        <w:pStyle w:val="Listnum"/>
      </w:pPr>
      <w:r>
        <w:t>T</w:t>
      </w:r>
      <w:r w:rsidR="004A391A">
        <w:t xml:space="preserve">he publishing schedule </w:t>
      </w:r>
      <w:r w:rsidR="0018566C">
        <w:t xml:space="preserve">has been altered </w:t>
      </w:r>
      <w:r w:rsidR="004A391A">
        <w:t xml:space="preserve">to include </w:t>
      </w:r>
      <w:r w:rsidR="0018566C">
        <w:t>(</w:t>
      </w:r>
      <w:r w:rsidR="004A391A">
        <w:t>at least</w:t>
      </w:r>
      <w:r w:rsidR="0018566C">
        <w:t>)</w:t>
      </w:r>
      <w:r w:rsidR="004A391A">
        <w:t xml:space="preserve"> two updates per year, with a non-technical</w:t>
      </w:r>
      <w:r w:rsidR="009C6C2E">
        <w:t xml:space="preserve"> </w:t>
      </w:r>
      <w:r w:rsidR="004A391A">
        <w:t>update occurring in November/December, a technical update in March/April and othe</w:t>
      </w:r>
      <w:r w:rsidR="0072629D">
        <w:t xml:space="preserve">r </w:t>
      </w:r>
      <w:r w:rsidR="004A391A">
        <w:t>essential updates occurring throughout the year (updates outside of two scheduled timeframes</w:t>
      </w:r>
      <w:r w:rsidR="0072629D">
        <w:t xml:space="preserve"> </w:t>
      </w:r>
      <w:r w:rsidR="004A391A">
        <w:t>are expected to be extremely rare).</w:t>
      </w:r>
      <w:r w:rsidR="00FD7635">
        <w:t xml:space="preserve"> </w:t>
      </w:r>
      <w:r w:rsidR="00E73C5C">
        <w:t xml:space="preserve">This iterative approach will be adopted starting 1 July </w:t>
      </w:r>
      <w:r w:rsidR="00EA5B77">
        <w:t xml:space="preserve">2022, with the first non-technical update likely to occur </w:t>
      </w:r>
      <w:r w:rsidR="000335FF">
        <w:t xml:space="preserve">in November/December 2022. </w:t>
      </w:r>
    </w:p>
    <w:p w14:paraId="1CC07E88" w14:textId="67DB4B68" w:rsidR="00657530" w:rsidRDefault="008A5C02" w:rsidP="009614C3">
      <w:pPr>
        <w:pStyle w:val="Listnum"/>
      </w:pPr>
      <w:r>
        <w:t xml:space="preserve">Current and comparative years in the Model will be </w:t>
      </w:r>
      <w:r w:rsidR="00E966F1">
        <w:t xml:space="preserve">replaced with </w:t>
      </w:r>
      <w:r w:rsidR="004A391A">
        <w:t>generic placeholder years (</w:t>
      </w:r>
      <w:r w:rsidR="00C64849">
        <w:t>e.g.</w:t>
      </w:r>
      <w:r w:rsidR="004A391A">
        <w:t xml:space="preserve"> 20X1</w:t>
      </w:r>
      <w:r w:rsidR="00DC56EF">
        <w:t xml:space="preserve"> and 20X2</w:t>
      </w:r>
      <w:r w:rsidR="004A391A">
        <w:t xml:space="preserve">) to eliminate the need to update </w:t>
      </w:r>
      <w:r w:rsidR="006265A5">
        <w:t>the</w:t>
      </w:r>
      <w:r w:rsidR="00FF4D83">
        <w:t xml:space="preserve"> </w:t>
      </w:r>
      <w:r w:rsidR="004A391A">
        <w:t xml:space="preserve">report periods </w:t>
      </w:r>
      <w:r w:rsidR="00DC6E3F">
        <w:t>for every edition of the Model</w:t>
      </w:r>
      <w:r w:rsidR="004A391A">
        <w:t>.</w:t>
      </w:r>
      <w:r w:rsidR="000335FF">
        <w:t xml:space="preserve"> Note that this change will </w:t>
      </w:r>
      <w:r w:rsidR="00C00F5F">
        <w:t xml:space="preserve">be made in the </w:t>
      </w:r>
      <w:r w:rsidR="00446CE4">
        <w:t xml:space="preserve">upcoming </w:t>
      </w:r>
      <w:r w:rsidR="00B2100F">
        <w:t>2021</w:t>
      </w:r>
      <w:r w:rsidR="00A47DC4">
        <w:t>–</w:t>
      </w:r>
      <w:r w:rsidR="00B2100F">
        <w:t>22 Model Report</w:t>
      </w:r>
      <w:r w:rsidR="00446CE4">
        <w:t xml:space="preserve">. </w:t>
      </w:r>
    </w:p>
    <w:p w14:paraId="24A1DAF5" w14:textId="020348BD" w:rsidR="00662A4E" w:rsidRDefault="0093347A" w:rsidP="000E296E">
      <w:pPr>
        <w:pStyle w:val="Listnum"/>
        <w:numPr>
          <w:ilvl w:val="0"/>
          <w:numId w:val="0"/>
        </w:numPr>
      </w:pPr>
      <w:r>
        <w:lastRenderedPageBreak/>
        <w:t xml:space="preserve">The Summary of Changes document will </w:t>
      </w:r>
      <w:r w:rsidR="00F7541A">
        <w:t xml:space="preserve">continue to </w:t>
      </w:r>
      <w:r>
        <w:t>be published alongside the Model on the DTF website.</w:t>
      </w:r>
      <w:r w:rsidR="00EF7FB2">
        <w:t xml:space="preserve"> </w:t>
      </w:r>
      <w:r w:rsidR="00886519">
        <w:t xml:space="preserve">This </w:t>
      </w:r>
      <w:r w:rsidR="003E6FD3">
        <w:t xml:space="preserve">document </w:t>
      </w:r>
      <w:r w:rsidR="00886519">
        <w:t xml:space="preserve">will be </w:t>
      </w:r>
      <w:r w:rsidR="0064069B">
        <w:t xml:space="preserve">expanded on </w:t>
      </w:r>
      <w:r w:rsidR="00886519">
        <w:t xml:space="preserve">to </w:t>
      </w:r>
      <w:r w:rsidR="00732E66">
        <w:t xml:space="preserve">explain </w:t>
      </w:r>
      <w:r w:rsidR="003E6FD3">
        <w:t xml:space="preserve">the nature of the </w:t>
      </w:r>
      <w:r w:rsidR="003E5D36">
        <w:t xml:space="preserve">changes </w:t>
      </w:r>
      <w:r w:rsidR="003E6FD3">
        <w:t xml:space="preserve">that have been applied to </w:t>
      </w:r>
      <w:r w:rsidR="003E5D36">
        <w:t xml:space="preserve">the </w:t>
      </w:r>
      <w:r w:rsidR="00EC4917">
        <w:t>Model and</w:t>
      </w:r>
      <w:r w:rsidR="0068678F">
        <w:t xml:space="preserve"> will be updated</w:t>
      </w:r>
      <w:r w:rsidR="003E5D36">
        <w:t xml:space="preserve"> throughout the financial year.</w:t>
      </w:r>
      <w:r w:rsidR="0068678F">
        <w:t xml:space="preserve"> </w:t>
      </w:r>
      <w:r w:rsidR="005D7EC7">
        <w:t xml:space="preserve">A sample version of the </w:t>
      </w:r>
      <w:r w:rsidR="000E296E">
        <w:t>Summary of Changes is included below</w:t>
      </w:r>
      <w:r w:rsidR="00154AE5">
        <w:t>.</w:t>
      </w:r>
      <w:r w:rsidR="000E296E">
        <w:t xml:space="preserve"> </w:t>
      </w:r>
    </w:p>
    <w:p w14:paraId="46FAA90F" w14:textId="0E2E64BF" w:rsidR="000E296E" w:rsidRDefault="001D3A50" w:rsidP="002F6C39">
      <w:pPr>
        <w:pStyle w:val="Listnum"/>
        <w:numPr>
          <w:ilvl w:val="0"/>
          <w:numId w:val="0"/>
        </w:numPr>
      </w:pPr>
      <w:r>
        <w:object w:dxaOrig="1539" w:dyaOrig="997" w14:anchorId="38B21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attachment of Summary of Changes document" style="width:77.25pt;height:49.5pt" o:ole="">
            <v:imagedata r:id="rId19" o:title=""/>
          </v:shape>
          <o:OLEObject Type="Embed" ProgID="Acrobat.Document.DC" ShapeID="_x0000_i1025" DrawAspect="Icon" ObjectID="_1701689660" r:id="rId20"/>
        </w:object>
      </w:r>
    </w:p>
    <w:bookmarkEnd w:id="6"/>
    <w:p w14:paraId="66DF5456" w14:textId="7C83B92D" w:rsidR="00003AD4" w:rsidRPr="00FD6A3F" w:rsidRDefault="00003AD4" w:rsidP="00003AD4">
      <w:pPr>
        <w:pStyle w:val="Heading3"/>
      </w:pPr>
      <w:r>
        <w:t>2021</w:t>
      </w:r>
      <w:r w:rsidR="00154AE5">
        <w:t>–</w:t>
      </w:r>
      <w:r>
        <w:t xml:space="preserve">22 Model Report </w:t>
      </w:r>
    </w:p>
    <w:p w14:paraId="20B35863" w14:textId="403C1824" w:rsidR="00003AD4" w:rsidRDefault="00003AD4" w:rsidP="00003AD4">
      <w:r w:rsidRPr="00CF7E3A">
        <w:t xml:space="preserve">The Department of Treasury and Finance (DTF) has </w:t>
      </w:r>
      <w:r>
        <w:t>commenced</w:t>
      </w:r>
      <w:r w:rsidRPr="00CF7E3A">
        <w:t xml:space="preserve"> preparatory work on the </w:t>
      </w:r>
      <w:r w:rsidRPr="004676E6">
        <w:t>2021</w:t>
      </w:r>
      <w:r w:rsidR="004E37D3">
        <w:t>–</w:t>
      </w:r>
      <w:r w:rsidRPr="00115AC5">
        <w:t>22 Model Report</w:t>
      </w:r>
      <w:r w:rsidRPr="00CF7E3A">
        <w:t xml:space="preserve"> and has set a</w:t>
      </w:r>
      <w:r>
        <w:t>n</w:t>
      </w:r>
      <w:r w:rsidRPr="00CF7E3A">
        <w:t xml:space="preserve"> </w:t>
      </w:r>
      <w:r>
        <w:t>anticipated</w:t>
      </w:r>
      <w:r w:rsidRPr="00CF7E3A">
        <w:t xml:space="preserve"> release date </w:t>
      </w:r>
      <w:r>
        <w:t>of late March 2022</w:t>
      </w:r>
      <w:r w:rsidRPr="00CF7E3A">
        <w:t xml:space="preserve">. </w:t>
      </w:r>
    </w:p>
    <w:p w14:paraId="5D3223A3" w14:textId="0D9549E3" w:rsidR="00003AD4" w:rsidRPr="00907081" w:rsidRDefault="000E182F" w:rsidP="00907081">
      <w:r>
        <w:t xml:space="preserve">At the </w:t>
      </w:r>
      <w:r w:rsidR="004E37D3">
        <w:t xml:space="preserve">time </w:t>
      </w:r>
      <w:r>
        <w:t xml:space="preserve">of issuing this newsletter, </w:t>
      </w:r>
      <w:r w:rsidR="00003AD4">
        <w:t xml:space="preserve">no significant new requirements </w:t>
      </w:r>
      <w:r w:rsidR="00915A63">
        <w:t xml:space="preserve">are </w:t>
      </w:r>
      <w:r w:rsidR="00003AD4">
        <w:t>anticipated to be included in the Model Report</w:t>
      </w:r>
      <w:r>
        <w:t xml:space="preserve">, </w:t>
      </w:r>
      <w:r w:rsidR="00A622E6">
        <w:t>but t</w:t>
      </w:r>
      <w:r w:rsidR="00003AD4">
        <w:t xml:space="preserve">he Financial Frameworks team </w:t>
      </w:r>
      <w:r w:rsidR="00A622E6">
        <w:t>a</w:t>
      </w:r>
      <w:r w:rsidR="00003AD4">
        <w:t xml:space="preserve">re currently reviewing potential changes </w:t>
      </w:r>
      <w:r w:rsidR="00A622E6">
        <w:t xml:space="preserve">to </w:t>
      </w:r>
      <w:r w:rsidR="00003AD4">
        <w:t>the Report of Operations</w:t>
      </w:r>
      <w:r w:rsidR="000A7935">
        <w:t>. Any changes occurring as result of this review w</w:t>
      </w:r>
      <w:r w:rsidR="00003AD4">
        <w:t>ill be incorporated in the Summary of Changes document</w:t>
      </w:r>
      <w:r w:rsidR="000A7935">
        <w:t xml:space="preserve"> and communicated to stakeholders at the earliest opportunity</w:t>
      </w:r>
      <w:r w:rsidR="00003AD4">
        <w:t>.</w:t>
      </w:r>
    </w:p>
    <w:p w14:paraId="633F2AFB" w14:textId="04417838" w:rsidR="00FC2EB7" w:rsidRPr="00364741" w:rsidRDefault="001E61E3" w:rsidP="002F6C39">
      <w:pPr>
        <w:pStyle w:val="Heading2"/>
      </w:pPr>
      <w:r w:rsidRPr="00364741">
        <w:rPr>
          <w:rFonts w:eastAsia="Times New Roman"/>
        </w:rPr>
        <w:t xml:space="preserve">Financial </w:t>
      </w:r>
      <w:r w:rsidR="00FC2EB7">
        <w:rPr>
          <w:rFonts w:eastAsia="Times New Roman"/>
        </w:rPr>
        <w:t>R</w:t>
      </w:r>
      <w:r w:rsidR="00FC2EB7" w:rsidRPr="00364741">
        <w:rPr>
          <w:rFonts w:eastAsia="Times New Roman"/>
        </w:rPr>
        <w:t xml:space="preserve">eporting </w:t>
      </w:r>
      <w:r w:rsidR="00FC2EB7">
        <w:rPr>
          <w:rFonts w:eastAsia="Times New Roman"/>
        </w:rPr>
        <w:t>D</w:t>
      </w:r>
      <w:r w:rsidR="00FC2EB7" w:rsidRPr="00364741">
        <w:rPr>
          <w:rFonts w:eastAsia="Times New Roman"/>
        </w:rPr>
        <w:t xml:space="preserve">irections </w:t>
      </w:r>
      <w:r w:rsidRPr="00364741">
        <w:rPr>
          <w:rFonts w:eastAsia="Times New Roman"/>
        </w:rPr>
        <w:t>and guidance notes</w:t>
      </w:r>
    </w:p>
    <w:p w14:paraId="780000A9" w14:textId="3C929AD1" w:rsidR="008A25B8" w:rsidRDefault="00116CA6" w:rsidP="00EE2AF5">
      <w:pPr>
        <w:pStyle w:val="Heading3"/>
        <w:rPr>
          <w:rFonts w:eastAsia="Times New Roman"/>
        </w:rPr>
      </w:pPr>
      <w:r>
        <w:rPr>
          <w:rFonts w:eastAsia="Times New Roman"/>
        </w:rPr>
        <w:t xml:space="preserve">Update </w:t>
      </w:r>
      <w:r w:rsidR="00524E68">
        <w:rPr>
          <w:rFonts w:eastAsia="Times New Roman"/>
        </w:rPr>
        <w:t>to the naming convention of FRDs</w:t>
      </w:r>
    </w:p>
    <w:p w14:paraId="7F160DCD" w14:textId="2D69359B" w:rsidR="008A25B8" w:rsidRDefault="008A25B8" w:rsidP="001E61E3">
      <w:pPr>
        <w:rPr>
          <w:rFonts w:eastAsia="Times New Roman"/>
        </w:rPr>
      </w:pPr>
      <w:r>
        <w:rPr>
          <w:rFonts w:eastAsia="Times New Roman"/>
        </w:rPr>
        <w:t>In September 2021, the Assistant Treasurer approved an update to the naming convention of FRDs. The alphabetical designation included in the title of each FRD will be removed (</w:t>
      </w:r>
      <w:r w:rsidR="00C64849">
        <w:rPr>
          <w:rFonts w:eastAsia="Times New Roman"/>
        </w:rPr>
        <w:t>i.e.</w:t>
      </w:r>
      <w:r>
        <w:rPr>
          <w:rFonts w:eastAsia="Times New Roman"/>
        </w:rPr>
        <w:t xml:space="preserve"> FRD 17B will now be known simply as FRD 17). This update will be reflected on the DTF website in the coming months. </w:t>
      </w:r>
    </w:p>
    <w:p w14:paraId="0111819E" w14:textId="032DB541" w:rsidR="001E61E3" w:rsidRDefault="00F01BD3" w:rsidP="001E61E3">
      <w:pPr>
        <w:rPr>
          <w:rFonts w:eastAsia="Times New Roman"/>
        </w:rPr>
      </w:pPr>
      <w:r>
        <w:rPr>
          <w:rFonts w:eastAsia="Times New Roman"/>
        </w:rPr>
        <w:t>All</w:t>
      </w:r>
      <w:r w:rsidR="00D56A00">
        <w:rPr>
          <w:rFonts w:eastAsia="Times New Roman"/>
        </w:rPr>
        <w:t xml:space="preserve"> FRD</w:t>
      </w:r>
      <w:r>
        <w:rPr>
          <w:rFonts w:eastAsia="Times New Roman"/>
        </w:rPr>
        <w:t>s</w:t>
      </w:r>
      <w:r w:rsidR="00D56A00">
        <w:rPr>
          <w:rFonts w:eastAsia="Times New Roman"/>
        </w:rPr>
        <w:t xml:space="preserve"> will </w:t>
      </w:r>
      <w:r>
        <w:rPr>
          <w:rFonts w:eastAsia="Times New Roman"/>
        </w:rPr>
        <w:t xml:space="preserve">continue to </w:t>
      </w:r>
      <w:r w:rsidR="00D56A00">
        <w:rPr>
          <w:rFonts w:eastAsia="Times New Roman"/>
        </w:rPr>
        <w:t xml:space="preserve">include the </w:t>
      </w:r>
      <w:r>
        <w:rPr>
          <w:rFonts w:eastAsia="Times New Roman"/>
        </w:rPr>
        <w:t xml:space="preserve">month and year </w:t>
      </w:r>
      <w:r w:rsidR="00D56A00">
        <w:rPr>
          <w:rFonts w:eastAsia="Times New Roman"/>
        </w:rPr>
        <w:t>of the most recent update in the header, and a</w:t>
      </w:r>
      <w:r>
        <w:rPr>
          <w:rFonts w:eastAsia="Times New Roman"/>
        </w:rPr>
        <w:t>n up-to-date</w:t>
      </w:r>
      <w:r w:rsidR="00D56A00">
        <w:rPr>
          <w:rFonts w:eastAsia="Times New Roman"/>
        </w:rPr>
        <w:t xml:space="preserve"> log of changes </w:t>
      </w:r>
      <w:r>
        <w:rPr>
          <w:rFonts w:eastAsia="Times New Roman"/>
        </w:rPr>
        <w:t xml:space="preserve">will still be maintained </w:t>
      </w:r>
      <w:r w:rsidR="00D56A00">
        <w:rPr>
          <w:rFonts w:eastAsia="Times New Roman"/>
        </w:rPr>
        <w:t xml:space="preserve">at the </w:t>
      </w:r>
      <w:r w:rsidR="004E179B">
        <w:rPr>
          <w:rFonts w:eastAsia="Times New Roman"/>
        </w:rPr>
        <w:t xml:space="preserve">foot </w:t>
      </w:r>
      <w:r>
        <w:rPr>
          <w:rFonts w:eastAsia="Times New Roman"/>
        </w:rPr>
        <w:t>of each document.</w:t>
      </w:r>
    </w:p>
    <w:p w14:paraId="18190E88" w14:textId="71A92D43" w:rsidR="001E61E3" w:rsidRDefault="001E61E3">
      <w:pPr>
        <w:pStyle w:val="Heading2"/>
        <w:rPr>
          <w:rFonts w:eastAsia="Times New Roman"/>
        </w:rPr>
      </w:pPr>
      <w:r>
        <w:rPr>
          <w:rFonts w:eastAsia="Times New Roman"/>
        </w:rPr>
        <w:t>AASB update</w:t>
      </w:r>
    </w:p>
    <w:p w14:paraId="45D42883" w14:textId="17922D50" w:rsidR="000057DB" w:rsidRDefault="00316E3F" w:rsidP="000D1278">
      <w:pPr>
        <w:pStyle w:val="Bullet1"/>
        <w:numPr>
          <w:ilvl w:val="0"/>
          <w:numId w:val="0"/>
        </w:numPr>
      </w:pPr>
      <w:r>
        <w:t>At the</w:t>
      </w:r>
      <w:r w:rsidR="00E678C3">
        <w:t xml:space="preserve"> recent board meeting in November</w:t>
      </w:r>
      <w:r w:rsidR="00220680">
        <w:t>, AASB made key decisions in relation to:</w:t>
      </w:r>
    </w:p>
    <w:p w14:paraId="6EA8F5E6" w14:textId="6B6D836F" w:rsidR="00CF020A" w:rsidRPr="00CF020A" w:rsidRDefault="00155D80" w:rsidP="005A4AFE">
      <w:pPr>
        <w:pStyle w:val="Bullet1"/>
      </w:pPr>
      <w:r>
        <w:t>I</w:t>
      </w:r>
      <w:r w:rsidR="00CF020A" w:rsidRPr="00CF020A">
        <w:t>ncome of Not-for-Profit Entities – Narrow-scope Amendments</w:t>
      </w:r>
    </w:p>
    <w:p w14:paraId="62EE5863" w14:textId="0F974606" w:rsidR="00CF020A" w:rsidRPr="00CF020A" w:rsidRDefault="00CF020A" w:rsidP="005A4AFE">
      <w:pPr>
        <w:pStyle w:val="Bullet1"/>
      </w:pPr>
      <w:r w:rsidRPr="00CF020A">
        <w:t>Right-of-Use Assets of Not-for-Profit Entities under Concessionary Leases</w:t>
      </w:r>
    </w:p>
    <w:p w14:paraId="6CC1B417" w14:textId="5C43A6E4" w:rsidR="00CF020A" w:rsidRPr="00CF020A" w:rsidRDefault="00CF020A" w:rsidP="005A4AFE">
      <w:pPr>
        <w:pStyle w:val="Bullet1"/>
      </w:pPr>
      <w:r w:rsidRPr="00CF020A">
        <w:t>First-time Adoption of AASB 1 by a Subsidiary</w:t>
      </w:r>
    </w:p>
    <w:p w14:paraId="5E26C64C" w14:textId="0A23CE22" w:rsidR="00CF020A" w:rsidRPr="00CF020A" w:rsidRDefault="00CF020A" w:rsidP="005A4AFE">
      <w:pPr>
        <w:pStyle w:val="Bullet1"/>
      </w:pPr>
      <w:r w:rsidRPr="00CF020A">
        <w:t>Disclosures of Accounting Policies – Amendments to Tier 2 and Other Australian Accounting Standards</w:t>
      </w:r>
    </w:p>
    <w:p w14:paraId="109239D6" w14:textId="7A9D99D3" w:rsidR="00CF020A" w:rsidRPr="00CF020A" w:rsidRDefault="00CF020A" w:rsidP="005A4AFE">
      <w:pPr>
        <w:pStyle w:val="Bullet1"/>
      </w:pPr>
      <w:r w:rsidRPr="00CF020A">
        <w:t>Insurance Activities in the Public Sector</w:t>
      </w:r>
    </w:p>
    <w:p w14:paraId="54C1939E" w14:textId="2F69BC3A" w:rsidR="00CF020A" w:rsidRPr="00CF020A" w:rsidRDefault="00CF020A" w:rsidP="005A4AFE">
      <w:pPr>
        <w:pStyle w:val="Bullet1"/>
      </w:pPr>
      <w:r w:rsidRPr="00CF020A">
        <w:t>Not-for-Profit Private Sector Financial Reporting Framework</w:t>
      </w:r>
    </w:p>
    <w:p w14:paraId="2148FC2D" w14:textId="2B720CC7" w:rsidR="00CF020A" w:rsidRPr="00CF020A" w:rsidRDefault="00CF020A" w:rsidP="005A4AFE">
      <w:pPr>
        <w:pStyle w:val="Bullet1"/>
      </w:pPr>
      <w:r w:rsidRPr="00CF020A">
        <w:t>Fair Value Measurement for Not-for-Profit Entities</w:t>
      </w:r>
    </w:p>
    <w:p w14:paraId="07FF13C8" w14:textId="0DDBC791" w:rsidR="00CF020A" w:rsidRPr="00CF020A" w:rsidRDefault="00CF020A" w:rsidP="005A4AFE">
      <w:pPr>
        <w:pStyle w:val="Bullet1"/>
      </w:pPr>
      <w:r w:rsidRPr="00CF020A">
        <w:t>Disclosure Initiatives</w:t>
      </w:r>
    </w:p>
    <w:p w14:paraId="4DB05683" w14:textId="565B7E03" w:rsidR="00220680" w:rsidRDefault="00135122" w:rsidP="009D09FC">
      <w:r>
        <w:t xml:space="preserve">Further details can be found in the action alert: </w:t>
      </w:r>
      <w:hyperlink r:id="rId21" w:history="1">
        <w:r w:rsidR="00E20ABB" w:rsidRPr="00BE11B3">
          <w:rPr>
            <w:rStyle w:val="Hyperlink"/>
          </w:rPr>
          <w:t>https://aasb.gov.au/media/byim0vv1/211-actionalert.pdf</w:t>
        </w:r>
      </w:hyperlink>
    </w:p>
    <w:p w14:paraId="6CFE37D9" w14:textId="6CA6DB8C" w:rsidR="00E20ABB" w:rsidRDefault="00E20ABB" w:rsidP="009D09FC">
      <w:r>
        <w:t xml:space="preserve">The Accounting Policy team continue to monitor developments and should the need arise to provide more information or </w:t>
      </w:r>
      <w:r w:rsidR="00341933">
        <w:t xml:space="preserve">issue guidance, </w:t>
      </w:r>
      <w:r w:rsidR="000125F7">
        <w:t>d</w:t>
      </w:r>
      <w:r w:rsidR="00341933">
        <w:t>epartmental representatives will be informed accordingly.</w:t>
      </w:r>
    </w:p>
    <w:p w14:paraId="0F7FAB33" w14:textId="77777777" w:rsidR="004F0A88" w:rsidRPr="00001BF1" w:rsidRDefault="004F0A88" w:rsidP="004F0A88">
      <w:pPr>
        <w:pStyle w:val="Heading2"/>
      </w:pPr>
      <w:r w:rsidRPr="00001BF1">
        <w:lastRenderedPageBreak/>
        <w:t>Tier 3 reporting</w:t>
      </w:r>
    </w:p>
    <w:p w14:paraId="1C33154C" w14:textId="106F2E70" w:rsidR="007A3572" w:rsidRPr="0016516D" w:rsidRDefault="007A3572" w:rsidP="007A3572">
      <w:pPr>
        <w:spacing w:line="257" w:lineRule="auto"/>
        <w:rPr>
          <w:rFonts w:eastAsia="Calibri" w:cstheme="minorHAnsi"/>
          <w:szCs w:val="18"/>
        </w:rPr>
      </w:pPr>
      <w:r w:rsidRPr="0016516D">
        <w:rPr>
          <w:rFonts w:eastAsia="Calibri" w:cstheme="minorHAnsi"/>
          <w:szCs w:val="18"/>
        </w:rPr>
        <w:t>The Financial Reporting Council has a working group that is undertaking a review of financial reporting in the public sector</w:t>
      </w:r>
      <w:r>
        <w:rPr>
          <w:rFonts w:eastAsia="Calibri" w:cstheme="minorHAnsi"/>
          <w:szCs w:val="18"/>
        </w:rPr>
        <w:t>,</w:t>
      </w:r>
      <w:r w:rsidRPr="0016516D">
        <w:rPr>
          <w:rFonts w:eastAsia="Calibri" w:cstheme="minorHAnsi"/>
          <w:szCs w:val="18"/>
        </w:rPr>
        <w:t xml:space="preserve"> with a proposal to streamline reporting for smaller entities to reduce cost and complexity in reporting. While the scope of application is yet to be determined, more work will be undertaken by the </w:t>
      </w:r>
      <w:r>
        <w:rPr>
          <w:rFonts w:eastAsia="Calibri" w:cstheme="minorHAnsi"/>
          <w:szCs w:val="18"/>
        </w:rPr>
        <w:t>AASB</w:t>
      </w:r>
      <w:r w:rsidRPr="0016516D">
        <w:rPr>
          <w:rFonts w:eastAsia="Calibri" w:cstheme="minorHAnsi"/>
          <w:szCs w:val="18"/>
        </w:rPr>
        <w:t xml:space="preserve"> to refine the proposal and a further consultation with its constituents is planned.</w:t>
      </w:r>
    </w:p>
    <w:p w14:paraId="1455414D" w14:textId="02E629E6" w:rsidR="00FC7083" w:rsidRPr="0016516D" w:rsidRDefault="00FC7083" w:rsidP="007A3572">
      <w:pPr>
        <w:spacing w:line="257" w:lineRule="auto"/>
        <w:rPr>
          <w:rFonts w:eastAsia="Calibri" w:cstheme="minorHAnsi"/>
          <w:szCs w:val="18"/>
        </w:rPr>
      </w:pPr>
      <w:r>
        <w:rPr>
          <w:rFonts w:eastAsia="Calibri" w:cstheme="minorHAnsi"/>
          <w:szCs w:val="18"/>
        </w:rPr>
        <w:t>Reporters are encouraged to keep a close eye on developments and share any feedback with the Accounting Policy team as the Tier 3 reporting requirements take shape.</w:t>
      </w:r>
    </w:p>
    <w:p w14:paraId="3C5EF118" w14:textId="77777777" w:rsidR="007A3572" w:rsidRDefault="007A3572" w:rsidP="007A3572">
      <w:pPr>
        <w:pStyle w:val="Heading2"/>
      </w:pPr>
      <w:r>
        <w:t>Sustainability reporting</w:t>
      </w:r>
    </w:p>
    <w:p w14:paraId="233D3241" w14:textId="777A904C" w:rsidR="004C52EE" w:rsidRDefault="007A3572" w:rsidP="007A3572">
      <w:r>
        <w:t xml:space="preserve">Sustainability Reporting Standards are increasingly becoming a matter of </w:t>
      </w:r>
      <w:r w:rsidR="008C6945">
        <w:t xml:space="preserve">importance and </w:t>
      </w:r>
      <w:r>
        <w:t xml:space="preserve">interest at the national and international levels. </w:t>
      </w:r>
    </w:p>
    <w:p w14:paraId="5448E153" w14:textId="60FE0757" w:rsidR="00F229E5" w:rsidRDefault="007D751A" w:rsidP="007A3572">
      <w:r>
        <w:t>On 3 November 2021, the</w:t>
      </w:r>
      <w:r w:rsidR="00F229E5">
        <w:t xml:space="preserve"> IFRS foundation established the </w:t>
      </w:r>
      <w:r w:rsidR="00F10299">
        <w:t xml:space="preserve">International </w:t>
      </w:r>
      <w:r w:rsidR="00146A37">
        <w:t>Sustainability</w:t>
      </w:r>
      <w:r w:rsidR="00F10299">
        <w:t xml:space="preserve"> Standards Board</w:t>
      </w:r>
      <w:r w:rsidR="003B02A9">
        <w:rPr>
          <w:rFonts w:ascii="Calibri" w:hAnsi="Calibri" w:cs="Calibri"/>
        </w:rPr>
        <w:t xml:space="preserve"> </w:t>
      </w:r>
      <w:r w:rsidR="00F10299">
        <w:t>(ISSB)</w:t>
      </w:r>
      <w:r>
        <w:t>.</w:t>
      </w:r>
    </w:p>
    <w:p w14:paraId="348C60C7" w14:textId="2D03C92A" w:rsidR="000E296E" w:rsidRPr="000E296E" w:rsidRDefault="00730418" w:rsidP="000E296E">
      <w:r>
        <w:t xml:space="preserve">The intention </w:t>
      </w:r>
      <w:r w:rsidR="00772A00">
        <w:t>for the ISSB</w:t>
      </w:r>
      <w:r w:rsidR="007D751A">
        <w:t xml:space="preserve"> is</w:t>
      </w:r>
      <w:r w:rsidR="00772A00">
        <w:t xml:space="preserve"> </w:t>
      </w:r>
      <w:r w:rsidR="00E52A85">
        <w:t>to deliver a comprehensive global baseline of sustainability-related disclosure standards that provide investors and other capital market participants with information about companies’ sustainability-related risks and opportunities to help them make informed decisions.</w:t>
      </w:r>
    </w:p>
    <w:p w14:paraId="05490D7A" w14:textId="6F3F700F" w:rsidR="000010FF" w:rsidRDefault="00D25839" w:rsidP="007A3572">
      <w:r>
        <w:t>The IFRS foundation published two prototype standards:</w:t>
      </w:r>
    </w:p>
    <w:p w14:paraId="6FBAE1DD" w14:textId="701BE93B" w:rsidR="00D25839" w:rsidRDefault="002A21C7" w:rsidP="005A4AFE">
      <w:pPr>
        <w:pStyle w:val="Bullet1"/>
      </w:pPr>
      <w:r>
        <w:t>General</w:t>
      </w:r>
      <w:r w:rsidR="00D25839">
        <w:t xml:space="preserve"> </w:t>
      </w:r>
      <w:r>
        <w:t>R</w:t>
      </w:r>
      <w:r w:rsidR="00D25839">
        <w:t xml:space="preserve">equirements for </w:t>
      </w:r>
      <w:r>
        <w:t>D</w:t>
      </w:r>
      <w:r w:rsidR="00D25839">
        <w:t xml:space="preserve">isclosure of </w:t>
      </w:r>
      <w:r>
        <w:t>S</w:t>
      </w:r>
      <w:r w:rsidR="00BC4951">
        <w:t>ustainability</w:t>
      </w:r>
      <w:r w:rsidR="0078263A">
        <w:t>-</w:t>
      </w:r>
      <w:r w:rsidR="00BC4951">
        <w:t xml:space="preserve">related </w:t>
      </w:r>
      <w:r>
        <w:t>F</w:t>
      </w:r>
      <w:r w:rsidR="00BC4951">
        <w:t xml:space="preserve">inancial </w:t>
      </w:r>
      <w:r>
        <w:t>I</w:t>
      </w:r>
      <w:r w:rsidR="00BC4951">
        <w:t xml:space="preserve">nformation </w:t>
      </w:r>
      <w:r>
        <w:t>P</w:t>
      </w:r>
      <w:r w:rsidR="00BC4951">
        <w:t>rototype</w:t>
      </w:r>
    </w:p>
    <w:p w14:paraId="543BEC6E" w14:textId="3B4B05B0" w:rsidR="00BC4951" w:rsidRDefault="00BC4951" w:rsidP="005A4AFE">
      <w:pPr>
        <w:pStyle w:val="Bullet1"/>
      </w:pPr>
      <w:r>
        <w:t>Climate-related Disclosures Prototype</w:t>
      </w:r>
      <w:r w:rsidR="000C304C">
        <w:t xml:space="preserve">, </w:t>
      </w:r>
      <w:r>
        <w:t>which includes a supplement Technical Protoc</w:t>
      </w:r>
      <w:r w:rsidR="00D03E67">
        <w:t>ols for Disclosure Requirements (Climate-related disclosures)</w:t>
      </w:r>
      <w:r w:rsidR="002A21C7">
        <w:t>.</w:t>
      </w:r>
    </w:p>
    <w:p w14:paraId="27253F2F" w14:textId="77777777" w:rsidR="00914577" w:rsidRDefault="00914577" w:rsidP="00914577">
      <w:pPr>
        <w:pStyle w:val="Bullet1"/>
        <w:numPr>
          <w:ilvl w:val="0"/>
          <w:numId w:val="0"/>
        </w:numPr>
      </w:pPr>
    </w:p>
    <w:p w14:paraId="482601EF" w14:textId="58BDB356" w:rsidR="00914577" w:rsidRDefault="00914577" w:rsidP="00914577">
      <w:pPr>
        <w:pStyle w:val="Bullet1"/>
        <w:numPr>
          <w:ilvl w:val="0"/>
          <w:numId w:val="0"/>
        </w:numPr>
      </w:pPr>
      <w:r>
        <w:t>T</w:t>
      </w:r>
      <w:r w:rsidRPr="00914577">
        <w:t>he AASB has subsequently sought constituent feedback on how sustainability reporting standards/requirements</w:t>
      </w:r>
      <w:r>
        <w:t xml:space="preserve"> </w:t>
      </w:r>
      <w:r w:rsidRPr="00914577">
        <w:t>should be rolled out in Australia, including whether the AASB or another institution should assume this role and what the roll-out approach should be. Further updates will be provided in future communications as developments unfold</w:t>
      </w:r>
      <w:r>
        <w:t>.</w:t>
      </w:r>
    </w:p>
    <w:p w14:paraId="317E78FE" w14:textId="35C1D37E" w:rsidR="00BF2E7A" w:rsidRDefault="00BF2E7A" w:rsidP="007A3572">
      <w:r>
        <w:t xml:space="preserve">Further detail can be found here: </w:t>
      </w:r>
      <w:hyperlink r:id="rId22" w:history="1">
        <w:r w:rsidR="005E526F" w:rsidRPr="000A62AF">
          <w:rPr>
            <w:rStyle w:val="Hyperlink"/>
          </w:rPr>
          <w:t>https://www.ifrs.org/news-and-events/news/2021/11/ifrs-foundation-announces-issb-consolidation-with-cdsb-vrf-publication-of-prototypes/</w:t>
        </w:r>
      </w:hyperlink>
    </w:p>
    <w:p w14:paraId="60AB9BE2" w14:textId="7567544B" w:rsidR="001E61E3" w:rsidRPr="006E2F56" w:rsidRDefault="001E61E3" w:rsidP="000E68E6">
      <w:pPr>
        <w:pStyle w:val="Heading1"/>
      </w:pPr>
      <w:bookmarkStart w:id="7" w:name="_Toc91074731"/>
      <w:r>
        <w:t>Reminders for 31 December</w:t>
      </w:r>
      <w:r w:rsidR="00A6269C">
        <w:t xml:space="preserve"> 2021</w:t>
      </w:r>
      <w:bookmarkEnd w:id="7"/>
    </w:p>
    <w:p w14:paraId="71315659" w14:textId="552BCE4C" w:rsidR="00AD60C7" w:rsidRPr="00923519" w:rsidRDefault="00AD60C7" w:rsidP="00AD60C7">
      <w:pPr>
        <w:pStyle w:val="Heading2"/>
        <w:rPr>
          <w:rFonts w:eastAsia="Times New Roman"/>
          <w:highlight w:val="yellow"/>
        </w:rPr>
      </w:pPr>
      <w:r w:rsidRPr="00923519">
        <w:rPr>
          <w:rFonts w:eastAsia="Times New Roman"/>
        </w:rPr>
        <w:t>AASB</w:t>
      </w:r>
      <w:r>
        <w:rPr>
          <w:rFonts w:eastAsia="Times New Roman"/>
        </w:rPr>
        <w:t xml:space="preserve"> </w:t>
      </w:r>
      <w:r w:rsidRPr="00923519">
        <w:rPr>
          <w:rFonts w:eastAsia="Times New Roman"/>
        </w:rPr>
        <w:t xml:space="preserve">124 </w:t>
      </w:r>
      <w:r w:rsidRPr="007269A0">
        <w:rPr>
          <w:rFonts w:eastAsia="Times New Roman"/>
          <w:i/>
          <w:iCs/>
        </w:rPr>
        <w:t>Related Party Disclosures</w:t>
      </w:r>
      <w:r w:rsidRPr="00923519">
        <w:rPr>
          <w:rFonts w:eastAsia="Times New Roman"/>
        </w:rPr>
        <w:t xml:space="preserve"> </w:t>
      </w:r>
    </w:p>
    <w:p w14:paraId="0CCA8A0C" w14:textId="7CDBCC67" w:rsidR="00AD60C7" w:rsidRPr="0075117E" w:rsidRDefault="00AD60C7" w:rsidP="00AD60C7">
      <w:pPr>
        <w:pStyle w:val="Heading3"/>
        <w:rPr>
          <w:rFonts w:eastAsia="Times New Roman"/>
        </w:rPr>
      </w:pPr>
      <w:r w:rsidRPr="0075117E">
        <w:rPr>
          <w:rFonts w:eastAsia="Times New Roman"/>
        </w:rPr>
        <w:t xml:space="preserve">Ministerial declarations for the </w:t>
      </w:r>
      <w:r w:rsidR="000B3172">
        <w:rPr>
          <w:rFonts w:eastAsia="Times New Roman"/>
        </w:rPr>
        <w:t>2021</w:t>
      </w:r>
      <w:r w:rsidR="00C24B85">
        <w:rPr>
          <w:rFonts w:eastAsia="Times New Roman"/>
        </w:rPr>
        <w:t>–</w:t>
      </w:r>
      <w:r w:rsidR="000B3172">
        <w:rPr>
          <w:rFonts w:eastAsia="Times New Roman"/>
        </w:rPr>
        <w:t>22</w:t>
      </w:r>
      <w:r w:rsidRPr="0075117E">
        <w:rPr>
          <w:rFonts w:eastAsia="Times New Roman"/>
        </w:rPr>
        <w:t xml:space="preserve"> reporting period</w:t>
      </w:r>
    </w:p>
    <w:p w14:paraId="511EAF9F" w14:textId="5503E43A" w:rsidR="00AD60C7" w:rsidRPr="00AF2694" w:rsidRDefault="00AD60C7" w:rsidP="00AD60C7">
      <w:pPr>
        <w:rPr>
          <w:rFonts w:eastAsia="Times New Roman"/>
        </w:rPr>
      </w:pPr>
      <w:r w:rsidRPr="00AF2694">
        <w:rPr>
          <w:rFonts w:eastAsia="Times New Roman"/>
        </w:rPr>
        <w:t>To support the preparation of financial reports by not</w:t>
      </w:r>
      <w:r w:rsidRPr="00AF2694">
        <w:rPr>
          <w:rFonts w:eastAsia="Times New Roman"/>
        </w:rPr>
        <w:noBreakHyphen/>
        <w:t>for</w:t>
      </w:r>
      <w:r w:rsidRPr="00AF2694">
        <w:rPr>
          <w:rFonts w:eastAsia="Times New Roman"/>
        </w:rPr>
        <w:noBreakHyphen/>
        <w:t>profit public sector entities, information consistent with the requirements of AASB</w:t>
      </w:r>
      <w:r w:rsidR="001B6786">
        <w:rPr>
          <w:rFonts w:eastAsia="Times New Roman"/>
        </w:rPr>
        <w:t xml:space="preserve"> </w:t>
      </w:r>
      <w:r w:rsidRPr="00AF2694">
        <w:rPr>
          <w:rFonts w:eastAsia="Times New Roman"/>
        </w:rPr>
        <w:t xml:space="preserve">124 </w:t>
      </w:r>
      <w:r w:rsidRPr="00AF2694">
        <w:rPr>
          <w:rFonts w:eastAsia="Times New Roman"/>
          <w:i/>
        </w:rPr>
        <w:t>Related Party Disclosures</w:t>
      </w:r>
      <w:r w:rsidRPr="00AF2694">
        <w:rPr>
          <w:rFonts w:eastAsia="Times New Roman"/>
        </w:rPr>
        <w:t xml:space="preserve"> is collected twice in each financial year from </w:t>
      </w:r>
      <w:r w:rsidR="006038F6">
        <w:rPr>
          <w:rFonts w:eastAsia="Times New Roman"/>
        </w:rPr>
        <w:t>c</w:t>
      </w:r>
      <w:r w:rsidR="006038F6" w:rsidRPr="00AF2694">
        <w:rPr>
          <w:rFonts w:eastAsia="Times New Roman"/>
        </w:rPr>
        <w:t>abinet</w:t>
      </w:r>
      <w:r w:rsidRPr="00AF2694">
        <w:rPr>
          <w:rFonts w:eastAsia="Times New Roman"/>
        </w:rPr>
        <w:t xml:space="preserve"> ministers, as not all Victorian public sector entities have a 30</w:t>
      </w:r>
      <w:r>
        <w:rPr>
          <w:rFonts w:eastAsia="Times New Roman"/>
        </w:rPr>
        <w:t xml:space="preserve"> </w:t>
      </w:r>
      <w:r w:rsidRPr="00AF2694">
        <w:rPr>
          <w:rFonts w:eastAsia="Times New Roman"/>
        </w:rPr>
        <w:t>June year</w:t>
      </w:r>
      <w:r>
        <w:rPr>
          <w:rFonts w:eastAsia="Times New Roman"/>
        </w:rPr>
        <w:noBreakHyphen/>
      </w:r>
      <w:r w:rsidRPr="00AF2694">
        <w:rPr>
          <w:rFonts w:eastAsia="Times New Roman"/>
        </w:rPr>
        <w:t xml:space="preserve">end. </w:t>
      </w:r>
    </w:p>
    <w:p w14:paraId="5C48F7B9" w14:textId="5CB77A3E" w:rsidR="00411493" w:rsidRDefault="0022336B" w:rsidP="00AD60C7">
      <w:pPr>
        <w:rPr>
          <w:rFonts w:eastAsia="Times New Roman"/>
        </w:rPr>
      </w:pPr>
      <w:r>
        <w:rPr>
          <w:rFonts w:eastAsia="Times New Roman"/>
        </w:rPr>
        <w:t xml:space="preserve">The first submission of declarations in relation to related party </w:t>
      </w:r>
      <w:r w:rsidR="00DA57E6">
        <w:rPr>
          <w:rFonts w:eastAsia="Times New Roman"/>
        </w:rPr>
        <w:t>transactions</w:t>
      </w:r>
      <w:r>
        <w:rPr>
          <w:rFonts w:eastAsia="Times New Roman"/>
        </w:rPr>
        <w:t xml:space="preserve"> by </w:t>
      </w:r>
      <w:r w:rsidR="004B25BF">
        <w:rPr>
          <w:rFonts w:eastAsia="Times New Roman"/>
        </w:rPr>
        <w:t>ministers</w:t>
      </w:r>
      <w:r>
        <w:rPr>
          <w:rFonts w:eastAsia="Times New Roman"/>
        </w:rPr>
        <w:t xml:space="preserve"> for </w:t>
      </w:r>
      <w:r w:rsidR="00D30F4F">
        <w:rPr>
          <w:rFonts w:eastAsia="Times New Roman"/>
        </w:rPr>
        <w:t>2021</w:t>
      </w:r>
      <w:r w:rsidR="00DA5B10">
        <w:rPr>
          <w:rFonts w:eastAsia="Times New Roman"/>
        </w:rPr>
        <w:t>–</w:t>
      </w:r>
      <w:r w:rsidR="00D30F4F">
        <w:rPr>
          <w:rFonts w:eastAsia="Times New Roman"/>
        </w:rPr>
        <w:t>22</w:t>
      </w:r>
      <w:r>
        <w:rPr>
          <w:rFonts w:eastAsia="Times New Roman"/>
        </w:rPr>
        <w:t xml:space="preserve"> </w:t>
      </w:r>
      <w:r w:rsidR="00DA57E6">
        <w:rPr>
          <w:rFonts w:eastAsia="Times New Roman"/>
        </w:rPr>
        <w:t xml:space="preserve">covers the period 1 </w:t>
      </w:r>
      <w:r w:rsidR="00451EAD">
        <w:rPr>
          <w:rFonts w:eastAsia="Times New Roman"/>
        </w:rPr>
        <w:t xml:space="preserve">July to 31 December </w:t>
      </w:r>
      <w:r w:rsidR="00C64849">
        <w:rPr>
          <w:rFonts w:eastAsia="Times New Roman"/>
        </w:rPr>
        <w:t>2021 and</w:t>
      </w:r>
      <w:r w:rsidR="00DA57E6">
        <w:rPr>
          <w:rFonts w:eastAsia="Times New Roman"/>
        </w:rPr>
        <w:t xml:space="preserve"> is expected to be completed </w:t>
      </w:r>
      <w:r w:rsidR="00D30F4F">
        <w:rPr>
          <w:rFonts w:eastAsia="Times New Roman"/>
        </w:rPr>
        <w:t>end of January 2022.</w:t>
      </w:r>
    </w:p>
    <w:p w14:paraId="515AD1FE" w14:textId="77777777" w:rsidR="00B35B72" w:rsidRDefault="00AD60C7" w:rsidP="00AD60C7">
      <w:pPr>
        <w:rPr>
          <w:rFonts w:eastAsia="Times New Roman"/>
        </w:rPr>
      </w:pPr>
      <w:r w:rsidRPr="00EE73AA">
        <w:rPr>
          <w:rFonts w:eastAsia="Times New Roman"/>
        </w:rPr>
        <w:t xml:space="preserve">The second submission covers the period 1 January </w:t>
      </w:r>
      <w:r>
        <w:rPr>
          <w:rFonts w:eastAsia="Times New Roman"/>
        </w:rPr>
        <w:t>202</w:t>
      </w:r>
      <w:r w:rsidR="001069F7">
        <w:rPr>
          <w:rFonts w:eastAsia="Times New Roman"/>
        </w:rPr>
        <w:t>2</w:t>
      </w:r>
      <w:r>
        <w:rPr>
          <w:rFonts w:eastAsia="Times New Roman"/>
        </w:rPr>
        <w:t xml:space="preserve"> </w:t>
      </w:r>
      <w:r w:rsidRPr="00EE73AA">
        <w:rPr>
          <w:rFonts w:eastAsia="Times New Roman"/>
        </w:rPr>
        <w:t>to 30 June 202</w:t>
      </w:r>
      <w:r w:rsidR="001069F7">
        <w:rPr>
          <w:rFonts w:eastAsia="Times New Roman"/>
        </w:rPr>
        <w:t>2</w:t>
      </w:r>
      <w:r w:rsidRPr="00EE73AA">
        <w:rPr>
          <w:rFonts w:eastAsia="Times New Roman"/>
        </w:rPr>
        <w:t xml:space="preserve"> and is expected to be completed by mid-July 202</w:t>
      </w:r>
      <w:r w:rsidR="001069F7">
        <w:rPr>
          <w:rFonts w:eastAsia="Times New Roman"/>
        </w:rPr>
        <w:t>2</w:t>
      </w:r>
      <w:r w:rsidRPr="00EE73AA">
        <w:rPr>
          <w:rFonts w:eastAsia="Times New Roman"/>
        </w:rPr>
        <w:t>.</w:t>
      </w:r>
    </w:p>
    <w:p w14:paraId="53A2B7C7" w14:textId="486279B4" w:rsidR="00AD60C7" w:rsidRPr="00EE73AA" w:rsidRDefault="00AD60C7" w:rsidP="00AD60C7">
      <w:pPr>
        <w:rPr>
          <w:rFonts w:eastAsia="Times New Roman"/>
        </w:rPr>
      </w:pPr>
      <w:r w:rsidRPr="00EE73AA">
        <w:rPr>
          <w:rFonts w:eastAsia="Times New Roman"/>
        </w:rPr>
        <w:t xml:space="preserve">Consistent with previous reporting periods, where there are any transactions reported, DTF will </w:t>
      </w:r>
      <w:r>
        <w:rPr>
          <w:rFonts w:eastAsia="Times New Roman"/>
        </w:rPr>
        <w:t xml:space="preserve">give </w:t>
      </w:r>
      <w:r w:rsidRPr="00EE73AA">
        <w:rPr>
          <w:rFonts w:eastAsia="Times New Roman"/>
        </w:rPr>
        <w:t xml:space="preserve">the relevant information extracted from ministerial declarations to the relevant portfolio entities to perform a ‘significance’ and a ‘materiality’ assessment of the nature and amount of the related party transactions for disclosure, where relevant, in the entities’ annual financial reports. </w:t>
      </w:r>
    </w:p>
    <w:p w14:paraId="24713A17" w14:textId="3A780A04" w:rsidR="00AD60C7" w:rsidRPr="00EE73AA" w:rsidRDefault="00AD60C7" w:rsidP="00AD60C7">
      <w:pPr>
        <w:rPr>
          <w:rFonts w:eastAsia="Times New Roman"/>
        </w:rPr>
      </w:pPr>
      <w:r w:rsidRPr="00EE73AA">
        <w:rPr>
          <w:rFonts w:eastAsia="Times New Roman"/>
        </w:rPr>
        <w:t xml:space="preserve">Entities are reminded that, under the agreed protocols, consultation is required with the relevant </w:t>
      </w:r>
      <w:r w:rsidR="002D6CDF">
        <w:rPr>
          <w:rFonts w:eastAsia="Times New Roman"/>
        </w:rPr>
        <w:t>m</w:t>
      </w:r>
      <w:r w:rsidRPr="00EE73AA">
        <w:rPr>
          <w:rFonts w:eastAsia="Times New Roman"/>
        </w:rPr>
        <w:t>inister(s) and DTF, where disclosures are proposed.</w:t>
      </w:r>
    </w:p>
    <w:p w14:paraId="26CE544E" w14:textId="77777777" w:rsidR="00AD60C7" w:rsidRPr="005344B3" w:rsidRDefault="00AD60C7" w:rsidP="00AD60C7">
      <w:pPr>
        <w:pStyle w:val="Heading3"/>
        <w:rPr>
          <w:rFonts w:eastAsia="Times New Roman"/>
        </w:rPr>
      </w:pPr>
      <w:r w:rsidRPr="005344B3">
        <w:rPr>
          <w:rFonts w:eastAsia="Times New Roman"/>
        </w:rPr>
        <w:lastRenderedPageBreak/>
        <w:t xml:space="preserve">Movements in key management personnel for departments and agencies </w:t>
      </w:r>
    </w:p>
    <w:p w14:paraId="548506E8" w14:textId="6E229997" w:rsidR="00AD60C7" w:rsidRPr="005344B3" w:rsidRDefault="00AD60C7" w:rsidP="00AD60C7">
      <w:pPr>
        <w:rPr>
          <w:rFonts w:eastAsia="Times New Roman"/>
          <w:b/>
          <w:bCs/>
        </w:rPr>
      </w:pPr>
      <w:r w:rsidRPr="002D723E">
        <w:rPr>
          <w:rFonts w:eastAsia="Times New Roman"/>
        </w:rPr>
        <w:t xml:space="preserve">Disclosure for the </w:t>
      </w:r>
      <w:r w:rsidR="000C2F2B">
        <w:rPr>
          <w:rFonts w:eastAsia="Times New Roman"/>
        </w:rPr>
        <w:t>2021</w:t>
      </w:r>
      <w:r w:rsidR="002D6CDF">
        <w:rPr>
          <w:rFonts w:eastAsia="Times New Roman"/>
        </w:rPr>
        <w:t>–</w:t>
      </w:r>
      <w:r w:rsidR="000C2F2B">
        <w:rPr>
          <w:rFonts w:eastAsia="Times New Roman"/>
        </w:rPr>
        <w:t>22</w:t>
      </w:r>
      <w:r w:rsidRPr="002D723E">
        <w:rPr>
          <w:rFonts w:eastAsia="Times New Roman"/>
        </w:rPr>
        <w:t xml:space="preserve"> reporting period will need to include information relevant to </w:t>
      </w:r>
      <w:r w:rsidR="0037614C">
        <w:rPr>
          <w:rFonts w:eastAsia="Times New Roman"/>
        </w:rPr>
        <w:t xml:space="preserve">movements of </w:t>
      </w:r>
      <w:r w:rsidRPr="002D723E">
        <w:rPr>
          <w:rFonts w:eastAsia="Times New Roman"/>
        </w:rPr>
        <w:t xml:space="preserve">all key management personnel </w:t>
      </w:r>
      <w:r w:rsidR="0037614C">
        <w:rPr>
          <w:rFonts w:eastAsia="Times New Roman"/>
        </w:rPr>
        <w:t>d</w:t>
      </w:r>
      <w:r w:rsidRPr="00572E4E">
        <w:rPr>
          <w:rFonts w:eastAsia="Times New Roman"/>
        </w:rPr>
        <w:t xml:space="preserve">uring the </w:t>
      </w:r>
      <w:r w:rsidR="0037614C">
        <w:rPr>
          <w:rFonts w:eastAsia="Times New Roman"/>
        </w:rPr>
        <w:t xml:space="preserve">relevant </w:t>
      </w:r>
      <w:r w:rsidR="005836D9">
        <w:rPr>
          <w:rFonts w:eastAsia="Times New Roman"/>
        </w:rPr>
        <w:t xml:space="preserve">financial reporting </w:t>
      </w:r>
      <w:r w:rsidRPr="00572E4E">
        <w:rPr>
          <w:rFonts w:eastAsia="Times New Roman"/>
        </w:rPr>
        <w:t>period, including any executive appointments and departures</w:t>
      </w:r>
      <w:r w:rsidR="005836D9">
        <w:rPr>
          <w:rFonts w:eastAsia="Times New Roman"/>
        </w:rPr>
        <w:t>.</w:t>
      </w:r>
      <w:r w:rsidRPr="009723DD">
        <w:rPr>
          <w:rFonts w:eastAsia="Times New Roman"/>
          <w:b/>
          <w:bCs/>
        </w:rPr>
        <w:t xml:space="preserve"> </w:t>
      </w:r>
    </w:p>
    <w:p w14:paraId="0E66D291" w14:textId="77777777" w:rsidR="00AD60C7" w:rsidRPr="005344B3" w:rsidRDefault="00AD60C7" w:rsidP="00AD60C7">
      <w:pPr>
        <w:pStyle w:val="Heading3"/>
        <w:rPr>
          <w:rFonts w:eastAsia="Times New Roman"/>
        </w:rPr>
      </w:pPr>
      <w:r w:rsidRPr="005344B3">
        <w:rPr>
          <w:rFonts w:eastAsia="Times New Roman"/>
        </w:rPr>
        <w:t>Guidance information</w:t>
      </w:r>
    </w:p>
    <w:p w14:paraId="19A8C7D0" w14:textId="07FA103E" w:rsidR="00AD60C7" w:rsidRDefault="00AD60C7" w:rsidP="00AD60C7">
      <w:r w:rsidRPr="002D723E">
        <w:rPr>
          <w:rFonts w:eastAsia="Times New Roman"/>
        </w:rPr>
        <w:t xml:space="preserve">A declaration certificate, checklist and </w:t>
      </w:r>
      <w:r w:rsidRPr="00572E4E">
        <w:rPr>
          <w:rFonts w:eastAsia="Times New Roman"/>
        </w:rPr>
        <w:t xml:space="preserve">comprehensive guidance </w:t>
      </w:r>
      <w:r w:rsidRPr="00D574E4">
        <w:rPr>
          <w:rFonts w:eastAsia="Times New Roman"/>
        </w:rPr>
        <w:t>are included</w:t>
      </w:r>
      <w:r w:rsidRPr="009723DD">
        <w:rPr>
          <w:rFonts w:eastAsia="Times New Roman"/>
        </w:rPr>
        <w:t xml:space="preserve"> on DTF’s website </w:t>
      </w:r>
      <w:r w:rsidRPr="005344B3">
        <w:rPr>
          <w:rFonts w:eastAsia="Times New Roman"/>
        </w:rPr>
        <w:t xml:space="preserve">to assist entities to comply with AASB 124 at: </w:t>
      </w:r>
      <w:hyperlink r:id="rId23" w:history="1">
        <w:r w:rsidRPr="00AD60C7">
          <w:rPr>
            <w:rStyle w:val="Hyperlink"/>
          </w:rPr>
          <w:t>https://www.dtf.vic.gov.au/financial-reporting-policy/aasb-124-related-party-disclosures</w:t>
        </w:r>
      </w:hyperlink>
    </w:p>
    <w:p w14:paraId="485E69BF" w14:textId="16A149C1" w:rsidR="00AD60C7" w:rsidRPr="00DE7169" w:rsidRDefault="00AD60C7" w:rsidP="00AD60C7">
      <w:pPr>
        <w:pStyle w:val="Heading2"/>
        <w:rPr>
          <w:rFonts w:eastAsia="Times New Roman"/>
          <w:sz w:val="18"/>
          <w:szCs w:val="20"/>
        </w:rPr>
      </w:pPr>
      <w:r w:rsidRPr="00DE7169">
        <w:t>Interim valuation assessments</w:t>
      </w:r>
      <w:r w:rsidR="00F216FE">
        <w:t xml:space="preserve"> </w:t>
      </w:r>
    </w:p>
    <w:p w14:paraId="322318FD" w14:textId="16189F02" w:rsidR="00C5334E" w:rsidRPr="00C5334E" w:rsidRDefault="00C5334E" w:rsidP="00C5334E">
      <w:pPr>
        <w:rPr>
          <w:rFonts w:eastAsia="Times New Roman"/>
        </w:rPr>
      </w:pPr>
      <w:r w:rsidRPr="00C5334E">
        <w:rPr>
          <w:rFonts w:eastAsia="Times New Roman"/>
        </w:rPr>
        <w:t>With the release of the October 202</w:t>
      </w:r>
      <w:r>
        <w:rPr>
          <w:rFonts w:eastAsia="Times New Roman"/>
        </w:rPr>
        <w:t>1</w:t>
      </w:r>
      <w:r w:rsidRPr="00C5334E">
        <w:rPr>
          <w:rFonts w:eastAsia="Times New Roman"/>
        </w:rPr>
        <w:t xml:space="preserve"> indices (covering the </w:t>
      </w:r>
      <w:r>
        <w:rPr>
          <w:rFonts w:eastAsia="Times New Roman"/>
        </w:rPr>
        <w:t>calendar year</w:t>
      </w:r>
      <w:r w:rsidRPr="00C5334E">
        <w:rPr>
          <w:rFonts w:eastAsia="Times New Roman"/>
        </w:rPr>
        <w:t xml:space="preserve"> 1 January to 31 December 202</w:t>
      </w:r>
      <w:r>
        <w:rPr>
          <w:rFonts w:eastAsia="Times New Roman"/>
        </w:rPr>
        <w:t>1</w:t>
      </w:r>
      <w:r w:rsidRPr="00C5334E">
        <w:rPr>
          <w:rFonts w:eastAsia="Times New Roman"/>
        </w:rPr>
        <w:t>), entities with 30 June reporting periods are encouraged to use these indices to perform interim assessments of their assets to determine whether any material movements in fair value have occurred. For entities with 31</w:t>
      </w:r>
      <w:r w:rsidRPr="00C5334E">
        <w:rPr>
          <w:rFonts w:ascii="Cambria" w:eastAsia="Times New Roman" w:hAnsi="Cambria" w:cs="Cambria"/>
        </w:rPr>
        <w:t> </w:t>
      </w:r>
      <w:r w:rsidRPr="00C5334E">
        <w:rPr>
          <w:rFonts w:eastAsia="Times New Roman"/>
        </w:rPr>
        <w:t xml:space="preserve">December reporting periods, the October indices are used for the </w:t>
      </w:r>
      <w:r w:rsidR="006A7D82">
        <w:rPr>
          <w:rFonts w:eastAsia="Times New Roman"/>
        </w:rPr>
        <w:t>valuations assessments at reporting date</w:t>
      </w:r>
      <w:r w:rsidRPr="00C5334E">
        <w:rPr>
          <w:rFonts w:eastAsia="Times New Roman"/>
        </w:rPr>
        <w:t xml:space="preserve">, as these indices reflect a more </w:t>
      </w:r>
      <w:r w:rsidR="003D6CCD">
        <w:rPr>
          <w:rFonts w:eastAsia="Times New Roman"/>
        </w:rPr>
        <w:t>current view</w:t>
      </w:r>
      <w:r w:rsidRPr="00C5334E">
        <w:rPr>
          <w:rFonts w:eastAsia="Times New Roman"/>
        </w:rPr>
        <w:t xml:space="preserve"> </w:t>
      </w:r>
      <w:r w:rsidR="006A7D82">
        <w:rPr>
          <w:rFonts w:eastAsia="Times New Roman"/>
        </w:rPr>
        <w:t xml:space="preserve">of valuation movements </w:t>
      </w:r>
      <w:r w:rsidR="00FE1A9E">
        <w:rPr>
          <w:rFonts w:eastAsia="Times New Roman"/>
        </w:rPr>
        <w:t>than</w:t>
      </w:r>
      <w:r w:rsidR="00485211">
        <w:rPr>
          <w:rFonts w:eastAsia="Times New Roman"/>
        </w:rPr>
        <w:t xml:space="preserve"> the </w:t>
      </w:r>
      <w:r w:rsidRPr="00C5334E">
        <w:rPr>
          <w:rFonts w:eastAsia="Times New Roman"/>
        </w:rPr>
        <w:t>April indices previously published.</w:t>
      </w:r>
    </w:p>
    <w:p w14:paraId="07825D7B" w14:textId="77777777" w:rsidR="00C5334E" w:rsidRPr="00C5334E" w:rsidRDefault="00C5334E" w:rsidP="00C5334E">
      <w:pPr>
        <w:rPr>
          <w:rFonts w:eastAsia="Times New Roman"/>
        </w:rPr>
      </w:pPr>
      <w:r w:rsidRPr="00C5334E">
        <w:rPr>
          <w:rFonts w:eastAsia="Times New Roman"/>
        </w:rPr>
        <w:t xml:space="preserve">Key points for VPS entities to note when performing </w:t>
      </w:r>
      <w:r w:rsidRPr="006839B3">
        <w:rPr>
          <w:rFonts w:eastAsia="Times New Roman"/>
          <w:i/>
        </w:rPr>
        <w:t>interim</w:t>
      </w:r>
      <w:r w:rsidRPr="00C5334E">
        <w:rPr>
          <w:rFonts w:eastAsia="Times New Roman"/>
        </w:rPr>
        <w:t xml:space="preserve"> assessments include: </w:t>
      </w:r>
    </w:p>
    <w:p w14:paraId="2F48FAAC" w14:textId="282291B4" w:rsidR="00C5334E" w:rsidRPr="005A4AFE" w:rsidRDefault="00287B9F" w:rsidP="005A4AFE">
      <w:pPr>
        <w:pStyle w:val="Listnum"/>
        <w:numPr>
          <w:ilvl w:val="0"/>
          <w:numId w:val="14"/>
        </w:numPr>
        <w:rPr>
          <w:rFonts w:eastAsia="Times New Roman"/>
        </w:rPr>
      </w:pPr>
      <w:r>
        <w:rPr>
          <w:rFonts w:eastAsia="Times New Roman"/>
        </w:rPr>
        <w:t>f</w:t>
      </w:r>
      <w:r w:rsidR="00C5334E" w:rsidRPr="005A4AFE">
        <w:rPr>
          <w:rFonts w:eastAsia="Times New Roman"/>
        </w:rPr>
        <w:t xml:space="preserve">air value assessments should be conducted annually (between formal scheduled revaluations) using appropriate fair value indicators, which include the VGV land and building indices and other relevant factors </w:t>
      </w:r>
    </w:p>
    <w:p w14:paraId="1DC55ACC" w14:textId="20998B94" w:rsidR="00C5334E" w:rsidRPr="00C5334E" w:rsidRDefault="00287B9F" w:rsidP="005A4AFE">
      <w:pPr>
        <w:pStyle w:val="Listnum"/>
        <w:rPr>
          <w:rFonts w:eastAsia="Times New Roman"/>
        </w:rPr>
      </w:pPr>
      <w:r>
        <w:rPr>
          <w:rFonts w:eastAsia="Times New Roman"/>
        </w:rPr>
        <w:t>t</w:t>
      </w:r>
      <w:r w:rsidR="00C5334E" w:rsidRPr="00C5334E">
        <w:rPr>
          <w:rFonts w:eastAsia="Times New Roman"/>
        </w:rPr>
        <w:t xml:space="preserve">his assessment should take into consideration the appropriate fair value indicators to determine whether any material (greater than 10 per cent but less than 40 per cent) or exceptionally material (greater than 40 per cent) changes in the asset’s value has occurred </w:t>
      </w:r>
    </w:p>
    <w:p w14:paraId="3739146F" w14:textId="5F35C015" w:rsidR="00C5334E" w:rsidRPr="00C5334E" w:rsidRDefault="00287B9F" w:rsidP="005A4AFE">
      <w:pPr>
        <w:pStyle w:val="Listnum"/>
        <w:rPr>
          <w:rFonts w:eastAsia="Times New Roman"/>
        </w:rPr>
      </w:pPr>
      <w:r>
        <w:rPr>
          <w:rFonts w:eastAsia="Times New Roman"/>
        </w:rPr>
        <w:t>f</w:t>
      </w:r>
      <w:r w:rsidR="00C5334E" w:rsidRPr="00C5334E">
        <w:rPr>
          <w:rFonts w:eastAsia="Times New Roman"/>
        </w:rPr>
        <w:t>or land, entities may use the VGV land indices, which are based on the postcode of each property. Indices are provided for each of the land types – residential, industrial, commercial and Englobo (development land)</w:t>
      </w:r>
      <w:r w:rsidR="00E86D3D">
        <w:rPr>
          <w:rFonts w:eastAsia="Times New Roman"/>
        </w:rPr>
        <w:t>. E</w:t>
      </w:r>
      <w:r w:rsidR="00C5334E" w:rsidRPr="00C5334E">
        <w:rPr>
          <w:rFonts w:eastAsia="Times New Roman"/>
        </w:rPr>
        <w:t>ntities should adopt the appropriate indices depending on the zoning of land, rather than what it is being used for</w:t>
      </w:r>
    </w:p>
    <w:p w14:paraId="23D1B560" w14:textId="2FA09166" w:rsidR="00C5334E" w:rsidRPr="00C5334E" w:rsidRDefault="00287B9F" w:rsidP="005A4AFE">
      <w:pPr>
        <w:pStyle w:val="Listnum"/>
        <w:rPr>
          <w:rFonts w:eastAsia="Times New Roman"/>
        </w:rPr>
      </w:pPr>
      <w:r>
        <w:rPr>
          <w:rFonts w:eastAsia="Times New Roman"/>
        </w:rPr>
        <w:t>i</w:t>
      </w:r>
      <w:r w:rsidR="00C5334E" w:rsidRPr="00C5334E">
        <w:rPr>
          <w:rFonts w:eastAsia="Times New Roman"/>
        </w:rPr>
        <w:t xml:space="preserve">nfrastructure assets valued on a current replacement cost (CRC) basis should be assessed against relevant indices for the cost of construction </w:t>
      </w:r>
    </w:p>
    <w:p w14:paraId="3F27EF8E" w14:textId="138D3669" w:rsidR="00C5334E" w:rsidRPr="00C5334E" w:rsidRDefault="00287B9F" w:rsidP="005A4AFE">
      <w:pPr>
        <w:pStyle w:val="Listnum"/>
        <w:rPr>
          <w:rFonts w:eastAsia="Times New Roman"/>
        </w:rPr>
      </w:pPr>
      <w:r>
        <w:rPr>
          <w:rFonts w:eastAsia="Times New Roman"/>
        </w:rPr>
        <w:t>f</w:t>
      </w:r>
      <w:r w:rsidR="00C5334E" w:rsidRPr="00C5334E">
        <w:rPr>
          <w:rFonts w:eastAsia="Times New Roman"/>
        </w:rPr>
        <w:t>or non</w:t>
      </w:r>
      <w:r w:rsidR="00C5334E" w:rsidRPr="00C5334E">
        <w:rPr>
          <w:rFonts w:eastAsia="Times New Roman"/>
        </w:rPr>
        <w:noBreakHyphen/>
        <w:t xml:space="preserve">specialised buildings valued on a market value basis, no separate indices are produced by the VGV. Entities may use the land indices, which are based on market values, as a guide for their assessment </w:t>
      </w:r>
    </w:p>
    <w:p w14:paraId="7A1DDF97" w14:textId="2182AD2F" w:rsidR="00C5334E" w:rsidRPr="00C5334E" w:rsidRDefault="00287B9F" w:rsidP="005A4AFE">
      <w:pPr>
        <w:pStyle w:val="Listnum"/>
        <w:rPr>
          <w:rFonts w:eastAsia="Times New Roman"/>
        </w:rPr>
      </w:pPr>
      <w:r>
        <w:rPr>
          <w:rFonts w:eastAsia="Times New Roman"/>
        </w:rPr>
        <w:t>f</w:t>
      </w:r>
      <w:r w:rsidR="00C5334E" w:rsidRPr="00C5334E">
        <w:rPr>
          <w:rFonts w:eastAsia="Times New Roman"/>
        </w:rPr>
        <w:t>or specialised buildings valued on a CRC basis, entities may use the VGV building cost indexation factors on the DTF website for their assessment</w:t>
      </w:r>
    </w:p>
    <w:p w14:paraId="6717AF38" w14:textId="397B69AF" w:rsidR="00C5334E" w:rsidRPr="00C5334E" w:rsidRDefault="00287B9F" w:rsidP="005A4AFE">
      <w:pPr>
        <w:pStyle w:val="Listnum"/>
        <w:rPr>
          <w:rFonts w:eastAsia="Times New Roman"/>
        </w:rPr>
      </w:pPr>
      <w:r>
        <w:rPr>
          <w:rFonts w:eastAsia="Times New Roman"/>
        </w:rPr>
        <w:t>a</w:t>
      </w:r>
      <w:r w:rsidR="00C5334E" w:rsidRPr="00C5334E">
        <w:rPr>
          <w:rFonts w:eastAsia="Times New Roman"/>
        </w:rPr>
        <w:t>ssessment of movements in asset values against the appropriate indices is on a compounding or cumulative basis. This means movements should be considered in aggregate for the interim years between last managerial/formal scheduled revaluations (</w:t>
      </w:r>
      <w:r w:rsidR="00C64849" w:rsidRPr="00C5334E">
        <w:rPr>
          <w:rFonts w:eastAsia="Times New Roman"/>
        </w:rPr>
        <w:t>i.e.</w:t>
      </w:r>
      <w:r w:rsidR="00C5334E" w:rsidRPr="00C5334E">
        <w:rPr>
          <w:rFonts w:eastAsia="Times New Roman"/>
        </w:rPr>
        <w:t xml:space="preserve"> years </w:t>
      </w:r>
      <w:r w:rsidR="006947F5">
        <w:rPr>
          <w:rFonts w:eastAsia="Times New Roman"/>
        </w:rPr>
        <w:t>one</w:t>
      </w:r>
      <w:r w:rsidR="00C5334E" w:rsidRPr="00C5334E">
        <w:rPr>
          <w:rFonts w:eastAsia="Times New Roman"/>
        </w:rPr>
        <w:t xml:space="preserve"> to </w:t>
      </w:r>
      <w:r w:rsidR="006947F5">
        <w:rPr>
          <w:rFonts w:eastAsia="Times New Roman"/>
        </w:rPr>
        <w:t>four</w:t>
      </w:r>
      <w:r w:rsidR="00C5334E" w:rsidRPr="00C5334E">
        <w:rPr>
          <w:rFonts w:eastAsia="Times New Roman"/>
        </w:rPr>
        <w:t xml:space="preserve">). </w:t>
      </w:r>
    </w:p>
    <w:p w14:paraId="1A494B4A" w14:textId="213414E1" w:rsidR="00750B77" w:rsidRPr="0016516D" w:rsidRDefault="00750B77" w:rsidP="00750B77">
      <w:r w:rsidRPr="0016516D">
        <w:t>For further guidance on information on interim valuation assessments, including an example of how to assess fair value movements on a cumulative basis</w:t>
      </w:r>
      <w:r>
        <w:t>,</w:t>
      </w:r>
      <w:r w:rsidRPr="0016516D">
        <w:t xml:space="preserve"> refer to the </w:t>
      </w:r>
      <w:r w:rsidRPr="0016516D">
        <w:rPr>
          <w:i/>
        </w:rPr>
        <w:t>Guidance on application of FRD 103</w:t>
      </w:r>
      <w:r w:rsidRPr="0016516D">
        <w:t xml:space="preserve"> document available on</w:t>
      </w:r>
      <w:r w:rsidRPr="0016516D">
        <w:rPr>
          <w:rStyle w:val="Hyperlink"/>
        </w:rPr>
        <w:t xml:space="preserve"> </w:t>
      </w:r>
      <w:hyperlink r:id="rId24" w:history="1">
        <w:r w:rsidRPr="0016516D">
          <w:rPr>
            <w:rStyle w:val="Hyperlink"/>
          </w:rPr>
          <w:t>https://www.dtf.vic.gov.au/financial-reporting-policy/financial-reporting-directions-and-guidance</w:t>
        </w:r>
      </w:hyperlink>
      <w:r w:rsidRPr="0016516D">
        <w:rPr>
          <w:rStyle w:val="Hyperlink"/>
        </w:rPr>
        <w:t>.</w:t>
      </w:r>
    </w:p>
    <w:p w14:paraId="52EFD6A4" w14:textId="1C105DEB" w:rsidR="00AD60C7" w:rsidRDefault="00AD60C7" w:rsidP="00DF694F">
      <w:pPr>
        <w:keepNext/>
        <w:rPr>
          <w:rFonts w:eastAsia="Times New Roman"/>
        </w:rPr>
      </w:pPr>
      <w:r w:rsidRPr="0033638F">
        <w:rPr>
          <w:rFonts w:eastAsia="Times New Roman"/>
        </w:rPr>
        <w:lastRenderedPageBreak/>
        <w:t xml:space="preserve">The Valuer-General’s land indices can be found at: </w:t>
      </w:r>
      <w:hyperlink r:id="rId25" w:history="1">
        <w:r w:rsidRPr="00D13110">
          <w:rPr>
            <w:rStyle w:val="Hyperlink"/>
          </w:rPr>
          <w:t>https://www.dtf.vic.gov.au/financial-reporting-policy/valuer-general-land-indices</w:t>
        </w:r>
      </w:hyperlink>
    </w:p>
    <w:p w14:paraId="53F0BD86" w14:textId="143DA20B" w:rsidR="001E61E3" w:rsidRPr="006E2F56" w:rsidRDefault="00AD60C7" w:rsidP="00364741">
      <w:r w:rsidRPr="0033638F">
        <w:rPr>
          <w:rFonts w:eastAsia="Times New Roman"/>
        </w:rPr>
        <w:t xml:space="preserve">Victorian </w:t>
      </w:r>
      <w:r>
        <w:rPr>
          <w:rFonts w:eastAsia="Times New Roman"/>
        </w:rPr>
        <w:t>g</w:t>
      </w:r>
      <w:r w:rsidRPr="0033638F">
        <w:rPr>
          <w:rFonts w:eastAsia="Times New Roman"/>
        </w:rPr>
        <w:t xml:space="preserve">overnment departments, agencies and entities should contact their portfolio department in the first instance for the login details to access the land indices. Our December 2016 Newsletter, Edition No. 31 contains information on interim valuation assessments, including an example of how to assess fair value movements on a cumulative basis. The publication can be found at </w:t>
      </w:r>
      <w:hyperlink r:id="rId26" w:history="1">
        <w:r w:rsidRPr="00FE1E31">
          <w:rPr>
            <w:rStyle w:val="Hyperlink"/>
          </w:rPr>
          <w:t>www.dtf.vic.gov.au/Accounting-policy-newsletters</w:t>
        </w:r>
      </w:hyperlink>
      <w:r w:rsidRPr="0033638F">
        <w:rPr>
          <w:rFonts w:eastAsia="Times New Roman"/>
        </w:rPr>
        <w:t>.</w:t>
      </w:r>
    </w:p>
    <w:p w14:paraId="414ADBBD" w14:textId="153EB298" w:rsidR="00AD60C7" w:rsidRPr="00BE58A4" w:rsidRDefault="00AD60C7" w:rsidP="00AD60C7">
      <w:pPr>
        <w:pStyle w:val="Heading2"/>
        <w:rPr>
          <w:rFonts w:eastAsia="Times New Roman"/>
        </w:rPr>
      </w:pPr>
      <w:r w:rsidRPr="00BE58A4">
        <w:rPr>
          <w:rFonts w:eastAsia="Times New Roman"/>
        </w:rPr>
        <w:t>Standing Directions – annual report attestation</w:t>
      </w:r>
    </w:p>
    <w:p w14:paraId="2796241D" w14:textId="251DBF9E" w:rsidR="007143A2" w:rsidRPr="005D7FDC" w:rsidRDefault="00AD60C7" w:rsidP="005D7FDC">
      <w:r w:rsidRPr="00C95717">
        <w:rPr>
          <w:color w:val="auto"/>
        </w:rPr>
        <w:t xml:space="preserve">The Standing Directions 2018 under the </w:t>
      </w:r>
      <w:r w:rsidRPr="00C95717">
        <w:rPr>
          <w:i/>
          <w:iCs/>
          <w:color w:val="auto"/>
        </w:rPr>
        <w:t>Financial Management Act 1994</w:t>
      </w:r>
      <w:r w:rsidRPr="00C95717">
        <w:rPr>
          <w:color w:val="auto"/>
        </w:rPr>
        <w:t xml:space="preserve"> (2018 Standing Directions) require a formal attestation statement in your annual reports. </w:t>
      </w:r>
      <w:r w:rsidR="008B4592" w:rsidRPr="005D7FDC">
        <w:t xml:space="preserve">Agencies with a 31 December reporting date must complete an attestation statement for the period </w:t>
      </w:r>
      <w:r w:rsidR="008B4592" w:rsidRPr="006821D2">
        <w:rPr>
          <w:b/>
          <w:bCs/>
        </w:rPr>
        <w:t>1 January</w:t>
      </w:r>
      <w:r w:rsidR="008B4592" w:rsidRPr="002F6C39">
        <w:rPr>
          <w:b/>
          <w:bCs/>
        </w:rPr>
        <w:t xml:space="preserve"> 2020</w:t>
      </w:r>
      <w:r w:rsidR="008B4592" w:rsidRPr="008B4592">
        <w:t xml:space="preserve"> to </w:t>
      </w:r>
      <w:r w:rsidR="008B4592" w:rsidRPr="002F6C39">
        <w:rPr>
          <w:b/>
          <w:bCs/>
        </w:rPr>
        <w:t>31 December 2020</w:t>
      </w:r>
      <w:r w:rsidR="008B4592" w:rsidRPr="008B4592">
        <w:t xml:space="preserve">, covering </w:t>
      </w:r>
      <w:r w:rsidR="008B4592" w:rsidRPr="006821D2">
        <w:t>all</w:t>
      </w:r>
      <w:r w:rsidR="008B4592" w:rsidRPr="008B4592">
        <w:t xml:space="preserve"> applicable Standing Directions and Instructions as required and </w:t>
      </w:r>
      <w:r w:rsidR="00C64849">
        <w:t>as</w:t>
      </w:r>
      <w:r w:rsidR="008B4592" w:rsidRPr="008B4592">
        <w:t xml:space="preserve"> prescribed by </w:t>
      </w:r>
      <w:r w:rsidR="008B4592" w:rsidRPr="002F6C39">
        <w:rPr>
          <w:b/>
          <w:bCs/>
        </w:rPr>
        <w:t>Instruction 5.1, clause 2.2.</w:t>
      </w:r>
    </w:p>
    <w:p w14:paraId="4AE0D23A" w14:textId="53B8D673" w:rsidR="00AA28DE" w:rsidRDefault="00AA28DE" w:rsidP="004229CE">
      <w:pPr>
        <w:keepNext/>
        <w:rPr>
          <w:color w:val="auto"/>
        </w:rPr>
      </w:pPr>
      <w:r>
        <w:rPr>
          <w:color w:val="auto"/>
        </w:rPr>
        <w:t xml:space="preserve">The </w:t>
      </w:r>
      <w:r w:rsidR="00650318">
        <w:rPr>
          <w:color w:val="auto"/>
        </w:rPr>
        <w:t xml:space="preserve">2018 Standing Directions are available on the DTF website at: </w:t>
      </w:r>
      <w:hyperlink r:id="rId27" w:history="1">
        <w:r w:rsidR="00650318" w:rsidRPr="001D24AF">
          <w:rPr>
            <w:rStyle w:val="Hyperlink"/>
          </w:rPr>
          <w:t>https://www.dtf.vic.gov.au/financial-management-government/standing-directions-2018-under-financial-management-act-1994</w:t>
        </w:r>
      </w:hyperlink>
    </w:p>
    <w:p w14:paraId="3E32FAA6" w14:textId="6829AF69" w:rsidR="00AD60C7" w:rsidRPr="00AD60C7" w:rsidRDefault="00AD60C7" w:rsidP="00AD60C7">
      <w:r w:rsidRPr="00C95717">
        <w:rPr>
          <w:color w:val="auto"/>
        </w:rPr>
        <w:t>If you have any further queries on the Standing Directions, please direct your queries to the DTF Financial Frameworks team mailbox</w:t>
      </w:r>
      <w:r w:rsidRPr="00AD60C7">
        <w:t xml:space="preserve">: </w:t>
      </w:r>
      <w:hyperlink r:id="rId28" w:history="1">
        <w:r w:rsidRPr="00AD60C7">
          <w:rPr>
            <w:rStyle w:val="Hyperlink"/>
          </w:rPr>
          <w:t>standing.directions@dtf.vic.gov.au</w:t>
        </w:r>
      </w:hyperlink>
      <w:r w:rsidRPr="00AD60C7">
        <w:t>.</w:t>
      </w:r>
    </w:p>
    <w:p w14:paraId="44C688EC" w14:textId="77777777" w:rsidR="00AD60C7" w:rsidRPr="002C4F4A" w:rsidRDefault="00AD60C7" w:rsidP="00AD60C7">
      <w:pPr>
        <w:pStyle w:val="Heading2"/>
      </w:pPr>
      <w:r w:rsidRPr="00923519">
        <w:rPr>
          <w:rFonts w:eastAsia="Times New Roman"/>
        </w:rPr>
        <w:t xml:space="preserve">Superannuation </w:t>
      </w:r>
      <w:r w:rsidRPr="002C4F4A">
        <w:t>Guarantee Levy</w:t>
      </w:r>
    </w:p>
    <w:p w14:paraId="0F7F9EAD" w14:textId="536AD169" w:rsidR="00AD60C7" w:rsidRPr="00412D9E" w:rsidRDefault="00AD60C7" w:rsidP="00AD60C7">
      <w:pPr>
        <w:rPr>
          <w:rFonts w:eastAsia="Times New Roman"/>
          <w:color w:val="auto"/>
        </w:rPr>
      </w:pPr>
      <w:r w:rsidRPr="00412D9E">
        <w:rPr>
          <w:rFonts w:eastAsia="Times New Roman"/>
          <w:color w:val="auto"/>
        </w:rPr>
        <w:t xml:space="preserve">Consistent with the </w:t>
      </w:r>
      <w:r w:rsidRPr="00412D9E">
        <w:rPr>
          <w:rFonts w:eastAsia="Times New Roman"/>
          <w:i/>
          <w:color w:val="auto"/>
        </w:rPr>
        <w:t>Minerals Resource Rent Tax Repeal and Other Measures Act 2014</w:t>
      </w:r>
      <w:r w:rsidRPr="00412D9E">
        <w:rPr>
          <w:rFonts w:eastAsia="Times New Roman"/>
          <w:color w:val="auto"/>
        </w:rPr>
        <w:t xml:space="preserve"> passed in September</w:t>
      </w:r>
      <w:r>
        <w:rPr>
          <w:rFonts w:ascii="Calibri" w:eastAsia="Times New Roman" w:hAnsi="Calibri" w:cs="Calibri"/>
          <w:color w:val="auto"/>
        </w:rPr>
        <w:t> </w:t>
      </w:r>
      <w:r w:rsidRPr="00412D9E">
        <w:rPr>
          <w:rFonts w:eastAsia="Times New Roman"/>
          <w:color w:val="auto"/>
        </w:rPr>
        <w:t>2014, the SGL rates will increase</w:t>
      </w:r>
      <w:r w:rsidR="00B86C41">
        <w:rPr>
          <w:rFonts w:eastAsia="Times New Roman"/>
          <w:color w:val="auto"/>
        </w:rPr>
        <w:t>.</w:t>
      </w:r>
      <w:r w:rsidRPr="00412D9E">
        <w:rPr>
          <w:rFonts w:eastAsia="Times New Roman"/>
          <w:color w:val="auto"/>
        </w:rPr>
        <w:t xml:space="preserve"> </w:t>
      </w:r>
    </w:p>
    <w:p w14:paraId="2DF71DA1" w14:textId="321CBC32" w:rsidR="00AD60C7" w:rsidRPr="00412D9E" w:rsidRDefault="00AD60C7" w:rsidP="00AD60C7">
      <w:pPr>
        <w:rPr>
          <w:rFonts w:eastAsia="Times New Roman"/>
          <w:color w:val="auto"/>
        </w:rPr>
      </w:pPr>
      <w:r w:rsidRPr="00412D9E">
        <w:rPr>
          <w:rFonts w:eastAsia="Times New Roman"/>
          <w:color w:val="auto"/>
        </w:rPr>
        <w:t xml:space="preserve">The next </w:t>
      </w:r>
      <w:r>
        <w:rPr>
          <w:rFonts w:eastAsia="Times New Roman"/>
          <w:color w:val="auto"/>
        </w:rPr>
        <w:t>Superannuation Guarantee Levy (</w:t>
      </w:r>
      <w:r w:rsidRPr="00412D9E">
        <w:rPr>
          <w:rFonts w:eastAsia="Times New Roman"/>
          <w:color w:val="auto"/>
        </w:rPr>
        <w:t>SGL</w:t>
      </w:r>
      <w:r>
        <w:rPr>
          <w:rFonts w:eastAsia="Times New Roman"/>
          <w:color w:val="auto"/>
        </w:rPr>
        <w:t>)</w:t>
      </w:r>
      <w:r w:rsidRPr="00412D9E">
        <w:rPr>
          <w:rFonts w:eastAsia="Times New Roman"/>
          <w:color w:val="auto"/>
        </w:rPr>
        <w:t xml:space="preserve"> rate change for departments and agencies will be effective from 1 July 2022 when the rate will increase </w:t>
      </w:r>
      <w:r w:rsidR="00D75B29">
        <w:rPr>
          <w:rFonts w:eastAsia="Times New Roman"/>
          <w:color w:val="auto"/>
        </w:rPr>
        <w:t>by 0.5 per cent</w:t>
      </w:r>
      <w:r w:rsidR="00270297">
        <w:rPr>
          <w:rFonts w:eastAsia="Times New Roman"/>
          <w:color w:val="auto"/>
        </w:rPr>
        <w:t xml:space="preserve"> </w:t>
      </w:r>
      <w:r w:rsidRPr="00412D9E">
        <w:rPr>
          <w:rFonts w:eastAsia="Times New Roman"/>
          <w:color w:val="auto"/>
        </w:rPr>
        <w:t>to 10.5</w:t>
      </w:r>
      <w:r>
        <w:rPr>
          <w:rFonts w:ascii="Calibri" w:eastAsia="Times New Roman" w:hAnsi="Calibri" w:cs="Calibri"/>
          <w:color w:val="auto"/>
        </w:rPr>
        <w:t> </w:t>
      </w:r>
      <w:r w:rsidRPr="00412D9E">
        <w:rPr>
          <w:rFonts w:eastAsia="Times New Roman"/>
          <w:color w:val="auto"/>
        </w:rPr>
        <w:t>per</w:t>
      </w:r>
      <w:r>
        <w:rPr>
          <w:rFonts w:ascii="Calibri" w:eastAsia="Times New Roman" w:hAnsi="Calibri" w:cs="Calibri"/>
          <w:color w:val="auto"/>
        </w:rPr>
        <w:t> </w:t>
      </w:r>
      <w:r w:rsidRPr="00412D9E">
        <w:rPr>
          <w:rFonts w:eastAsia="Times New Roman"/>
          <w:color w:val="auto"/>
        </w:rPr>
        <w:t xml:space="preserve">cent. </w:t>
      </w:r>
      <w:r>
        <w:rPr>
          <w:rFonts w:eastAsia="Times New Roman"/>
          <w:color w:val="auto"/>
        </w:rPr>
        <w:t>These annual increases of 0.5</w:t>
      </w:r>
      <w:r w:rsidR="00BF15CC">
        <w:rPr>
          <w:rFonts w:ascii="Calibri" w:eastAsia="Times New Roman" w:hAnsi="Calibri" w:cs="Calibri"/>
          <w:color w:val="auto"/>
        </w:rPr>
        <w:t> </w:t>
      </w:r>
      <w:r>
        <w:rPr>
          <w:rFonts w:eastAsia="Times New Roman"/>
          <w:color w:val="auto"/>
        </w:rPr>
        <w:t>per</w:t>
      </w:r>
      <w:r w:rsidR="00BF15CC">
        <w:rPr>
          <w:rFonts w:ascii="Calibri" w:eastAsia="Times New Roman" w:hAnsi="Calibri" w:cs="Calibri"/>
          <w:color w:val="auto"/>
        </w:rPr>
        <w:t> </w:t>
      </w:r>
      <w:r>
        <w:rPr>
          <w:rFonts w:eastAsia="Times New Roman"/>
          <w:color w:val="auto"/>
        </w:rPr>
        <w:t>cent will continue until the SGL reaches 12 per cent on 1 July 2025.</w:t>
      </w:r>
      <w:r w:rsidR="009D2F55">
        <w:rPr>
          <w:rFonts w:eastAsia="Times New Roman"/>
          <w:color w:val="auto"/>
        </w:rPr>
        <w:t xml:space="preserve"> </w:t>
      </w:r>
    </w:p>
    <w:p w14:paraId="7C38679A" w14:textId="3834027E" w:rsidR="00AD60C7" w:rsidRPr="00923519" w:rsidRDefault="00AD60C7" w:rsidP="00AD60C7">
      <w:pPr>
        <w:pStyle w:val="Heading2"/>
        <w:rPr>
          <w:rFonts w:eastAsia="Times New Roman"/>
        </w:rPr>
      </w:pPr>
      <w:r w:rsidRPr="00923519">
        <w:rPr>
          <w:rFonts w:eastAsia="Times New Roman"/>
        </w:rPr>
        <w:t>Wage inflation and discount rates</w:t>
      </w:r>
    </w:p>
    <w:p w14:paraId="1AEB6F0A" w14:textId="652813B0" w:rsidR="00AD60C7" w:rsidRPr="00923519" w:rsidRDefault="00AD60C7" w:rsidP="00AD60C7">
      <w:pPr>
        <w:rPr>
          <w:rFonts w:eastAsia="Times New Roman"/>
        </w:rPr>
      </w:pPr>
      <w:r w:rsidRPr="00923519">
        <w:rPr>
          <w:rFonts w:eastAsia="Times New Roman"/>
        </w:rPr>
        <w:t xml:space="preserve">DTF publishes the wage inflation and discount rates quarterly for the September, December, and March quarters. </w:t>
      </w:r>
      <w:r w:rsidRPr="001F7713">
        <w:rPr>
          <w:rFonts w:eastAsia="Times New Roman"/>
        </w:rPr>
        <w:t>Rates are released monthly for the June quarter of each financial year.</w:t>
      </w:r>
      <w:r>
        <w:rPr>
          <w:rFonts w:eastAsia="Times New Roman"/>
        </w:rPr>
        <w:t xml:space="preserve"> The most recently published rates should be used by entities to remeasure their employee benefit provisions for the </w:t>
      </w:r>
      <w:r w:rsidR="00D56A00">
        <w:rPr>
          <w:rFonts w:eastAsia="Times New Roman"/>
        </w:rPr>
        <w:t>current</w:t>
      </w:r>
      <w:r>
        <w:rPr>
          <w:rFonts w:eastAsia="Times New Roman"/>
        </w:rPr>
        <w:t xml:space="preserve"> reporting period.</w:t>
      </w:r>
    </w:p>
    <w:p w14:paraId="550FA248" w14:textId="3B4ACDA8" w:rsidR="00AD60C7" w:rsidRDefault="00AD60C7" w:rsidP="00AD60C7">
      <w:pPr>
        <w:rPr>
          <w:rFonts w:eastAsia="Times New Roman" w:cs="Times New Roman"/>
          <w:noProof/>
        </w:rPr>
      </w:pPr>
      <w:r w:rsidRPr="00923519">
        <w:rPr>
          <w:rFonts w:eastAsia="Times New Roman"/>
        </w:rPr>
        <w:t xml:space="preserve">The wage inflation and discount rates are published for both the 2004 and 2008 Long Service Leave Models. Wage inflation rates reflect current economic assumptions made in the preparation of the </w:t>
      </w:r>
      <w:r w:rsidR="00CD71F4">
        <w:rPr>
          <w:rFonts w:eastAsia="Times New Roman"/>
        </w:rPr>
        <w:t>b</w:t>
      </w:r>
      <w:r w:rsidRPr="00923519">
        <w:rPr>
          <w:rFonts w:eastAsia="Times New Roman"/>
        </w:rPr>
        <w:t xml:space="preserve">udget. The discount rates are representative of the yield of Commonwealth Treasury bonds, </w:t>
      </w:r>
      <w:r>
        <w:rPr>
          <w:rFonts w:eastAsia="Times New Roman"/>
        </w:rPr>
        <w:t>p</w:t>
      </w:r>
      <w:r w:rsidRPr="00923519">
        <w:rPr>
          <w:rFonts w:eastAsia="Times New Roman"/>
        </w:rPr>
        <w:t>ublished by the Reserve Bank of Australia.</w:t>
      </w:r>
      <w:r w:rsidRPr="00923519">
        <w:rPr>
          <w:rFonts w:eastAsia="Times New Roman" w:cs="Times New Roman"/>
          <w:noProof/>
        </w:rPr>
        <w:t xml:space="preserve"> </w:t>
      </w:r>
    </w:p>
    <w:p w14:paraId="481298EC" w14:textId="3CD8F637" w:rsidR="00841100" w:rsidRDefault="00D56A00" w:rsidP="006805B9">
      <w:r>
        <w:rPr>
          <w:noProof/>
        </w:rPr>
        <w:lastRenderedPageBreak/>
        <w:drawing>
          <wp:inline distT="0" distB="0" distL="0" distR="0" wp14:anchorId="6A6A748B" wp14:editId="5F055A9C">
            <wp:extent cx="6100549" cy="3104515"/>
            <wp:effectExtent l="0" t="0" r="0" b="635"/>
            <wp:docPr id="6" name="Chart 6" descr="Chart showing the wage inflation and annual effective discount rate for employee benefits calculations from December 2018 through to September 2021&#10;">
              <a:extLst xmlns:a="http://schemas.openxmlformats.org/drawingml/2006/main">
                <a:ext uri="{FF2B5EF4-FFF2-40B4-BE49-F238E27FC236}">
                  <a16:creationId xmlns:a16="http://schemas.microsoft.com/office/drawing/2014/main" id="{11AFEE46-2475-49BE-816F-D85350E18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924C9CB" w14:textId="130AE30B" w:rsidR="00001BF1" w:rsidRPr="00923519" w:rsidRDefault="00FE154B" w:rsidP="00001BF1">
      <w:pPr>
        <w:rPr>
          <w:rFonts w:eastAsia="Times New Roman"/>
        </w:rPr>
      </w:pPr>
      <w:r>
        <w:rPr>
          <w:rFonts w:eastAsia="Times New Roman"/>
        </w:rPr>
        <w:t>T</w:t>
      </w:r>
      <w:r w:rsidR="00D56A00">
        <w:rPr>
          <w:rFonts w:eastAsia="Times New Roman"/>
        </w:rPr>
        <w:t xml:space="preserve">he </w:t>
      </w:r>
      <w:r>
        <w:rPr>
          <w:rFonts w:eastAsia="Times New Roman"/>
        </w:rPr>
        <w:t xml:space="preserve">annual </w:t>
      </w:r>
      <w:r w:rsidR="00D56A00">
        <w:rPr>
          <w:rFonts w:eastAsia="Times New Roman"/>
        </w:rPr>
        <w:t>discount rate ha</w:t>
      </w:r>
      <w:r w:rsidR="00825337">
        <w:rPr>
          <w:rFonts w:eastAsia="Times New Roman"/>
        </w:rPr>
        <w:t>d</w:t>
      </w:r>
      <w:r w:rsidR="00D56A00">
        <w:rPr>
          <w:rFonts w:eastAsia="Times New Roman"/>
        </w:rPr>
        <w:t xml:space="preserve"> </w:t>
      </w:r>
      <w:r w:rsidR="00001BF1">
        <w:rPr>
          <w:rFonts w:eastAsia="Times New Roman"/>
        </w:rPr>
        <w:t>a</w:t>
      </w:r>
      <w:r w:rsidR="00D56A00">
        <w:rPr>
          <w:rFonts w:eastAsia="Times New Roman"/>
        </w:rPr>
        <w:t xml:space="preserve"> net </w:t>
      </w:r>
      <w:r w:rsidR="00001BF1">
        <w:rPr>
          <w:rFonts w:eastAsia="Times New Roman"/>
        </w:rPr>
        <w:t xml:space="preserve">increase </w:t>
      </w:r>
      <w:r>
        <w:rPr>
          <w:rFonts w:eastAsia="Times New Roman"/>
        </w:rPr>
        <w:t xml:space="preserve">during the 2021 calendar year </w:t>
      </w:r>
      <w:r w:rsidR="00001BF1">
        <w:rPr>
          <w:rFonts w:eastAsia="Times New Roman"/>
        </w:rPr>
        <w:t xml:space="preserve">that, all else being equal, will reduce </w:t>
      </w:r>
      <w:r w:rsidR="00001BF1" w:rsidRPr="00923519">
        <w:rPr>
          <w:rFonts w:eastAsia="Times New Roman"/>
        </w:rPr>
        <w:t>the present value of the annual and long service leave liabilities.</w:t>
      </w:r>
    </w:p>
    <w:p w14:paraId="33060610" w14:textId="0924F2BC" w:rsidR="00FE154B" w:rsidRDefault="00AD40A7" w:rsidP="00001BF1">
      <w:pPr>
        <w:rPr>
          <w:rFonts w:eastAsia="Times New Roman"/>
        </w:rPr>
      </w:pPr>
      <w:r>
        <w:rPr>
          <w:rFonts w:eastAsia="Times New Roman"/>
        </w:rPr>
        <w:t>A revised wage inflation rate based on the Budget Update will be published on the DTF website on 4</w:t>
      </w:r>
      <w:r w:rsidR="00D40EB8">
        <w:rPr>
          <w:rFonts w:ascii="Calibri" w:eastAsia="Times New Roman" w:hAnsi="Calibri" w:cs="Calibri"/>
        </w:rPr>
        <w:t> </w:t>
      </w:r>
      <w:r>
        <w:rPr>
          <w:rFonts w:eastAsia="Times New Roman"/>
        </w:rPr>
        <w:t>Januar</w:t>
      </w:r>
      <w:r w:rsidR="00D40EB8">
        <w:rPr>
          <w:rFonts w:eastAsia="Times New Roman"/>
        </w:rPr>
        <w:t>y</w:t>
      </w:r>
      <w:r w:rsidR="00D40EB8">
        <w:rPr>
          <w:rFonts w:ascii="Calibri" w:eastAsia="Times New Roman" w:hAnsi="Calibri" w:cs="Calibri"/>
        </w:rPr>
        <w:t> </w:t>
      </w:r>
      <w:r>
        <w:rPr>
          <w:rFonts w:eastAsia="Times New Roman"/>
        </w:rPr>
        <w:t xml:space="preserve">2022 at the following address: </w:t>
      </w:r>
      <w:hyperlink r:id="rId30" w:history="1">
        <w:r w:rsidRPr="00AD156C">
          <w:rPr>
            <w:rStyle w:val="Hyperlink"/>
            <w:rFonts w:eastAsia="Times New Roman"/>
          </w:rPr>
          <w:t>https://www.dtf.vic.gov.au/financial-reporting-policy/wage-inflation-and-discount-rates</w:t>
        </w:r>
      </w:hyperlink>
    </w:p>
    <w:p w14:paraId="542C6B9B" w14:textId="388AA89D" w:rsidR="00001BF1" w:rsidRDefault="00001BF1" w:rsidP="00001BF1">
      <w:pPr>
        <w:pStyle w:val="Heading2"/>
      </w:pPr>
      <w:r w:rsidRPr="004F25BD">
        <w:t>Resource Management Framework</w:t>
      </w:r>
    </w:p>
    <w:p w14:paraId="0B1F45C0" w14:textId="235E8845" w:rsidR="0065013E" w:rsidRPr="00E82CDF" w:rsidRDefault="00CD1403" w:rsidP="00CD1403">
      <w:pPr>
        <w:rPr>
          <w:i/>
          <w:color w:val="auto"/>
        </w:rPr>
      </w:pPr>
      <w:r w:rsidRPr="00CD1403">
        <w:t>The Resource Management Framework (RMF) assists Victorian government departments in understanding and implementing the legislative and administrative policies for the State’s financial management framework, encompassing the areas of goal setting, public sector planning, budgeting, service delivery, accountability, and review. The RMF was last updated in June 2021</w:t>
      </w:r>
      <w:r w:rsidR="00452C0E">
        <w:t xml:space="preserve"> and </w:t>
      </w:r>
      <w:r w:rsidRPr="00CD1403">
        <w:t xml:space="preserve">is available on the DTF website at this link: </w:t>
      </w:r>
      <w:hyperlink r:id="rId31" w:history="1">
        <w:r w:rsidR="0065013E" w:rsidRPr="00B63C8B">
          <w:rPr>
            <w:rStyle w:val="Hyperlink"/>
          </w:rPr>
          <w:t>https://www.dtf.vic.gov.au/planning-budgeting-and-financial-reporting-frameworks/resource-management-framework</w:t>
        </w:r>
      </w:hyperlink>
    </w:p>
    <w:p w14:paraId="181FFF44" w14:textId="77777777" w:rsidR="00001BF1" w:rsidRPr="00FC6550" w:rsidRDefault="00001BF1" w:rsidP="006821D2">
      <w:pPr>
        <w:pStyle w:val="Heading2"/>
      </w:pPr>
      <w:r w:rsidRPr="00AF2694">
        <w:t>Key financial publication dates for the State of Victoria</w:t>
      </w:r>
    </w:p>
    <w:p w14:paraId="6681E81B" w14:textId="6C140CFA" w:rsidR="00F216FE" w:rsidRDefault="005373FB" w:rsidP="00001BF1">
      <w:pPr>
        <w:rPr>
          <w:rFonts w:eastAsia="Times New Roman"/>
        </w:rPr>
      </w:pPr>
      <w:r>
        <w:rPr>
          <w:rFonts w:eastAsia="Times New Roman"/>
        </w:rPr>
        <w:t>At the time of this newsletter’s writing, t</w:t>
      </w:r>
      <w:r w:rsidR="00F216FE">
        <w:rPr>
          <w:rFonts w:eastAsia="Times New Roman"/>
        </w:rPr>
        <w:t>he 2022</w:t>
      </w:r>
      <w:r w:rsidR="00CD71F4">
        <w:rPr>
          <w:rFonts w:eastAsia="Times New Roman"/>
        </w:rPr>
        <w:t>–</w:t>
      </w:r>
      <w:r w:rsidR="00F216FE">
        <w:rPr>
          <w:rFonts w:eastAsia="Times New Roman"/>
        </w:rPr>
        <w:t xml:space="preserve">23 </w:t>
      </w:r>
      <w:r w:rsidR="00CD71F4">
        <w:rPr>
          <w:rFonts w:eastAsia="Times New Roman"/>
        </w:rPr>
        <w:t>b</w:t>
      </w:r>
      <w:r w:rsidR="00F216FE">
        <w:rPr>
          <w:rFonts w:eastAsia="Times New Roman"/>
        </w:rPr>
        <w:t xml:space="preserve">udget date has not </w:t>
      </w:r>
      <w:r w:rsidR="008D09C8">
        <w:rPr>
          <w:rFonts w:eastAsia="Times New Roman"/>
        </w:rPr>
        <w:t xml:space="preserve">yet </w:t>
      </w:r>
      <w:r w:rsidR="00F216FE">
        <w:rPr>
          <w:rFonts w:eastAsia="Times New Roman"/>
        </w:rPr>
        <w:t>been announced</w:t>
      </w:r>
      <w:r w:rsidR="00052076">
        <w:rPr>
          <w:rFonts w:eastAsia="Times New Roman"/>
        </w:rPr>
        <w:t xml:space="preserve">. </w:t>
      </w:r>
      <w:r w:rsidR="008471B4">
        <w:rPr>
          <w:rFonts w:eastAsia="Times New Roman"/>
        </w:rPr>
        <w:t>The l</w:t>
      </w:r>
      <w:r w:rsidR="00F216FE">
        <w:rPr>
          <w:rFonts w:eastAsia="Times New Roman"/>
        </w:rPr>
        <w:t xml:space="preserve">egislative due dates for other publications are included in the </w:t>
      </w:r>
      <w:r w:rsidR="008471B4" w:rsidRPr="00D40EB8">
        <w:rPr>
          <w:rFonts w:eastAsia="Times New Roman"/>
          <w:i/>
          <w:iCs/>
        </w:rPr>
        <w:t>Financial Management Act 1994</w:t>
      </w:r>
      <w:r w:rsidR="00847F94">
        <w:rPr>
          <w:rFonts w:eastAsia="Times New Roman"/>
        </w:rPr>
        <w:t xml:space="preserve"> (</w:t>
      </w:r>
      <w:r w:rsidR="00F216FE">
        <w:rPr>
          <w:rFonts w:eastAsia="Times New Roman"/>
        </w:rPr>
        <w:t>FMA</w:t>
      </w:r>
      <w:r w:rsidR="00847F94">
        <w:rPr>
          <w:rFonts w:eastAsia="Times New Roman"/>
        </w:rPr>
        <w:t>)</w:t>
      </w:r>
      <w:r w:rsidR="00EB25CA">
        <w:rPr>
          <w:rFonts w:eastAsia="Times New Roman"/>
        </w:rPr>
        <w:t>,</w:t>
      </w:r>
      <w:r w:rsidR="00A02346">
        <w:rPr>
          <w:rFonts w:eastAsia="Times New Roman"/>
        </w:rPr>
        <w:t xml:space="preserve"> </w:t>
      </w:r>
      <w:r w:rsidR="00847F94">
        <w:rPr>
          <w:rFonts w:eastAsia="Times New Roman"/>
        </w:rPr>
        <w:t xml:space="preserve">available at the following address: </w:t>
      </w:r>
      <w:hyperlink r:id="rId32" w:history="1">
        <w:r w:rsidR="00847F94" w:rsidRPr="001D24AF">
          <w:rPr>
            <w:rStyle w:val="Hyperlink"/>
            <w:rFonts w:eastAsia="Times New Roman"/>
          </w:rPr>
          <w:t>https://www.legislation.vic.gov.au/in-force/acts/financial-management-act-1994/065</w:t>
        </w:r>
      </w:hyperlink>
    </w:p>
    <w:p w14:paraId="2DD50863" w14:textId="1C267A6A" w:rsidR="00001BF1" w:rsidRPr="00923519" w:rsidRDefault="00001BF1" w:rsidP="0078590B">
      <w:pPr>
        <w:pStyle w:val="Heading1"/>
        <w:pageBreakBefore/>
      </w:pPr>
      <w:bookmarkStart w:id="8" w:name="_Toc75950901"/>
      <w:bookmarkStart w:id="9" w:name="_Toc91074732"/>
      <w:r w:rsidRPr="00923519">
        <w:lastRenderedPageBreak/>
        <w:t>A</w:t>
      </w:r>
      <w:r w:rsidR="00F216FE">
        <w:t xml:space="preserve">ustralian </w:t>
      </w:r>
      <w:r w:rsidRPr="00923519">
        <w:t>A</w:t>
      </w:r>
      <w:r w:rsidR="00F216FE">
        <w:t xml:space="preserve">ccounting </w:t>
      </w:r>
      <w:r w:rsidRPr="00923519">
        <w:t>S</w:t>
      </w:r>
      <w:r w:rsidR="00F216FE">
        <w:t>tandards</w:t>
      </w:r>
      <w:r w:rsidRPr="00923519">
        <w:t xml:space="preserve"> update</w:t>
      </w:r>
      <w:bookmarkEnd w:id="8"/>
      <w:bookmarkEnd w:id="9"/>
    </w:p>
    <w:p w14:paraId="60AF90C2" w14:textId="7EA3281B" w:rsidR="00001BF1" w:rsidRPr="001B09FE" w:rsidRDefault="00001BF1" w:rsidP="00001BF1">
      <w:pPr>
        <w:rPr>
          <w:b/>
        </w:rPr>
      </w:pPr>
      <w:r w:rsidRPr="0028284B">
        <w:t>There</w:t>
      </w:r>
      <w:r>
        <w:t xml:space="preserve"> are no key AASB standards that become effective in </w:t>
      </w:r>
      <w:r w:rsidR="00B04F61">
        <w:t>2021</w:t>
      </w:r>
      <w:r w:rsidR="006A6799">
        <w:t>–</w:t>
      </w:r>
      <w:r w:rsidR="00B04F61">
        <w:t>22</w:t>
      </w:r>
      <w:r>
        <w:t xml:space="preserve">. </w:t>
      </w:r>
    </w:p>
    <w:p w14:paraId="4A5157AA" w14:textId="77777777" w:rsidR="00001BF1" w:rsidRDefault="00001BF1" w:rsidP="00001BF1">
      <w:pPr>
        <w:pStyle w:val="Heading3"/>
        <w:rPr>
          <w:i/>
          <w:iCs/>
        </w:rPr>
      </w:pPr>
      <w:r>
        <w:t>AASB</w:t>
      </w:r>
      <w:r>
        <w:rPr>
          <w:rFonts w:ascii="Calibri" w:hAnsi="Calibri" w:cs="Calibri"/>
        </w:rPr>
        <w:t> </w:t>
      </w:r>
      <w:r>
        <w:t xml:space="preserve">17 </w:t>
      </w:r>
      <w:r w:rsidRPr="00001BF1">
        <w:rPr>
          <w:i/>
          <w:iCs/>
        </w:rPr>
        <w:t>Insurance Contracts</w:t>
      </w:r>
    </w:p>
    <w:p w14:paraId="3093CB40" w14:textId="77777777" w:rsidR="00001BF1" w:rsidRDefault="00001BF1" w:rsidP="00001BF1">
      <w:r>
        <w:t xml:space="preserve">Information about AASB 17, including implementation issues specific to the public sector, has been included in previous newsletters. Entities should refer to these for details. </w:t>
      </w:r>
    </w:p>
    <w:p w14:paraId="3FC85756" w14:textId="59814143" w:rsidR="00001BF1" w:rsidRDefault="00001BF1" w:rsidP="00001BF1">
      <w:pPr>
        <w:pStyle w:val="Heading2"/>
        <w:rPr>
          <w:i/>
        </w:rPr>
      </w:pPr>
      <w:r>
        <w:t xml:space="preserve">Other new standards issued since 1 </w:t>
      </w:r>
      <w:r w:rsidR="007A3572">
        <w:t xml:space="preserve">July </w:t>
      </w:r>
      <w:r>
        <w:t>2021</w:t>
      </w:r>
    </w:p>
    <w:p w14:paraId="03CB4B92" w14:textId="36E499EB" w:rsidR="00001BF1" w:rsidRPr="00F80784" w:rsidRDefault="00001BF1" w:rsidP="00001BF1">
      <w:r w:rsidRPr="00F80784">
        <w:t xml:space="preserve">We have only included amending standards below that may have </w:t>
      </w:r>
      <w:r>
        <w:t>a</w:t>
      </w:r>
      <w:r w:rsidR="0000015E">
        <w:t>n</w:t>
      </w:r>
      <w:r>
        <w:t xml:space="preserve"> </w:t>
      </w:r>
      <w:r w:rsidR="0000015E">
        <w:t>i</w:t>
      </w:r>
      <w:r w:rsidRPr="00F80784">
        <w:t>mpact on Victorian public sector reporting. There have been other amending standards issued by the AASB</w:t>
      </w:r>
      <w:r>
        <w:t xml:space="preserve"> that we view to have limited impact, and these have been omitted from the list below. All amending standards are included on the AASB website, should you</w:t>
      </w:r>
      <w:r w:rsidR="00ED00C9">
        <w:t xml:space="preserve"> </w:t>
      </w:r>
      <w:r>
        <w:t>need to refer to them</w:t>
      </w:r>
      <w:r w:rsidRPr="00F80784">
        <w:t>.</w:t>
      </w:r>
    </w:p>
    <w:p w14:paraId="291EE4E6" w14:textId="5A1287DF" w:rsidR="00001BF1" w:rsidRPr="00F80784" w:rsidRDefault="00001BF1" w:rsidP="00001BF1">
      <w:pPr>
        <w:pStyle w:val="Heading3"/>
      </w:pPr>
      <w:r w:rsidRPr="00F80784">
        <w:t xml:space="preserve">AASB 2020-6 </w:t>
      </w:r>
      <w:r w:rsidRPr="00001BF1">
        <w:rPr>
          <w:i/>
          <w:iCs/>
        </w:rPr>
        <w:t>Amendments to Australian Accounting Standards – Classification of Liabilities as Current or Non-current – Deferral of Effective Date</w:t>
      </w:r>
    </w:p>
    <w:p w14:paraId="214022A0" w14:textId="77777777" w:rsidR="00001BF1" w:rsidRPr="00F80784" w:rsidRDefault="00001BF1" w:rsidP="00001BF1">
      <w:r w:rsidRPr="00F80784">
        <w:t xml:space="preserve">This standard amends AASB 101 </w:t>
      </w:r>
      <w:r w:rsidRPr="00F80784">
        <w:rPr>
          <w:i/>
          <w:iCs/>
        </w:rPr>
        <w:t>Presentation of Financial Statements</w:t>
      </w:r>
      <w:r w:rsidRPr="00F80784">
        <w:t xml:space="preserve"> to defer requirements for the presentation of liabilities in the statement of financial position as current or non-current that were added to AASB 101 in AASB 2020-1 </w:t>
      </w:r>
      <w:r w:rsidRPr="00F80784">
        <w:rPr>
          <w:i/>
          <w:iCs/>
        </w:rPr>
        <w:t xml:space="preserve">Amendments to Australian Accounting Standards – Classification of Liabilities as Current or Non-current </w:t>
      </w:r>
      <w:r w:rsidRPr="00F80784">
        <w:t xml:space="preserve">(refer to June 2020 newsletter for details). </w:t>
      </w:r>
    </w:p>
    <w:p w14:paraId="347D0A26" w14:textId="5038FD08" w:rsidR="00001BF1" w:rsidRDefault="00001BF1" w:rsidP="00001BF1">
      <w:r w:rsidRPr="00F80784">
        <w:t>The amendments will now apply to annual reporting periods beginning on or after 1 January 2023 instead of 1</w:t>
      </w:r>
      <w:r w:rsidR="00283809">
        <w:rPr>
          <w:rFonts w:ascii="Calibri" w:hAnsi="Calibri" w:cs="Calibri"/>
        </w:rPr>
        <w:t> </w:t>
      </w:r>
      <w:r w:rsidRPr="00F80784">
        <w:t xml:space="preserve">January 2022, with earlier application permitted. </w:t>
      </w:r>
      <w:r w:rsidR="00F73DBD">
        <w:t xml:space="preserve">This amendment is not expected to have a </w:t>
      </w:r>
      <w:r w:rsidR="001E266C">
        <w:t>significant impact on the Victorian Public Sector.</w:t>
      </w:r>
    </w:p>
    <w:p w14:paraId="3BFB2C38" w14:textId="77777777" w:rsidR="00001BF1" w:rsidRDefault="00001BF1" w:rsidP="00001BF1">
      <w:pPr>
        <w:pStyle w:val="Heading3"/>
      </w:pPr>
      <w:r w:rsidRPr="00F80784">
        <w:t>AASB 20</w:t>
      </w:r>
      <w:r>
        <w:t>21-3</w:t>
      </w:r>
      <w:r w:rsidRPr="00F80784">
        <w:t xml:space="preserve"> </w:t>
      </w:r>
      <w:r w:rsidRPr="00001BF1">
        <w:rPr>
          <w:i/>
          <w:iCs/>
        </w:rPr>
        <w:t>Amendments to Australian Accounting Standards – COVID-19-Related Rent Concessions beyond 30 June 2021</w:t>
      </w:r>
    </w:p>
    <w:p w14:paraId="2DDC4712" w14:textId="77777777" w:rsidR="00001BF1" w:rsidRDefault="00001BF1" w:rsidP="00001BF1">
      <w:r w:rsidRPr="00600917">
        <w:t>Thi</w:t>
      </w:r>
      <w:r>
        <w:t xml:space="preserve">s standard amends AASB 16 to extend by one year the application period of the practical expedient added to AASB 16 by AASB 2020-4 </w:t>
      </w:r>
      <w:r w:rsidRPr="00B719B7">
        <w:rPr>
          <w:i/>
          <w:iCs/>
        </w:rPr>
        <w:t>Amendments to Australian Accounting Standards – COVID-19-Related Rent Concessions</w:t>
      </w:r>
      <w:r>
        <w:t xml:space="preserve">. </w:t>
      </w:r>
    </w:p>
    <w:p w14:paraId="769F5880" w14:textId="77777777" w:rsidR="00001BF1" w:rsidRDefault="00001BF1" w:rsidP="00001BF1">
      <w:r>
        <w:t xml:space="preserve">The practical expedient permits lessees not to assess whether rent concessions that occur as a direct consequence of the COVID-19 pandemic and meet specified conditions are lease modifications and, instead, to account for those rent concessions as if they were not lease modifications. </w:t>
      </w:r>
    </w:p>
    <w:p w14:paraId="7CB8CB51" w14:textId="3D8FD963" w:rsidR="00001BF1" w:rsidRDefault="00001BF1" w:rsidP="00001BF1">
      <w:r>
        <w:t>This standard extends the practical expedient to rent concessions that reduce only lease payments originally due on or before 30 June 2022, provided the other conditions for applying the practical expedient are met. This standard applies to annual periods beginning on or after 1 April 2021. Earlier application is permitted, including in financial statements not authorised for issue at the date this Standard was issued.</w:t>
      </w:r>
    </w:p>
    <w:p w14:paraId="7B1DA61E" w14:textId="7F4B089C" w:rsidR="00DB1FC8" w:rsidRDefault="00DB1FC8" w:rsidP="00DB1FC8">
      <w:pPr>
        <w:pStyle w:val="Heading3"/>
        <w:rPr>
          <w:i/>
          <w:iCs/>
        </w:rPr>
      </w:pPr>
      <w:r w:rsidRPr="00F80784">
        <w:t>AASB 20</w:t>
      </w:r>
      <w:r>
        <w:t>21-</w:t>
      </w:r>
      <w:r w:rsidR="00140EEF">
        <w:t>6</w:t>
      </w:r>
      <w:r w:rsidRPr="00F80784">
        <w:t xml:space="preserve"> </w:t>
      </w:r>
      <w:r w:rsidRPr="00001BF1">
        <w:rPr>
          <w:i/>
          <w:iCs/>
        </w:rPr>
        <w:t xml:space="preserve">Amendments to Australian Accounting Standards – </w:t>
      </w:r>
      <w:r w:rsidR="00140EEF">
        <w:rPr>
          <w:i/>
          <w:iCs/>
        </w:rPr>
        <w:t>Disclosure of Accounting Policies: Tier 2 and Other Australian Accounting Standards</w:t>
      </w:r>
    </w:p>
    <w:p w14:paraId="565E91F6" w14:textId="575BB17E" w:rsidR="00446C95" w:rsidRDefault="00C86385" w:rsidP="00001BF1">
      <w:r>
        <w:t xml:space="preserve">This Standard makes amendments to AASB 1049 </w:t>
      </w:r>
      <w:r w:rsidRPr="00921345">
        <w:rPr>
          <w:i/>
          <w:iCs/>
        </w:rPr>
        <w:t>Whole of Government and General Government Sector Financial Reporting</w:t>
      </w:r>
      <w:r>
        <w:t xml:space="preserve"> (October 2007), AASB 1054 </w:t>
      </w:r>
      <w:r w:rsidRPr="00921345">
        <w:rPr>
          <w:i/>
          <w:iCs/>
        </w:rPr>
        <w:t>Australian Additional Disclosures</w:t>
      </w:r>
      <w:r>
        <w:t xml:space="preserve"> (May 2011) and AASB 1060 </w:t>
      </w:r>
      <w:r w:rsidRPr="00921345">
        <w:rPr>
          <w:i/>
          <w:iCs/>
        </w:rPr>
        <w:t>General Purpose Financial Statements – Simplified Disclosures for For-Profit and Not-for-Profit Tier 2 Entities</w:t>
      </w:r>
      <w:r>
        <w:t xml:space="preserve"> (March 2020).</w:t>
      </w:r>
    </w:p>
    <w:p w14:paraId="6FC961CB" w14:textId="6EEF2186" w:rsidR="00446C95" w:rsidRDefault="00D64C6D" w:rsidP="00001BF1">
      <w:r>
        <w:lastRenderedPageBreak/>
        <w:t xml:space="preserve">AASB 2021-2 </w:t>
      </w:r>
      <w:r w:rsidRPr="00BF15CC">
        <w:rPr>
          <w:i/>
          <w:iCs/>
        </w:rPr>
        <w:t>Amendments to Australian Accounting Standards – Disclosure of Accounting Policies and Definition of Accounting Estimates</w:t>
      </w:r>
      <w:r>
        <w:t xml:space="preserve"> amended AASB 101 </w:t>
      </w:r>
      <w:r w:rsidRPr="00BF15CC">
        <w:rPr>
          <w:i/>
          <w:iCs/>
        </w:rPr>
        <w:t>Presentation of Financial Statements</w:t>
      </w:r>
      <w:r>
        <w:t xml:space="preserve"> and three other Standards to address disclosure of material accounting policy information rather than significant accounting policies. These amendments were designed to help entities provide accounting policy disclosures that are more useful to the users of their financial statements.</w:t>
      </w:r>
    </w:p>
    <w:p w14:paraId="5F6B7808" w14:textId="33241AFA" w:rsidR="00F35BFE" w:rsidRDefault="002E56CF" w:rsidP="00001BF1">
      <w:r>
        <w:t>This Standard applies to annual periods beginning on or after 1 January 2023, with earlier application permitted</w:t>
      </w:r>
      <w:r w:rsidR="00FC0FCF">
        <w:t>.</w:t>
      </w:r>
    </w:p>
    <w:p w14:paraId="585CECE4" w14:textId="08AFAE8B" w:rsidR="00001BF1" w:rsidRPr="00F126B5" w:rsidRDefault="00001BF1" w:rsidP="0027122F">
      <w:pPr>
        <w:pStyle w:val="Heading1"/>
      </w:pPr>
      <w:bookmarkStart w:id="10" w:name="_Toc75950902"/>
      <w:bookmarkStart w:id="11" w:name="_Toc91074733"/>
      <w:r w:rsidRPr="00F126B5">
        <w:t>Other developments</w:t>
      </w:r>
      <w:bookmarkEnd w:id="10"/>
      <w:bookmarkEnd w:id="11"/>
    </w:p>
    <w:p w14:paraId="78F8AF8F" w14:textId="2ED0EFC3" w:rsidR="00001BF1" w:rsidRDefault="00001BF1" w:rsidP="00001BF1">
      <w:pPr>
        <w:pStyle w:val="Heading2"/>
      </w:pPr>
      <w:r>
        <w:t>Exposure Draft (ED) 2021/1 Regulatory assets and regulatory liabilities</w:t>
      </w:r>
      <w:r w:rsidR="007A3572">
        <w:t xml:space="preserve"> </w:t>
      </w:r>
    </w:p>
    <w:p w14:paraId="6C111C6E" w14:textId="77777777" w:rsidR="00001BF1" w:rsidRDefault="00001BF1" w:rsidP="00001BF1">
      <w:pPr>
        <w:spacing w:line="257" w:lineRule="auto"/>
      </w:pPr>
      <w:r>
        <w:t xml:space="preserve">The International Accounting Standards Board (Board) is proposing an accounting model to supplement the information that an entity already provides by applying IFRS Standards. The proposed model is based on the principle that a rate regulated entity should reflect the total allowed compensation for goods or services supplied in a period as part of its reported financial performance for that period. </w:t>
      </w:r>
    </w:p>
    <w:p w14:paraId="677CA204" w14:textId="77777777" w:rsidR="00001BF1" w:rsidRDefault="00001BF1" w:rsidP="00A06F34">
      <w:pPr>
        <w:keepNext/>
        <w:spacing w:line="257" w:lineRule="auto"/>
      </w:pPr>
      <w:r>
        <w:t xml:space="preserve">To implement that principle, an entity would recognise in its statement of financial position: </w:t>
      </w:r>
    </w:p>
    <w:p w14:paraId="244F71D4" w14:textId="77777777" w:rsidR="00001BF1" w:rsidRDefault="00001BF1" w:rsidP="005A4AFE">
      <w:pPr>
        <w:pStyle w:val="Listnum"/>
        <w:keepNext/>
        <w:numPr>
          <w:ilvl w:val="0"/>
          <w:numId w:val="15"/>
        </w:numPr>
      </w:pPr>
      <w:r>
        <w:t xml:space="preserve">regulatory assets—enforceable present rights to add an amount in determining future regulated rates because part of the total allowed compensation for goods or services already supplied will be included in revenue in the future </w:t>
      </w:r>
    </w:p>
    <w:p w14:paraId="16CE874B" w14:textId="77777777" w:rsidR="00001BF1" w:rsidRDefault="00001BF1" w:rsidP="00001BF1">
      <w:pPr>
        <w:pStyle w:val="Listnum"/>
      </w:pPr>
      <w:r>
        <w:t>regulatory liabilities—enforceable present obligations to deduct an amount in determining future regulated rates because the revenue already recognised includes an amount that will provide part of the total allowed compensation for goods or services to be supplied in the future.</w:t>
      </w:r>
    </w:p>
    <w:p w14:paraId="32D785E0" w14:textId="77777777" w:rsidR="00001BF1" w:rsidRDefault="00001BF1" w:rsidP="00001BF1">
      <w:pPr>
        <w:spacing w:line="257" w:lineRule="auto"/>
      </w:pPr>
      <w:r>
        <w:t xml:space="preserve">As a result, an entity would recognise in its statement(s) of financial performance: </w:t>
      </w:r>
    </w:p>
    <w:p w14:paraId="309D7C47" w14:textId="77777777" w:rsidR="00001BF1" w:rsidRDefault="00001BF1" w:rsidP="004229CE">
      <w:pPr>
        <w:pStyle w:val="Listnum"/>
        <w:keepLines w:val="0"/>
        <w:numPr>
          <w:ilvl w:val="0"/>
          <w:numId w:val="6"/>
        </w:numPr>
        <w:spacing w:line="257" w:lineRule="auto"/>
      </w:pPr>
      <w:r>
        <w:t xml:space="preserve">regulatory income to depict a part of the total allowed compensation for goods or services supplied in the current period that was included in revenue in past periods, or will be included in revenue in future periods </w:t>
      </w:r>
    </w:p>
    <w:p w14:paraId="24B5898F" w14:textId="77777777" w:rsidR="00001BF1" w:rsidRDefault="00001BF1" w:rsidP="004229CE">
      <w:pPr>
        <w:pStyle w:val="Listnum"/>
        <w:keepLines w:val="0"/>
        <w:numPr>
          <w:ilvl w:val="0"/>
          <w:numId w:val="6"/>
        </w:numPr>
        <w:spacing w:line="257" w:lineRule="auto"/>
      </w:pPr>
      <w:r>
        <w:t>regulatory expense to depict an amount included in revenue in the current period that provides part of the total allowed compensation for goods or services that were supplied in past periods or will be supplied in future periods.</w:t>
      </w:r>
    </w:p>
    <w:p w14:paraId="5E089783" w14:textId="43301661" w:rsidR="00001BF1" w:rsidRDefault="00001BF1" w:rsidP="00001BF1">
      <w:pPr>
        <w:spacing w:line="257" w:lineRule="auto"/>
        <w:rPr>
          <w:rFonts w:eastAsia="Calibri" w:cstheme="minorHAnsi"/>
          <w:i/>
          <w:iCs/>
          <w:szCs w:val="18"/>
        </w:rPr>
      </w:pPr>
      <w:r>
        <w:rPr>
          <w:rFonts w:eastAsia="Calibri" w:cstheme="minorHAnsi"/>
          <w:szCs w:val="18"/>
        </w:rPr>
        <w:t xml:space="preserve">We will keep you abreast of any developments in this area as the ED progresses. </w:t>
      </w:r>
    </w:p>
    <w:p w14:paraId="3BB7FE4B" w14:textId="77777777" w:rsidR="00001BF1" w:rsidRPr="00D5348E" w:rsidRDefault="00001BF1" w:rsidP="00001BF1">
      <w:pPr>
        <w:pStyle w:val="Heading2"/>
      </w:pPr>
      <w:r>
        <w:t>Streamlining financial statements</w:t>
      </w:r>
    </w:p>
    <w:p w14:paraId="6944E8BD" w14:textId="77777777" w:rsidR="00001BF1" w:rsidRDefault="00001BF1" w:rsidP="00001BF1">
      <w:pPr>
        <w:spacing w:before="0" w:after="200" w:line="276" w:lineRule="auto"/>
        <w:rPr>
          <w:rFonts w:eastAsia="Calibri" w:cstheme="minorHAnsi"/>
          <w:szCs w:val="18"/>
        </w:rPr>
      </w:pPr>
      <w:r w:rsidRPr="00D5348E">
        <w:rPr>
          <w:rFonts w:eastAsia="Calibri" w:cstheme="minorHAnsi"/>
          <w:szCs w:val="18"/>
        </w:rPr>
        <w:t>VAGO released an article associated with streamlining of financial statements</w:t>
      </w:r>
      <w:r>
        <w:rPr>
          <w:rFonts w:eastAsia="Calibri" w:cstheme="minorHAnsi"/>
          <w:szCs w:val="18"/>
        </w:rPr>
        <w:t xml:space="preserve">: </w:t>
      </w:r>
      <w:hyperlink r:id="rId33" w:history="1">
        <w:r w:rsidRPr="000D54DC">
          <w:rPr>
            <w:rStyle w:val="Hyperlink"/>
            <w:rFonts w:eastAsia="Calibri" w:cstheme="minorHAnsi"/>
            <w:szCs w:val="18"/>
          </w:rPr>
          <w:t>https://www.audit.vic.gov.au/news/streamlining-public-sector-financial-statements-tips-and-tricks-20210127</w:t>
        </w:r>
      </w:hyperlink>
      <w:r>
        <w:rPr>
          <w:rFonts w:eastAsia="Calibri" w:cstheme="minorHAnsi"/>
          <w:szCs w:val="18"/>
        </w:rPr>
        <w:t>.</w:t>
      </w:r>
    </w:p>
    <w:p w14:paraId="2674B54F" w14:textId="71F149AF" w:rsidR="007A3572" w:rsidRDefault="007A3572" w:rsidP="00001BF1">
      <w:pPr>
        <w:rPr>
          <w:rFonts w:eastAsia="Calibri" w:cstheme="minorHAnsi"/>
          <w:szCs w:val="18"/>
        </w:rPr>
      </w:pPr>
      <w:r>
        <w:rPr>
          <w:rFonts w:eastAsia="Calibri" w:cstheme="minorHAnsi"/>
          <w:szCs w:val="18"/>
        </w:rPr>
        <w:t>The w</w:t>
      </w:r>
      <w:r w:rsidR="00001BF1" w:rsidRPr="00D54EB7">
        <w:rPr>
          <w:rFonts w:eastAsia="Calibri" w:cstheme="minorHAnsi"/>
          <w:szCs w:val="18"/>
        </w:rPr>
        <w:t xml:space="preserve">orking sessions </w:t>
      </w:r>
      <w:r>
        <w:rPr>
          <w:rFonts w:eastAsia="Calibri" w:cstheme="minorHAnsi"/>
          <w:szCs w:val="18"/>
        </w:rPr>
        <w:t xml:space="preserve">that were previously foreshadowed </w:t>
      </w:r>
      <w:r w:rsidR="00001BF1" w:rsidRPr="00D54EB7">
        <w:rPr>
          <w:rFonts w:eastAsia="Calibri" w:cstheme="minorHAnsi"/>
          <w:szCs w:val="18"/>
        </w:rPr>
        <w:t xml:space="preserve">will </w:t>
      </w:r>
      <w:r>
        <w:rPr>
          <w:rFonts w:eastAsia="Calibri" w:cstheme="minorHAnsi"/>
          <w:szCs w:val="18"/>
        </w:rPr>
        <w:t>no longer take place this year. More information will follow on how and when this initiative will be progressed.</w:t>
      </w:r>
    </w:p>
    <w:p w14:paraId="1CA36614" w14:textId="77777777" w:rsidR="00822DEC" w:rsidRPr="00001BF1" w:rsidRDefault="00001BF1" w:rsidP="0027122F">
      <w:pPr>
        <w:pStyle w:val="Heading1"/>
        <w:pageBreakBefore/>
      </w:pPr>
      <w:bookmarkStart w:id="12" w:name="_Toc75950903"/>
      <w:bookmarkStart w:id="13" w:name="_Toc91074734"/>
      <w:r w:rsidRPr="00590A21">
        <w:lastRenderedPageBreak/>
        <w:t>How to contact us</w:t>
      </w:r>
      <w:bookmarkEnd w:id="12"/>
      <w:bookmarkEnd w:id="13"/>
    </w:p>
    <w:p w14:paraId="0C816204" w14:textId="75F1F8F5" w:rsidR="00001BF1" w:rsidRDefault="00001BF1" w:rsidP="006805B9">
      <w:pPr>
        <w:sectPr w:rsidR="00001BF1" w:rsidSect="004229CE">
          <w:headerReference w:type="first" r:id="rId34"/>
          <w:footerReference w:type="first" r:id="rId35"/>
          <w:pgSz w:w="11906" w:h="16838" w:code="9"/>
          <w:pgMar w:top="648" w:right="1152" w:bottom="1728" w:left="1152" w:header="706" w:footer="461" w:gutter="0"/>
          <w:cols w:space="708"/>
          <w:docGrid w:linePitch="360"/>
        </w:sectPr>
      </w:pPr>
    </w:p>
    <w:p w14:paraId="40FC5442" w14:textId="77777777" w:rsidR="00001BF1" w:rsidRPr="001A0B1C" w:rsidRDefault="00001BF1" w:rsidP="00001BF1">
      <w:pPr>
        <w:pStyle w:val="Heading2"/>
        <w:rPr>
          <w:rFonts w:eastAsia="Times New Roman"/>
          <w:sz w:val="24"/>
          <w:szCs w:val="24"/>
        </w:rPr>
      </w:pPr>
      <w:r w:rsidRPr="001A0B1C">
        <w:rPr>
          <w:rFonts w:eastAsia="Times New Roman"/>
          <w:sz w:val="24"/>
          <w:szCs w:val="24"/>
        </w:rPr>
        <w:t>AccPol mailbox</w:t>
      </w:r>
    </w:p>
    <w:p w14:paraId="2B394976" w14:textId="77777777" w:rsidR="00001BF1" w:rsidRPr="001A0B1C" w:rsidRDefault="00001BF1" w:rsidP="00001BF1">
      <w:pPr>
        <w:rPr>
          <w:rFonts w:eastAsia="Times New Roman"/>
          <w:szCs w:val="18"/>
        </w:rPr>
      </w:pPr>
      <w:r w:rsidRPr="001A0B1C">
        <w:rPr>
          <w:rFonts w:eastAsia="Times New Roman"/>
          <w:szCs w:val="18"/>
        </w:rPr>
        <w:t xml:space="preserve">When directing accounting policy enquiries to DTF at </w:t>
      </w:r>
      <w:hyperlink r:id="rId36" w:history="1">
        <w:r w:rsidRPr="001A0B1C">
          <w:rPr>
            <w:rStyle w:val="Hyperlink"/>
            <w:rFonts w:eastAsia="Times New Roman"/>
            <w:szCs w:val="18"/>
          </w:rPr>
          <w:t>accpol@dtf.vic.gov.au</w:t>
        </w:r>
      </w:hyperlink>
      <w:r w:rsidRPr="001A0B1C">
        <w:rPr>
          <w:rFonts w:eastAsia="Times New Roman"/>
          <w:szCs w:val="18"/>
        </w:rPr>
        <w:t xml:space="preserve">, </w:t>
      </w:r>
      <w:r w:rsidRPr="001A0B1C">
        <w:rPr>
          <w:rFonts w:eastAsia="Times New Roman"/>
          <w:b/>
          <w:bCs/>
          <w:szCs w:val="18"/>
        </w:rPr>
        <w:t>departments</w:t>
      </w:r>
      <w:r w:rsidRPr="001A0B1C">
        <w:rPr>
          <w:rFonts w:eastAsia="Times New Roman"/>
          <w:szCs w:val="18"/>
        </w:rPr>
        <w:t xml:space="preserve"> are requested to support their questions with the facts and with clear referencing to Accounting Standards, FRDs and other authoritative pronouncements related to their queries.</w:t>
      </w:r>
    </w:p>
    <w:p w14:paraId="4FC3F368" w14:textId="77777777" w:rsidR="00001BF1" w:rsidRPr="001A0B1C" w:rsidRDefault="00001BF1" w:rsidP="00001BF1">
      <w:pPr>
        <w:rPr>
          <w:rFonts w:eastAsia="Times New Roman"/>
          <w:szCs w:val="18"/>
        </w:rPr>
      </w:pPr>
      <w:r w:rsidRPr="001A0B1C">
        <w:rPr>
          <w:rFonts w:eastAsia="Times New Roman"/>
          <w:b/>
          <w:bCs/>
          <w:szCs w:val="18"/>
        </w:rPr>
        <w:t>Other entities</w:t>
      </w:r>
      <w:r w:rsidRPr="001A0B1C">
        <w:rPr>
          <w:rFonts w:eastAsia="Times New Roman"/>
          <w:szCs w:val="18"/>
        </w:rPr>
        <w:t xml:space="preserve"> are requested to contact their portfolio department in the first instance to resolve any accounting policy issues.</w:t>
      </w:r>
    </w:p>
    <w:p w14:paraId="2B5DB7D2" w14:textId="77777777" w:rsidR="00001BF1" w:rsidRPr="001A0B1C" w:rsidRDefault="00001BF1" w:rsidP="00001BF1">
      <w:pPr>
        <w:pStyle w:val="Heading2"/>
        <w:rPr>
          <w:rFonts w:eastAsia="Times New Roman"/>
          <w:sz w:val="24"/>
          <w:szCs w:val="24"/>
        </w:rPr>
      </w:pPr>
      <w:r w:rsidRPr="001A0B1C">
        <w:rPr>
          <w:rFonts w:eastAsia="Times New Roman"/>
          <w:sz w:val="24"/>
          <w:szCs w:val="24"/>
        </w:rPr>
        <w:t>Useful websites</w:t>
      </w:r>
    </w:p>
    <w:p w14:paraId="4561C15D" w14:textId="77777777" w:rsidR="00001BF1" w:rsidRPr="001A0B1C" w:rsidRDefault="00001BF1" w:rsidP="00001BF1">
      <w:pPr>
        <w:rPr>
          <w:rFonts w:eastAsia="Times New Roman"/>
          <w:szCs w:val="18"/>
        </w:rPr>
      </w:pPr>
      <w:r w:rsidRPr="001A0B1C">
        <w:rPr>
          <w:rFonts w:eastAsia="Times New Roman"/>
          <w:b/>
          <w:bCs/>
          <w:szCs w:val="18"/>
        </w:rPr>
        <w:t>AASB</w:t>
      </w:r>
      <w:r w:rsidRPr="001A0B1C">
        <w:rPr>
          <w:rFonts w:eastAsia="Times New Roman"/>
          <w:szCs w:val="18"/>
        </w:rPr>
        <w:t xml:space="preserve"> – </w:t>
      </w:r>
      <w:hyperlink r:id="rId37" w:history="1">
        <w:r w:rsidRPr="001A0B1C">
          <w:rPr>
            <w:rStyle w:val="Hyperlink"/>
            <w:rFonts w:eastAsia="Times New Roman"/>
            <w:szCs w:val="18"/>
          </w:rPr>
          <w:t>www.aasb.com.au</w:t>
        </w:r>
      </w:hyperlink>
      <w:r w:rsidRPr="001A0B1C">
        <w:rPr>
          <w:rFonts w:eastAsia="Times New Roman"/>
          <w:szCs w:val="18"/>
        </w:rPr>
        <w:t xml:space="preserve"> for information on AASB pronouncements, discussion papers and ED publications.</w:t>
      </w:r>
    </w:p>
    <w:p w14:paraId="5243F0F7" w14:textId="77777777" w:rsidR="00001BF1" w:rsidRPr="001A0B1C" w:rsidRDefault="00001BF1" w:rsidP="00001BF1">
      <w:pPr>
        <w:rPr>
          <w:rFonts w:eastAsia="Times New Roman"/>
          <w:szCs w:val="18"/>
        </w:rPr>
      </w:pPr>
      <w:r w:rsidRPr="001A0B1C">
        <w:rPr>
          <w:rFonts w:eastAsia="Times New Roman"/>
          <w:b/>
          <w:bCs/>
          <w:szCs w:val="18"/>
        </w:rPr>
        <w:t>International Public Sector Accounting Standards Board (IPSASB)</w:t>
      </w:r>
      <w:r w:rsidRPr="001A0B1C">
        <w:rPr>
          <w:rFonts w:eastAsia="Times New Roman"/>
          <w:szCs w:val="18"/>
        </w:rPr>
        <w:t xml:space="preserve"> – </w:t>
      </w:r>
      <w:hyperlink r:id="rId38" w:history="1">
        <w:r w:rsidRPr="001A0B1C">
          <w:rPr>
            <w:rStyle w:val="Hyperlink"/>
            <w:rFonts w:eastAsia="Times New Roman"/>
            <w:szCs w:val="18"/>
          </w:rPr>
          <w:t>www.ipsasb.org</w:t>
        </w:r>
      </w:hyperlink>
      <w:r w:rsidRPr="001A0B1C">
        <w:rPr>
          <w:rFonts w:eastAsia="Times New Roman"/>
          <w:szCs w:val="18"/>
        </w:rPr>
        <w:t xml:space="preserve"> for information on IPSASB and IPSAS pronouncements.</w:t>
      </w:r>
    </w:p>
    <w:p w14:paraId="138007F4" w14:textId="77777777" w:rsidR="00001BF1" w:rsidRPr="001A0B1C" w:rsidRDefault="00001BF1" w:rsidP="00001BF1">
      <w:pPr>
        <w:pStyle w:val="Heading2"/>
        <w:rPr>
          <w:rFonts w:eastAsia="Times New Roman"/>
          <w:sz w:val="24"/>
          <w:szCs w:val="24"/>
        </w:rPr>
      </w:pPr>
      <w:r w:rsidRPr="001A0B1C">
        <w:rPr>
          <w:rFonts w:eastAsia="Times New Roman"/>
          <w:sz w:val="24"/>
          <w:szCs w:val="24"/>
        </w:rPr>
        <w:br w:type="column"/>
      </w:r>
      <w:r w:rsidRPr="001A0B1C">
        <w:rPr>
          <w:rFonts w:eastAsia="Times New Roman"/>
          <w:sz w:val="24"/>
          <w:szCs w:val="24"/>
        </w:rPr>
        <w:t>DTF website</w:t>
      </w:r>
    </w:p>
    <w:p w14:paraId="31BDD569" w14:textId="77777777" w:rsidR="00001BF1" w:rsidRPr="001A0B1C" w:rsidRDefault="00001BF1" w:rsidP="00001BF1">
      <w:pPr>
        <w:rPr>
          <w:rFonts w:eastAsia="Times New Roman"/>
          <w:szCs w:val="18"/>
        </w:rPr>
      </w:pPr>
      <w:r w:rsidRPr="001A0B1C">
        <w:rPr>
          <w:rFonts w:eastAsia="Times New Roman"/>
          <w:b/>
          <w:bCs/>
          <w:szCs w:val="18"/>
        </w:rPr>
        <w:t>The DTF website (for all internet users)</w:t>
      </w:r>
      <w:r w:rsidRPr="001A0B1C">
        <w:rPr>
          <w:rFonts w:eastAsia="Times New Roman"/>
          <w:szCs w:val="18"/>
        </w:rPr>
        <w:t xml:space="preserve"> – </w:t>
      </w:r>
      <w:hyperlink r:id="rId39" w:history="1">
        <w:r w:rsidRPr="001A0B1C">
          <w:rPr>
            <w:rStyle w:val="Hyperlink"/>
            <w:rFonts w:eastAsia="Times New Roman"/>
            <w:szCs w:val="18"/>
          </w:rPr>
          <w:t>www.dtf.vic.gov.au</w:t>
        </w:r>
      </w:hyperlink>
      <w:r w:rsidRPr="001A0B1C">
        <w:rPr>
          <w:rFonts w:eastAsia="Times New Roman"/>
          <w:szCs w:val="18"/>
        </w:rPr>
        <w:t xml:space="preserve"> covers FRDs and guidance, the Model Report, accounting policy updates, long service leave models and related data input, including wage inflation and discount rates. From the menu on the top of the home page, users should select Financial Management of Government, then Financial Reporting Policy.</w:t>
      </w:r>
    </w:p>
    <w:p w14:paraId="5AB0F8B5" w14:textId="77777777" w:rsidR="00001BF1" w:rsidRPr="001A0B1C" w:rsidRDefault="00001BF1" w:rsidP="00001BF1">
      <w:pPr>
        <w:rPr>
          <w:rFonts w:eastAsia="Times New Roman"/>
          <w:szCs w:val="18"/>
        </w:rPr>
      </w:pPr>
      <w:r w:rsidRPr="001A0B1C">
        <w:rPr>
          <w:rFonts w:eastAsia="Times New Roman"/>
          <w:b/>
          <w:bCs/>
          <w:szCs w:val="18"/>
        </w:rPr>
        <w:t xml:space="preserve">VPS users </w:t>
      </w:r>
      <w:r w:rsidRPr="001A0B1C">
        <w:rPr>
          <w:rFonts w:eastAsia="Times New Roman"/>
          <w:szCs w:val="18"/>
        </w:rPr>
        <w:t>should contact their portfolio department in the first instance for the login details to access the information relating to the 2008 Long Service Leave Model and/or, the Valuer General building and land indices.</w:t>
      </w:r>
    </w:p>
    <w:p w14:paraId="5242103E" w14:textId="203EF96E" w:rsidR="00001BF1" w:rsidRPr="001A0B1C" w:rsidRDefault="00001BF1" w:rsidP="00001BF1">
      <w:pPr>
        <w:rPr>
          <w:rFonts w:eastAsia="Times New Roman"/>
          <w:szCs w:val="18"/>
        </w:rPr>
      </w:pPr>
      <w:r w:rsidRPr="001A0B1C">
        <w:rPr>
          <w:rFonts w:eastAsia="Times New Roman"/>
          <w:szCs w:val="18"/>
        </w:rPr>
        <w:t xml:space="preserve">For assistance with technical difficulties using the DTF website, </w:t>
      </w:r>
      <w:r w:rsidR="005E526F" w:rsidRPr="001A0B1C">
        <w:rPr>
          <w:rFonts w:eastAsia="Times New Roman"/>
          <w:szCs w:val="18"/>
        </w:rPr>
        <w:t>e.g.</w:t>
      </w:r>
      <w:r w:rsidRPr="001A0B1C">
        <w:rPr>
          <w:rFonts w:eastAsia="Times New Roman"/>
          <w:szCs w:val="18"/>
        </w:rPr>
        <w:t xml:space="preserve"> broken links, please contact the DTF web team via email at </w:t>
      </w:r>
      <w:hyperlink r:id="rId40" w:history="1">
        <w:r w:rsidRPr="001A0B1C">
          <w:rPr>
            <w:rStyle w:val="Hyperlink"/>
            <w:rFonts w:eastAsia="Times New Roman"/>
            <w:szCs w:val="18"/>
          </w:rPr>
          <w:t>dtfweb@dtf.vic.gov.au</w:t>
        </w:r>
      </w:hyperlink>
    </w:p>
    <w:p w14:paraId="4B760838" w14:textId="77777777" w:rsidR="00001BF1" w:rsidRPr="001A0B1C" w:rsidRDefault="00001BF1" w:rsidP="00001BF1">
      <w:pPr>
        <w:pStyle w:val="Heading2"/>
        <w:rPr>
          <w:rFonts w:eastAsia="Times New Roman"/>
          <w:sz w:val="24"/>
          <w:szCs w:val="24"/>
        </w:rPr>
      </w:pPr>
      <w:r w:rsidRPr="001A0B1C">
        <w:rPr>
          <w:rFonts w:eastAsia="Times New Roman"/>
          <w:sz w:val="24"/>
          <w:szCs w:val="24"/>
        </w:rPr>
        <w:t>About the Accounting Policy Update</w:t>
      </w:r>
    </w:p>
    <w:p w14:paraId="5A99E37B" w14:textId="0A262330" w:rsidR="00FE24E9" w:rsidRDefault="00001BF1" w:rsidP="00001BF1">
      <w:r w:rsidRPr="001A0B1C">
        <w:rPr>
          <w:rFonts w:eastAsia="Times New Roman"/>
          <w:szCs w:val="18"/>
        </w:rPr>
        <w:t>Accounting Policy Update is published by the Accounting Policy team of DTF twice a year. The aim of the newsletter is to highlight changes in financial reporting requirements affecting public sector entities, outlining any financial reporting related policy decisions reached by DTF and to inform readers of other developments that are under consideration by the AASB</w:t>
      </w:r>
    </w:p>
    <w:p w14:paraId="17441FF4" w14:textId="77777777" w:rsidR="00001BF1" w:rsidRDefault="00001BF1" w:rsidP="006805B9">
      <w:pPr>
        <w:sectPr w:rsidR="00001BF1" w:rsidSect="0096774E">
          <w:type w:val="continuous"/>
          <w:pgSz w:w="11906" w:h="16838" w:code="9"/>
          <w:pgMar w:top="648" w:right="1152" w:bottom="1728" w:left="1152" w:header="706" w:footer="461" w:gutter="0"/>
          <w:cols w:num="2" w:space="708"/>
          <w:docGrid w:linePitch="360"/>
        </w:sectPr>
      </w:pPr>
    </w:p>
    <w:p w14:paraId="5CB8D015" w14:textId="3E27A9A3" w:rsidR="00030708" w:rsidRDefault="00030708" w:rsidP="006805B9"/>
    <w:p w14:paraId="7EF213C7" w14:textId="77777777" w:rsidR="00001BF1" w:rsidRPr="001A0B1C" w:rsidRDefault="00001BF1" w:rsidP="00001BF1">
      <w:pPr>
        <w:pStyle w:val="Quote"/>
        <w:ind w:left="0" w:right="0"/>
      </w:pPr>
      <w:r w:rsidRPr="001A0B1C">
        <w:t>Disclaimer: No responsibility is taken for any action(s) taken on the basis of information contained in this Newsletter nor for any errors or omissions in that information.</w:t>
      </w:r>
    </w:p>
    <w:p w14:paraId="27EDB91F" w14:textId="77777777" w:rsidR="00001BF1" w:rsidRPr="00A06F34" w:rsidRDefault="00001BF1" w:rsidP="00001BF1">
      <w:pPr>
        <w:keepNext/>
        <w:spacing w:before="100" w:after="0"/>
        <w:contextualSpacing/>
        <w:rPr>
          <w:rFonts w:eastAsia="Times New Roman" w:cs="Calibri"/>
          <w:color w:val="000000"/>
          <w:spacing w:val="4"/>
          <w:sz w:val="15"/>
          <w:szCs w:val="15"/>
        </w:rPr>
      </w:pPr>
    </w:p>
    <w:p w14:paraId="65E3AF9A" w14:textId="77777777" w:rsidR="00001BF1" w:rsidRPr="00A06F34" w:rsidRDefault="00001BF1" w:rsidP="00001BF1">
      <w:pPr>
        <w:keepNext/>
        <w:spacing w:before="100" w:after="0"/>
        <w:contextualSpacing/>
        <w:rPr>
          <w:rFonts w:eastAsia="Times New Roman" w:cs="Calibri"/>
          <w:color w:val="000000"/>
          <w:spacing w:val="4"/>
          <w:sz w:val="15"/>
          <w:szCs w:val="15"/>
        </w:rPr>
      </w:pPr>
      <w:r w:rsidRPr="00A06F34">
        <w:rPr>
          <w:rFonts w:eastAsia="Times New Roman" w:cs="Calibri"/>
          <w:color w:val="000000"/>
          <w:spacing w:val="4"/>
          <w:sz w:val="15"/>
          <w:szCs w:val="15"/>
        </w:rPr>
        <w:t xml:space="preserve">Accounting Policy Update </w:t>
      </w:r>
      <w:r w:rsidRPr="00A06F34">
        <w:rPr>
          <w:rFonts w:eastAsia="Times New Roman" w:cs="Calibri"/>
          <w:color w:val="000000"/>
          <w:spacing w:val="4"/>
          <w:sz w:val="15"/>
          <w:szCs w:val="15"/>
        </w:rPr>
        <w:br/>
        <w:t>ISSN 2205</w:t>
      </w:r>
      <w:r w:rsidRPr="00A06F34">
        <w:rPr>
          <w:rFonts w:eastAsia="Times New Roman" w:cs="Calibri"/>
          <w:color w:val="000000"/>
          <w:spacing w:val="4"/>
          <w:sz w:val="15"/>
          <w:szCs w:val="15"/>
        </w:rPr>
        <w:noBreakHyphen/>
        <w:t>4014</w:t>
      </w:r>
    </w:p>
    <w:p w14:paraId="6AD4A2E0" w14:textId="77777777" w:rsidR="00001BF1" w:rsidRPr="00A06F34" w:rsidRDefault="00001BF1" w:rsidP="00001BF1">
      <w:pPr>
        <w:keepNext/>
        <w:rPr>
          <w:rFonts w:eastAsia="Times New Roman" w:cs="Arial"/>
          <w:sz w:val="15"/>
          <w:szCs w:val="15"/>
        </w:rPr>
      </w:pPr>
      <w:r w:rsidRPr="00A06F34">
        <w:rPr>
          <w:rFonts w:eastAsia="Times New Roman" w:cs="Arial"/>
          <w:sz w:val="15"/>
          <w:szCs w:val="15"/>
        </w:rPr>
        <w:t>© State of Victoria 2021</w:t>
      </w:r>
    </w:p>
    <w:p w14:paraId="7A7955D8" w14:textId="77777777" w:rsidR="00001BF1" w:rsidRPr="00A06F34" w:rsidRDefault="00001BF1" w:rsidP="00001BF1">
      <w:pPr>
        <w:keepNext/>
        <w:rPr>
          <w:rFonts w:eastAsia="Times New Roman" w:cs="Arial"/>
          <w:sz w:val="15"/>
          <w:szCs w:val="15"/>
        </w:rPr>
      </w:pPr>
      <w:r w:rsidRPr="00A06F34">
        <w:rPr>
          <w:noProof/>
          <w:sz w:val="15"/>
          <w:szCs w:val="15"/>
        </w:rPr>
        <w:drawing>
          <wp:inline distT="0" distB="0" distL="0" distR="0" wp14:anchorId="039C6F9D" wp14:editId="742F48DF">
            <wp:extent cx="1117460" cy="390972"/>
            <wp:effectExtent l="0" t="0" r="6985" b="9525"/>
            <wp:docPr id="4" name="Picture 4">
              <a:hlinkClick xmlns:a="http://schemas.openxmlformats.org/drawingml/2006/main" r:id="rId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4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1BDF4405" w14:textId="77777777" w:rsidR="00001BF1" w:rsidRPr="00A06F34" w:rsidRDefault="00001BF1" w:rsidP="00422D08">
      <w:pPr>
        <w:keepNext/>
        <w:ind w:right="512"/>
        <w:rPr>
          <w:rFonts w:eastAsia="Times New Roman" w:cs="Arial"/>
          <w:sz w:val="15"/>
          <w:szCs w:val="15"/>
        </w:rPr>
      </w:pPr>
      <w:r w:rsidRPr="00A06F34">
        <w:rPr>
          <w:rFonts w:eastAsia="Times New Roman" w:cs="Arial"/>
          <w:sz w:val="15"/>
          <w:szCs w:val="15"/>
        </w:rPr>
        <w:t>You are free to re</w:t>
      </w:r>
      <w:r w:rsidRPr="00A06F34">
        <w:rPr>
          <w:rFonts w:eastAsia="Times New Roman" w:cs="Arial"/>
          <w:sz w:val="15"/>
          <w:szCs w:val="15"/>
        </w:rPr>
        <w:noBreakHyphen/>
        <w:t xml:space="preserve">use this work under a </w:t>
      </w:r>
      <w:hyperlink r:id="rId43" w:history="1">
        <w:r w:rsidRPr="00A06F34">
          <w:rPr>
            <w:rFonts w:eastAsia="Times New Roman" w:cs="Arial"/>
            <w:color w:val="53565A"/>
            <w:sz w:val="15"/>
            <w:szCs w:val="15"/>
          </w:rPr>
          <w:t>Creative Commons Attribution 4.0 licence</w:t>
        </w:r>
      </w:hyperlink>
      <w:r w:rsidRPr="00A06F34">
        <w:rPr>
          <w:rFonts w:eastAsia="Times New Roman" w:cs="Arial"/>
          <w:sz w:val="15"/>
          <w:szCs w:val="15"/>
        </w:rPr>
        <w:t>, provided you credit the State of Victoria (Department of Treasury and Finance) as author, indicate if changes were made and comply with the other licence terms. The licence does not apply to any branding, including Government logos.</w:t>
      </w:r>
    </w:p>
    <w:p w14:paraId="5F4133BB" w14:textId="77777777" w:rsidR="00001BF1" w:rsidRPr="00A06F34" w:rsidRDefault="00001BF1" w:rsidP="00001BF1">
      <w:pPr>
        <w:keepNext/>
        <w:rPr>
          <w:rFonts w:eastAsia="Times New Roman" w:cs="Arial"/>
          <w:sz w:val="15"/>
          <w:szCs w:val="15"/>
        </w:rPr>
      </w:pPr>
      <w:r w:rsidRPr="00A06F34">
        <w:rPr>
          <w:rFonts w:eastAsia="Times New Roman" w:cs="Arial"/>
          <w:sz w:val="15"/>
          <w:szCs w:val="15"/>
        </w:rPr>
        <w:t xml:space="preserve">Copyright queries may be directed to </w:t>
      </w:r>
      <w:hyperlink r:id="rId44" w:history="1">
        <w:r w:rsidRPr="00A06F34">
          <w:rPr>
            <w:rFonts w:eastAsia="Times New Roman" w:cs="Arial"/>
            <w:color w:val="53565A"/>
            <w:sz w:val="15"/>
            <w:szCs w:val="15"/>
          </w:rPr>
          <w:t>IPpolicy@dtf.vic.gov.au</w:t>
        </w:r>
      </w:hyperlink>
      <w:r w:rsidRPr="00A06F34">
        <w:rPr>
          <w:rFonts w:eastAsia="Times New Roman" w:cs="Arial"/>
          <w:sz w:val="15"/>
          <w:szCs w:val="15"/>
        </w:rPr>
        <w:t xml:space="preserve">. </w:t>
      </w:r>
    </w:p>
    <w:sectPr w:rsidR="00001BF1" w:rsidRPr="00A06F34" w:rsidSect="00A06F34">
      <w:type w:val="continuous"/>
      <w:pgSz w:w="11906" w:h="16838" w:code="9"/>
      <w:pgMar w:top="648" w:right="1152" w:bottom="1170" w:left="1152" w:header="706"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46515" w14:textId="77777777" w:rsidR="005A732A" w:rsidRDefault="005A732A" w:rsidP="006805B9">
      <w:r>
        <w:separator/>
      </w:r>
    </w:p>
  </w:endnote>
  <w:endnote w:type="continuationSeparator" w:id="0">
    <w:p w14:paraId="2B0BF445" w14:textId="77777777" w:rsidR="005A732A" w:rsidRDefault="005A732A" w:rsidP="006805B9">
      <w:r>
        <w:continuationSeparator/>
      </w:r>
    </w:p>
  </w:endnote>
  <w:endnote w:type="continuationNotice" w:id="1">
    <w:p w14:paraId="0EE3BE39" w14:textId="77777777" w:rsidR="005A732A" w:rsidRDefault="005A73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71494" w14:textId="77777777" w:rsidR="004A2B3B" w:rsidRDefault="004A2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FD475F" w14:textId="0E57C68E" w:rsidR="00AD40A7" w:rsidRDefault="00DF694F" w:rsidP="00491C72">
    <w:pPr>
      <w:pStyle w:val="Footer"/>
      <w:tabs>
        <w:tab w:val="clear" w:pos="9026"/>
        <w:tab w:val="right" w:pos="9602"/>
      </w:tabs>
      <w:rPr>
        <w:rStyle w:val="PageNumber"/>
      </w:rPr>
    </w:pPr>
    <w:r>
      <mc:AlternateContent>
        <mc:Choice Requires="wps">
          <w:drawing>
            <wp:anchor distT="0" distB="0" distL="114300" distR="114300" simplePos="0" relativeHeight="251658241" behindDoc="0" locked="0" layoutInCell="0" allowOverlap="1" wp14:anchorId="00E41401" wp14:editId="7A7F1FD4">
              <wp:simplePos x="0" y="0"/>
              <wp:positionH relativeFrom="page">
                <wp:posOffset>0</wp:posOffset>
              </wp:positionH>
              <wp:positionV relativeFrom="page">
                <wp:posOffset>10227945</wp:posOffset>
              </wp:positionV>
              <wp:extent cx="7560310" cy="273050"/>
              <wp:effectExtent l="0" t="0" r="0" b="12700"/>
              <wp:wrapNone/>
              <wp:docPr id="24" name="MSIPCM9fbf492e886cecfd0d1ca554"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00E41401" id="_x0000_t202" coordsize="21600,21600" o:spt="202" path="m,l,21600r21600,l21600,xe">
              <v:stroke joinstyle="miter"/>
              <v:path gradientshapeok="t" o:connecttype="rect"/>
            </v:shapetype>
            <v:shape id="MSIPCM9fbf492e886cecfd0d1ca554"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0BDD4DEF" w14:textId="5BD3A257"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rsidRPr="008E49B3">
      <w:rPr>
        <w:noProof w:val="0"/>
      </w:rPr>
      <w:fldChar w:fldCharType="begin"/>
    </w:r>
    <w:r w:rsidR="00AD40A7" w:rsidRPr="008E49B3">
      <w:instrText xml:space="preserve"> StyleRef “Title” </w:instrText>
    </w:r>
    <w:r w:rsidR="00AD40A7" w:rsidRPr="008E49B3">
      <w:rPr>
        <w:noProof w:val="0"/>
      </w:rPr>
      <w:fldChar w:fldCharType="separate"/>
    </w:r>
    <w:r w:rsidR="004A2B3B">
      <w:t>Accounting policy update – newsletter</w:t>
    </w:r>
    <w:r w:rsidR="00AD40A7" w:rsidRPr="008E49B3">
      <w:fldChar w:fldCharType="end"/>
    </w:r>
    <w:r w:rsidR="00AD40A7">
      <w:t xml:space="preserve"> – </w:t>
    </w:r>
    <w:r w:rsidR="00AD40A7" w:rsidRPr="008E49B3">
      <w:rPr>
        <w:noProof w:val="0"/>
      </w:rPr>
      <w:fldChar w:fldCharType="begin"/>
    </w:r>
    <w:r w:rsidR="00AD40A7" w:rsidRPr="008E49B3">
      <w:instrText xml:space="preserve"> StyleRef “</w:instrText>
    </w:r>
    <w:r w:rsidR="00AD40A7">
      <w:instrText>Subt</w:instrText>
    </w:r>
    <w:r w:rsidR="00AD40A7" w:rsidRPr="008E49B3">
      <w:instrText xml:space="preserve">itle” </w:instrText>
    </w:r>
    <w:r w:rsidR="00AD40A7" w:rsidRPr="008E49B3">
      <w:rPr>
        <w:noProof w:val="0"/>
      </w:rPr>
      <w:fldChar w:fldCharType="separate"/>
    </w:r>
    <w:r w:rsidR="004A2B3B">
      <w:t>Edition No. 41 December 2021</w:t>
    </w:r>
    <w:r w:rsidR="00AD40A7" w:rsidRPr="008E49B3">
      <w:fldChar w:fldCharType="end"/>
    </w:r>
    <w:r w:rsidR="00AD40A7">
      <w:tab/>
      <w:t xml:space="preserve">Page </w:t>
    </w:r>
    <w:r w:rsidR="00AD40A7">
      <w:fldChar w:fldCharType="begin"/>
    </w:r>
    <w:r w:rsidR="00AD40A7">
      <w:instrText xml:space="preserve"> page </w:instrText>
    </w:r>
    <w:r w:rsidR="00AD40A7">
      <w:fldChar w:fldCharType="separate"/>
    </w:r>
    <w:r w:rsidR="00AD40A7">
      <w:t>2</w:t>
    </w:r>
    <w:r w:rsidR="00AD40A7">
      <w:fldChar w:fldCharType="end"/>
    </w:r>
  </w:p>
  <w:p w14:paraId="1DA7EA1F" w14:textId="77777777" w:rsidR="00AD40A7" w:rsidRPr="00C022F9" w:rsidRDefault="00AD40A7" w:rsidP="006805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0ED59" w14:textId="2ABE7C77" w:rsidR="00AD40A7" w:rsidRDefault="00DF694F" w:rsidP="004C7125">
    <w:pPr>
      <w:pStyle w:val="Footer"/>
      <w:jc w:val="right"/>
    </w:pPr>
    <w:r>
      <mc:AlternateContent>
        <mc:Choice Requires="wps">
          <w:drawing>
            <wp:anchor distT="0" distB="0" distL="114300" distR="114300" simplePos="0" relativeHeight="251658242" behindDoc="0" locked="0" layoutInCell="0" allowOverlap="1" wp14:anchorId="3A9C3313" wp14:editId="56CB1A9E">
              <wp:simplePos x="0" y="0"/>
              <wp:positionH relativeFrom="page">
                <wp:posOffset>0</wp:posOffset>
              </wp:positionH>
              <wp:positionV relativeFrom="page">
                <wp:posOffset>10227945</wp:posOffset>
              </wp:positionV>
              <wp:extent cx="7560310" cy="273050"/>
              <wp:effectExtent l="0" t="0" r="0" b="12700"/>
              <wp:wrapNone/>
              <wp:docPr id="25" name="MSIPCM69d44bc6b8b8b8ee861798f8"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ED13" w14:textId="5C9198AF"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w16sdtdh="http://schemas.microsoft.com/office/word/2020/wordml/sdtdatahash">
          <w:pict>
            <v:shapetype w14:anchorId="3A9C3313" id="_x0000_t202" coordsize="21600,21600" o:spt="202" path="m,l,21600r21600,l21600,xe">
              <v:stroke joinstyle="miter"/>
              <v:path gradientshapeok="t" o:connecttype="rect"/>
            </v:shapetype>
            <v:shape id="MSIPCM69d44bc6b8b8b8ee861798f8" o:spid="_x0000_s1027" type="#_x0000_t202" alt="{&quot;HashCode&quot;:-1267603503,&quot;Height&quot;:841.0,&quot;Width&quot;:595.0,&quot;Placement&quot;:&quot;Footer&quot;,&quot;Index&quot;:&quot;FirstPage&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2931ED13" w14:textId="5C9198AF" w:rsidR="00DF694F" w:rsidRPr="00DF694F" w:rsidRDefault="00DF694F" w:rsidP="00DF694F">
                    <w:pPr>
                      <w:spacing w:before="0" w:after="0"/>
                      <w:rPr>
                        <w:rFonts w:ascii="Calibri" w:hAnsi="Calibri" w:cs="Calibri"/>
                        <w:color w:val="000000"/>
                        <w:sz w:val="22"/>
                      </w:rPr>
                    </w:pPr>
                    <w:r w:rsidRPr="00DF694F">
                      <w:rPr>
                        <w:rFonts w:ascii="Calibri" w:hAnsi="Calibri" w:cs="Calibri"/>
                        <w:color w:val="000000"/>
                        <w:sz w:val="22"/>
                      </w:rPr>
                      <w:t>OFFICIAL</w:t>
                    </w:r>
                  </w:p>
                </w:txbxContent>
              </v:textbox>
              <w10:wrap anchorx="page" anchory="page"/>
            </v:shape>
          </w:pict>
        </mc:Fallback>
      </mc:AlternateContent>
    </w:r>
    <w:r w:rsidR="00AD40A7">
      <w:drawing>
        <wp:inline distT="0" distB="0" distL="0" distR="0" wp14:anchorId="6B0241C6" wp14:editId="50A22803">
          <wp:extent cx="1536192" cy="457200"/>
          <wp:effectExtent l="0" t="0" r="6985" b="0"/>
          <wp:docPr id="8"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2526" w14:textId="5DBCEC06" w:rsidR="00AD40A7" w:rsidRDefault="00AD40A7" w:rsidP="004C7125">
    <w:pPr>
      <w:pStyle w:val="Footer"/>
      <w:jc w:val="right"/>
    </w:pPr>
    <w:r>
      <w:drawing>
        <wp:inline distT="0" distB="0" distL="0" distR="0" wp14:anchorId="64C3D504" wp14:editId="47CFF75C">
          <wp:extent cx="1536192" cy="457200"/>
          <wp:effectExtent l="0" t="0" r="6985" b="0"/>
          <wp:docPr id="12"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DD310" w14:textId="77777777" w:rsidR="005A732A" w:rsidRDefault="005A732A" w:rsidP="006805B9">
      <w:r>
        <w:separator/>
      </w:r>
    </w:p>
  </w:footnote>
  <w:footnote w:type="continuationSeparator" w:id="0">
    <w:p w14:paraId="192F6A7B" w14:textId="77777777" w:rsidR="005A732A" w:rsidRDefault="005A732A" w:rsidP="006805B9">
      <w:r>
        <w:continuationSeparator/>
      </w:r>
    </w:p>
  </w:footnote>
  <w:footnote w:type="continuationNotice" w:id="1">
    <w:p w14:paraId="7462EE1D" w14:textId="77777777" w:rsidR="005A732A" w:rsidRDefault="005A732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F9DF3" w14:textId="77777777" w:rsidR="004A2B3B" w:rsidRDefault="004A2B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908E0" w14:textId="77777777" w:rsidR="00AD40A7" w:rsidRPr="0041689E" w:rsidRDefault="00AD40A7" w:rsidP="006805B9">
    <w:pPr>
      <w:pStyle w:val="Header"/>
    </w:pPr>
    <w:r>
      <w:rPr>
        <w:noProof/>
      </w:rPr>
      <mc:AlternateContent>
        <mc:Choice Requires="wpg">
          <w:drawing>
            <wp:anchor distT="0" distB="0" distL="114300" distR="114300" simplePos="0" relativeHeight="251658240" behindDoc="0" locked="0" layoutInCell="1" allowOverlap="1" wp14:anchorId="7C6A77CA" wp14:editId="1B827460">
              <wp:simplePos x="0" y="0"/>
              <wp:positionH relativeFrom="page">
                <wp:posOffset>-31805</wp:posOffset>
              </wp:positionH>
              <wp:positionV relativeFrom="paragraph">
                <wp:posOffset>-440359</wp:posOffset>
              </wp:positionV>
              <wp:extent cx="7653528" cy="896112"/>
              <wp:effectExtent l="0" t="0" r="5080" b="0"/>
              <wp:wrapTopAndBottom/>
              <wp:docPr id="1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w:pict>
            <v:group w14:anchorId="31941BAB" id="Page banner" o:spid="_x0000_s1026" alt="&quot;&quot;" style="position:absolute;margin-left:-2.5pt;margin-top:-34.65pt;width:602.65pt;height:70.55pt;z-index:251658240;mso-position-horizontal-relative:page;mso-width-relative:margin;mso-height-relative:margin" coordorigin="9144,5247" coordsize="54209,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o:spid="_x0000_s1027" style="position:absolute;left:39239;top:5247;width:24114;height:6359;visibility:visible;mso-wrap-style:square;v-text-anchor:middle" coordsize="2411445,63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path="m2411445,l,,300185,635888r2098420,-2919c2399050,376461,2411000,256508,2411445,xe" fillcolor="#00bac7 [3204]" stroked="f">
                <v:stroke joinstyle="miter"/>
                <v:path arrowok="t" o:connecttype="custom" o:connectlocs="2411445,0;0,0;300185,635888;2398605,632969;2411445,0" o:connectangles="0,0,0,0,0"/>
              </v:shape>
              <v:shape id="Shape 1" o:spid="_x0000_s1028" style="position:absolute;left:9144;top:5247;width:33290;height:3375;visibility:visible;mso-wrap-style:square;v-text-anchor:middle" coordsize="3329082,3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path="m,337471r3169539,l3329083,,,,,337471xe" fillcolor="#232b39 [3213]" stroked="f">
                <v:stroke joinstyle="miter"/>
                <v:path arrowok="t" o:connecttype="custom" o:connectlocs="0,337471;3169539,337471;3329083,0;0,0;0,337471" o:connectangles="0,0,0,0,0"/>
              </v:shape>
              <w10:wrap type="topAndBottom"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F3753" w14:textId="77777777" w:rsidR="004A2B3B" w:rsidRDefault="004A2B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AA363" w14:textId="77777777" w:rsidR="00AD40A7" w:rsidRDefault="00AD40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278B9"/>
    <w:multiLevelType w:val="hybridMultilevel"/>
    <w:tmpl w:val="643A80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507E2"/>
    <w:multiLevelType w:val="multilevel"/>
    <w:tmpl w:val="4D1EE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0C4C1F"/>
    <w:multiLevelType w:val="hybridMultilevel"/>
    <w:tmpl w:val="2A7C4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 w15:restartNumberingAfterBreak="0">
    <w:nsid w:val="45FE52DC"/>
    <w:multiLevelType w:val="multilevel"/>
    <w:tmpl w:val="EEA008DE"/>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4CF46D53"/>
    <w:multiLevelType w:val="hybridMultilevel"/>
    <w:tmpl w:val="ADE6F71A"/>
    <w:lvl w:ilvl="0" w:tplc="30F44FF2">
      <w:start w:val="1"/>
      <w:numFmt w:val="bullet"/>
      <w:lvlText w:val="•"/>
      <w:lvlJc w:val="left"/>
      <w:pPr>
        <w:tabs>
          <w:tab w:val="num" w:pos="720"/>
        </w:tabs>
        <w:ind w:left="720" w:hanging="360"/>
      </w:pPr>
      <w:rPr>
        <w:rFonts w:ascii="Arial" w:hAnsi="Arial" w:hint="default"/>
      </w:rPr>
    </w:lvl>
    <w:lvl w:ilvl="1" w:tplc="4FD07606" w:tentative="1">
      <w:start w:val="1"/>
      <w:numFmt w:val="bullet"/>
      <w:lvlText w:val="•"/>
      <w:lvlJc w:val="left"/>
      <w:pPr>
        <w:tabs>
          <w:tab w:val="num" w:pos="1440"/>
        </w:tabs>
        <w:ind w:left="1440" w:hanging="360"/>
      </w:pPr>
      <w:rPr>
        <w:rFonts w:ascii="Arial" w:hAnsi="Arial" w:hint="default"/>
      </w:rPr>
    </w:lvl>
    <w:lvl w:ilvl="2" w:tplc="4446A854" w:tentative="1">
      <w:start w:val="1"/>
      <w:numFmt w:val="bullet"/>
      <w:lvlText w:val="•"/>
      <w:lvlJc w:val="left"/>
      <w:pPr>
        <w:tabs>
          <w:tab w:val="num" w:pos="2160"/>
        </w:tabs>
        <w:ind w:left="2160" w:hanging="360"/>
      </w:pPr>
      <w:rPr>
        <w:rFonts w:ascii="Arial" w:hAnsi="Arial" w:hint="default"/>
      </w:rPr>
    </w:lvl>
    <w:lvl w:ilvl="3" w:tplc="2B326736" w:tentative="1">
      <w:start w:val="1"/>
      <w:numFmt w:val="bullet"/>
      <w:lvlText w:val="•"/>
      <w:lvlJc w:val="left"/>
      <w:pPr>
        <w:tabs>
          <w:tab w:val="num" w:pos="2880"/>
        </w:tabs>
        <w:ind w:left="2880" w:hanging="360"/>
      </w:pPr>
      <w:rPr>
        <w:rFonts w:ascii="Arial" w:hAnsi="Arial" w:hint="default"/>
      </w:rPr>
    </w:lvl>
    <w:lvl w:ilvl="4" w:tplc="1D24551A" w:tentative="1">
      <w:start w:val="1"/>
      <w:numFmt w:val="bullet"/>
      <w:lvlText w:val="•"/>
      <w:lvlJc w:val="left"/>
      <w:pPr>
        <w:tabs>
          <w:tab w:val="num" w:pos="3600"/>
        </w:tabs>
        <w:ind w:left="3600" w:hanging="360"/>
      </w:pPr>
      <w:rPr>
        <w:rFonts w:ascii="Arial" w:hAnsi="Arial" w:hint="default"/>
      </w:rPr>
    </w:lvl>
    <w:lvl w:ilvl="5" w:tplc="44EEABB8" w:tentative="1">
      <w:start w:val="1"/>
      <w:numFmt w:val="bullet"/>
      <w:lvlText w:val="•"/>
      <w:lvlJc w:val="left"/>
      <w:pPr>
        <w:tabs>
          <w:tab w:val="num" w:pos="4320"/>
        </w:tabs>
        <w:ind w:left="4320" w:hanging="360"/>
      </w:pPr>
      <w:rPr>
        <w:rFonts w:ascii="Arial" w:hAnsi="Arial" w:hint="default"/>
      </w:rPr>
    </w:lvl>
    <w:lvl w:ilvl="6" w:tplc="2AB6E566" w:tentative="1">
      <w:start w:val="1"/>
      <w:numFmt w:val="bullet"/>
      <w:lvlText w:val="•"/>
      <w:lvlJc w:val="left"/>
      <w:pPr>
        <w:tabs>
          <w:tab w:val="num" w:pos="5040"/>
        </w:tabs>
        <w:ind w:left="5040" w:hanging="360"/>
      </w:pPr>
      <w:rPr>
        <w:rFonts w:ascii="Arial" w:hAnsi="Arial" w:hint="default"/>
      </w:rPr>
    </w:lvl>
    <w:lvl w:ilvl="7" w:tplc="10167F3A" w:tentative="1">
      <w:start w:val="1"/>
      <w:numFmt w:val="bullet"/>
      <w:lvlText w:val="•"/>
      <w:lvlJc w:val="left"/>
      <w:pPr>
        <w:tabs>
          <w:tab w:val="num" w:pos="5760"/>
        </w:tabs>
        <w:ind w:left="5760" w:hanging="360"/>
      </w:pPr>
      <w:rPr>
        <w:rFonts w:ascii="Arial" w:hAnsi="Arial" w:hint="default"/>
      </w:rPr>
    </w:lvl>
    <w:lvl w:ilvl="8" w:tplc="41EA204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E6C18EA"/>
    <w:multiLevelType w:val="hybridMultilevel"/>
    <w:tmpl w:val="D9C4E7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0042704"/>
    <w:multiLevelType w:val="multilevel"/>
    <w:tmpl w:val="EB188BC0"/>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Symbol" w:hAnsi="Symbol"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9" w15:restartNumberingAfterBreak="0">
    <w:nsid w:val="732357EB"/>
    <w:multiLevelType w:val="multilevel"/>
    <w:tmpl w:val="3B708004"/>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Wingdings" w:hAnsi="Wingdings"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0"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D44514"/>
    <w:multiLevelType w:val="multilevel"/>
    <w:tmpl w:val="2482075E"/>
    <w:lvl w:ilvl="0">
      <w:start w:val="1"/>
      <w:numFmt w:val="lowerLetter"/>
      <w:pStyle w:val="Listnum"/>
      <w:lvlText w:val="(%1)"/>
      <w:lvlJc w:val="left"/>
      <w:pPr>
        <w:tabs>
          <w:tab w:val="num" w:pos="360"/>
        </w:tabs>
        <w:ind w:left="360" w:hanging="360"/>
      </w:pPr>
      <w:rPr>
        <w:rFonts w:hint="default"/>
        <w:b w:val="0"/>
        <w:bCs w:val="0"/>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abstractNumId w:val="4"/>
  </w:num>
  <w:num w:numId="2">
    <w:abstractNumId w:val="4"/>
  </w:num>
  <w:num w:numId="3">
    <w:abstractNumId w:val="10"/>
  </w:num>
  <w:num w:numId="4">
    <w:abstractNumId w:val="11"/>
  </w:num>
  <w:num w:numId="5">
    <w:abstractNumId w:val="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 w:numId="9">
    <w:abstractNumId w:val="5"/>
  </w:num>
  <w:num w:numId="10">
    <w:abstractNumId w:val="9"/>
  </w:num>
  <w:num w:numId="11">
    <w:abstractNumId w:val="8"/>
  </w:num>
  <w:num w:numId="12">
    <w:abstractNumId w:val="0"/>
  </w:num>
  <w:num w:numId="13">
    <w:abstractNumId w:val="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0C7"/>
    <w:rsid w:val="0000015E"/>
    <w:rsid w:val="0000018F"/>
    <w:rsid w:val="000003FF"/>
    <w:rsid w:val="00000661"/>
    <w:rsid w:val="000008A9"/>
    <w:rsid w:val="00000960"/>
    <w:rsid w:val="00000B11"/>
    <w:rsid w:val="00000BF1"/>
    <w:rsid w:val="00000FBC"/>
    <w:rsid w:val="00001007"/>
    <w:rsid w:val="000010FF"/>
    <w:rsid w:val="00001120"/>
    <w:rsid w:val="0000115C"/>
    <w:rsid w:val="00001574"/>
    <w:rsid w:val="00001BF1"/>
    <w:rsid w:val="00001CC6"/>
    <w:rsid w:val="00001EA8"/>
    <w:rsid w:val="00001F9E"/>
    <w:rsid w:val="00002118"/>
    <w:rsid w:val="00002976"/>
    <w:rsid w:val="000030A5"/>
    <w:rsid w:val="000032DA"/>
    <w:rsid w:val="000037C1"/>
    <w:rsid w:val="00003AD4"/>
    <w:rsid w:val="00004019"/>
    <w:rsid w:val="0000401B"/>
    <w:rsid w:val="000041E0"/>
    <w:rsid w:val="00004A98"/>
    <w:rsid w:val="00005493"/>
    <w:rsid w:val="000057DB"/>
    <w:rsid w:val="00005BAE"/>
    <w:rsid w:val="00005C39"/>
    <w:rsid w:val="00005EFE"/>
    <w:rsid w:val="00006348"/>
    <w:rsid w:val="0000636B"/>
    <w:rsid w:val="00006B92"/>
    <w:rsid w:val="00006F27"/>
    <w:rsid w:val="000073AC"/>
    <w:rsid w:val="000074C9"/>
    <w:rsid w:val="00007541"/>
    <w:rsid w:val="000075E4"/>
    <w:rsid w:val="00007611"/>
    <w:rsid w:val="00007809"/>
    <w:rsid w:val="00007813"/>
    <w:rsid w:val="00007B33"/>
    <w:rsid w:val="0001035B"/>
    <w:rsid w:val="000109AF"/>
    <w:rsid w:val="00010EED"/>
    <w:rsid w:val="000110A9"/>
    <w:rsid w:val="00011173"/>
    <w:rsid w:val="00011281"/>
    <w:rsid w:val="00011888"/>
    <w:rsid w:val="00011A3E"/>
    <w:rsid w:val="00011B73"/>
    <w:rsid w:val="000120F9"/>
    <w:rsid w:val="000122B5"/>
    <w:rsid w:val="000124FA"/>
    <w:rsid w:val="000125F7"/>
    <w:rsid w:val="00012951"/>
    <w:rsid w:val="00012B68"/>
    <w:rsid w:val="00012BB3"/>
    <w:rsid w:val="00012CD9"/>
    <w:rsid w:val="00012F6F"/>
    <w:rsid w:val="000130A8"/>
    <w:rsid w:val="00014213"/>
    <w:rsid w:val="000146FA"/>
    <w:rsid w:val="000147EF"/>
    <w:rsid w:val="00014950"/>
    <w:rsid w:val="00014B55"/>
    <w:rsid w:val="00014B75"/>
    <w:rsid w:val="00014F06"/>
    <w:rsid w:val="00015656"/>
    <w:rsid w:val="000164C7"/>
    <w:rsid w:val="00016658"/>
    <w:rsid w:val="00016672"/>
    <w:rsid w:val="000166C5"/>
    <w:rsid w:val="00016D1E"/>
    <w:rsid w:val="000177D5"/>
    <w:rsid w:val="00017A29"/>
    <w:rsid w:val="000202CC"/>
    <w:rsid w:val="0002092F"/>
    <w:rsid w:val="000209F6"/>
    <w:rsid w:val="00020E3E"/>
    <w:rsid w:val="0002149A"/>
    <w:rsid w:val="000217C6"/>
    <w:rsid w:val="000218F6"/>
    <w:rsid w:val="000219F2"/>
    <w:rsid w:val="00022130"/>
    <w:rsid w:val="000227ED"/>
    <w:rsid w:val="00022A04"/>
    <w:rsid w:val="00022E2D"/>
    <w:rsid w:val="00022E4B"/>
    <w:rsid w:val="00022FD0"/>
    <w:rsid w:val="00023056"/>
    <w:rsid w:val="0002330B"/>
    <w:rsid w:val="00023554"/>
    <w:rsid w:val="0002356E"/>
    <w:rsid w:val="00023A58"/>
    <w:rsid w:val="00023A87"/>
    <w:rsid w:val="00023BF3"/>
    <w:rsid w:val="0002406F"/>
    <w:rsid w:val="000240FF"/>
    <w:rsid w:val="00024212"/>
    <w:rsid w:val="00024BF9"/>
    <w:rsid w:val="00024FBF"/>
    <w:rsid w:val="000257D6"/>
    <w:rsid w:val="00025DAC"/>
    <w:rsid w:val="00026811"/>
    <w:rsid w:val="00026AF5"/>
    <w:rsid w:val="00026C09"/>
    <w:rsid w:val="00026E1E"/>
    <w:rsid w:val="0002705D"/>
    <w:rsid w:val="000270AB"/>
    <w:rsid w:val="0002726E"/>
    <w:rsid w:val="0002734C"/>
    <w:rsid w:val="0002743A"/>
    <w:rsid w:val="00027B1F"/>
    <w:rsid w:val="00027BB9"/>
    <w:rsid w:val="00027C52"/>
    <w:rsid w:val="000303DA"/>
    <w:rsid w:val="00030708"/>
    <w:rsid w:val="000309FA"/>
    <w:rsid w:val="00030B8C"/>
    <w:rsid w:val="00030E5F"/>
    <w:rsid w:val="00030EEC"/>
    <w:rsid w:val="00031228"/>
    <w:rsid w:val="00031517"/>
    <w:rsid w:val="000316D5"/>
    <w:rsid w:val="00031FB7"/>
    <w:rsid w:val="000322C0"/>
    <w:rsid w:val="00032B34"/>
    <w:rsid w:val="00032E69"/>
    <w:rsid w:val="00032EFA"/>
    <w:rsid w:val="00032F2D"/>
    <w:rsid w:val="00033004"/>
    <w:rsid w:val="00033255"/>
    <w:rsid w:val="000335D6"/>
    <w:rsid w:val="000335FF"/>
    <w:rsid w:val="00033AC9"/>
    <w:rsid w:val="00033CCF"/>
    <w:rsid w:val="00033D88"/>
    <w:rsid w:val="00033E5F"/>
    <w:rsid w:val="00033F68"/>
    <w:rsid w:val="00033F83"/>
    <w:rsid w:val="00034113"/>
    <w:rsid w:val="000350FE"/>
    <w:rsid w:val="00035433"/>
    <w:rsid w:val="00035500"/>
    <w:rsid w:val="00035641"/>
    <w:rsid w:val="00036039"/>
    <w:rsid w:val="000369C7"/>
    <w:rsid w:val="00036BAC"/>
    <w:rsid w:val="00037AB9"/>
    <w:rsid w:val="00037EAE"/>
    <w:rsid w:val="0004033B"/>
    <w:rsid w:val="000406DD"/>
    <w:rsid w:val="000407AB"/>
    <w:rsid w:val="00040833"/>
    <w:rsid w:val="00040CA1"/>
    <w:rsid w:val="0004101C"/>
    <w:rsid w:val="00041067"/>
    <w:rsid w:val="000412D2"/>
    <w:rsid w:val="00041552"/>
    <w:rsid w:val="000418B4"/>
    <w:rsid w:val="00041BA2"/>
    <w:rsid w:val="00041D29"/>
    <w:rsid w:val="00041D81"/>
    <w:rsid w:val="00041F12"/>
    <w:rsid w:val="00041FE6"/>
    <w:rsid w:val="00043247"/>
    <w:rsid w:val="00043296"/>
    <w:rsid w:val="0004356D"/>
    <w:rsid w:val="00043678"/>
    <w:rsid w:val="0004367A"/>
    <w:rsid w:val="00043894"/>
    <w:rsid w:val="00043D16"/>
    <w:rsid w:val="00043EE1"/>
    <w:rsid w:val="0004430F"/>
    <w:rsid w:val="000444BC"/>
    <w:rsid w:val="0004504C"/>
    <w:rsid w:val="00045296"/>
    <w:rsid w:val="000458A5"/>
    <w:rsid w:val="000460C0"/>
    <w:rsid w:val="000460E6"/>
    <w:rsid w:val="0004647F"/>
    <w:rsid w:val="00046972"/>
    <w:rsid w:val="00046BF3"/>
    <w:rsid w:val="00047340"/>
    <w:rsid w:val="0004758E"/>
    <w:rsid w:val="000477E1"/>
    <w:rsid w:val="00047A51"/>
    <w:rsid w:val="00047C7C"/>
    <w:rsid w:val="000500AA"/>
    <w:rsid w:val="000502CE"/>
    <w:rsid w:val="0005057A"/>
    <w:rsid w:val="000509D6"/>
    <w:rsid w:val="00050BBF"/>
    <w:rsid w:val="00050D1B"/>
    <w:rsid w:val="00050EBD"/>
    <w:rsid w:val="00050FC6"/>
    <w:rsid w:val="000511FB"/>
    <w:rsid w:val="000511FC"/>
    <w:rsid w:val="0005143D"/>
    <w:rsid w:val="00051C81"/>
    <w:rsid w:val="00051CEB"/>
    <w:rsid w:val="00051F12"/>
    <w:rsid w:val="00051F1A"/>
    <w:rsid w:val="00052076"/>
    <w:rsid w:val="0005236F"/>
    <w:rsid w:val="0005274E"/>
    <w:rsid w:val="000533FD"/>
    <w:rsid w:val="000533FF"/>
    <w:rsid w:val="000534D3"/>
    <w:rsid w:val="000535F6"/>
    <w:rsid w:val="00053798"/>
    <w:rsid w:val="00053938"/>
    <w:rsid w:val="000539A5"/>
    <w:rsid w:val="000539B3"/>
    <w:rsid w:val="00053AB3"/>
    <w:rsid w:val="00053ABA"/>
    <w:rsid w:val="00053B0B"/>
    <w:rsid w:val="00053BD6"/>
    <w:rsid w:val="00053C88"/>
    <w:rsid w:val="00053F9D"/>
    <w:rsid w:val="00054437"/>
    <w:rsid w:val="0005454B"/>
    <w:rsid w:val="00054AF0"/>
    <w:rsid w:val="00054DE2"/>
    <w:rsid w:val="00055016"/>
    <w:rsid w:val="0005563C"/>
    <w:rsid w:val="0005626D"/>
    <w:rsid w:val="000563CC"/>
    <w:rsid w:val="000563D4"/>
    <w:rsid w:val="000564B1"/>
    <w:rsid w:val="00056898"/>
    <w:rsid w:val="00056AEA"/>
    <w:rsid w:val="00056C1D"/>
    <w:rsid w:val="00056D5F"/>
    <w:rsid w:val="00056EB1"/>
    <w:rsid w:val="00056F02"/>
    <w:rsid w:val="00057528"/>
    <w:rsid w:val="00057C33"/>
    <w:rsid w:val="00057F94"/>
    <w:rsid w:val="00057FBA"/>
    <w:rsid w:val="00060101"/>
    <w:rsid w:val="000602B8"/>
    <w:rsid w:val="00060380"/>
    <w:rsid w:val="000604AC"/>
    <w:rsid w:val="00060696"/>
    <w:rsid w:val="000609E1"/>
    <w:rsid w:val="00060E5D"/>
    <w:rsid w:val="0006119E"/>
    <w:rsid w:val="00061227"/>
    <w:rsid w:val="00061309"/>
    <w:rsid w:val="000617A6"/>
    <w:rsid w:val="00062159"/>
    <w:rsid w:val="000623A3"/>
    <w:rsid w:val="0006252D"/>
    <w:rsid w:val="00062690"/>
    <w:rsid w:val="00062766"/>
    <w:rsid w:val="00062B95"/>
    <w:rsid w:val="00062EFB"/>
    <w:rsid w:val="00063568"/>
    <w:rsid w:val="00063735"/>
    <w:rsid w:val="00063B23"/>
    <w:rsid w:val="00063B96"/>
    <w:rsid w:val="00063D10"/>
    <w:rsid w:val="00063E7F"/>
    <w:rsid w:val="000641DD"/>
    <w:rsid w:val="00064248"/>
    <w:rsid w:val="000643CA"/>
    <w:rsid w:val="000645CA"/>
    <w:rsid w:val="000647F0"/>
    <w:rsid w:val="00064BB6"/>
    <w:rsid w:val="00064C4D"/>
    <w:rsid w:val="00065584"/>
    <w:rsid w:val="00065C19"/>
    <w:rsid w:val="00065DAB"/>
    <w:rsid w:val="00065E30"/>
    <w:rsid w:val="0006625E"/>
    <w:rsid w:val="0006642A"/>
    <w:rsid w:val="00066566"/>
    <w:rsid w:val="00066D97"/>
    <w:rsid w:val="00066F05"/>
    <w:rsid w:val="000671C3"/>
    <w:rsid w:val="00067413"/>
    <w:rsid w:val="00067523"/>
    <w:rsid w:val="00067595"/>
    <w:rsid w:val="000675C6"/>
    <w:rsid w:val="00067716"/>
    <w:rsid w:val="00067EA4"/>
    <w:rsid w:val="00067EA6"/>
    <w:rsid w:val="00070572"/>
    <w:rsid w:val="0007076E"/>
    <w:rsid w:val="000708CB"/>
    <w:rsid w:val="00070E08"/>
    <w:rsid w:val="00071014"/>
    <w:rsid w:val="000717EC"/>
    <w:rsid w:val="00071B4F"/>
    <w:rsid w:val="000722FA"/>
    <w:rsid w:val="000724DD"/>
    <w:rsid w:val="000726A4"/>
    <w:rsid w:val="0007296A"/>
    <w:rsid w:val="00072A2A"/>
    <w:rsid w:val="00072D96"/>
    <w:rsid w:val="0007312F"/>
    <w:rsid w:val="00073516"/>
    <w:rsid w:val="00073AAB"/>
    <w:rsid w:val="000742A6"/>
    <w:rsid w:val="00074996"/>
    <w:rsid w:val="00074CA5"/>
    <w:rsid w:val="00075324"/>
    <w:rsid w:val="000758E1"/>
    <w:rsid w:val="00075A3F"/>
    <w:rsid w:val="00075E6C"/>
    <w:rsid w:val="000760E8"/>
    <w:rsid w:val="000761FF"/>
    <w:rsid w:val="000765B3"/>
    <w:rsid w:val="00076738"/>
    <w:rsid w:val="000769DF"/>
    <w:rsid w:val="000770E7"/>
    <w:rsid w:val="000774B2"/>
    <w:rsid w:val="000775EB"/>
    <w:rsid w:val="000778FE"/>
    <w:rsid w:val="00077A57"/>
    <w:rsid w:val="00077EF6"/>
    <w:rsid w:val="00080431"/>
    <w:rsid w:val="00080447"/>
    <w:rsid w:val="000805A0"/>
    <w:rsid w:val="00080821"/>
    <w:rsid w:val="000808E1"/>
    <w:rsid w:val="000809B5"/>
    <w:rsid w:val="00080A66"/>
    <w:rsid w:val="00080D43"/>
    <w:rsid w:val="00081E98"/>
    <w:rsid w:val="00081F43"/>
    <w:rsid w:val="00082D64"/>
    <w:rsid w:val="000830D4"/>
    <w:rsid w:val="000831EF"/>
    <w:rsid w:val="00083270"/>
    <w:rsid w:val="00083342"/>
    <w:rsid w:val="0008339A"/>
    <w:rsid w:val="0008373C"/>
    <w:rsid w:val="00083BB2"/>
    <w:rsid w:val="00083C3F"/>
    <w:rsid w:val="00083C45"/>
    <w:rsid w:val="0008405B"/>
    <w:rsid w:val="000841E1"/>
    <w:rsid w:val="0008446F"/>
    <w:rsid w:val="00084483"/>
    <w:rsid w:val="00084CF3"/>
    <w:rsid w:val="00084E33"/>
    <w:rsid w:val="00084EAA"/>
    <w:rsid w:val="00085449"/>
    <w:rsid w:val="000854BC"/>
    <w:rsid w:val="00085514"/>
    <w:rsid w:val="0008597C"/>
    <w:rsid w:val="000859FA"/>
    <w:rsid w:val="00085FDD"/>
    <w:rsid w:val="00086277"/>
    <w:rsid w:val="000867C1"/>
    <w:rsid w:val="00086A52"/>
    <w:rsid w:val="00086C98"/>
    <w:rsid w:val="00086E34"/>
    <w:rsid w:val="0008721F"/>
    <w:rsid w:val="00087596"/>
    <w:rsid w:val="00087645"/>
    <w:rsid w:val="00087947"/>
    <w:rsid w:val="00087998"/>
    <w:rsid w:val="00087CA0"/>
    <w:rsid w:val="00087ED4"/>
    <w:rsid w:val="00090171"/>
    <w:rsid w:val="000903D3"/>
    <w:rsid w:val="000904BD"/>
    <w:rsid w:val="0009087D"/>
    <w:rsid w:val="00090F27"/>
    <w:rsid w:val="00091113"/>
    <w:rsid w:val="0009113B"/>
    <w:rsid w:val="0009138A"/>
    <w:rsid w:val="0009138F"/>
    <w:rsid w:val="000914AC"/>
    <w:rsid w:val="0009157E"/>
    <w:rsid w:val="00091A28"/>
    <w:rsid w:val="00091B33"/>
    <w:rsid w:val="00091F18"/>
    <w:rsid w:val="00091FB7"/>
    <w:rsid w:val="000924E1"/>
    <w:rsid w:val="000928E3"/>
    <w:rsid w:val="000929F0"/>
    <w:rsid w:val="00092F74"/>
    <w:rsid w:val="00093220"/>
    <w:rsid w:val="000934E1"/>
    <w:rsid w:val="000935F0"/>
    <w:rsid w:val="00093C70"/>
    <w:rsid w:val="00093C90"/>
    <w:rsid w:val="00093E55"/>
    <w:rsid w:val="00093F29"/>
    <w:rsid w:val="00094488"/>
    <w:rsid w:val="00094550"/>
    <w:rsid w:val="00094E12"/>
    <w:rsid w:val="00095322"/>
    <w:rsid w:val="00095840"/>
    <w:rsid w:val="000959DF"/>
    <w:rsid w:val="00095A21"/>
    <w:rsid w:val="00095BF0"/>
    <w:rsid w:val="00096198"/>
    <w:rsid w:val="00096261"/>
    <w:rsid w:val="00096412"/>
    <w:rsid w:val="00096456"/>
    <w:rsid w:val="00096C01"/>
    <w:rsid w:val="00096F53"/>
    <w:rsid w:val="0009716A"/>
    <w:rsid w:val="000972F1"/>
    <w:rsid w:val="0009753E"/>
    <w:rsid w:val="000975A3"/>
    <w:rsid w:val="0009763F"/>
    <w:rsid w:val="000A01A4"/>
    <w:rsid w:val="000A031E"/>
    <w:rsid w:val="000A04C0"/>
    <w:rsid w:val="000A04E2"/>
    <w:rsid w:val="000A06DC"/>
    <w:rsid w:val="000A0A51"/>
    <w:rsid w:val="000A11E9"/>
    <w:rsid w:val="000A12AB"/>
    <w:rsid w:val="000A1CD2"/>
    <w:rsid w:val="000A1F8B"/>
    <w:rsid w:val="000A1FEA"/>
    <w:rsid w:val="000A2425"/>
    <w:rsid w:val="000A24C6"/>
    <w:rsid w:val="000A2732"/>
    <w:rsid w:val="000A27A5"/>
    <w:rsid w:val="000A287F"/>
    <w:rsid w:val="000A2C28"/>
    <w:rsid w:val="000A2E7E"/>
    <w:rsid w:val="000A31F9"/>
    <w:rsid w:val="000A34A5"/>
    <w:rsid w:val="000A3507"/>
    <w:rsid w:val="000A356D"/>
    <w:rsid w:val="000A3B48"/>
    <w:rsid w:val="000A40C8"/>
    <w:rsid w:val="000A452D"/>
    <w:rsid w:val="000A45C4"/>
    <w:rsid w:val="000A47B1"/>
    <w:rsid w:val="000A482F"/>
    <w:rsid w:val="000A4844"/>
    <w:rsid w:val="000A4DE4"/>
    <w:rsid w:val="000A4EA5"/>
    <w:rsid w:val="000A5178"/>
    <w:rsid w:val="000A581F"/>
    <w:rsid w:val="000A5AA4"/>
    <w:rsid w:val="000A61CB"/>
    <w:rsid w:val="000A646A"/>
    <w:rsid w:val="000A6946"/>
    <w:rsid w:val="000A69EF"/>
    <w:rsid w:val="000A6F33"/>
    <w:rsid w:val="000A6FEB"/>
    <w:rsid w:val="000A72D3"/>
    <w:rsid w:val="000A73BD"/>
    <w:rsid w:val="000A7935"/>
    <w:rsid w:val="000A7C60"/>
    <w:rsid w:val="000A7F56"/>
    <w:rsid w:val="000B0036"/>
    <w:rsid w:val="000B0C27"/>
    <w:rsid w:val="000B0EEB"/>
    <w:rsid w:val="000B111D"/>
    <w:rsid w:val="000B15E1"/>
    <w:rsid w:val="000B197C"/>
    <w:rsid w:val="000B1A01"/>
    <w:rsid w:val="000B1C1C"/>
    <w:rsid w:val="000B1FC1"/>
    <w:rsid w:val="000B23F2"/>
    <w:rsid w:val="000B275B"/>
    <w:rsid w:val="000B29AD"/>
    <w:rsid w:val="000B2CA7"/>
    <w:rsid w:val="000B3166"/>
    <w:rsid w:val="000B3172"/>
    <w:rsid w:val="000B359C"/>
    <w:rsid w:val="000B3AD7"/>
    <w:rsid w:val="000B3D92"/>
    <w:rsid w:val="000B3E09"/>
    <w:rsid w:val="000B49CD"/>
    <w:rsid w:val="000B4C6A"/>
    <w:rsid w:val="000B4C90"/>
    <w:rsid w:val="000B4FB3"/>
    <w:rsid w:val="000B5456"/>
    <w:rsid w:val="000B58A8"/>
    <w:rsid w:val="000B5C3E"/>
    <w:rsid w:val="000B5CFD"/>
    <w:rsid w:val="000B5E21"/>
    <w:rsid w:val="000B6020"/>
    <w:rsid w:val="000B6075"/>
    <w:rsid w:val="000B6340"/>
    <w:rsid w:val="000B698B"/>
    <w:rsid w:val="000B6BBC"/>
    <w:rsid w:val="000B6CBA"/>
    <w:rsid w:val="000B70F5"/>
    <w:rsid w:val="000B71AD"/>
    <w:rsid w:val="000B764E"/>
    <w:rsid w:val="000B7977"/>
    <w:rsid w:val="000B7A3F"/>
    <w:rsid w:val="000B7C0A"/>
    <w:rsid w:val="000B7C51"/>
    <w:rsid w:val="000C043D"/>
    <w:rsid w:val="000C10ED"/>
    <w:rsid w:val="000C1162"/>
    <w:rsid w:val="000C1201"/>
    <w:rsid w:val="000C1494"/>
    <w:rsid w:val="000C16A1"/>
    <w:rsid w:val="000C1945"/>
    <w:rsid w:val="000C1977"/>
    <w:rsid w:val="000C1A53"/>
    <w:rsid w:val="000C1F52"/>
    <w:rsid w:val="000C1FBB"/>
    <w:rsid w:val="000C2364"/>
    <w:rsid w:val="000C24C1"/>
    <w:rsid w:val="000C2632"/>
    <w:rsid w:val="000C2CAE"/>
    <w:rsid w:val="000C2EEF"/>
    <w:rsid w:val="000C2F2B"/>
    <w:rsid w:val="000C304C"/>
    <w:rsid w:val="000C3062"/>
    <w:rsid w:val="000C37B8"/>
    <w:rsid w:val="000C399C"/>
    <w:rsid w:val="000C3AD0"/>
    <w:rsid w:val="000C483A"/>
    <w:rsid w:val="000C4EA7"/>
    <w:rsid w:val="000C51FB"/>
    <w:rsid w:val="000C520A"/>
    <w:rsid w:val="000C5631"/>
    <w:rsid w:val="000C56C0"/>
    <w:rsid w:val="000C5819"/>
    <w:rsid w:val="000C595F"/>
    <w:rsid w:val="000C5BF5"/>
    <w:rsid w:val="000C5CFF"/>
    <w:rsid w:val="000C5FE4"/>
    <w:rsid w:val="000C608C"/>
    <w:rsid w:val="000C6272"/>
    <w:rsid w:val="000C6330"/>
    <w:rsid w:val="000C6372"/>
    <w:rsid w:val="000C65E2"/>
    <w:rsid w:val="000C6916"/>
    <w:rsid w:val="000C6B35"/>
    <w:rsid w:val="000C6D0F"/>
    <w:rsid w:val="000C70AD"/>
    <w:rsid w:val="000C70C9"/>
    <w:rsid w:val="000C70F1"/>
    <w:rsid w:val="000C740B"/>
    <w:rsid w:val="000C79B7"/>
    <w:rsid w:val="000C7AC3"/>
    <w:rsid w:val="000D01A6"/>
    <w:rsid w:val="000D0535"/>
    <w:rsid w:val="000D05B0"/>
    <w:rsid w:val="000D09A2"/>
    <w:rsid w:val="000D0D7D"/>
    <w:rsid w:val="000D0DEF"/>
    <w:rsid w:val="000D0FC1"/>
    <w:rsid w:val="000D1278"/>
    <w:rsid w:val="000D159F"/>
    <w:rsid w:val="000D15FA"/>
    <w:rsid w:val="000D174B"/>
    <w:rsid w:val="000D2060"/>
    <w:rsid w:val="000D23E9"/>
    <w:rsid w:val="000D25A5"/>
    <w:rsid w:val="000D2641"/>
    <w:rsid w:val="000D27BA"/>
    <w:rsid w:val="000D2989"/>
    <w:rsid w:val="000D2D33"/>
    <w:rsid w:val="000D2FE8"/>
    <w:rsid w:val="000D3346"/>
    <w:rsid w:val="000D34FB"/>
    <w:rsid w:val="000D38E9"/>
    <w:rsid w:val="000D3A3C"/>
    <w:rsid w:val="000D3CAE"/>
    <w:rsid w:val="000D4314"/>
    <w:rsid w:val="000D4435"/>
    <w:rsid w:val="000D4645"/>
    <w:rsid w:val="000D46D6"/>
    <w:rsid w:val="000D4792"/>
    <w:rsid w:val="000D4B05"/>
    <w:rsid w:val="000D4D78"/>
    <w:rsid w:val="000D4DF2"/>
    <w:rsid w:val="000D4E4A"/>
    <w:rsid w:val="000D5497"/>
    <w:rsid w:val="000D55C9"/>
    <w:rsid w:val="000D55E9"/>
    <w:rsid w:val="000D5729"/>
    <w:rsid w:val="000D593F"/>
    <w:rsid w:val="000D5948"/>
    <w:rsid w:val="000D5B01"/>
    <w:rsid w:val="000D5B4F"/>
    <w:rsid w:val="000D5BF9"/>
    <w:rsid w:val="000D5F6B"/>
    <w:rsid w:val="000D60BE"/>
    <w:rsid w:val="000D631F"/>
    <w:rsid w:val="000D6610"/>
    <w:rsid w:val="000D69A6"/>
    <w:rsid w:val="000D69BC"/>
    <w:rsid w:val="000D6B06"/>
    <w:rsid w:val="000D74CE"/>
    <w:rsid w:val="000D7570"/>
    <w:rsid w:val="000E0091"/>
    <w:rsid w:val="000E00FF"/>
    <w:rsid w:val="000E058C"/>
    <w:rsid w:val="000E0664"/>
    <w:rsid w:val="000E06A3"/>
    <w:rsid w:val="000E06D8"/>
    <w:rsid w:val="000E0A46"/>
    <w:rsid w:val="000E10D0"/>
    <w:rsid w:val="000E13E5"/>
    <w:rsid w:val="000E182F"/>
    <w:rsid w:val="000E1855"/>
    <w:rsid w:val="000E296E"/>
    <w:rsid w:val="000E2E6E"/>
    <w:rsid w:val="000E2FC1"/>
    <w:rsid w:val="000E319E"/>
    <w:rsid w:val="000E346C"/>
    <w:rsid w:val="000E34A1"/>
    <w:rsid w:val="000E392D"/>
    <w:rsid w:val="000E39AB"/>
    <w:rsid w:val="000E3FEA"/>
    <w:rsid w:val="000E4440"/>
    <w:rsid w:val="000E45B5"/>
    <w:rsid w:val="000E4C0E"/>
    <w:rsid w:val="000E4C8D"/>
    <w:rsid w:val="000E4D71"/>
    <w:rsid w:val="000E571A"/>
    <w:rsid w:val="000E5A6B"/>
    <w:rsid w:val="000E5CCF"/>
    <w:rsid w:val="000E68E6"/>
    <w:rsid w:val="000E6B5A"/>
    <w:rsid w:val="000E7740"/>
    <w:rsid w:val="000E782B"/>
    <w:rsid w:val="000E7CE9"/>
    <w:rsid w:val="000F0269"/>
    <w:rsid w:val="000F0521"/>
    <w:rsid w:val="000F06BB"/>
    <w:rsid w:val="000F0D3D"/>
    <w:rsid w:val="000F1282"/>
    <w:rsid w:val="000F15A4"/>
    <w:rsid w:val="000F1A1C"/>
    <w:rsid w:val="000F1BFE"/>
    <w:rsid w:val="000F1CF9"/>
    <w:rsid w:val="000F1D8F"/>
    <w:rsid w:val="000F216E"/>
    <w:rsid w:val="000F255A"/>
    <w:rsid w:val="000F26EA"/>
    <w:rsid w:val="000F2906"/>
    <w:rsid w:val="000F2969"/>
    <w:rsid w:val="000F2BCD"/>
    <w:rsid w:val="000F2F03"/>
    <w:rsid w:val="000F33D6"/>
    <w:rsid w:val="000F3A72"/>
    <w:rsid w:val="000F3B17"/>
    <w:rsid w:val="000F3B28"/>
    <w:rsid w:val="000F4288"/>
    <w:rsid w:val="000F4483"/>
    <w:rsid w:val="000F4A11"/>
    <w:rsid w:val="000F4B94"/>
    <w:rsid w:val="000F4D6F"/>
    <w:rsid w:val="000F52CD"/>
    <w:rsid w:val="000F547B"/>
    <w:rsid w:val="000F5576"/>
    <w:rsid w:val="000F6287"/>
    <w:rsid w:val="000F6477"/>
    <w:rsid w:val="000F67DF"/>
    <w:rsid w:val="000F6AC2"/>
    <w:rsid w:val="000F6FFB"/>
    <w:rsid w:val="000F7045"/>
    <w:rsid w:val="000F7165"/>
    <w:rsid w:val="000F7406"/>
    <w:rsid w:val="000F74E2"/>
    <w:rsid w:val="000F7CB7"/>
    <w:rsid w:val="001000C0"/>
    <w:rsid w:val="00100B98"/>
    <w:rsid w:val="00100C6F"/>
    <w:rsid w:val="0010138C"/>
    <w:rsid w:val="00102144"/>
    <w:rsid w:val="00102379"/>
    <w:rsid w:val="0010282E"/>
    <w:rsid w:val="00102907"/>
    <w:rsid w:val="00102B0D"/>
    <w:rsid w:val="001030E7"/>
    <w:rsid w:val="001033DF"/>
    <w:rsid w:val="00103941"/>
    <w:rsid w:val="00103BE9"/>
    <w:rsid w:val="0010413A"/>
    <w:rsid w:val="00104655"/>
    <w:rsid w:val="00104B23"/>
    <w:rsid w:val="00104DA6"/>
    <w:rsid w:val="001050A3"/>
    <w:rsid w:val="00105453"/>
    <w:rsid w:val="001055A8"/>
    <w:rsid w:val="00105885"/>
    <w:rsid w:val="00105B80"/>
    <w:rsid w:val="001062F4"/>
    <w:rsid w:val="001065D6"/>
    <w:rsid w:val="0010686A"/>
    <w:rsid w:val="001068EE"/>
    <w:rsid w:val="001069F7"/>
    <w:rsid w:val="00106A34"/>
    <w:rsid w:val="00106C72"/>
    <w:rsid w:val="00106C78"/>
    <w:rsid w:val="001072AE"/>
    <w:rsid w:val="00107471"/>
    <w:rsid w:val="001079C2"/>
    <w:rsid w:val="00110812"/>
    <w:rsid w:val="0011088F"/>
    <w:rsid w:val="00110BE7"/>
    <w:rsid w:val="00110CF0"/>
    <w:rsid w:val="00110EE3"/>
    <w:rsid w:val="0011144D"/>
    <w:rsid w:val="00111539"/>
    <w:rsid w:val="0011180C"/>
    <w:rsid w:val="001119BF"/>
    <w:rsid w:val="00111BFD"/>
    <w:rsid w:val="0011208D"/>
    <w:rsid w:val="00112192"/>
    <w:rsid w:val="0011223E"/>
    <w:rsid w:val="00112623"/>
    <w:rsid w:val="00112E8F"/>
    <w:rsid w:val="001130FE"/>
    <w:rsid w:val="00113385"/>
    <w:rsid w:val="001137D9"/>
    <w:rsid w:val="00113C1E"/>
    <w:rsid w:val="00114430"/>
    <w:rsid w:val="001145F5"/>
    <w:rsid w:val="00115426"/>
    <w:rsid w:val="001155D3"/>
    <w:rsid w:val="00115666"/>
    <w:rsid w:val="001158AB"/>
    <w:rsid w:val="00115AC5"/>
    <w:rsid w:val="00115BC4"/>
    <w:rsid w:val="00115CAC"/>
    <w:rsid w:val="00115D23"/>
    <w:rsid w:val="00115DBB"/>
    <w:rsid w:val="00115E81"/>
    <w:rsid w:val="0011642F"/>
    <w:rsid w:val="00116A07"/>
    <w:rsid w:val="00116CA6"/>
    <w:rsid w:val="00117395"/>
    <w:rsid w:val="001173F8"/>
    <w:rsid w:val="001178A7"/>
    <w:rsid w:val="0012028B"/>
    <w:rsid w:val="00120347"/>
    <w:rsid w:val="00120935"/>
    <w:rsid w:val="0012124C"/>
    <w:rsid w:val="00121252"/>
    <w:rsid w:val="001216BC"/>
    <w:rsid w:val="00121714"/>
    <w:rsid w:val="00121F2D"/>
    <w:rsid w:val="001222F7"/>
    <w:rsid w:val="001225B6"/>
    <w:rsid w:val="00122B5B"/>
    <w:rsid w:val="0012323D"/>
    <w:rsid w:val="00123277"/>
    <w:rsid w:val="0012373D"/>
    <w:rsid w:val="00123DF6"/>
    <w:rsid w:val="00124111"/>
    <w:rsid w:val="00124132"/>
    <w:rsid w:val="001242E1"/>
    <w:rsid w:val="001242EF"/>
    <w:rsid w:val="00124609"/>
    <w:rsid w:val="00124CE2"/>
    <w:rsid w:val="00124F97"/>
    <w:rsid w:val="001254CE"/>
    <w:rsid w:val="00125514"/>
    <w:rsid w:val="00125542"/>
    <w:rsid w:val="0012562F"/>
    <w:rsid w:val="001259C5"/>
    <w:rsid w:val="00125C95"/>
    <w:rsid w:val="001267C2"/>
    <w:rsid w:val="00126A14"/>
    <w:rsid w:val="00126AF9"/>
    <w:rsid w:val="00126CC7"/>
    <w:rsid w:val="00126DD5"/>
    <w:rsid w:val="00126E42"/>
    <w:rsid w:val="00126FD4"/>
    <w:rsid w:val="00127157"/>
    <w:rsid w:val="001276E8"/>
    <w:rsid w:val="00127DD4"/>
    <w:rsid w:val="00130160"/>
    <w:rsid w:val="00130F66"/>
    <w:rsid w:val="001314E2"/>
    <w:rsid w:val="0013166B"/>
    <w:rsid w:val="00131E84"/>
    <w:rsid w:val="00132025"/>
    <w:rsid w:val="001326F6"/>
    <w:rsid w:val="001335B1"/>
    <w:rsid w:val="001335CD"/>
    <w:rsid w:val="00133BB7"/>
    <w:rsid w:val="00133CAB"/>
    <w:rsid w:val="00133D3A"/>
    <w:rsid w:val="00133DE3"/>
    <w:rsid w:val="00134624"/>
    <w:rsid w:val="00134B22"/>
    <w:rsid w:val="00134BA2"/>
    <w:rsid w:val="00134C58"/>
    <w:rsid w:val="00134C95"/>
    <w:rsid w:val="00134CEA"/>
    <w:rsid w:val="00134FA7"/>
    <w:rsid w:val="00135122"/>
    <w:rsid w:val="001356F5"/>
    <w:rsid w:val="001359F6"/>
    <w:rsid w:val="00135EAF"/>
    <w:rsid w:val="00136202"/>
    <w:rsid w:val="001362BB"/>
    <w:rsid w:val="00136903"/>
    <w:rsid w:val="00136EE7"/>
    <w:rsid w:val="00137018"/>
    <w:rsid w:val="001373B8"/>
    <w:rsid w:val="00137BC7"/>
    <w:rsid w:val="00140684"/>
    <w:rsid w:val="00140801"/>
    <w:rsid w:val="00140ADC"/>
    <w:rsid w:val="00140EEF"/>
    <w:rsid w:val="00141363"/>
    <w:rsid w:val="0014148B"/>
    <w:rsid w:val="0014158C"/>
    <w:rsid w:val="001415C5"/>
    <w:rsid w:val="001416B1"/>
    <w:rsid w:val="001416E0"/>
    <w:rsid w:val="00141BF6"/>
    <w:rsid w:val="00141FF1"/>
    <w:rsid w:val="00142075"/>
    <w:rsid w:val="0014208E"/>
    <w:rsid w:val="001422CC"/>
    <w:rsid w:val="001425E8"/>
    <w:rsid w:val="00142ADC"/>
    <w:rsid w:val="00142DCB"/>
    <w:rsid w:val="00142FEC"/>
    <w:rsid w:val="001439D3"/>
    <w:rsid w:val="00143D3E"/>
    <w:rsid w:val="00143EF9"/>
    <w:rsid w:val="0014436E"/>
    <w:rsid w:val="001445A8"/>
    <w:rsid w:val="00144AE1"/>
    <w:rsid w:val="00144CD2"/>
    <w:rsid w:val="00145EDD"/>
    <w:rsid w:val="001469AC"/>
    <w:rsid w:val="00146A37"/>
    <w:rsid w:val="001471BB"/>
    <w:rsid w:val="001471E5"/>
    <w:rsid w:val="001472B0"/>
    <w:rsid w:val="00147645"/>
    <w:rsid w:val="001477A0"/>
    <w:rsid w:val="001477BA"/>
    <w:rsid w:val="00147F7A"/>
    <w:rsid w:val="00150322"/>
    <w:rsid w:val="001503E5"/>
    <w:rsid w:val="00150551"/>
    <w:rsid w:val="001506E0"/>
    <w:rsid w:val="001508F3"/>
    <w:rsid w:val="00150D8B"/>
    <w:rsid w:val="00150DD6"/>
    <w:rsid w:val="001517B8"/>
    <w:rsid w:val="00151E03"/>
    <w:rsid w:val="0015227A"/>
    <w:rsid w:val="001527EF"/>
    <w:rsid w:val="00152AAF"/>
    <w:rsid w:val="00152C22"/>
    <w:rsid w:val="00152D21"/>
    <w:rsid w:val="00152DDB"/>
    <w:rsid w:val="00152ED7"/>
    <w:rsid w:val="00152ED9"/>
    <w:rsid w:val="00152EDE"/>
    <w:rsid w:val="00153926"/>
    <w:rsid w:val="00154166"/>
    <w:rsid w:val="001541AA"/>
    <w:rsid w:val="0015441D"/>
    <w:rsid w:val="001545C9"/>
    <w:rsid w:val="001545DB"/>
    <w:rsid w:val="001546BC"/>
    <w:rsid w:val="00154866"/>
    <w:rsid w:val="00154AE5"/>
    <w:rsid w:val="00154B32"/>
    <w:rsid w:val="00154C17"/>
    <w:rsid w:val="00154D9F"/>
    <w:rsid w:val="00155130"/>
    <w:rsid w:val="0015536D"/>
    <w:rsid w:val="001558A0"/>
    <w:rsid w:val="00155C09"/>
    <w:rsid w:val="00155D80"/>
    <w:rsid w:val="0015606C"/>
    <w:rsid w:val="001564B7"/>
    <w:rsid w:val="00156BE6"/>
    <w:rsid w:val="00156CEE"/>
    <w:rsid w:val="00156E06"/>
    <w:rsid w:val="00156E3C"/>
    <w:rsid w:val="00156EA5"/>
    <w:rsid w:val="0015717B"/>
    <w:rsid w:val="0015717D"/>
    <w:rsid w:val="001576F1"/>
    <w:rsid w:val="00157989"/>
    <w:rsid w:val="00157E32"/>
    <w:rsid w:val="00157F29"/>
    <w:rsid w:val="00157F93"/>
    <w:rsid w:val="001603B2"/>
    <w:rsid w:val="001604A6"/>
    <w:rsid w:val="001604BE"/>
    <w:rsid w:val="001604E3"/>
    <w:rsid w:val="001604E6"/>
    <w:rsid w:val="00160679"/>
    <w:rsid w:val="00160A8A"/>
    <w:rsid w:val="00160E5C"/>
    <w:rsid w:val="00161045"/>
    <w:rsid w:val="00161135"/>
    <w:rsid w:val="00161658"/>
    <w:rsid w:val="001617B6"/>
    <w:rsid w:val="001619F8"/>
    <w:rsid w:val="00161F73"/>
    <w:rsid w:val="0016206A"/>
    <w:rsid w:val="0016225C"/>
    <w:rsid w:val="001623EF"/>
    <w:rsid w:val="00162786"/>
    <w:rsid w:val="00162C39"/>
    <w:rsid w:val="00162C5A"/>
    <w:rsid w:val="001630C1"/>
    <w:rsid w:val="00163BF5"/>
    <w:rsid w:val="00163C11"/>
    <w:rsid w:val="00163C51"/>
    <w:rsid w:val="00163CEE"/>
    <w:rsid w:val="00163E0B"/>
    <w:rsid w:val="0016458B"/>
    <w:rsid w:val="0016463A"/>
    <w:rsid w:val="001648EC"/>
    <w:rsid w:val="00164AE3"/>
    <w:rsid w:val="00164CB8"/>
    <w:rsid w:val="00164F87"/>
    <w:rsid w:val="00164FCA"/>
    <w:rsid w:val="001654DF"/>
    <w:rsid w:val="001654E1"/>
    <w:rsid w:val="00165993"/>
    <w:rsid w:val="00165E66"/>
    <w:rsid w:val="00165FF9"/>
    <w:rsid w:val="0016624A"/>
    <w:rsid w:val="001664CE"/>
    <w:rsid w:val="00166CED"/>
    <w:rsid w:val="00166E75"/>
    <w:rsid w:val="00166F4B"/>
    <w:rsid w:val="001671B5"/>
    <w:rsid w:val="00170459"/>
    <w:rsid w:val="00170A9A"/>
    <w:rsid w:val="0017113B"/>
    <w:rsid w:val="001711C6"/>
    <w:rsid w:val="00171500"/>
    <w:rsid w:val="00171925"/>
    <w:rsid w:val="00171989"/>
    <w:rsid w:val="00171F9D"/>
    <w:rsid w:val="0017263C"/>
    <w:rsid w:val="0017274A"/>
    <w:rsid w:val="00172C60"/>
    <w:rsid w:val="00172E18"/>
    <w:rsid w:val="00172F33"/>
    <w:rsid w:val="00172FF7"/>
    <w:rsid w:val="0017367F"/>
    <w:rsid w:val="0017392A"/>
    <w:rsid w:val="00173AC0"/>
    <w:rsid w:val="00173BED"/>
    <w:rsid w:val="00173DDE"/>
    <w:rsid w:val="001742BE"/>
    <w:rsid w:val="00174329"/>
    <w:rsid w:val="001745CB"/>
    <w:rsid w:val="00174B52"/>
    <w:rsid w:val="00174D9F"/>
    <w:rsid w:val="001757CD"/>
    <w:rsid w:val="00175A0C"/>
    <w:rsid w:val="00175C57"/>
    <w:rsid w:val="00175CC9"/>
    <w:rsid w:val="00175DB1"/>
    <w:rsid w:val="00176001"/>
    <w:rsid w:val="0017623B"/>
    <w:rsid w:val="00176486"/>
    <w:rsid w:val="00176564"/>
    <w:rsid w:val="001766B4"/>
    <w:rsid w:val="00176B8A"/>
    <w:rsid w:val="001773CC"/>
    <w:rsid w:val="00177576"/>
    <w:rsid w:val="0017777E"/>
    <w:rsid w:val="00177AA6"/>
    <w:rsid w:val="00177EE9"/>
    <w:rsid w:val="00177F4F"/>
    <w:rsid w:val="001809C7"/>
    <w:rsid w:val="00180AA5"/>
    <w:rsid w:val="00180BFA"/>
    <w:rsid w:val="00180C02"/>
    <w:rsid w:val="001814F8"/>
    <w:rsid w:val="00181614"/>
    <w:rsid w:val="00181743"/>
    <w:rsid w:val="00181C18"/>
    <w:rsid w:val="0018207A"/>
    <w:rsid w:val="001821BB"/>
    <w:rsid w:val="00182571"/>
    <w:rsid w:val="00182BE8"/>
    <w:rsid w:val="00182E0D"/>
    <w:rsid w:val="001830CB"/>
    <w:rsid w:val="0018317C"/>
    <w:rsid w:val="00183292"/>
    <w:rsid w:val="00183312"/>
    <w:rsid w:val="00183B8A"/>
    <w:rsid w:val="00183D73"/>
    <w:rsid w:val="00183D8F"/>
    <w:rsid w:val="00184443"/>
    <w:rsid w:val="0018449F"/>
    <w:rsid w:val="00184733"/>
    <w:rsid w:val="00185384"/>
    <w:rsid w:val="0018566C"/>
    <w:rsid w:val="00185D4F"/>
    <w:rsid w:val="00185D86"/>
    <w:rsid w:val="001864A3"/>
    <w:rsid w:val="001864AB"/>
    <w:rsid w:val="001866FD"/>
    <w:rsid w:val="001868D0"/>
    <w:rsid w:val="00186BE9"/>
    <w:rsid w:val="00186D25"/>
    <w:rsid w:val="00186EB9"/>
    <w:rsid w:val="00187B0B"/>
    <w:rsid w:val="00187F08"/>
    <w:rsid w:val="0019066D"/>
    <w:rsid w:val="00190A04"/>
    <w:rsid w:val="00190B0B"/>
    <w:rsid w:val="00190C2F"/>
    <w:rsid w:val="00190F08"/>
    <w:rsid w:val="00191090"/>
    <w:rsid w:val="0019142F"/>
    <w:rsid w:val="00191C76"/>
    <w:rsid w:val="00191D27"/>
    <w:rsid w:val="00191DC7"/>
    <w:rsid w:val="0019209F"/>
    <w:rsid w:val="00192361"/>
    <w:rsid w:val="00192D7D"/>
    <w:rsid w:val="00193029"/>
    <w:rsid w:val="001931B9"/>
    <w:rsid w:val="001933FE"/>
    <w:rsid w:val="0019366D"/>
    <w:rsid w:val="001937E9"/>
    <w:rsid w:val="0019394B"/>
    <w:rsid w:val="00193CDC"/>
    <w:rsid w:val="00194778"/>
    <w:rsid w:val="00194A6E"/>
    <w:rsid w:val="00194C8B"/>
    <w:rsid w:val="00194DDD"/>
    <w:rsid w:val="00194ED4"/>
    <w:rsid w:val="00194F7B"/>
    <w:rsid w:val="00194FF1"/>
    <w:rsid w:val="001951EC"/>
    <w:rsid w:val="001952F4"/>
    <w:rsid w:val="0019544A"/>
    <w:rsid w:val="00195652"/>
    <w:rsid w:val="00195C00"/>
    <w:rsid w:val="00195C39"/>
    <w:rsid w:val="001960C0"/>
    <w:rsid w:val="00196187"/>
    <w:rsid w:val="00196363"/>
    <w:rsid w:val="00196414"/>
    <w:rsid w:val="00196B5E"/>
    <w:rsid w:val="00196C0A"/>
    <w:rsid w:val="00197360"/>
    <w:rsid w:val="001973F2"/>
    <w:rsid w:val="0019798F"/>
    <w:rsid w:val="00197CFA"/>
    <w:rsid w:val="00197F5E"/>
    <w:rsid w:val="001A01BA"/>
    <w:rsid w:val="001A0774"/>
    <w:rsid w:val="001A183F"/>
    <w:rsid w:val="001A1A04"/>
    <w:rsid w:val="001A1AE0"/>
    <w:rsid w:val="001A1C44"/>
    <w:rsid w:val="001A1EEF"/>
    <w:rsid w:val="001A22E3"/>
    <w:rsid w:val="001A28E4"/>
    <w:rsid w:val="001A2DE2"/>
    <w:rsid w:val="001A344D"/>
    <w:rsid w:val="001A36D0"/>
    <w:rsid w:val="001A3ACD"/>
    <w:rsid w:val="001A3DD1"/>
    <w:rsid w:val="001A4263"/>
    <w:rsid w:val="001A4396"/>
    <w:rsid w:val="001A458D"/>
    <w:rsid w:val="001A46EA"/>
    <w:rsid w:val="001A4DAE"/>
    <w:rsid w:val="001A4E6E"/>
    <w:rsid w:val="001A4F3C"/>
    <w:rsid w:val="001A5B05"/>
    <w:rsid w:val="001A5E2C"/>
    <w:rsid w:val="001A6449"/>
    <w:rsid w:val="001A6467"/>
    <w:rsid w:val="001A66F4"/>
    <w:rsid w:val="001A6DB0"/>
    <w:rsid w:val="001A6E80"/>
    <w:rsid w:val="001A6EDA"/>
    <w:rsid w:val="001A7E13"/>
    <w:rsid w:val="001A7F76"/>
    <w:rsid w:val="001B092B"/>
    <w:rsid w:val="001B1078"/>
    <w:rsid w:val="001B1119"/>
    <w:rsid w:val="001B1219"/>
    <w:rsid w:val="001B22FE"/>
    <w:rsid w:val="001B24D4"/>
    <w:rsid w:val="001B2745"/>
    <w:rsid w:val="001B3124"/>
    <w:rsid w:val="001B3513"/>
    <w:rsid w:val="001B3CB9"/>
    <w:rsid w:val="001B415D"/>
    <w:rsid w:val="001B46B8"/>
    <w:rsid w:val="001B510D"/>
    <w:rsid w:val="001B54AB"/>
    <w:rsid w:val="001B5741"/>
    <w:rsid w:val="001B57B1"/>
    <w:rsid w:val="001B6134"/>
    <w:rsid w:val="001B617F"/>
    <w:rsid w:val="001B61B9"/>
    <w:rsid w:val="001B6786"/>
    <w:rsid w:val="001B6857"/>
    <w:rsid w:val="001B7657"/>
    <w:rsid w:val="001B7684"/>
    <w:rsid w:val="001B7AA7"/>
    <w:rsid w:val="001B7DBC"/>
    <w:rsid w:val="001B7E7D"/>
    <w:rsid w:val="001C000B"/>
    <w:rsid w:val="001C0057"/>
    <w:rsid w:val="001C0086"/>
    <w:rsid w:val="001C0963"/>
    <w:rsid w:val="001C096B"/>
    <w:rsid w:val="001C0B58"/>
    <w:rsid w:val="001C1123"/>
    <w:rsid w:val="001C212D"/>
    <w:rsid w:val="001C213F"/>
    <w:rsid w:val="001C22C4"/>
    <w:rsid w:val="001C2B03"/>
    <w:rsid w:val="001C2C4C"/>
    <w:rsid w:val="001C3254"/>
    <w:rsid w:val="001C3673"/>
    <w:rsid w:val="001C36BF"/>
    <w:rsid w:val="001C392B"/>
    <w:rsid w:val="001C40A9"/>
    <w:rsid w:val="001C4176"/>
    <w:rsid w:val="001C4282"/>
    <w:rsid w:val="001C434B"/>
    <w:rsid w:val="001C44FD"/>
    <w:rsid w:val="001C458E"/>
    <w:rsid w:val="001C4635"/>
    <w:rsid w:val="001C4D8B"/>
    <w:rsid w:val="001C4E73"/>
    <w:rsid w:val="001C4F8E"/>
    <w:rsid w:val="001C501F"/>
    <w:rsid w:val="001C55CF"/>
    <w:rsid w:val="001C5BF0"/>
    <w:rsid w:val="001C6123"/>
    <w:rsid w:val="001C66DB"/>
    <w:rsid w:val="001C6F92"/>
    <w:rsid w:val="001C721D"/>
    <w:rsid w:val="001C7BAE"/>
    <w:rsid w:val="001C7E3B"/>
    <w:rsid w:val="001D028E"/>
    <w:rsid w:val="001D030D"/>
    <w:rsid w:val="001D04AB"/>
    <w:rsid w:val="001D08B1"/>
    <w:rsid w:val="001D0C0F"/>
    <w:rsid w:val="001D0E48"/>
    <w:rsid w:val="001D1269"/>
    <w:rsid w:val="001D1962"/>
    <w:rsid w:val="001D1D86"/>
    <w:rsid w:val="001D1E49"/>
    <w:rsid w:val="001D2861"/>
    <w:rsid w:val="001D31C0"/>
    <w:rsid w:val="001D3248"/>
    <w:rsid w:val="001D35C4"/>
    <w:rsid w:val="001D3A50"/>
    <w:rsid w:val="001D40E1"/>
    <w:rsid w:val="001D40E8"/>
    <w:rsid w:val="001D42E2"/>
    <w:rsid w:val="001D431D"/>
    <w:rsid w:val="001D45F5"/>
    <w:rsid w:val="001D463B"/>
    <w:rsid w:val="001D470D"/>
    <w:rsid w:val="001D47B4"/>
    <w:rsid w:val="001D4B9F"/>
    <w:rsid w:val="001D4D98"/>
    <w:rsid w:val="001D4E3E"/>
    <w:rsid w:val="001D4E8A"/>
    <w:rsid w:val="001D5A96"/>
    <w:rsid w:val="001D5DCB"/>
    <w:rsid w:val="001D6303"/>
    <w:rsid w:val="001D6614"/>
    <w:rsid w:val="001D682B"/>
    <w:rsid w:val="001D6AD1"/>
    <w:rsid w:val="001D6CC7"/>
    <w:rsid w:val="001D6E1D"/>
    <w:rsid w:val="001D717E"/>
    <w:rsid w:val="001D72F2"/>
    <w:rsid w:val="001D7A78"/>
    <w:rsid w:val="001D7FE6"/>
    <w:rsid w:val="001E0037"/>
    <w:rsid w:val="001E0285"/>
    <w:rsid w:val="001E031F"/>
    <w:rsid w:val="001E0C47"/>
    <w:rsid w:val="001E1366"/>
    <w:rsid w:val="001E1605"/>
    <w:rsid w:val="001E1684"/>
    <w:rsid w:val="001E1B7A"/>
    <w:rsid w:val="001E1C6F"/>
    <w:rsid w:val="001E1D6B"/>
    <w:rsid w:val="001E1EEE"/>
    <w:rsid w:val="001E206D"/>
    <w:rsid w:val="001E266C"/>
    <w:rsid w:val="001E2693"/>
    <w:rsid w:val="001E31FA"/>
    <w:rsid w:val="001E386A"/>
    <w:rsid w:val="001E3C6A"/>
    <w:rsid w:val="001E3E94"/>
    <w:rsid w:val="001E3F7A"/>
    <w:rsid w:val="001E498E"/>
    <w:rsid w:val="001E5005"/>
    <w:rsid w:val="001E61E3"/>
    <w:rsid w:val="001E6352"/>
    <w:rsid w:val="001E64A1"/>
    <w:rsid w:val="001E64F6"/>
    <w:rsid w:val="001E699D"/>
    <w:rsid w:val="001E6F2A"/>
    <w:rsid w:val="001E6FC0"/>
    <w:rsid w:val="001E70C9"/>
    <w:rsid w:val="001E719C"/>
    <w:rsid w:val="001E761F"/>
    <w:rsid w:val="001E7A92"/>
    <w:rsid w:val="001E7AB8"/>
    <w:rsid w:val="001E7C80"/>
    <w:rsid w:val="001F0274"/>
    <w:rsid w:val="001F0568"/>
    <w:rsid w:val="001F0770"/>
    <w:rsid w:val="001F0BA2"/>
    <w:rsid w:val="001F0D11"/>
    <w:rsid w:val="001F1512"/>
    <w:rsid w:val="001F18CC"/>
    <w:rsid w:val="001F19A5"/>
    <w:rsid w:val="001F1CD2"/>
    <w:rsid w:val="001F1EC8"/>
    <w:rsid w:val="001F2770"/>
    <w:rsid w:val="001F2FD8"/>
    <w:rsid w:val="001F30FA"/>
    <w:rsid w:val="001F3B7D"/>
    <w:rsid w:val="001F3BFD"/>
    <w:rsid w:val="001F40FD"/>
    <w:rsid w:val="001F4105"/>
    <w:rsid w:val="001F4178"/>
    <w:rsid w:val="001F453A"/>
    <w:rsid w:val="001F4719"/>
    <w:rsid w:val="001F49C3"/>
    <w:rsid w:val="001F4B17"/>
    <w:rsid w:val="001F4C09"/>
    <w:rsid w:val="001F4C98"/>
    <w:rsid w:val="001F4EC0"/>
    <w:rsid w:val="001F4ED4"/>
    <w:rsid w:val="001F5D17"/>
    <w:rsid w:val="001F5F60"/>
    <w:rsid w:val="001F6F6C"/>
    <w:rsid w:val="001F71FF"/>
    <w:rsid w:val="001F7344"/>
    <w:rsid w:val="001F769C"/>
    <w:rsid w:val="001F770A"/>
    <w:rsid w:val="001F7B22"/>
    <w:rsid w:val="001F7F3A"/>
    <w:rsid w:val="0020032D"/>
    <w:rsid w:val="00200BB3"/>
    <w:rsid w:val="002013DC"/>
    <w:rsid w:val="0020147F"/>
    <w:rsid w:val="002016E4"/>
    <w:rsid w:val="002018CE"/>
    <w:rsid w:val="002019C0"/>
    <w:rsid w:val="00201AD9"/>
    <w:rsid w:val="00201C4E"/>
    <w:rsid w:val="0020241B"/>
    <w:rsid w:val="0020246F"/>
    <w:rsid w:val="002027F7"/>
    <w:rsid w:val="002028F3"/>
    <w:rsid w:val="00202C60"/>
    <w:rsid w:val="00202FE2"/>
    <w:rsid w:val="0020324A"/>
    <w:rsid w:val="00203B42"/>
    <w:rsid w:val="00203DE2"/>
    <w:rsid w:val="002041C4"/>
    <w:rsid w:val="00204663"/>
    <w:rsid w:val="00204A8E"/>
    <w:rsid w:val="0020517E"/>
    <w:rsid w:val="00205E31"/>
    <w:rsid w:val="002061BF"/>
    <w:rsid w:val="00206614"/>
    <w:rsid w:val="00206C1C"/>
    <w:rsid w:val="00206FBC"/>
    <w:rsid w:val="00207077"/>
    <w:rsid w:val="0020769B"/>
    <w:rsid w:val="00207817"/>
    <w:rsid w:val="00207932"/>
    <w:rsid w:val="00207B45"/>
    <w:rsid w:val="00207D43"/>
    <w:rsid w:val="00207EA7"/>
    <w:rsid w:val="002102D8"/>
    <w:rsid w:val="002106BD"/>
    <w:rsid w:val="002108B7"/>
    <w:rsid w:val="00210A4D"/>
    <w:rsid w:val="00210C0C"/>
    <w:rsid w:val="00211325"/>
    <w:rsid w:val="002115E8"/>
    <w:rsid w:val="00211940"/>
    <w:rsid w:val="00211942"/>
    <w:rsid w:val="00211AA4"/>
    <w:rsid w:val="00211B18"/>
    <w:rsid w:val="00211C40"/>
    <w:rsid w:val="00212144"/>
    <w:rsid w:val="0021234C"/>
    <w:rsid w:val="00212509"/>
    <w:rsid w:val="002132B5"/>
    <w:rsid w:val="0021349B"/>
    <w:rsid w:val="0021363B"/>
    <w:rsid w:val="00213698"/>
    <w:rsid w:val="00213E69"/>
    <w:rsid w:val="00213E7B"/>
    <w:rsid w:val="00213ED8"/>
    <w:rsid w:val="0021408E"/>
    <w:rsid w:val="00214160"/>
    <w:rsid w:val="0021486C"/>
    <w:rsid w:val="00214B36"/>
    <w:rsid w:val="00214D0F"/>
    <w:rsid w:val="00214EAC"/>
    <w:rsid w:val="002152F7"/>
    <w:rsid w:val="002159D5"/>
    <w:rsid w:val="00215B23"/>
    <w:rsid w:val="00216039"/>
    <w:rsid w:val="00216386"/>
    <w:rsid w:val="00216AD7"/>
    <w:rsid w:val="00216B87"/>
    <w:rsid w:val="00216D60"/>
    <w:rsid w:val="00216D74"/>
    <w:rsid w:val="00217101"/>
    <w:rsid w:val="002179A0"/>
    <w:rsid w:val="002179E0"/>
    <w:rsid w:val="00217A83"/>
    <w:rsid w:val="00220150"/>
    <w:rsid w:val="002204C1"/>
    <w:rsid w:val="002205D9"/>
    <w:rsid w:val="00220633"/>
    <w:rsid w:val="00220680"/>
    <w:rsid w:val="00220736"/>
    <w:rsid w:val="00220B31"/>
    <w:rsid w:val="00220F16"/>
    <w:rsid w:val="00220F86"/>
    <w:rsid w:val="002219B1"/>
    <w:rsid w:val="00221A29"/>
    <w:rsid w:val="00222138"/>
    <w:rsid w:val="00222BEB"/>
    <w:rsid w:val="00222D62"/>
    <w:rsid w:val="00222E04"/>
    <w:rsid w:val="00223270"/>
    <w:rsid w:val="0022336B"/>
    <w:rsid w:val="002234B6"/>
    <w:rsid w:val="002239BE"/>
    <w:rsid w:val="00223F58"/>
    <w:rsid w:val="0022416A"/>
    <w:rsid w:val="0022420C"/>
    <w:rsid w:val="00224921"/>
    <w:rsid w:val="00224A47"/>
    <w:rsid w:val="00224C69"/>
    <w:rsid w:val="002251AE"/>
    <w:rsid w:val="00225E60"/>
    <w:rsid w:val="0022625C"/>
    <w:rsid w:val="00226426"/>
    <w:rsid w:val="002266FD"/>
    <w:rsid w:val="00226FE2"/>
    <w:rsid w:val="002275E1"/>
    <w:rsid w:val="0022793A"/>
    <w:rsid w:val="0022794C"/>
    <w:rsid w:val="00227AD9"/>
    <w:rsid w:val="00227C39"/>
    <w:rsid w:val="00230105"/>
    <w:rsid w:val="002301EB"/>
    <w:rsid w:val="00230200"/>
    <w:rsid w:val="0023048F"/>
    <w:rsid w:val="002307DB"/>
    <w:rsid w:val="00231909"/>
    <w:rsid w:val="00231B9E"/>
    <w:rsid w:val="00231F85"/>
    <w:rsid w:val="0023202C"/>
    <w:rsid w:val="002324BC"/>
    <w:rsid w:val="00232A15"/>
    <w:rsid w:val="00232A6E"/>
    <w:rsid w:val="00232AB4"/>
    <w:rsid w:val="00232E12"/>
    <w:rsid w:val="002331B7"/>
    <w:rsid w:val="00233B3B"/>
    <w:rsid w:val="00233D68"/>
    <w:rsid w:val="002345D8"/>
    <w:rsid w:val="00234BB2"/>
    <w:rsid w:val="00234C86"/>
    <w:rsid w:val="00234D85"/>
    <w:rsid w:val="00234E89"/>
    <w:rsid w:val="00235068"/>
    <w:rsid w:val="002350DC"/>
    <w:rsid w:val="00235919"/>
    <w:rsid w:val="00235CD6"/>
    <w:rsid w:val="00236067"/>
    <w:rsid w:val="00236203"/>
    <w:rsid w:val="002367AB"/>
    <w:rsid w:val="00236A1C"/>
    <w:rsid w:val="00236E47"/>
    <w:rsid w:val="00236F08"/>
    <w:rsid w:val="002375FF"/>
    <w:rsid w:val="002376E3"/>
    <w:rsid w:val="00237B77"/>
    <w:rsid w:val="0024066B"/>
    <w:rsid w:val="00240743"/>
    <w:rsid w:val="00240B7D"/>
    <w:rsid w:val="00240C3D"/>
    <w:rsid w:val="00240EEA"/>
    <w:rsid w:val="002417A3"/>
    <w:rsid w:val="0024197D"/>
    <w:rsid w:val="00241D29"/>
    <w:rsid w:val="00242767"/>
    <w:rsid w:val="00242909"/>
    <w:rsid w:val="002429B5"/>
    <w:rsid w:val="00242D1B"/>
    <w:rsid w:val="00242EA0"/>
    <w:rsid w:val="00243224"/>
    <w:rsid w:val="00243BF2"/>
    <w:rsid w:val="00243CDB"/>
    <w:rsid w:val="00244016"/>
    <w:rsid w:val="002440B5"/>
    <w:rsid w:val="0024459B"/>
    <w:rsid w:val="00244641"/>
    <w:rsid w:val="00244825"/>
    <w:rsid w:val="00244891"/>
    <w:rsid w:val="00245043"/>
    <w:rsid w:val="0024515B"/>
    <w:rsid w:val="002451C9"/>
    <w:rsid w:val="002454E8"/>
    <w:rsid w:val="00245A7A"/>
    <w:rsid w:val="0024616D"/>
    <w:rsid w:val="0024619A"/>
    <w:rsid w:val="002461C3"/>
    <w:rsid w:val="002463E0"/>
    <w:rsid w:val="00246507"/>
    <w:rsid w:val="0024695E"/>
    <w:rsid w:val="002469B4"/>
    <w:rsid w:val="00246B39"/>
    <w:rsid w:val="00246B6B"/>
    <w:rsid w:val="00246E05"/>
    <w:rsid w:val="00247064"/>
    <w:rsid w:val="002477AB"/>
    <w:rsid w:val="002479EE"/>
    <w:rsid w:val="00247B0A"/>
    <w:rsid w:val="00247BEA"/>
    <w:rsid w:val="00247E63"/>
    <w:rsid w:val="0025026C"/>
    <w:rsid w:val="00250903"/>
    <w:rsid w:val="00250FC0"/>
    <w:rsid w:val="002513B5"/>
    <w:rsid w:val="0025158E"/>
    <w:rsid w:val="0025159E"/>
    <w:rsid w:val="002517E2"/>
    <w:rsid w:val="00251E59"/>
    <w:rsid w:val="00251EAE"/>
    <w:rsid w:val="00252434"/>
    <w:rsid w:val="00252E89"/>
    <w:rsid w:val="0025306C"/>
    <w:rsid w:val="0025322B"/>
    <w:rsid w:val="00253780"/>
    <w:rsid w:val="00253A15"/>
    <w:rsid w:val="002544A7"/>
    <w:rsid w:val="00254F3D"/>
    <w:rsid w:val="00254F51"/>
    <w:rsid w:val="002558E3"/>
    <w:rsid w:val="00255EFD"/>
    <w:rsid w:val="00256007"/>
    <w:rsid w:val="00256254"/>
    <w:rsid w:val="002564EE"/>
    <w:rsid w:val="00256AD5"/>
    <w:rsid w:val="002570C3"/>
    <w:rsid w:val="002573DF"/>
    <w:rsid w:val="002576CA"/>
    <w:rsid w:val="00257760"/>
    <w:rsid w:val="00257921"/>
    <w:rsid w:val="00257A64"/>
    <w:rsid w:val="00257A6C"/>
    <w:rsid w:val="00257BFC"/>
    <w:rsid w:val="0026073C"/>
    <w:rsid w:val="0026087C"/>
    <w:rsid w:val="002609D5"/>
    <w:rsid w:val="00260AAF"/>
    <w:rsid w:val="00260BD0"/>
    <w:rsid w:val="0026103A"/>
    <w:rsid w:val="0026115E"/>
    <w:rsid w:val="00261494"/>
    <w:rsid w:val="00261A60"/>
    <w:rsid w:val="00261AEC"/>
    <w:rsid w:val="00261EDC"/>
    <w:rsid w:val="00262D1D"/>
    <w:rsid w:val="002630A9"/>
    <w:rsid w:val="0026314E"/>
    <w:rsid w:val="00263818"/>
    <w:rsid w:val="002638BF"/>
    <w:rsid w:val="00263AF9"/>
    <w:rsid w:val="0026427E"/>
    <w:rsid w:val="00264A23"/>
    <w:rsid w:val="0026500C"/>
    <w:rsid w:val="00265092"/>
    <w:rsid w:val="0026529B"/>
    <w:rsid w:val="00265946"/>
    <w:rsid w:val="00265A33"/>
    <w:rsid w:val="00265AA5"/>
    <w:rsid w:val="00265B7E"/>
    <w:rsid w:val="00265CF6"/>
    <w:rsid w:val="00265EDB"/>
    <w:rsid w:val="00266013"/>
    <w:rsid w:val="00266557"/>
    <w:rsid w:val="002668B6"/>
    <w:rsid w:val="00266A3B"/>
    <w:rsid w:val="00266C44"/>
    <w:rsid w:val="00266D31"/>
    <w:rsid w:val="00266DE5"/>
    <w:rsid w:val="0027003B"/>
    <w:rsid w:val="002700BD"/>
    <w:rsid w:val="0027024E"/>
    <w:rsid w:val="00270256"/>
    <w:rsid w:val="00270297"/>
    <w:rsid w:val="00270984"/>
    <w:rsid w:val="00270A8A"/>
    <w:rsid w:val="00270DB9"/>
    <w:rsid w:val="00270F11"/>
    <w:rsid w:val="0027122F"/>
    <w:rsid w:val="00271351"/>
    <w:rsid w:val="00271635"/>
    <w:rsid w:val="00271976"/>
    <w:rsid w:val="00271999"/>
    <w:rsid w:val="00271AA7"/>
    <w:rsid w:val="002721F5"/>
    <w:rsid w:val="002728BB"/>
    <w:rsid w:val="00272EB7"/>
    <w:rsid w:val="002731EA"/>
    <w:rsid w:val="00273274"/>
    <w:rsid w:val="00273430"/>
    <w:rsid w:val="002738F5"/>
    <w:rsid w:val="0027414A"/>
    <w:rsid w:val="0027452F"/>
    <w:rsid w:val="002746A4"/>
    <w:rsid w:val="00274A4F"/>
    <w:rsid w:val="0027508F"/>
    <w:rsid w:val="002753B1"/>
    <w:rsid w:val="00275710"/>
    <w:rsid w:val="00275BD2"/>
    <w:rsid w:val="00275E0A"/>
    <w:rsid w:val="00275EAE"/>
    <w:rsid w:val="00275F0A"/>
    <w:rsid w:val="00275FE4"/>
    <w:rsid w:val="00276190"/>
    <w:rsid w:val="00276D97"/>
    <w:rsid w:val="00277059"/>
    <w:rsid w:val="0027718B"/>
    <w:rsid w:val="00277538"/>
    <w:rsid w:val="002777BE"/>
    <w:rsid w:val="00277A9B"/>
    <w:rsid w:val="00277C0A"/>
    <w:rsid w:val="00277C36"/>
    <w:rsid w:val="00277E44"/>
    <w:rsid w:val="00277F22"/>
    <w:rsid w:val="002800D7"/>
    <w:rsid w:val="002800F0"/>
    <w:rsid w:val="00280341"/>
    <w:rsid w:val="00280484"/>
    <w:rsid w:val="002804A0"/>
    <w:rsid w:val="00280CAC"/>
    <w:rsid w:val="00280FA6"/>
    <w:rsid w:val="002815B3"/>
    <w:rsid w:val="002818D5"/>
    <w:rsid w:val="002819E2"/>
    <w:rsid w:val="00281CB9"/>
    <w:rsid w:val="00281D0A"/>
    <w:rsid w:val="00281DFD"/>
    <w:rsid w:val="00281F77"/>
    <w:rsid w:val="002822C0"/>
    <w:rsid w:val="00282493"/>
    <w:rsid w:val="0028252A"/>
    <w:rsid w:val="002826E5"/>
    <w:rsid w:val="002829C7"/>
    <w:rsid w:val="00282CEE"/>
    <w:rsid w:val="00282D76"/>
    <w:rsid w:val="00282D97"/>
    <w:rsid w:val="0028320F"/>
    <w:rsid w:val="00283809"/>
    <w:rsid w:val="0028398B"/>
    <w:rsid w:val="00283E0C"/>
    <w:rsid w:val="0028417A"/>
    <w:rsid w:val="002844A5"/>
    <w:rsid w:val="00284661"/>
    <w:rsid w:val="002848EA"/>
    <w:rsid w:val="002849E3"/>
    <w:rsid w:val="00284E13"/>
    <w:rsid w:val="0028536E"/>
    <w:rsid w:val="0028548A"/>
    <w:rsid w:val="00285695"/>
    <w:rsid w:val="00286223"/>
    <w:rsid w:val="0028635A"/>
    <w:rsid w:val="00286AED"/>
    <w:rsid w:val="0028744E"/>
    <w:rsid w:val="00287B9F"/>
    <w:rsid w:val="00290012"/>
    <w:rsid w:val="00290E20"/>
    <w:rsid w:val="00291262"/>
    <w:rsid w:val="002912D2"/>
    <w:rsid w:val="002914A9"/>
    <w:rsid w:val="0029154E"/>
    <w:rsid w:val="00291BED"/>
    <w:rsid w:val="00291CA3"/>
    <w:rsid w:val="002924AD"/>
    <w:rsid w:val="00292D36"/>
    <w:rsid w:val="00293628"/>
    <w:rsid w:val="00293D06"/>
    <w:rsid w:val="00294343"/>
    <w:rsid w:val="00294830"/>
    <w:rsid w:val="00294847"/>
    <w:rsid w:val="00294B82"/>
    <w:rsid w:val="00294D52"/>
    <w:rsid w:val="00294E9F"/>
    <w:rsid w:val="002951CF"/>
    <w:rsid w:val="002955ED"/>
    <w:rsid w:val="00295BF7"/>
    <w:rsid w:val="002961DA"/>
    <w:rsid w:val="0029675A"/>
    <w:rsid w:val="00296A00"/>
    <w:rsid w:val="00297086"/>
    <w:rsid w:val="00297281"/>
    <w:rsid w:val="00297B5D"/>
    <w:rsid w:val="00297F66"/>
    <w:rsid w:val="002A02D9"/>
    <w:rsid w:val="002A02F7"/>
    <w:rsid w:val="002A0819"/>
    <w:rsid w:val="002A0A57"/>
    <w:rsid w:val="002A0E77"/>
    <w:rsid w:val="002A1088"/>
    <w:rsid w:val="002A13F7"/>
    <w:rsid w:val="002A142B"/>
    <w:rsid w:val="002A14FF"/>
    <w:rsid w:val="002A168F"/>
    <w:rsid w:val="002A19EB"/>
    <w:rsid w:val="002A1C8A"/>
    <w:rsid w:val="002A1C92"/>
    <w:rsid w:val="002A1DDF"/>
    <w:rsid w:val="002A21C7"/>
    <w:rsid w:val="002A25DD"/>
    <w:rsid w:val="002A2929"/>
    <w:rsid w:val="002A2951"/>
    <w:rsid w:val="002A2992"/>
    <w:rsid w:val="002A2C5B"/>
    <w:rsid w:val="002A3049"/>
    <w:rsid w:val="002A326A"/>
    <w:rsid w:val="002A32E7"/>
    <w:rsid w:val="002A36B5"/>
    <w:rsid w:val="002A37E3"/>
    <w:rsid w:val="002A38F4"/>
    <w:rsid w:val="002A43BD"/>
    <w:rsid w:val="002A45B2"/>
    <w:rsid w:val="002A45DF"/>
    <w:rsid w:val="002A4888"/>
    <w:rsid w:val="002A4C4B"/>
    <w:rsid w:val="002A4DB1"/>
    <w:rsid w:val="002A4EC4"/>
    <w:rsid w:val="002A4F1D"/>
    <w:rsid w:val="002A52F4"/>
    <w:rsid w:val="002A5691"/>
    <w:rsid w:val="002A5A01"/>
    <w:rsid w:val="002A5B73"/>
    <w:rsid w:val="002A6332"/>
    <w:rsid w:val="002A651F"/>
    <w:rsid w:val="002A6613"/>
    <w:rsid w:val="002A6A4E"/>
    <w:rsid w:val="002A6B03"/>
    <w:rsid w:val="002A6D2E"/>
    <w:rsid w:val="002A6EF9"/>
    <w:rsid w:val="002A70D7"/>
    <w:rsid w:val="002A75AA"/>
    <w:rsid w:val="002A7747"/>
    <w:rsid w:val="002A7B6E"/>
    <w:rsid w:val="002B01E4"/>
    <w:rsid w:val="002B03E5"/>
    <w:rsid w:val="002B0610"/>
    <w:rsid w:val="002B0827"/>
    <w:rsid w:val="002B0AD0"/>
    <w:rsid w:val="002B1545"/>
    <w:rsid w:val="002B200C"/>
    <w:rsid w:val="002B23FC"/>
    <w:rsid w:val="002B2664"/>
    <w:rsid w:val="002B2AAD"/>
    <w:rsid w:val="002B3169"/>
    <w:rsid w:val="002B31B8"/>
    <w:rsid w:val="002B39AA"/>
    <w:rsid w:val="002B3D90"/>
    <w:rsid w:val="002B404D"/>
    <w:rsid w:val="002B406A"/>
    <w:rsid w:val="002B491C"/>
    <w:rsid w:val="002B4B94"/>
    <w:rsid w:val="002B57C4"/>
    <w:rsid w:val="002B57C8"/>
    <w:rsid w:val="002B59B5"/>
    <w:rsid w:val="002B59B6"/>
    <w:rsid w:val="002B6234"/>
    <w:rsid w:val="002B634E"/>
    <w:rsid w:val="002B64F6"/>
    <w:rsid w:val="002B6613"/>
    <w:rsid w:val="002B717C"/>
    <w:rsid w:val="002B731B"/>
    <w:rsid w:val="002B734D"/>
    <w:rsid w:val="002B7368"/>
    <w:rsid w:val="002B7EDC"/>
    <w:rsid w:val="002C0597"/>
    <w:rsid w:val="002C05B2"/>
    <w:rsid w:val="002C05C2"/>
    <w:rsid w:val="002C0DC5"/>
    <w:rsid w:val="002C1570"/>
    <w:rsid w:val="002C1658"/>
    <w:rsid w:val="002C18C4"/>
    <w:rsid w:val="002C191E"/>
    <w:rsid w:val="002C194D"/>
    <w:rsid w:val="002C205C"/>
    <w:rsid w:val="002C213F"/>
    <w:rsid w:val="002C2393"/>
    <w:rsid w:val="002C3387"/>
    <w:rsid w:val="002C38C1"/>
    <w:rsid w:val="002C3DA4"/>
    <w:rsid w:val="002C41A4"/>
    <w:rsid w:val="002C426E"/>
    <w:rsid w:val="002C4AF1"/>
    <w:rsid w:val="002C4CD1"/>
    <w:rsid w:val="002C4E7C"/>
    <w:rsid w:val="002C4F4A"/>
    <w:rsid w:val="002C4FCA"/>
    <w:rsid w:val="002C54E0"/>
    <w:rsid w:val="002C54F6"/>
    <w:rsid w:val="002C552E"/>
    <w:rsid w:val="002C58E8"/>
    <w:rsid w:val="002C5CCB"/>
    <w:rsid w:val="002C615B"/>
    <w:rsid w:val="002C6208"/>
    <w:rsid w:val="002C6337"/>
    <w:rsid w:val="002C64E2"/>
    <w:rsid w:val="002C6877"/>
    <w:rsid w:val="002C6B74"/>
    <w:rsid w:val="002C71F1"/>
    <w:rsid w:val="002C7405"/>
    <w:rsid w:val="002C7734"/>
    <w:rsid w:val="002D0041"/>
    <w:rsid w:val="002D048A"/>
    <w:rsid w:val="002D0532"/>
    <w:rsid w:val="002D06AC"/>
    <w:rsid w:val="002D07E2"/>
    <w:rsid w:val="002D0980"/>
    <w:rsid w:val="002D09A2"/>
    <w:rsid w:val="002D0CB5"/>
    <w:rsid w:val="002D0F15"/>
    <w:rsid w:val="002D0F1B"/>
    <w:rsid w:val="002D1ABE"/>
    <w:rsid w:val="002D20A7"/>
    <w:rsid w:val="002D2C76"/>
    <w:rsid w:val="002D3236"/>
    <w:rsid w:val="002D3382"/>
    <w:rsid w:val="002D368C"/>
    <w:rsid w:val="002D392F"/>
    <w:rsid w:val="002D3FA5"/>
    <w:rsid w:val="002D4701"/>
    <w:rsid w:val="002D47C4"/>
    <w:rsid w:val="002D49A4"/>
    <w:rsid w:val="002D4A2A"/>
    <w:rsid w:val="002D5097"/>
    <w:rsid w:val="002D5222"/>
    <w:rsid w:val="002D531D"/>
    <w:rsid w:val="002D564F"/>
    <w:rsid w:val="002D567E"/>
    <w:rsid w:val="002D5767"/>
    <w:rsid w:val="002D58A3"/>
    <w:rsid w:val="002D5B0E"/>
    <w:rsid w:val="002D5E04"/>
    <w:rsid w:val="002D61E8"/>
    <w:rsid w:val="002D654C"/>
    <w:rsid w:val="002D68BB"/>
    <w:rsid w:val="002D69B5"/>
    <w:rsid w:val="002D69F7"/>
    <w:rsid w:val="002D6AF6"/>
    <w:rsid w:val="002D6CDF"/>
    <w:rsid w:val="002D711A"/>
    <w:rsid w:val="002D7336"/>
    <w:rsid w:val="002D74E8"/>
    <w:rsid w:val="002D7A61"/>
    <w:rsid w:val="002E0004"/>
    <w:rsid w:val="002E024F"/>
    <w:rsid w:val="002E0497"/>
    <w:rsid w:val="002E0678"/>
    <w:rsid w:val="002E07CE"/>
    <w:rsid w:val="002E0FB3"/>
    <w:rsid w:val="002E116F"/>
    <w:rsid w:val="002E13EB"/>
    <w:rsid w:val="002E1696"/>
    <w:rsid w:val="002E1BCD"/>
    <w:rsid w:val="002E2177"/>
    <w:rsid w:val="002E2574"/>
    <w:rsid w:val="002E28A5"/>
    <w:rsid w:val="002E29A2"/>
    <w:rsid w:val="002E29DD"/>
    <w:rsid w:val="002E2A30"/>
    <w:rsid w:val="002E2BF6"/>
    <w:rsid w:val="002E2EA5"/>
    <w:rsid w:val="002E3396"/>
    <w:rsid w:val="002E33D3"/>
    <w:rsid w:val="002E34B6"/>
    <w:rsid w:val="002E3558"/>
    <w:rsid w:val="002E38EE"/>
    <w:rsid w:val="002E3D84"/>
    <w:rsid w:val="002E3D87"/>
    <w:rsid w:val="002E449A"/>
    <w:rsid w:val="002E456F"/>
    <w:rsid w:val="002E4572"/>
    <w:rsid w:val="002E4B3C"/>
    <w:rsid w:val="002E4DC4"/>
    <w:rsid w:val="002E5169"/>
    <w:rsid w:val="002E56CF"/>
    <w:rsid w:val="002E608C"/>
    <w:rsid w:val="002E6097"/>
    <w:rsid w:val="002E6233"/>
    <w:rsid w:val="002E64ED"/>
    <w:rsid w:val="002E6831"/>
    <w:rsid w:val="002E6E2F"/>
    <w:rsid w:val="002E6E92"/>
    <w:rsid w:val="002E6EB8"/>
    <w:rsid w:val="002E7969"/>
    <w:rsid w:val="002E7B1D"/>
    <w:rsid w:val="002E7BF7"/>
    <w:rsid w:val="002F02DB"/>
    <w:rsid w:val="002F0393"/>
    <w:rsid w:val="002F0430"/>
    <w:rsid w:val="002F0619"/>
    <w:rsid w:val="002F07A9"/>
    <w:rsid w:val="002F09F6"/>
    <w:rsid w:val="002F0C67"/>
    <w:rsid w:val="002F0FE4"/>
    <w:rsid w:val="002F10F6"/>
    <w:rsid w:val="002F13D4"/>
    <w:rsid w:val="002F15EF"/>
    <w:rsid w:val="002F169C"/>
    <w:rsid w:val="002F1A8D"/>
    <w:rsid w:val="002F1E35"/>
    <w:rsid w:val="002F20AD"/>
    <w:rsid w:val="002F2214"/>
    <w:rsid w:val="002F2796"/>
    <w:rsid w:val="002F2C7C"/>
    <w:rsid w:val="002F3202"/>
    <w:rsid w:val="002F37D7"/>
    <w:rsid w:val="002F40BD"/>
    <w:rsid w:val="002F460F"/>
    <w:rsid w:val="002F46ED"/>
    <w:rsid w:val="002F4869"/>
    <w:rsid w:val="002F4AB1"/>
    <w:rsid w:val="002F4FAF"/>
    <w:rsid w:val="002F5024"/>
    <w:rsid w:val="002F515B"/>
    <w:rsid w:val="002F550A"/>
    <w:rsid w:val="002F55AA"/>
    <w:rsid w:val="002F5D06"/>
    <w:rsid w:val="002F5D89"/>
    <w:rsid w:val="002F69D7"/>
    <w:rsid w:val="002F6AC7"/>
    <w:rsid w:val="002F6C39"/>
    <w:rsid w:val="002F711C"/>
    <w:rsid w:val="002F73F5"/>
    <w:rsid w:val="002F75EF"/>
    <w:rsid w:val="002F77D1"/>
    <w:rsid w:val="0030011C"/>
    <w:rsid w:val="00300251"/>
    <w:rsid w:val="00300326"/>
    <w:rsid w:val="00300965"/>
    <w:rsid w:val="00300968"/>
    <w:rsid w:val="00300C0C"/>
    <w:rsid w:val="00300CAA"/>
    <w:rsid w:val="00300FE5"/>
    <w:rsid w:val="0030111D"/>
    <w:rsid w:val="003012A9"/>
    <w:rsid w:val="0030198C"/>
    <w:rsid w:val="0030284F"/>
    <w:rsid w:val="003029B9"/>
    <w:rsid w:val="00303C14"/>
    <w:rsid w:val="00303DF9"/>
    <w:rsid w:val="00304187"/>
    <w:rsid w:val="0030418F"/>
    <w:rsid w:val="00304239"/>
    <w:rsid w:val="00304B71"/>
    <w:rsid w:val="003050C2"/>
    <w:rsid w:val="00305103"/>
    <w:rsid w:val="003053E3"/>
    <w:rsid w:val="003057D3"/>
    <w:rsid w:val="00305BC9"/>
    <w:rsid w:val="00305EAE"/>
    <w:rsid w:val="003064A2"/>
    <w:rsid w:val="003067D7"/>
    <w:rsid w:val="003069D6"/>
    <w:rsid w:val="00306A27"/>
    <w:rsid w:val="00307305"/>
    <w:rsid w:val="003073CB"/>
    <w:rsid w:val="00307924"/>
    <w:rsid w:val="00307CC7"/>
    <w:rsid w:val="003101BF"/>
    <w:rsid w:val="00310462"/>
    <w:rsid w:val="003105B6"/>
    <w:rsid w:val="0031070D"/>
    <w:rsid w:val="00310CD6"/>
    <w:rsid w:val="00310DC3"/>
    <w:rsid w:val="0031149C"/>
    <w:rsid w:val="00311573"/>
    <w:rsid w:val="0031169D"/>
    <w:rsid w:val="00311836"/>
    <w:rsid w:val="00311B7D"/>
    <w:rsid w:val="003120C4"/>
    <w:rsid w:val="00312140"/>
    <w:rsid w:val="00312D21"/>
    <w:rsid w:val="003138B4"/>
    <w:rsid w:val="00313BAD"/>
    <w:rsid w:val="00313C02"/>
    <w:rsid w:val="00313F0E"/>
    <w:rsid w:val="003141F9"/>
    <w:rsid w:val="00314AB2"/>
    <w:rsid w:val="00314FA2"/>
    <w:rsid w:val="00315B3F"/>
    <w:rsid w:val="00315D1B"/>
    <w:rsid w:val="00315DFB"/>
    <w:rsid w:val="003160EC"/>
    <w:rsid w:val="003160F4"/>
    <w:rsid w:val="00316292"/>
    <w:rsid w:val="003169A9"/>
    <w:rsid w:val="00316B63"/>
    <w:rsid w:val="00316E3F"/>
    <w:rsid w:val="00317367"/>
    <w:rsid w:val="0031738F"/>
    <w:rsid w:val="00317430"/>
    <w:rsid w:val="00317510"/>
    <w:rsid w:val="00317EAA"/>
    <w:rsid w:val="00320071"/>
    <w:rsid w:val="00320A23"/>
    <w:rsid w:val="00320DC3"/>
    <w:rsid w:val="00320E32"/>
    <w:rsid w:val="00322256"/>
    <w:rsid w:val="00322798"/>
    <w:rsid w:val="003227B6"/>
    <w:rsid w:val="00323092"/>
    <w:rsid w:val="0032337A"/>
    <w:rsid w:val="003236BC"/>
    <w:rsid w:val="00323DD0"/>
    <w:rsid w:val="003243E2"/>
    <w:rsid w:val="003244EF"/>
    <w:rsid w:val="00324746"/>
    <w:rsid w:val="00324789"/>
    <w:rsid w:val="003247AF"/>
    <w:rsid w:val="00324956"/>
    <w:rsid w:val="00324BC8"/>
    <w:rsid w:val="00324FA0"/>
    <w:rsid w:val="0032506E"/>
    <w:rsid w:val="0032541C"/>
    <w:rsid w:val="003256E1"/>
    <w:rsid w:val="00326609"/>
    <w:rsid w:val="003268FE"/>
    <w:rsid w:val="00326B35"/>
    <w:rsid w:val="00326F2A"/>
    <w:rsid w:val="003271BB"/>
    <w:rsid w:val="003274D8"/>
    <w:rsid w:val="00327EF9"/>
    <w:rsid w:val="0033007E"/>
    <w:rsid w:val="003301F6"/>
    <w:rsid w:val="00330310"/>
    <w:rsid w:val="0033046E"/>
    <w:rsid w:val="003304B3"/>
    <w:rsid w:val="00330A9A"/>
    <w:rsid w:val="00330D02"/>
    <w:rsid w:val="00331CE8"/>
    <w:rsid w:val="00331DBA"/>
    <w:rsid w:val="00332597"/>
    <w:rsid w:val="0033298A"/>
    <w:rsid w:val="003333B2"/>
    <w:rsid w:val="00333649"/>
    <w:rsid w:val="00333E6C"/>
    <w:rsid w:val="0033432A"/>
    <w:rsid w:val="00334343"/>
    <w:rsid w:val="0033449B"/>
    <w:rsid w:val="0033463D"/>
    <w:rsid w:val="003346B4"/>
    <w:rsid w:val="003349B8"/>
    <w:rsid w:val="00334AAD"/>
    <w:rsid w:val="00334C65"/>
    <w:rsid w:val="003356D4"/>
    <w:rsid w:val="00335DB1"/>
    <w:rsid w:val="00336EC9"/>
    <w:rsid w:val="003370E7"/>
    <w:rsid w:val="003372FF"/>
    <w:rsid w:val="0033799E"/>
    <w:rsid w:val="00337B07"/>
    <w:rsid w:val="00337CAB"/>
    <w:rsid w:val="00337CE6"/>
    <w:rsid w:val="00337DB2"/>
    <w:rsid w:val="003400DB"/>
    <w:rsid w:val="00340257"/>
    <w:rsid w:val="003407FE"/>
    <w:rsid w:val="00340BB6"/>
    <w:rsid w:val="003414A9"/>
    <w:rsid w:val="003415D2"/>
    <w:rsid w:val="00341703"/>
    <w:rsid w:val="00341840"/>
    <w:rsid w:val="00341933"/>
    <w:rsid w:val="00341A62"/>
    <w:rsid w:val="00341A82"/>
    <w:rsid w:val="00341B03"/>
    <w:rsid w:val="00342A1A"/>
    <w:rsid w:val="00342FD4"/>
    <w:rsid w:val="00343007"/>
    <w:rsid w:val="0034326B"/>
    <w:rsid w:val="003434AF"/>
    <w:rsid w:val="0034354C"/>
    <w:rsid w:val="0034368A"/>
    <w:rsid w:val="00343D57"/>
    <w:rsid w:val="0034458A"/>
    <w:rsid w:val="003445D3"/>
    <w:rsid w:val="00344927"/>
    <w:rsid w:val="00344B97"/>
    <w:rsid w:val="00344C5C"/>
    <w:rsid w:val="00344E0C"/>
    <w:rsid w:val="00344FC8"/>
    <w:rsid w:val="003450E7"/>
    <w:rsid w:val="00345A97"/>
    <w:rsid w:val="00346196"/>
    <w:rsid w:val="00346414"/>
    <w:rsid w:val="0034654F"/>
    <w:rsid w:val="0034688B"/>
    <w:rsid w:val="003468B6"/>
    <w:rsid w:val="00346DBB"/>
    <w:rsid w:val="00346F00"/>
    <w:rsid w:val="0034734B"/>
    <w:rsid w:val="003475BF"/>
    <w:rsid w:val="00347C6F"/>
    <w:rsid w:val="00347CAE"/>
    <w:rsid w:val="00347D3A"/>
    <w:rsid w:val="00350606"/>
    <w:rsid w:val="00350641"/>
    <w:rsid w:val="0035074E"/>
    <w:rsid w:val="00350A03"/>
    <w:rsid w:val="00350A1B"/>
    <w:rsid w:val="00350C3C"/>
    <w:rsid w:val="00350F44"/>
    <w:rsid w:val="0035112A"/>
    <w:rsid w:val="0035119A"/>
    <w:rsid w:val="00351500"/>
    <w:rsid w:val="003519B2"/>
    <w:rsid w:val="003519F7"/>
    <w:rsid w:val="00351AF4"/>
    <w:rsid w:val="00351C64"/>
    <w:rsid w:val="0035212C"/>
    <w:rsid w:val="00352171"/>
    <w:rsid w:val="00352AAF"/>
    <w:rsid w:val="00352B3F"/>
    <w:rsid w:val="00353600"/>
    <w:rsid w:val="00353FDA"/>
    <w:rsid w:val="00354017"/>
    <w:rsid w:val="003544D0"/>
    <w:rsid w:val="0035455B"/>
    <w:rsid w:val="00354DE4"/>
    <w:rsid w:val="00355494"/>
    <w:rsid w:val="00355937"/>
    <w:rsid w:val="00355D2B"/>
    <w:rsid w:val="00356248"/>
    <w:rsid w:val="003562B9"/>
    <w:rsid w:val="003564C9"/>
    <w:rsid w:val="003566C4"/>
    <w:rsid w:val="0035682B"/>
    <w:rsid w:val="00356EA0"/>
    <w:rsid w:val="00356FF1"/>
    <w:rsid w:val="00357393"/>
    <w:rsid w:val="00357742"/>
    <w:rsid w:val="00357B7E"/>
    <w:rsid w:val="00357C4C"/>
    <w:rsid w:val="00357F13"/>
    <w:rsid w:val="00357FEB"/>
    <w:rsid w:val="00360130"/>
    <w:rsid w:val="003603AB"/>
    <w:rsid w:val="00361126"/>
    <w:rsid w:val="00361336"/>
    <w:rsid w:val="00361486"/>
    <w:rsid w:val="00361B67"/>
    <w:rsid w:val="003621C7"/>
    <w:rsid w:val="00362311"/>
    <w:rsid w:val="0036297D"/>
    <w:rsid w:val="00362B2B"/>
    <w:rsid w:val="003631BC"/>
    <w:rsid w:val="003631CB"/>
    <w:rsid w:val="003632D6"/>
    <w:rsid w:val="0036365F"/>
    <w:rsid w:val="003636D8"/>
    <w:rsid w:val="003637BD"/>
    <w:rsid w:val="00363F8A"/>
    <w:rsid w:val="00364241"/>
    <w:rsid w:val="00364741"/>
    <w:rsid w:val="0036494E"/>
    <w:rsid w:val="003649AA"/>
    <w:rsid w:val="00364A0F"/>
    <w:rsid w:val="00364B4E"/>
    <w:rsid w:val="00364CF4"/>
    <w:rsid w:val="00364D15"/>
    <w:rsid w:val="00364D24"/>
    <w:rsid w:val="003657C1"/>
    <w:rsid w:val="00365CDC"/>
    <w:rsid w:val="00366153"/>
    <w:rsid w:val="003665CF"/>
    <w:rsid w:val="00366875"/>
    <w:rsid w:val="0036692F"/>
    <w:rsid w:val="00366A96"/>
    <w:rsid w:val="00366E2E"/>
    <w:rsid w:val="0036714E"/>
    <w:rsid w:val="0036744B"/>
    <w:rsid w:val="0036750A"/>
    <w:rsid w:val="0036782D"/>
    <w:rsid w:val="00367840"/>
    <w:rsid w:val="00367942"/>
    <w:rsid w:val="00367BA7"/>
    <w:rsid w:val="00367EBB"/>
    <w:rsid w:val="0037006A"/>
    <w:rsid w:val="00370110"/>
    <w:rsid w:val="00370503"/>
    <w:rsid w:val="003705CF"/>
    <w:rsid w:val="00370820"/>
    <w:rsid w:val="00370F45"/>
    <w:rsid w:val="003711BF"/>
    <w:rsid w:val="00371694"/>
    <w:rsid w:val="00371C04"/>
    <w:rsid w:val="00371DB3"/>
    <w:rsid w:val="00371F0F"/>
    <w:rsid w:val="0037227E"/>
    <w:rsid w:val="0037234F"/>
    <w:rsid w:val="00373813"/>
    <w:rsid w:val="00373A42"/>
    <w:rsid w:val="00373A43"/>
    <w:rsid w:val="00373B8E"/>
    <w:rsid w:val="00373E11"/>
    <w:rsid w:val="003743A2"/>
    <w:rsid w:val="003743A6"/>
    <w:rsid w:val="00374582"/>
    <w:rsid w:val="003747FA"/>
    <w:rsid w:val="00374802"/>
    <w:rsid w:val="00374C5A"/>
    <w:rsid w:val="00374F42"/>
    <w:rsid w:val="0037529A"/>
    <w:rsid w:val="0037542B"/>
    <w:rsid w:val="0037581A"/>
    <w:rsid w:val="00375A5E"/>
    <w:rsid w:val="0037614C"/>
    <w:rsid w:val="0037662D"/>
    <w:rsid w:val="003768EA"/>
    <w:rsid w:val="003769A0"/>
    <w:rsid w:val="00376A4C"/>
    <w:rsid w:val="00376C61"/>
    <w:rsid w:val="0037728D"/>
    <w:rsid w:val="00377461"/>
    <w:rsid w:val="00377AA8"/>
    <w:rsid w:val="00380674"/>
    <w:rsid w:val="003808EA"/>
    <w:rsid w:val="00380C55"/>
    <w:rsid w:val="003816C4"/>
    <w:rsid w:val="003817D3"/>
    <w:rsid w:val="0038191C"/>
    <w:rsid w:val="00381B11"/>
    <w:rsid w:val="0038214B"/>
    <w:rsid w:val="00382169"/>
    <w:rsid w:val="003821E1"/>
    <w:rsid w:val="00382668"/>
    <w:rsid w:val="003826A9"/>
    <w:rsid w:val="00382B7E"/>
    <w:rsid w:val="00382D91"/>
    <w:rsid w:val="003835C1"/>
    <w:rsid w:val="00383825"/>
    <w:rsid w:val="00383FD6"/>
    <w:rsid w:val="00384204"/>
    <w:rsid w:val="0038435B"/>
    <w:rsid w:val="003843D7"/>
    <w:rsid w:val="00384558"/>
    <w:rsid w:val="003845EF"/>
    <w:rsid w:val="00384D84"/>
    <w:rsid w:val="00384FBD"/>
    <w:rsid w:val="00385418"/>
    <w:rsid w:val="0038562D"/>
    <w:rsid w:val="003859D6"/>
    <w:rsid w:val="00385BA4"/>
    <w:rsid w:val="00385F9B"/>
    <w:rsid w:val="003860F0"/>
    <w:rsid w:val="003861ED"/>
    <w:rsid w:val="00386320"/>
    <w:rsid w:val="00386CB9"/>
    <w:rsid w:val="0038769C"/>
    <w:rsid w:val="0038771C"/>
    <w:rsid w:val="00387DD9"/>
    <w:rsid w:val="00390336"/>
    <w:rsid w:val="003903D6"/>
    <w:rsid w:val="00390512"/>
    <w:rsid w:val="0039059A"/>
    <w:rsid w:val="00390724"/>
    <w:rsid w:val="003907E1"/>
    <w:rsid w:val="0039083D"/>
    <w:rsid w:val="00390CDC"/>
    <w:rsid w:val="00390D38"/>
    <w:rsid w:val="00391036"/>
    <w:rsid w:val="003918E3"/>
    <w:rsid w:val="00391C19"/>
    <w:rsid w:val="00391E01"/>
    <w:rsid w:val="00391E0E"/>
    <w:rsid w:val="0039234C"/>
    <w:rsid w:val="00392A8F"/>
    <w:rsid w:val="00392E76"/>
    <w:rsid w:val="00392F73"/>
    <w:rsid w:val="003932EB"/>
    <w:rsid w:val="00393319"/>
    <w:rsid w:val="00393377"/>
    <w:rsid w:val="00393B6E"/>
    <w:rsid w:val="00393C11"/>
    <w:rsid w:val="00393D35"/>
    <w:rsid w:val="0039405B"/>
    <w:rsid w:val="00394061"/>
    <w:rsid w:val="00394570"/>
    <w:rsid w:val="003947DC"/>
    <w:rsid w:val="003949A2"/>
    <w:rsid w:val="00394A59"/>
    <w:rsid w:val="00394C3A"/>
    <w:rsid w:val="00394ECD"/>
    <w:rsid w:val="00395061"/>
    <w:rsid w:val="003953D7"/>
    <w:rsid w:val="003955E9"/>
    <w:rsid w:val="003956E2"/>
    <w:rsid w:val="00395A49"/>
    <w:rsid w:val="003961FF"/>
    <w:rsid w:val="0039620C"/>
    <w:rsid w:val="0039657D"/>
    <w:rsid w:val="003967B8"/>
    <w:rsid w:val="003968B5"/>
    <w:rsid w:val="003968CC"/>
    <w:rsid w:val="00396C49"/>
    <w:rsid w:val="00396C4C"/>
    <w:rsid w:val="00397967"/>
    <w:rsid w:val="003979AB"/>
    <w:rsid w:val="00397AD5"/>
    <w:rsid w:val="00397AF9"/>
    <w:rsid w:val="00397BF4"/>
    <w:rsid w:val="00397EE2"/>
    <w:rsid w:val="003A036F"/>
    <w:rsid w:val="003A0A72"/>
    <w:rsid w:val="003A196D"/>
    <w:rsid w:val="003A1C92"/>
    <w:rsid w:val="003A1F43"/>
    <w:rsid w:val="003A2172"/>
    <w:rsid w:val="003A29D9"/>
    <w:rsid w:val="003A2B93"/>
    <w:rsid w:val="003A2C0D"/>
    <w:rsid w:val="003A3179"/>
    <w:rsid w:val="003A39AB"/>
    <w:rsid w:val="003A3E4F"/>
    <w:rsid w:val="003A4613"/>
    <w:rsid w:val="003A497C"/>
    <w:rsid w:val="003A4A00"/>
    <w:rsid w:val="003A4BEB"/>
    <w:rsid w:val="003A51F4"/>
    <w:rsid w:val="003A5322"/>
    <w:rsid w:val="003A541A"/>
    <w:rsid w:val="003A59FC"/>
    <w:rsid w:val="003A5B38"/>
    <w:rsid w:val="003A6923"/>
    <w:rsid w:val="003A698C"/>
    <w:rsid w:val="003A7A47"/>
    <w:rsid w:val="003A7B46"/>
    <w:rsid w:val="003B02A9"/>
    <w:rsid w:val="003B0A84"/>
    <w:rsid w:val="003B0BCA"/>
    <w:rsid w:val="003B0DB8"/>
    <w:rsid w:val="003B155E"/>
    <w:rsid w:val="003B18F5"/>
    <w:rsid w:val="003B1A24"/>
    <w:rsid w:val="003B1A59"/>
    <w:rsid w:val="003B207D"/>
    <w:rsid w:val="003B2192"/>
    <w:rsid w:val="003B25BC"/>
    <w:rsid w:val="003B2998"/>
    <w:rsid w:val="003B2D26"/>
    <w:rsid w:val="003B2E1D"/>
    <w:rsid w:val="003B312B"/>
    <w:rsid w:val="003B345C"/>
    <w:rsid w:val="003B384B"/>
    <w:rsid w:val="003B3A20"/>
    <w:rsid w:val="003B3C3D"/>
    <w:rsid w:val="003B3D1D"/>
    <w:rsid w:val="003B3DA0"/>
    <w:rsid w:val="003B40AB"/>
    <w:rsid w:val="003B4D26"/>
    <w:rsid w:val="003B53F4"/>
    <w:rsid w:val="003B5731"/>
    <w:rsid w:val="003B60E9"/>
    <w:rsid w:val="003B62BB"/>
    <w:rsid w:val="003B638C"/>
    <w:rsid w:val="003B68ED"/>
    <w:rsid w:val="003B6D76"/>
    <w:rsid w:val="003B6EDC"/>
    <w:rsid w:val="003B7503"/>
    <w:rsid w:val="003B7CBC"/>
    <w:rsid w:val="003B7D93"/>
    <w:rsid w:val="003C00A9"/>
    <w:rsid w:val="003C0CDB"/>
    <w:rsid w:val="003C1039"/>
    <w:rsid w:val="003C11F1"/>
    <w:rsid w:val="003C160C"/>
    <w:rsid w:val="003C1699"/>
    <w:rsid w:val="003C19E8"/>
    <w:rsid w:val="003C1A3C"/>
    <w:rsid w:val="003C1D13"/>
    <w:rsid w:val="003C22D9"/>
    <w:rsid w:val="003C24F3"/>
    <w:rsid w:val="003C2573"/>
    <w:rsid w:val="003C257E"/>
    <w:rsid w:val="003C2687"/>
    <w:rsid w:val="003C269C"/>
    <w:rsid w:val="003C2C67"/>
    <w:rsid w:val="003C2D06"/>
    <w:rsid w:val="003C2EA2"/>
    <w:rsid w:val="003C36CF"/>
    <w:rsid w:val="003C380A"/>
    <w:rsid w:val="003C38E6"/>
    <w:rsid w:val="003C3AB2"/>
    <w:rsid w:val="003C3AF5"/>
    <w:rsid w:val="003C4732"/>
    <w:rsid w:val="003C4A71"/>
    <w:rsid w:val="003C4EB8"/>
    <w:rsid w:val="003C5278"/>
    <w:rsid w:val="003C53C4"/>
    <w:rsid w:val="003C541E"/>
    <w:rsid w:val="003C564F"/>
    <w:rsid w:val="003C574B"/>
    <w:rsid w:val="003C59DB"/>
    <w:rsid w:val="003C5B20"/>
    <w:rsid w:val="003C5BA4"/>
    <w:rsid w:val="003C610F"/>
    <w:rsid w:val="003C629E"/>
    <w:rsid w:val="003C682A"/>
    <w:rsid w:val="003C69C1"/>
    <w:rsid w:val="003C6C29"/>
    <w:rsid w:val="003C705E"/>
    <w:rsid w:val="003C73A5"/>
    <w:rsid w:val="003C7403"/>
    <w:rsid w:val="003C780E"/>
    <w:rsid w:val="003C78E4"/>
    <w:rsid w:val="003C7A25"/>
    <w:rsid w:val="003D0011"/>
    <w:rsid w:val="003D0143"/>
    <w:rsid w:val="003D03C0"/>
    <w:rsid w:val="003D07A8"/>
    <w:rsid w:val="003D08D1"/>
    <w:rsid w:val="003D0E24"/>
    <w:rsid w:val="003D1218"/>
    <w:rsid w:val="003D1802"/>
    <w:rsid w:val="003D1EBA"/>
    <w:rsid w:val="003D20D5"/>
    <w:rsid w:val="003D21C7"/>
    <w:rsid w:val="003D2816"/>
    <w:rsid w:val="003D2F41"/>
    <w:rsid w:val="003D34A5"/>
    <w:rsid w:val="003D3BB8"/>
    <w:rsid w:val="003D4B0A"/>
    <w:rsid w:val="003D527F"/>
    <w:rsid w:val="003D57BF"/>
    <w:rsid w:val="003D6260"/>
    <w:rsid w:val="003D627F"/>
    <w:rsid w:val="003D6314"/>
    <w:rsid w:val="003D64D9"/>
    <w:rsid w:val="003D6B98"/>
    <w:rsid w:val="003D6C4F"/>
    <w:rsid w:val="003D6CCD"/>
    <w:rsid w:val="003D6D77"/>
    <w:rsid w:val="003D6ED3"/>
    <w:rsid w:val="003D71C3"/>
    <w:rsid w:val="003D741E"/>
    <w:rsid w:val="003D7C85"/>
    <w:rsid w:val="003E00CC"/>
    <w:rsid w:val="003E036C"/>
    <w:rsid w:val="003E0CC1"/>
    <w:rsid w:val="003E0F05"/>
    <w:rsid w:val="003E0F95"/>
    <w:rsid w:val="003E1063"/>
    <w:rsid w:val="003E1098"/>
    <w:rsid w:val="003E1770"/>
    <w:rsid w:val="003E1AA2"/>
    <w:rsid w:val="003E20B9"/>
    <w:rsid w:val="003E2114"/>
    <w:rsid w:val="003E372F"/>
    <w:rsid w:val="003E3902"/>
    <w:rsid w:val="003E39E9"/>
    <w:rsid w:val="003E3E26"/>
    <w:rsid w:val="003E429E"/>
    <w:rsid w:val="003E44D1"/>
    <w:rsid w:val="003E494C"/>
    <w:rsid w:val="003E49D8"/>
    <w:rsid w:val="003E4FF4"/>
    <w:rsid w:val="003E507E"/>
    <w:rsid w:val="003E553C"/>
    <w:rsid w:val="003E5628"/>
    <w:rsid w:val="003E5D36"/>
    <w:rsid w:val="003E5D51"/>
    <w:rsid w:val="003E6770"/>
    <w:rsid w:val="003E69B3"/>
    <w:rsid w:val="003E6AE4"/>
    <w:rsid w:val="003E6FD3"/>
    <w:rsid w:val="003E7310"/>
    <w:rsid w:val="003E747D"/>
    <w:rsid w:val="003E76D4"/>
    <w:rsid w:val="003E7748"/>
    <w:rsid w:val="003E7BC5"/>
    <w:rsid w:val="003F02D1"/>
    <w:rsid w:val="003F0C0D"/>
    <w:rsid w:val="003F0E41"/>
    <w:rsid w:val="003F0E67"/>
    <w:rsid w:val="003F0EC9"/>
    <w:rsid w:val="003F0FBE"/>
    <w:rsid w:val="003F1295"/>
    <w:rsid w:val="003F18A5"/>
    <w:rsid w:val="003F1935"/>
    <w:rsid w:val="003F1D41"/>
    <w:rsid w:val="003F23D1"/>
    <w:rsid w:val="003F3750"/>
    <w:rsid w:val="003F3D34"/>
    <w:rsid w:val="003F3E44"/>
    <w:rsid w:val="003F407E"/>
    <w:rsid w:val="003F4088"/>
    <w:rsid w:val="003F4858"/>
    <w:rsid w:val="003F4BC9"/>
    <w:rsid w:val="003F4F5F"/>
    <w:rsid w:val="003F4FAA"/>
    <w:rsid w:val="003F5024"/>
    <w:rsid w:val="003F5138"/>
    <w:rsid w:val="003F5185"/>
    <w:rsid w:val="003F558A"/>
    <w:rsid w:val="003F566E"/>
    <w:rsid w:val="003F5808"/>
    <w:rsid w:val="003F5CCD"/>
    <w:rsid w:val="003F60E0"/>
    <w:rsid w:val="003F686A"/>
    <w:rsid w:val="003F702A"/>
    <w:rsid w:val="003F7415"/>
    <w:rsid w:val="003F7436"/>
    <w:rsid w:val="003F7568"/>
    <w:rsid w:val="003F76FC"/>
    <w:rsid w:val="003F78DC"/>
    <w:rsid w:val="003F7D25"/>
    <w:rsid w:val="004002EB"/>
    <w:rsid w:val="00400435"/>
    <w:rsid w:val="00400685"/>
    <w:rsid w:val="00400A4E"/>
    <w:rsid w:val="00400AF6"/>
    <w:rsid w:val="00400D74"/>
    <w:rsid w:val="004015EE"/>
    <w:rsid w:val="0040190C"/>
    <w:rsid w:val="00401AE4"/>
    <w:rsid w:val="00401DE1"/>
    <w:rsid w:val="00401FEC"/>
    <w:rsid w:val="004021BF"/>
    <w:rsid w:val="00402331"/>
    <w:rsid w:val="0040233B"/>
    <w:rsid w:val="00402410"/>
    <w:rsid w:val="004027D2"/>
    <w:rsid w:val="004030AA"/>
    <w:rsid w:val="00403711"/>
    <w:rsid w:val="00403734"/>
    <w:rsid w:val="00403A08"/>
    <w:rsid w:val="00404255"/>
    <w:rsid w:val="00404AE4"/>
    <w:rsid w:val="004053DF"/>
    <w:rsid w:val="00405454"/>
    <w:rsid w:val="0040559B"/>
    <w:rsid w:val="004055F9"/>
    <w:rsid w:val="00405699"/>
    <w:rsid w:val="00405A82"/>
    <w:rsid w:val="00405B96"/>
    <w:rsid w:val="00405C57"/>
    <w:rsid w:val="00406177"/>
    <w:rsid w:val="00406293"/>
    <w:rsid w:val="00406382"/>
    <w:rsid w:val="0040648A"/>
    <w:rsid w:val="00406A41"/>
    <w:rsid w:val="00406B15"/>
    <w:rsid w:val="00406CD3"/>
    <w:rsid w:val="00406F5C"/>
    <w:rsid w:val="0040738E"/>
    <w:rsid w:val="00407F1E"/>
    <w:rsid w:val="00407F60"/>
    <w:rsid w:val="00410B4C"/>
    <w:rsid w:val="00411493"/>
    <w:rsid w:val="00411685"/>
    <w:rsid w:val="00411B1A"/>
    <w:rsid w:val="00412274"/>
    <w:rsid w:val="00412322"/>
    <w:rsid w:val="00412487"/>
    <w:rsid w:val="00412AB8"/>
    <w:rsid w:val="00412CC7"/>
    <w:rsid w:val="00413444"/>
    <w:rsid w:val="0041344A"/>
    <w:rsid w:val="00413AFD"/>
    <w:rsid w:val="00413C85"/>
    <w:rsid w:val="00413D80"/>
    <w:rsid w:val="004149AA"/>
    <w:rsid w:val="00414D7B"/>
    <w:rsid w:val="00414DEC"/>
    <w:rsid w:val="00414E25"/>
    <w:rsid w:val="004158E3"/>
    <w:rsid w:val="00415D6C"/>
    <w:rsid w:val="004167BF"/>
    <w:rsid w:val="0041689E"/>
    <w:rsid w:val="00416B52"/>
    <w:rsid w:val="00416CE0"/>
    <w:rsid w:val="00416CE9"/>
    <w:rsid w:val="00417175"/>
    <w:rsid w:val="0041719D"/>
    <w:rsid w:val="004171A9"/>
    <w:rsid w:val="004171AD"/>
    <w:rsid w:val="0041747B"/>
    <w:rsid w:val="004177C5"/>
    <w:rsid w:val="004178B9"/>
    <w:rsid w:val="00417CE6"/>
    <w:rsid w:val="00417E48"/>
    <w:rsid w:val="004203D1"/>
    <w:rsid w:val="00420444"/>
    <w:rsid w:val="00420829"/>
    <w:rsid w:val="00420B88"/>
    <w:rsid w:val="00420DDD"/>
    <w:rsid w:val="00420DEF"/>
    <w:rsid w:val="00420FD2"/>
    <w:rsid w:val="004213ED"/>
    <w:rsid w:val="004216EC"/>
    <w:rsid w:val="00421EE5"/>
    <w:rsid w:val="00422096"/>
    <w:rsid w:val="0042248F"/>
    <w:rsid w:val="004229CE"/>
    <w:rsid w:val="00422D08"/>
    <w:rsid w:val="00422D7A"/>
    <w:rsid w:val="0042313F"/>
    <w:rsid w:val="00423214"/>
    <w:rsid w:val="004236C8"/>
    <w:rsid w:val="004239C1"/>
    <w:rsid w:val="00423A3A"/>
    <w:rsid w:val="00423AC7"/>
    <w:rsid w:val="00423C4A"/>
    <w:rsid w:val="00423DFB"/>
    <w:rsid w:val="004241C5"/>
    <w:rsid w:val="004243E7"/>
    <w:rsid w:val="00424DA4"/>
    <w:rsid w:val="0042545E"/>
    <w:rsid w:val="0042563B"/>
    <w:rsid w:val="004256AA"/>
    <w:rsid w:val="00425D27"/>
    <w:rsid w:val="00425EB7"/>
    <w:rsid w:val="00425F65"/>
    <w:rsid w:val="004260DC"/>
    <w:rsid w:val="00426324"/>
    <w:rsid w:val="00426369"/>
    <w:rsid w:val="004266AD"/>
    <w:rsid w:val="00426737"/>
    <w:rsid w:val="00426D5A"/>
    <w:rsid w:val="00426D8C"/>
    <w:rsid w:val="0042721C"/>
    <w:rsid w:val="00427585"/>
    <w:rsid w:val="00427681"/>
    <w:rsid w:val="00427A94"/>
    <w:rsid w:val="00427C3F"/>
    <w:rsid w:val="00427D8B"/>
    <w:rsid w:val="00427DA3"/>
    <w:rsid w:val="00427F97"/>
    <w:rsid w:val="004306A7"/>
    <w:rsid w:val="0043091A"/>
    <w:rsid w:val="0043111D"/>
    <w:rsid w:val="0043125E"/>
    <w:rsid w:val="00431353"/>
    <w:rsid w:val="00431655"/>
    <w:rsid w:val="00431995"/>
    <w:rsid w:val="00431C2E"/>
    <w:rsid w:val="0043243C"/>
    <w:rsid w:val="00432B68"/>
    <w:rsid w:val="00432CFE"/>
    <w:rsid w:val="004336B6"/>
    <w:rsid w:val="004339B0"/>
    <w:rsid w:val="004339CE"/>
    <w:rsid w:val="00433B05"/>
    <w:rsid w:val="00433C41"/>
    <w:rsid w:val="00433DB0"/>
    <w:rsid w:val="00433DB7"/>
    <w:rsid w:val="00433FBE"/>
    <w:rsid w:val="004344F3"/>
    <w:rsid w:val="00434991"/>
    <w:rsid w:val="004351D9"/>
    <w:rsid w:val="004353E1"/>
    <w:rsid w:val="004355A0"/>
    <w:rsid w:val="004359DB"/>
    <w:rsid w:val="00435AAA"/>
    <w:rsid w:val="00435B31"/>
    <w:rsid w:val="00435BD2"/>
    <w:rsid w:val="00435E76"/>
    <w:rsid w:val="004368A5"/>
    <w:rsid w:val="00436A98"/>
    <w:rsid w:val="00436C7E"/>
    <w:rsid w:val="00436C97"/>
    <w:rsid w:val="00436F04"/>
    <w:rsid w:val="00437189"/>
    <w:rsid w:val="004377AA"/>
    <w:rsid w:val="00437C5D"/>
    <w:rsid w:val="00440044"/>
    <w:rsid w:val="004404EA"/>
    <w:rsid w:val="00440790"/>
    <w:rsid w:val="0044081D"/>
    <w:rsid w:val="00440B20"/>
    <w:rsid w:val="00440B97"/>
    <w:rsid w:val="00440D69"/>
    <w:rsid w:val="00440DB1"/>
    <w:rsid w:val="00441573"/>
    <w:rsid w:val="00441700"/>
    <w:rsid w:val="00441727"/>
    <w:rsid w:val="004419E6"/>
    <w:rsid w:val="00441AB2"/>
    <w:rsid w:val="00442000"/>
    <w:rsid w:val="00442565"/>
    <w:rsid w:val="004428D4"/>
    <w:rsid w:val="00442A13"/>
    <w:rsid w:val="00442DA1"/>
    <w:rsid w:val="00442ECB"/>
    <w:rsid w:val="00442F6B"/>
    <w:rsid w:val="0044328E"/>
    <w:rsid w:val="00443824"/>
    <w:rsid w:val="0044417B"/>
    <w:rsid w:val="00444D3A"/>
    <w:rsid w:val="004459D2"/>
    <w:rsid w:val="00445C5E"/>
    <w:rsid w:val="00445E0B"/>
    <w:rsid w:val="00445F92"/>
    <w:rsid w:val="00445FBB"/>
    <w:rsid w:val="00445FCA"/>
    <w:rsid w:val="00446986"/>
    <w:rsid w:val="00446C95"/>
    <w:rsid w:val="00446CCA"/>
    <w:rsid w:val="00446CE4"/>
    <w:rsid w:val="00446EB3"/>
    <w:rsid w:val="00447196"/>
    <w:rsid w:val="004471E5"/>
    <w:rsid w:val="00447346"/>
    <w:rsid w:val="004475E3"/>
    <w:rsid w:val="00447612"/>
    <w:rsid w:val="00447D80"/>
    <w:rsid w:val="00447DD1"/>
    <w:rsid w:val="00450142"/>
    <w:rsid w:val="0045060A"/>
    <w:rsid w:val="00450951"/>
    <w:rsid w:val="00450A32"/>
    <w:rsid w:val="00450B51"/>
    <w:rsid w:val="00450BB4"/>
    <w:rsid w:val="00450E10"/>
    <w:rsid w:val="004512EC"/>
    <w:rsid w:val="00451441"/>
    <w:rsid w:val="0045194C"/>
    <w:rsid w:val="00451D82"/>
    <w:rsid w:val="00451E0E"/>
    <w:rsid w:val="00451EAD"/>
    <w:rsid w:val="004520E5"/>
    <w:rsid w:val="00452A4F"/>
    <w:rsid w:val="00452C0E"/>
    <w:rsid w:val="00452CA6"/>
    <w:rsid w:val="00452D05"/>
    <w:rsid w:val="0045325B"/>
    <w:rsid w:val="00453287"/>
    <w:rsid w:val="00453407"/>
    <w:rsid w:val="00453596"/>
    <w:rsid w:val="004536A8"/>
    <w:rsid w:val="00453750"/>
    <w:rsid w:val="00453835"/>
    <w:rsid w:val="00453B0A"/>
    <w:rsid w:val="00453CA4"/>
    <w:rsid w:val="00453E55"/>
    <w:rsid w:val="00453EEF"/>
    <w:rsid w:val="004543B2"/>
    <w:rsid w:val="00454444"/>
    <w:rsid w:val="00454AA2"/>
    <w:rsid w:val="004558C7"/>
    <w:rsid w:val="00455929"/>
    <w:rsid w:val="00455A3A"/>
    <w:rsid w:val="00455AC1"/>
    <w:rsid w:val="00455E5D"/>
    <w:rsid w:val="0045633B"/>
    <w:rsid w:val="00456890"/>
    <w:rsid w:val="00456941"/>
    <w:rsid w:val="00456A6A"/>
    <w:rsid w:val="00456D63"/>
    <w:rsid w:val="0045727F"/>
    <w:rsid w:val="004574EA"/>
    <w:rsid w:val="0045751A"/>
    <w:rsid w:val="0045770F"/>
    <w:rsid w:val="00457B97"/>
    <w:rsid w:val="004607BB"/>
    <w:rsid w:val="0046154A"/>
    <w:rsid w:val="00461701"/>
    <w:rsid w:val="00461EE5"/>
    <w:rsid w:val="00462058"/>
    <w:rsid w:val="004623B8"/>
    <w:rsid w:val="00462413"/>
    <w:rsid w:val="0046241E"/>
    <w:rsid w:val="004625EA"/>
    <w:rsid w:val="0046267C"/>
    <w:rsid w:val="00462804"/>
    <w:rsid w:val="004628BA"/>
    <w:rsid w:val="00462B1D"/>
    <w:rsid w:val="00462B9D"/>
    <w:rsid w:val="00462C00"/>
    <w:rsid w:val="00462C14"/>
    <w:rsid w:val="00462EC5"/>
    <w:rsid w:val="00463264"/>
    <w:rsid w:val="0046326C"/>
    <w:rsid w:val="00463316"/>
    <w:rsid w:val="00463384"/>
    <w:rsid w:val="00463575"/>
    <w:rsid w:val="00463D6F"/>
    <w:rsid w:val="00463D83"/>
    <w:rsid w:val="00463E1F"/>
    <w:rsid w:val="00463F66"/>
    <w:rsid w:val="004641A3"/>
    <w:rsid w:val="00464248"/>
    <w:rsid w:val="00464259"/>
    <w:rsid w:val="0046469E"/>
    <w:rsid w:val="00464FFE"/>
    <w:rsid w:val="004657A1"/>
    <w:rsid w:val="00465883"/>
    <w:rsid w:val="00465A01"/>
    <w:rsid w:val="00465A86"/>
    <w:rsid w:val="00465B1A"/>
    <w:rsid w:val="00465C3A"/>
    <w:rsid w:val="00466399"/>
    <w:rsid w:val="00466435"/>
    <w:rsid w:val="004665D0"/>
    <w:rsid w:val="004666B9"/>
    <w:rsid w:val="004669E3"/>
    <w:rsid w:val="00466A24"/>
    <w:rsid w:val="00466C25"/>
    <w:rsid w:val="00466C72"/>
    <w:rsid w:val="00467359"/>
    <w:rsid w:val="004673B5"/>
    <w:rsid w:val="004676E6"/>
    <w:rsid w:val="00467760"/>
    <w:rsid w:val="00467A7D"/>
    <w:rsid w:val="00467B22"/>
    <w:rsid w:val="00467D46"/>
    <w:rsid w:val="00467DCA"/>
    <w:rsid w:val="004700DA"/>
    <w:rsid w:val="00470110"/>
    <w:rsid w:val="004702EA"/>
    <w:rsid w:val="004712E4"/>
    <w:rsid w:val="0047133A"/>
    <w:rsid w:val="00472127"/>
    <w:rsid w:val="0047254C"/>
    <w:rsid w:val="00472A60"/>
    <w:rsid w:val="00472CC0"/>
    <w:rsid w:val="00472D7D"/>
    <w:rsid w:val="00472E42"/>
    <w:rsid w:val="0047312C"/>
    <w:rsid w:val="00473137"/>
    <w:rsid w:val="00473716"/>
    <w:rsid w:val="0047392B"/>
    <w:rsid w:val="00474274"/>
    <w:rsid w:val="00474AAC"/>
    <w:rsid w:val="00474ADE"/>
    <w:rsid w:val="00474CAE"/>
    <w:rsid w:val="00474F4E"/>
    <w:rsid w:val="00474F88"/>
    <w:rsid w:val="004755CC"/>
    <w:rsid w:val="00475843"/>
    <w:rsid w:val="00475872"/>
    <w:rsid w:val="0047596A"/>
    <w:rsid w:val="00475A41"/>
    <w:rsid w:val="0047619F"/>
    <w:rsid w:val="00476730"/>
    <w:rsid w:val="00476EE0"/>
    <w:rsid w:val="00477DE6"/>
    <w:rsid w:val="0048003E"/>
    <w:rsid w:val="00480150"/>
    <w:rsid w:val="00480201"/>
    <w:rsid w:val="00480490"/>
    <w:rsid w:val="004804F0"/>
    <w:rsid w:val="0048092A"/>
    <w:rsid w:val="00480D6C"/>
    <w:rsid w:val="00480E08"/>
    <w:rsid w:val="00480EDB"/>
    <w:rsid w:val="0048108A"/>
    <w:rsid w:val="004813C6"/>
    <w:rsid w:val="004816C5"/>
    <w:rsid w:val="004819B4"/>
    <w:rsid w:val="00481A7E"/>
    <w:rsid w:val="00481B72"/>
    <w:rsid w:val="00481D03"/>
    <w:rsid w:val="00481F0A"/>
    <w:rsid w:val="00482138"/>
    <w:rsid w:val="004822B2"/>
    <w:rsid w:val="00482D02"/>
    <w:rsid w:val="00482DCA"/>
    <w:rsid w:val="00482E28"/>
    <w:rsid w:val="00483140"/>
    <w:rsid w:val="0048317E"/>
    <w:rsid w:val="00483445"/>
    <w:rsid w:val="0048365E"/>
    <w:rsid w:val="004838A4"/>
    <w:rsid w:val="00483D12"/>
    <w:rsid w:val="00483D15"/>
    <w:rsid w:val="00483FF6"/>
    <w:rsid w:val="00484075"/>
    <w:rsid w:val="00484D58"/>
    <w:rsid w:val="00484E06"/>
    <w:rsid w:val="00485211"/>
    <w:rsid w:val="00485D97"/>
    <w:rsid w:val="00485E7F"/>
    <w:rsid w:val="004865B1"/>
    <w:rsid w:val="00486A7B"/>
    <w:rsid w:val="004874B1"/>
    <w:rsid w:val="00487826"/>
    <w:rsid w:val="00487CC9"/>
    <w:rsid w:val="00487E98"/>
    <w:rsid w:val="00490129"/>
    <w:rsid w:val="00490376"/>
    <w:rsid w:val="00490583"/>
    <w:rsid w:val="00490622"/>
    <w:rsid w:val="0049064E"/>
    <w:rsid w:val="00490B2B"/>
    <w:rsid w:val="00491301"/>
    <w:rsid w:val="004913C9"/>
    <w:rsid w:val="004915F5"/>
    <w:rsid w:val="0049166E"/>
    <w:rsid w:val="0049181E"/>
    <w:rsid w:val="00491C72"/>
    <w:rsid w:val="00491D05"/>
    <w:rsid w:val="00491F80"/>
    <w:rsid w:val="00492105"/>
    <w:rsid w:val="00492151"/>
    <w:rsid w:val="00492748"/>
    <w:rsid w:val="00492CE0"/>
    <w:rsid w:val="0049318E"/>
    <w:rsid w:val="004932EC"/>
    <w:rsid w:val="00493752"/>
    <w:rsid w:val="004938A3"/>
    <w:rsid w:val="004939F5"/>
    <w:rsid w:val="00493B84"/>
    <w:rsid w:val="00493DDC"/>
    <w:rsid w:val="00493E1B"/>
    <w:rsid w:val="00494098"/>
    <w:rsid w:val="00494A58"/>
    <w:rsid w:val="00494B89"/>
    <w:rsid w:val="00494BE4"/>
    <w:rsid w:val="004951BF"/>
    <w:rsid w:val="004958BA"/>
    <w:rsid w:val="00495C36"/>
    <w:rsid w:val="00495D04"/>
    <w:rsid w:val="00495F18"/>
    <w:rsid w:val="00496482"/>
    <w:rsid w:val="0049654E"/>
    <w:rsid w:val="004969CD"/>
    <w:rsid w:val="004972DD"/>
    <w:rsid w:val="00497314"/>
    <w:rsid w:val="00497DBA"/>
    <w:rsid w:val="00497E0C"/>
    <w:rsid w:val="004A015B"/>
    <w:rsid w:val="004A0201"/>
    <w:rsid w:val="004A02A6"/>
    <w:rsid w:val="004A0494"/>
    <w:rsid w:val="004A05BB"/>
    <w:rsid w:val="004A09AA"/>
    <w:rsid w:val="004A0BFF"/>
    <w:rsid w:val="004A0D94"/>
    <w:rsid w:val="004A10F5"/>
    <w:rsid w:val="004A1223"/>
    <w:rsid w:val="004A13F0"/>
    <w:rsid w:val="004A1432"/>
    <w:rsid w:val="004A14D7"/>
    <w:rsid w:val="004A15EC"/>
    <w:rsid w:val="004A1A7C"/>
    <w:rsid w:val="004A1CA2"/>
    <w:rsid w:val="004A1E56"/>
    <w:rsid w:val="004A25F0"/>
    <w:rsid w:val="004A2877"/>
    <w:rsid w:val="004A2AA9"/>
    <w:rsid w:val="004A2B33"/>
    <w:rsid w:val="004A2B3B"/>
    <w:rsid w:val="004A2D60"/>
    <w:rsid w:val="004A33CD"/>
    <w:rsid w:val="004A379A"/>
    <w:rsid w:val="004A391A"/>
    <w:rsid w:val="004A3AFB"/>
    <w:rsid w:val="004A4062"/>
    <w:rsid w:val="004A45DB"/>
    <w:rsid w:val="004A49C7"/>
    <w:rsid w:val="004A4B32"/>
    <w:rsid w:val="004A4BD0"/>
    <w:rsid w:val="004A4C42"/>
    <w:rsid w:val="004A4CDA"/>
    <w:rsid w:val="004A520A"/>
    <w:rsid w:val="004A5474"/>
    <w:rsid w:val="004A57EB"/>
    <w:rsid w:val="004A59B6"/>
    <w:rsid w:val="004A5B5B"/>
    <w:rsid w:val="004A5D44"/>
    <w:rsid w:val="004A5FEF"/>
    <w:rsid w:val="004A603A"/>
    <w:rsid w:val="004A6381"/>
    <w:rsid w:val="004A66AB"/>
    <w:rsid w:val="004A6A66"/>
    <w:rsid w:val="004A6BB4"/>
    <w:rsid w:val="004A715E"/>
    <w:rsid w:val="004A71E6"/>
    <w:rsid w:val="004A7519"/>
    <w:rsid w:val="004A7525"/>
    <w:rsid w:val="004A76D5"/>
    <w:rsid w:val="004A7937"/>
    <w:rsid w:val="004A7AE4"/>
    <w:rsid w:val="004A7EE5"/>
    <w:rsid w:val="004B0271"/>
    <w:rsid w:val="004B0348"/>
    <w:rsid w:val="004B03E1"/>
    <w:rsid w:val="004B03F9"/>
    <w:rsid w:val="004B0B14"/>
    <w:rsid w:val="004B1669"/>
    <w:rsid w:val="004B186A"/>
    <w:rsid w:val="004B18E2"/>
    <w:rsid w:val="004B1BF0"/>
    <w:rsid w:val="004B2164"/>
    <w:rsid w:val="004B23CB"/>
    <w:rsid w:val="004B2539"/>
    <w:rsid w:val="004B25BF"/>
    <w:rsid w:val="004B25E5"/>
    <w:rsid w:val="004B27F6"/>
    <w:rsid w:val="004B2E38"/>
    <w:rsid w:val="004B3027"/>
    <w:rsid w:val="004B355E"/>
    <w:rsid w:val="004B3D39"/>
    <w:rsid w:val="004B3E80"/>
    <w:rsid w:val="004B4068"/>
    <w:rsid w:val="004B41CA"/>
    <w:rsid w:val="004B41F7"/>
    <w:rsid w:val="004B4540"/>
    <w:rsid w:val="004B49B4"/>
    <w:rsid w:val="004B4C0A"/>
    <w:rsid w:val="004B4D28"/>
    <w:rsid w:val="004B4D92"/>
    <w:rsid w:val="004B4DDB"/>
    <w:rsid w:val="004B4EA5"/>
    <w:rsid w:val="004B501C"/>
    <w:rsid w:val="004B51D9"/>
    <w:rsid w:val="004B51DB"/>
    <w:rsid w:val="004B58B5"/>
    <w:rsid w:val="004B5979"/>
    <w:rsid w:val="004B59DA"/>
    <w:rsid w:val="004B5A05"/>
    <w:rsid w:val="004B61FA"/>
    <w:rsid w:val="004B6211"/>
    <w:rsid w:val="004B6492"/>
    <w:rsid w:val="004B6D84"/>
    <w:rsid w:val="004B6DF0"/>
    <w:rsid w:val="004B7213"/>
    <w:rsid w:val="004B7495"/>
    <w:rsid w:val="004C023A"/>
    <w:rsid w:val="004C0342"/>
    <w:rsid w:val="004C0564"/>
    <w:rsid w:val="004C0AAF"/>
    <w:rsid w:val="004C0ECA"/>
    <w:rsid w:val="004C11D8"/>
    <w:rsid w:val="004C1B44"/>
    <w:rsid w:val="004C1D67"/>
    <w:rsid w:val="004C20A8"/>
    <w:rsid w:val="004C2328"/>
    <w:rsid w:val="004C2501"/>
    <w:rsid w:val="004C2B02"/>
    <w:rsid w:val="004C2DDF"/>
    <w:rsid w:val="004C35D9"/>
    <w:rsid w:val="004C382E"/>
    <w:rsid w:val="004C3A3D"/>
    <w:rsid w:val="004C3E09"/>
    <w:rsid w:val="004C404C"/>
    <w:rsid w:val="004C45CD"/>
    <w:rsid w:val="004C4841"/>
    <w:rsid w:val="004C4B1E"/>
    <w:rsid w:val="004C4E09"/>
    <w:rsid w:val="004C4FE8"/>
    <w:rsid w:val="004C5170"/>
    <w:rsid w:val="004C52EE"/>
    <w:rsid w:val="004C5482"/>
    <w:rsid w:val="004C54E2"/>
    <w:rsid w:val="004C5785"/>
    <w:rsid w:val="004C6528"/>
    <w:rsid w:val="004C6BF3"/>
    <w:rsid w:val="004C6D60"/>
    <w:rsid w:val="004C6D7B"/>
    <w:rsid w:val="004C70EA"/>
    <w:rsid w:val="004C7125"/>
    <w:rsid w:val="004C735C"/>
    <w:rsid w:val="004C743B"/>
    <w:rsid w:val="004C763C"/>
    <w:rsid w:val="004C7B4B"/>
    <w:rsid w:val="004D01BE"/>
    <w:rsid w:val="004D1496"/>
    <w:rsid w:val="004D1AC6"/>
    <w:rsid w:val="004D1B25"/>
    <w:rsid w:val="004D1D3B"/>
    <w:rsid w:val="004D1EFD"/>
    <w:rsid w:val="004D2591"/>
    <w:rsid w:val="004D25EE"/>
    <w:rsid w:val="004D2AFD"/>
    <w:rsid w:val="004D2DB1"/>
    <w:rsid w:val="004D3241"/>
    <w:rsid w:val="004D32C4"/>
    <w:rsid w:val="004D3518"/>
    <w:rsid w:val="004D3C46"/>
    <w:rsid w:val="004D3E67"/>
    <w:rsid w:val="004D3EF0"/>
    <w:rsid w:val="004D426C"/>
    <w:rsid w:val="004D4A65"/>
    <w:rsid w:val="004D4AC0"/>
    <w:rsid w:val="004D4B09"/>
    <w:rsid w:val="004D53A8"/>
    <w:rsid w:val="004D5FDF"/>
    <w:rsid w:val="004D62D6"/>
    <w:rsid w:val="004D62F3"/>
    <w:rsid w:val="004D65BE"/>
    <w:rsid w:val="004D6F5D"/>
    <w:rsid w:val="004D7D85"/>
    <w:rsid w:val="004D7E2F"/>
    <w:rsid w:val="004E0B5E"/>
    <w:rsid w:val="004E0C31"/>
    <w:rsid w:val="004E0CBC"/>
    <w:rsid w:val="004E0D10"/>
    <w:rsid w:val="004E0FFE"/>
    <w:rsid w:val="004E116B"/>
    <w:rsid w:val="004E123E"/>
    <w:rsid w:val="004E1587"/>
    <w:rsid w:val="004E16BD"/>
    <w:rsid w:val="004E179B"/>
    <w:rsid w:val="004E1862"/>
    <w:rsid w:val="004E1B6A"/>
    <w:rsid w:val="004E1E6F"/>
    <w:rsid w:val="004E1F05"/>
    <w:rsid w:val="004E212D"/>
    <w:rsid w:val="004E23D2"/>
    <w:rsid w:val="004E2656"/>
    <w:rsid w:val="004E27C0"/>
    <w:rsid w:val="004E2948"/>
    <w:rsid w:val="004E2953"/>
    <w:rsid w:val="004E29D7"/>
    <w:rsid w:val="004E2AA6"/>
    <w:rsid w:val="004E2AE5"/>
    <w:rsid w:val="004E2D97"/>
    <w:rsid w:val="004E31A5"/>
    <w:rsid w:val="004E3531"/>
    <w:rsid w:val="004E3564"/>
    <w:rsid w:val="004E35BB"/>
    <w:rsid w:val="004E37D3"/>
    <w:rsid w:val="004E393F"/>
    <w:rsid w:val="004E39C1"/>
    <w:rsid w:val="004E3F2D"/>
    <w:rsid w:val="004E3FBD"/>
    <w:rsid w:val="004E4001"/>
    <w:rsid w:val="004E435C"/>
    <w:rsid w:val="004E46B1"/>
    <w:rsid w:val="004E4B18"/>
    <w:rsid w:val="004E4DBC"/>
    <w:rsid w:val="004E5028"/>
    <w:rsid w:val="004E5552"/>
    <w:rsid w:val="004E566C"/>
    <w:rsid w:val="004E5857"/>
    <w:rsid w:val="004E58AC"/>
    <w:rsid w:val="004E5DD9"/>
    <w:rsid w:val="004E6134"/>
    <w:rsid w:val="004E6431"/>
    <w:rsid w:val="004E67C1"/>
    <w:rsid w:val="004E6820"/>
    <w:rsid w:val="004E6B2F"/>
    <w:rsid w:val="004E6CA3"/>
    <w:rsid w:val="004E6DE7"/>
    <w:rsid w:val="004E6DEA"/>
    <w:rsid w:val="004E70CB"/>
    <w:rsid w:val="004E7365"/>
    <w:rsid w:val="004E7613"/>
    <w:rsid w:val="004E7B4E"/>
    <w:rsid w:val="004F0222"/>
    <w:rsid w:val="004F0483"/>
    <w:rsid w:val="004F0A88"/>
    <w:rsid w:val="004F0D3D"/>
    <w:rsid w:val="004F18A3"/>
    <w:rsid w:val="004F19B5"/>
    <w:rsid w:val="004F1AB2"/>
    <w:rsid w:val="004F2934"/>
    <w:rsid w:val="004F2D6A"/>
    <w:rsid w:val="004F319E"/>
    <w:rsid w:val="004F3ED1"/>
    <w:rsid w:val="004F489F"/>
    <w:rsid w:val="004F4FC4"/>
    <w:rsid w:val="004F51AA"/>
    <w:rsid w:val="004F5331"/>
    <w:rsid w:val="004F5361"/>
    <w:rsid w:val="004F577D"/>
    <w:rsid w:val="004F58F7"/>
    <w:rsid w:val="004F5967"/>
    <w:rsid w:val="004F5D79"/>
    <w:rsid w:val="004F5FFB"/>
    <w:rsid w:val="004F61B1"/>
    <w:rsid w:val="004F644B"/>
    <w:rsid w:val="004F644C"/>
    <w:rsid w:val="004F64AF"/>
    <w:rsid w:val="004F6C01"/>
    <w:rsid w:val="004F7603"/>
    <w:rsid w:val="004F767E"/>
    <w:rsid w:val="004F781C"/>
    <w:rsid w:val="004F7959"/>
    <w:rsid w:val="0050019B"/>
    <w:rsid w:val="00500777"/>
    <w:rsid w:val="00500871"/>
    <w:rsid w:val="0050090C"/>
    <w:rsid w:val="00500CE1"/>
    <w:rsid w:val="00500EEB"/>
    <w:rsid w:val="00500F67"/>
    <w:rsid w:val="00501298"/>
    <w:rsid w:val="00501322"/>
    <w:rsid w:val="00501446"/>
    <w:rsid w:val="005019A4"/>
    <w:rsid w:val="00501ABB"/>
    <w:rsid w:val="0050282A"/>
    <w:rsid w:val="0050283A"/>
    <w:rsid w:val="00502D16"/>
    <w:rsid w:val="00502E0F"/>
    <w:rsid w:val="005033FB"/>
    <w:rsid w:val="005036DF"/>
    <w:rsid w:val="005039A3"/>
    <w:rsid w:val="00503A14"/>
    <w:rsid w:val="00503B21"/>
    <w:rsid w:val="00503EBE"/>
    <w:rsid w:val="00503F69"/>
    <w:rsid w:val="00504121"/>
    <w:rsid w:val="0050427F"/>
    <w:rsid w:val="0050511F"/>
    <w:rsid w:val="00505734"/>
    <w:rsid w:val="00505A65"/>
    <w:rsid w:val="00505BC4"/>
    <w:rsid w:val="00506036"/>
    <w:rsid w:val="005061A3"/>
    <w:rsid w:val="00506EEB"/>
    <w:rsid w:val="00507008"/>
    <w:rsid w:val="0050717A"/>
    <w:rsid w:val="005071BE"/>
    <w:rsid w:val="00507381"/>
    <w:rsid w:val="005073E4"/>
    <w:rsid w:val="005076B1"/>
    <w:rsid w:val="00507829"/>
    <w:rsid w:val="00507BDE"/>
    <w:rsid w:val="00507CEC"/>
    <w:rsid w:val="00510239"/>
    <w:rsid w:val="00510491"/>
    <w:rsid w:val="00510B68"/>
    <w:rsid w:val="00510FDD"/>
    <w:rsid w:val="00511211"/>
    <w:rsid w:val="00511F29"/>
    <w:rsid w:val="0051226D"/>
    <w:rsid w:val="0051242C"/>
    <w:rsid w:val="005125FD"/>
    <w:rsid w:val="00512662"/>
    <w:rsid w:val="005129A3"/>
    <w:rsid w:val="00512A32"/>
    <w:rsid w:val="00513159"/>
    <w:rsid w:val="0051352E"/>
    <w:rsid w:val="0051357E"/>
    <w:rsid w:val="00513749"/>
    <w:rsid w:val="00513782"/>
    <w:rsid w:val="00513A32"/>
    <w:rsid w:val="00513E01"/>
    <w:rsid w:val="00514503"/>
    <w:rsid w:val="0051490B"/>
    <w:rsid w:val="00514BDD"/>
    <w:rsid w:val="00514CD5"/>
    <w:rsid w:val="00514ECE"/>
    <w:rsid w:val="00515285"/>
    <w:rsid w:val="00515A80"/>
    <w:rsid w:val="00515EEF"/>
    <w:rsid w:val="0051654D"/>
    <w:rsid w:val="0051665F"/>
    <w:rsid w:val="00516809"/>
    <w:rsid w:val="00516CE2"/>
    <w:rsid w:val="0051732F"/>
    <w:rsid w:val="00517839"/>
    <w:rsid w:val="00517F27"/>
    <w:rsid w:val="00520254"/>
    <w:rsid w:val="005212BA"/>
    <w:rsid w:val="00521D22"/>
    <w:rsid w:val="00522280"/>
    <w:rsid w:val="0052229E"/>
    <w:rsid w:val="00522F8A"/>
    <w:rsid w:val="005235CE"/>
    <w:rsid w:val="00523886"/>
    <w:rsid w:val="0052388D"/>
    <w:rsid w:val="00523B03"/>
    <w:rsid w:val="005241A0"/>
    <w:rsid w:val="005241EF"/>
    <w:rsid w:val="0052466C"/>
    <w:rsid w:val="005246F0"/>
    <w:rsid w:val="00524799"/>
    <w:rsid w:val="00524C3D"/>
    <w:rsid w:val="00524E68"/>
    <w:rsid w:val="00524EF6"/>
    <w:rsid w:val="005251BA"/>
    <w:rsid w:val="005252DE"/>
    <w:rsid w:val="00525807"/>
    <w:rsid w:val="00526076"/>
    <w:rsid w:val="00526154"/>
    <w:rsid w:val="005263B9"/>
    <w:rsid w:val="0052694B"/>
    <w:rsid w:val="00526F45"/>
    <w:rsid w:val="00526F59"/>
    <w:rsid w:val="0052732B"/>
    <w:rsid w:val="00527DD9"/>
    <w:rsid w:val="00527F24"/>
    <w:rsid w:val="00530079"/>
    <w:rsid w:val="00530681"/>
    <w:rsid w:val="00530BAD"/>
    <w:rsid w:val="0053138D"/>
    <w:rsid w:val="0053170B"/>
    <w:rsid w:val="00531DAE"/>
    <w:rsid w:val="005320B3"/>
    <w:rsid w:val="00532168"/>
    <w:rsid w:val="00532217"/>
    <w:rsid w:val="005322EA"/>
    <w:rsid w:val="0053252D"/>
    <w:rsid w:val="0053313C"/>
    <w:rsid w:val="0053325B"/>
    <w:rsid w:val="005333F2"/>
    <w:rsid w:val="0053365E"/>
    <w:rsid w:val="00533DE4"/>
    <w:rsid w:val="0053416C"/>
    <w:rsid w:val="0053470F"/>
    <w:rsid w:val="005347E3"/>
    <w:rsid w:val="0053485F"/>
    <w:rsid w:val="00534B13"/>
    <w:rsid w:val="00534B7C"/>
    <w:rsid w:val="00534CB6"/>
    <w:rsid w:val="00534FFE"/>
    <w:rsid w:val="005350E2"/>
    <w:rsid w:val="005351CD"/>
    <w:rsid w:val="005354BB"/>
    <w:rsid w:val="005357AD"/>
    <w:rsid w:val="00535ECA"/>
    <w:rsid w:val="005361B4"/>
    <w:rsid w:val="00536350"/>
    <w:rsid w:val="00536852"/>
    <w:rsid w:val="00536EF8"/>
    <w:rsid w:val="0053734E"/>
    <w:rsid w:val="005373FB"/>
    <w:rsid w:val="00537687"/>
    <w:rsid w:val="00540011"/>
    <w:rsid w:val="0054007B"/>
    <w:rsid w:val="00540300"/>
    <w:rsid w:val="00540493"/>
    <w:rsid w:val="005409E1"/>
    <w:rsid w:val="00540F55"/>
    <w:rsid w:val="005410F1"/>
    <w:rsid w:val="00541242"/>
    <w:rsid w:val="00541451"/>
    <w:rsid w:val="00541C2F"/>
    <w:rsid w:val="00541E14"/>
    <w:rsid w:val="00541E44"/>
    <w:rsid w:val="00542517"/>
    <w:rsid w:val="00542B14"/>
    <w:rsid w:val="00543490"/>
    <w:rsid w:val="005434DA"/>
    <w:rsid w:val="00543975"/>
    <w:rsid w:val="0054398A"/>
    <w:rsid w:val="00543DA2"/>
    <w:rsid w:val="00543DAD"/>
    <w:rsid w:val="00543F1A"/>
    <w:rsid w:val="005440CB"/>
    <w:rsid w:val="00544418"/>
    <w:rsid w:val="0054497C"/>
    <w:rsid w:val="00544BA5"/>
    <w:rsid w:val="00544C11"/>
    <w:rsid w:val="00544C71"/>
    <w:rsid w:val="005454E8"/>
    <w:rsid w:val="00545BC5"/>
    <w:rsid w:val="00545CF1"/>
    <w:rsid w:val="00545D18"/>
    <w:rsid w:val="0054609B"/>
    <w:rsid w:val="005466C5"/>
    <w:rsid w:val="00546C8E"/>
    <w:rsid w:val="00546EED"/>
    <w:rsid w:val="0054702A"/>
    <w:rsid w:val="00547200"/>
    <w:rsid w:val="0054736B"/>
    <w:rsid w:val="005477CA"/>
    <w:rsid w:val="005501BD"/>
    <w:rsid w:val="0055071F"/>
    <w:rsid w:val="00550923"/>
    <w:rsid w:val="00550A53"/>
    <w:rsid w:val="00550ADA"/>
    <w:rsid w:val="00550E02"/>
    <w:rsid w:val="0055106A"/>
    <w:rsid w:val="0055139C"/>
    <w:rsid w:val="00551C62"/>
    <w:rsid w:val="0055278F"/>
    <w:rsid w:val="00552C85"/>
    <w:rsid w:val="0055330E"/>
    <w:rsid w:val="00553753"/>
    <w:rsid w:val="00553B7B"/>
    <w:rsid w:val="00553BDB"/>
    <w:rsid w:val="00553F63"/>
    <w:rsid w:val="00553FBF"/>
    <w:rsid w:val="0055423B"/>
    <w:rsid w:val="00554854"/>
    <w:rsid w:val="00554897"/>
    <w:rsid w:val="00554BB6"/>
    <w:rsid w:val="00554F32"/>
    <w:rsid w:val="00555178"/>
    <w:rsid w:val="005552CA"/>
    <w:rsid w:val="005553CF"/>
    <w:rsid w:val="00555713"/>
    <w:rsid w:val="00555CF2"/>
    <w:rsid w:val="005561B1"/>
    <w:rsid w:val="00556964"/>
    <w:rsid w:val="00556BC5"/>
    <w:rsid w:val="00556F55"/>
    <w:rsid w:val="00556FE7"/>
    <w:rsid w:val="00557001"/>
    <w:rsid w:val="00557131"/>
    <w:rsid w:val="0055737F"/>
    <w:rsid w:val="00557A85"/>
    <w:rsid w:val="00557DCC"/>
    <w:rsid w:val="00557EA3"/>
    <w:rsid w:val="0056088A"/>
    <w:rsid w:val="005610A5"/>
    <w:rsid w:val="00561477"/>
    <w:rsid w:val="005619A3"/>
    <w:rsid w:val="00561F47"/>
    <w:rsid w:val="00561F48"/>
    <w:rsid w:val="005620A2"/>
    <w:rsid w:val="005625D6"/>
    <w:rsid w:val="00562744"/>
    <w:rsid w:val="00562A30"/>
    <w:rsid w:val="00562FC3"/>
    <w:rsid w:val="00563527"/>
    <w:rsid w:val="00563E5B"/>
    <w:rsid w:val="00563FEA"/>
    <w:rsid w:val="005646C0"/>
    <w:rsid w:val="00564871"/>
    <w:rsid w:val="00564CD4"/>
    <w:rsid w:val="00564EB5"/>
    <w:rsid w:val="00565438"/>
    <w:rsid w:val="00565665"/>
    <w:rsid w:val="0056592E"/>
    <w:rsid w:val="00565BB7"/>
    <w:rsid w:val="00565C64"/>
    <w:rsid w:val="00565FF3"/>
    <w:rsid w:val="00566328"/>
    <w:rsid w:val="0056645F"/>
    <w:rsid w:val="00566544"/>
    <w:rsid w:val="00566671"/>
    <w:rsid w:val="0056678C"/>
    <w:rsid w:val="00566A0D"/>
    <w:rsid w:val="0056715B"/>
    <w:rsid w:val="00567525"/>
    <w:rsid w:val="00567737"/>
    <w:rsid w:val="005700FA"/>
    <w:rsid w:val="00570259"/>
    <w:rsid w:val="005702BB"/>
    <w:rsid w:val="005702FD"/>
    <w:rsid w:val="0057032B"/>
    <w:rsid w:val="00570399"/>
    <w:rsid w:val="00570401"/>
    <w:rsid w:val="00570CAA"/>
    <w:rsid w:val="00571318"/>
    <w:rsid w:val="005713B8"/>
    <w:rsid w:val="00571462"/>
    <w:rsid w:val="0057174B"/>
    <w:rsid w:val="00572320"/>
    <w:rsid w:val="00572EEB"/>
    <w:rsid w:val="0057359E"/>
    <w:rsid w:val="00573800"/>
    <w:rsid w:val="00573921"/>
    <w:rsid w:val="005739FB"/>
    <w:rsid w:val="00573C9E"/>
    <w:rsid w:val="00573E40"/>
    <w:rsid w:val="00573F75"/>
    <w:rsid w:val="005742DA"/>
    <w:rsid w:val="00575140"/>
    <w:rsid w:val="005754A4"/>
    <w:rsid w:val="005757A4"/>
    <w:rsid w:val="005759CA"/>
    <w:rsid w:val="00575AFD"/>
    <w:rsid w:val="00575CA6"/>
    <w:rsid w:val="00576275"/>
    <w:rsid w:val="00576332"/>
    <w:rsid w:val="005764B4"/>
    <w:rsid w:val="005765C8"/>
    <w:rsid w:val="00576889"/>
    <w:rsid w:val="00576CD5"/>
    <w:rsid w:val="00576E42"/>
    <w:rsid w:val="00576E58"/>
    <w:rsid w:val="0057713F"/>
    <w:rsid w:val="00577947"/>
    <w:rsid w:val="0057796F"/>
    <w:rsid w:val="00577CE3"/>
    <w:rsid w:val="00577F47"/>
    <w:rsid w:val="0058003B"/>
    <w:rsid w:val="0058056D"/>
    <w:rsid w:val="005807AB"/>
    <w:rsid w:val="00580932"/>
    <w:rsid w:val="00580B45"/>
    <w:rsid w:val="00580DC6"/>
    <w:rsid w:val="0058106D"/>
    <w:rsid w:val="0058111B"/>
    <w:rsid w:val="0058124E"/>
    <w:rsid w:val="00581A9D"/>
    <w:rsid w:val="00581DCB"/>
    <w:rsid w:val="00581DFA"/>
    <w:rsid w:val="00582107"/>
    <w:rsid w:val="00582295"/>
    <w:rsid w:val="0058241F"/>
    <w:rsid w:val="0058280B"/>
    <w:rsid w:val="005829BA"/>
    <w:rsid w:val="005835B1"/>
    <w:rsid w:val="005835C4"/>
    <w:rsid w:val="005836D9"/>
    <w:rsid w:val="00583CB7"/>
    <w:rsid w:val="0058419B"/>
    <w:rsid w:val="00584290"/>
    <w:rsid w:val="00584301"/>
    <w:rsid w:val="00584604"/>
    <w:rsid w:val="00584638"/>
    <w:rsid w:val="00584654"/>
    <w:rsid w:val="005846A2"/>
    <w:rsid w:val="00584C41"/>
    <w:rsid w:val="00584D04"/>
    <w:rsid w:val="0058533C"/>
    <w:rsid w:val="005853E4"/>
    <w:rsid w:val="005855AD"/>
    <w:rsid w:val="0058657F"/>
    <w:rsid w:val="00586A8B"/>
    <w:rsid w:val="00586E23"/>
    <w:rsid w:val="00586EBB"/>
    <w:rsid w:val="005870B6"/>
    <w:rsid w:val="005871E1"/>
    <w:rsid w:val="005872D4"/>
    <w:rsid w:val="0058731C"/>
    <w:rsid w:val="0058734A"/>
    <w:rsid w:val="00587366"/>
    <w:rsid w:val="005875A3"/>
    <w:rsid w:val="005875C4"/>
    <w:rsid w:val="005876F4"/>
    <w:rsid w:val="005877CF"/>
    <w:rsid w:val="00587AA7"/>
    <w:rsid w:val="00587D1D"/>
    <w:rsid w:val="00590467"/>
    <w:rsid w:val="0059047F"/>
    <w:rsid w:val="00590484"/>
    <w:rsid w:val="005905E4"/>
    <w:rsid w:val="00590678"/>
    <w:rsid w:val="00590A50"/>
    <w:rsid w:val="00591167"/>
    <w:rsid w:val="00591428"/>
    <w:rsid w:val="00591DC7"/>
    <w:rsid w:val="005921E0"/>
    <w:rsid w:val="0059245A"/>
    <w:rsid w:val="0059258D"/>
    <w:rsid w:val="005928F2"/>
    <w:rsid w:val="00592A0F"/>
    <w:rsid w:val="00592F3E"/>
    <w:rsid w:val="00593145"/>
    <w:rsid w:val="0059383B"/>
    <w:rsid w:val="005939AC"/>
    <w:rsid w:val="005939FB"/>
    <w:rsid w:val="00593A4C"/>
    <w:rsid w:val="00593FBC"/>
    <w:rsid w:val="00593FC0"/>
    <w:rsid w:val="0059415A"/>
    <w:rsid w:val="00594345"/>
    <w:rsid w:val="005947BA"/>
    <w:rsid w:val="0059499B"/>
    <w:rsid w:val="00594A6D"/>
    <w:rsid w:val="005957A1"/>
    <w:rsid w:val="0059598D"/>
    <w:rsid w:val="00595B2E"/>
    <w:rsid w:val="00595E0F"/>
    <w:rsid w:val="005963C1"/>
    <w:rsid w:val="00596550"/>
    <w:rsid w:val="00596875"/>
    <w:rsid w:val="00596BC6"/>
    <w:rsid w:val="00597004"/>
    <w:rsid w:val="005974AA"/>
    <w:rsid w:val="0059759A"/>
    <w:rsid w:val="005979B8"/>
    <w:rsid w:val="00597B9F"/>
    <w:rsid w:val="00597BD4"/>
    <w:rsid w:val="00597ED7"/>
    <w:rsid w:val="00597FE2"/>
    <w:rsid w:val="005A0003"/>
    <w:rsid w:val="005A0182"/>
    <w:rsid w:val="005A01A5"/>
    <w:rsid w:val="005A031E"/>
    <w:rsid w:val="005A040A"/>
    <w:rsid w:val="005A04BC"/>
    <w:rsid w:val="005A0A3D"/>
    <w:rsid w:val="005A0A51"/>
    <w:rsid w:val="005A0FBD"/>
    <w:rsid w:val="005A1243"/>
    <w:rsid w:val="005A1275"/>
    <w:rsid w:val="005A12BD"/>
    <w:rsid w:val="005A1605"/>
    <w:rsid w:val="005A1AA5"/>
    <w:rsid w:val="005A1F71"/>
    <w:rsid w:val="005A2458"/>
    <w:rsid w:val="005A2F8B"/>
    <w:rsid w:val="005A316B"/>
    <w:rsid w:val="005A3416"/>
    <w:rsid w:val="005A37CE"/>
    <w:rsid w:val="005A3A89"/>
    <w:rsid w:val="005A3E0C"/>
    <w:rsid w:val="005A40D3"/>
    <w:rsid w:val="005A4767"/>
    <w:rsid w:val="005A4AFE"/>
    <w:rsid w:val="005A4D68"/>
    <w:rsid w:val="005A4EA1"/>
    <w:rsid w:val="005A4F69"/>
    <w:rsid w:val="005A5117"/>
    <w:rsid w:val="005A51E8"/>
    <w:rsid w:val="005A59ED"/>
    <w:rsid w:val="005A5AA0"/>
    <w:rsid w:val="005A5FB9"/>
    <w:rsid w:val="005A6438"/>
    <w:rsid w:val="005A659E"/>
    <w:rsid w:val="005A6770"/>
    <w:rsid w:val="005A6CA3"/>
    <w:rsid w:val="005A7049"/>
    <w:rsid w:val="005A71F6"/>
    <w:rsid w:val="005A72A6"/>
    <w:rsid w:val="005A7314"/>
    <w:rsid w:val="005A732A"/>
    <w:rsid w:val="005A746E"/>
    <w:rsid w:val="005A75ED"/>
    <w:rsid w:val="005A75F1"/>
    <w:rsid w:val="005A772A"/>
    <w:rsid w:val="005A7922"/>
    <w:rsid w:val="005A7C7B"/>
    <w:rsid w:val="005B034A"/>
    <w:rsid w:val="005B0420"/>
    <w:rsid w:val="005B07FF"/>
    <w:rsid w:val="005B0943"/>
    <w:rsid w:val="005B09C7"/>
    <w:rsid w:val="005B09FF"/>
    <w:rsid w:val="005B0E4F"/>
    <w:rsid w:val="005B101F"/>
    <w:rsid w:val="005B16AC"/>
    <w:rsid w:val="005B1A59"/>
    <w:rsid w:val="005B1BDF"/>
    <w:rsid w:val="005B1DA8"/>
    <w:rsid w:val="005B244A"/>
    <w:rsid w:val="005B2559"/>
    <w:rsid w:val="005B27FE"/>
    <w:rsid w:val="005B2800"/>
    <w:rsid w:val="005B2A2B"/>
    <w:rsid w:val="005B334F"/>
    <w:rsid w:val="005B34A8"/>
    <w:rsid w:val="005B3754"/>
    <w:rsid w:val="005B4B82"/>
    <w:rsid w:val="005B4DE9"/>
    <w:rsid w:val="005B4DEA"/>
    <w:rsid w:val="005B5201"/>
    <w:rsid w:val="005B5B3F"/>
    <w:rsid w:val="005B63B4"/>
    <w:rsid w:val="005B646A"/>
    <w:rsid w:val="005B67FE"/>
    <w:rsid w:val="005B69D2"/>
    <w:rsid w:val="005B6AA3"/>
    <w:rsid w:val="005B72BF"/>
    <w:rsid w:val="005B77A9"/>
    <w:rsid w:val="005B7A5D"/>
    <w:rsid w:val="005B7EB7"/>
    <w:rsid w:val="005B7F84"/>
    <w:rsid w:val="005C00EC"/>
    <w:rsid w:val="005C0EBC"/>
    <w:rsid w:val="005C0FAA"/>
    <w:rsid w:val="005C1064"/>
    <w:rsid w:val="005C1E8F"/>
    <w:rsid w:val="005C1FC9"/>
    <w:rsid w:val="005C2047"/>
    <w:rsid w:val="005C2119"/>
    <w:rsid w:val="005C2585"/>
    <w:rsid w:val="005C283E"/>
    <w:rsid w:val="005C2981"/>
    <w:rsid w:val="005C29A5"/>
    <w:rsid w:val="005C31C4"/>
    <w:rsid w:val="005C3452"/>
    <w:rsid w:val="005C36A1"/>
    <w:rsid w:val="005C3E6D"/>
    <w:rsid w:val="005C49E3"/>
    <w:rsid w:val="005C4B58"/>
    <w:rsid w:val="005C5150"/>
    <w:rsid w:val="005C5A15"/>
    <w:rsid w:val="005C5B22"/>
    <w:rsid w:val="005C5CE3"/>
    <w:rsid w:val="005C5E4E"/>
    <w:rsid w:val="005C61C5"/>
    <w:rsid w:val="005C625B"/>
    <w:rsid w:val="005C6674"/>
    <w:rsid w:val="005C6B25"/>
    <w:rsid w:val="005C6CCF"/>
    <w:rsid w:val="005C6E94"/>
    <w:rsid w:val="005C6FAA"/>
    <w:rsid w:val="005C6FC1"/>
    <w:rsid w:val="005C70FF"/>
    <w:rsid w:val="005C7162"/>
    <w:rsid w:val="005C7353"/>
    <w:rsid w:val="005C797D"/>
    <w:rsid w:val="005D008D"/>
    <w:rsid w:val="005D0442"/>
    <w:rsid w:val="005D0B06"/>
    <w:rsid w:val="005D2050"/>
    <w:rsid w:val="005D255C"/>
    <w:rsid w:val="005D2FD6"/>
    <w:rsid w:val="005D33EA"/>
    <w:rsid w:val="005D34F7"/>
    <w:rsid w:val="005D354C"/>
    <w:rsid w:val="005D37C0"/>
    <w:rsid w:val="005D3A0B"/>
    <w:rsid w:val="005D3C93"/>
    <w:rsid w:val="005D3D4B"/>
    <w:rsid w:val="005D3EC2"/>
    <w:rsid w:val="005D3F34"/>
    <w:rsid w:val="005D4109"/>
    <w:rsid w:val="005D4227"/>
    <w:rsid w:val="005D42FA"/>
    <w:rsid w:val="005D4532"/>
    <w:rsid w:val="005D48F8"/>
    <w:rsid w:val="005D4D26"/>
    <w:rsid w:val="005D4EC6"/>
    <w:rsid w:val="005D4F7A"/>
    <w:rsid w:val="005D500D"/>
    <w:rsid w:val="005D52FA"/>
    <w:rsid w:val="005D541D"/>
    <w:rsid w:val="005D5465"/>
    <w:rsid w:val="005D560B"/>
    <w:rsid w:val="005D58C5"/>
    <w:rsid w:val="005D5C75"/>
    <w:rsid w:val="005D5CAC"/>
    <w:rsid w:val="005D5DEA"/>
    <w:rsid w:val="005D5E59"/>
    <w:rsid w:val="005D5F56"/>
    <w:rsid w:val="005D62BC"/>
    <w:rsid w:val="005D680E"/>
    <w:rsid w:val="005D687F"/>
    <w:rsid w:val="005D6D9C"/>
    <w:rsid w:val="005D6FCD"/>
    <w:rsid w:val="005D7B12"/>
    <w:rsid w:val="005D7EC7"/>
    <w:rsid w:val="005D7FDC"/>
    <w:rsid w:val="005E1143"/>
    <w:rsid w:val="005E12A6"/>
    <w:rsid w:val="005E1438"/>
    <w:rsid w:val="005E14BB"/>
    <w:rsid w:val="005E150A"/>
    <w:rsid w:val="005E1EFC"/>
    <w:rsid w:val="005E2E4C"/>
    <w:rsid w:val="005E40CF"/>
    <w:rsid w:val="005E4351"/>
    <w:rsid w:val="005E4571"/>
    <w:rsid w:val="005E4644"/>
    <w:rsid w:val="005E484D"/>
    <w:rsid w:val="005E4B44"/>
    <w:rsid w:val="005E4FE2"/>
    <w:rsid w:val="005E5048"/>
    <w:rsid w:val="005E50E9"/>
    <w:rsid w:val="005E51E3"/>
    <w:rsid w:val="005E523F"/>
    <w:rsid w:val="005E526F"/>
    <w:rsid w:val="005E5426"/>
    <w:rsid w:val="005E55E0"/>
    <w:rsid w:val="005E56D0"/>
    <w:rsid w:val="005E5E53"/>
    <w:rsid w:val="005E5EBC"/>
    <w:rsid w:val="005E5F21"/>
    <w:rsid w:val="005E6304"/>
    <w:rsid w:val="005E6444"/>
    <w:rsid w:val="005E6510"/>
    <w:rsid w:val="005E65B3"/>
    <w:rsid w:val="005E67AA"/>
    <w:rsid w:val="005E67EB"/>
    <w:rsid w:val="005E6D74"/>
    <w:rsid w:val="005E7860"/>
    <w:rsid w:val="005F0E30"/>
    <w:rsid w:val="005F0FD3"/>
    <w:rsid w:val="005F1123"/>
    <w:rsid w:val="005F114C"/>
    <w:rsid w:val="005F1575"/>
    <w:rsid w:val="005F15EA"/>
    <w:rsid w:val="005F1843"/>
    <w:rsid w:val="005F1BD3"/>
    <w:rsid w:val="005F27D1"/>
    <w:rsid w:val="005F2FF7"/>
    <w:rsid w:val="005F3099"/>
    <w:rsid w:val="005F331D"/>
    <w:rsid w:val="005F33A8"/>
    <w:rsid w:val="005F3D36"/>
    <w:rsid w:val="005F4409"/>
    <w:rsid w:val="005F44A1"/>
    <w:rsid w:val="005F4546"/>
    <w:rsid w:val="005F4999"/>
    <w:rsid w:val="005F5516"/>
    <w:rsid w:val="005F578D"/>
    <w:rsid w:val="005F5B8F"/>
    <w:rsid w:val="005F5C86"/>
    <w:rsid w:val="005F5C9E"/>
    <w:rsid w:val="005F5E98"/>
    <w:rsid w:val="005F6042"/>
    <w:rsid w:val="005F61DF"/>
    <w:rsid w:val="005F6567"/>
    <w:rsid w:val="005F660B"/>
    <w:rsid w:val="005F69B4"/>
    <w:rsid w:val="005F6C1E"/>
    <w:rsid w:val="005F7098"/>
    <w:rsid w:val="005F7356"/>
    <w:rsid w:val="005F745A"/>
    <w:rsid w:val="005F7519"/>
    <w:rsid w:val="005F7D77"/>
    <w:rsid w:val="005F7EC6"/>
    <w:rsid w:val="00600579"/>
    <w:rsid w:val="00600750"/>
    <w:rsid w:val="006016C0"/>
    <w:rsid w:val="00601D7B"/>
    <w:rsid w:val="0060228D"/>
    <w:rsid w:val="0060230B"/>
    <w:rsid w:val="006023F9"/>
    <w:rsid w:val="00602471"/>
    <w:rsid w:val="006026BC"/>
    <w:rsid w:val="00602959"/>
    <w:rsid w:val="00603031"/>
    <w:rsid w:val="0060368B"/>
    <w:rsid w:val="00603874"/>
    <w:rsid w:val="006038F6"/>
    <w:rsid w:val="00603A00"/>
    <w:rsid w:val="00603BF9"/>
    <w:rsid w:val="00603E3D"/>
    <w:rsid w:val="0060416E"/>
    <w:rsid w:val="006041C2"/>
    <w:rsid w:val="006045F1"/>
    <w:rsid w:val="00604627"/>
    <w:rsid w:val="0060477E"/>
    <w:rsid w:val="0060482B"/>
    <w:rsid w:val="00604C70"/>
    <w:rsid w:val="00604EF4"/>
    <w:rsid w:val="006050C8"/>
    <w:rsid w:val="006053B3"/>
    <w:rsid w:val="00605643"/>
    <w:rsid w:val="00605955"/>
    <w:rsid w:val="00605A24"/>
    <w:rsid w:val="00605A9B"/>
    <w:rsid w:val="00605E8D"/>
    <w:rsid w:val="00605F1F"/>
    <w:rsid w:val="00605F8A"/>
    <w:rsid w:val="00606174"/>
    <w:rsid w:val="0060645D"/>
    <w:rsid w:val="006066B9"/>
    <w:rsid w:val="006066BA"/>
    <w:rsid w:val="00607271"/>
    <w:rsid w:val="00607630"/>
    <w:rsid w:val="00607C52"/>
    <w:rsid w:val="00610559"/>
    <w:rsid w:val="006105DF"/>
    <w:rsid w:val="0061064C"/>
    <w:rsid w:val="0061069F"/>
    <w:rsid w:val="00610EA1"/>
    <w:rsid w:val="006110B2"/>
    <w:rsid w:val="00611252"/>
    <w:rsid w:val="0061132E"/>
    <w:rsid w:val="006113AA"/>
    <w:rsid w:val="00611636"/>
    <w:rsid w:val="00611744"/>
    <w:rsid w:val="00611B4A"/>
    <w:rsid w:val="00611C78"/>
    <w:rsid w:val="00611CA4"/>
    <w:rsid w:val="00611D94"/>
    <w:rsid w:val="00611D96"/>
    <w:rsid w:val="00611F90"/>
    <w:rsid w:val="0061218F"/>
    <w:rsid w:val="006122D0"/>
    <w:rsid w:val="00612B55"/>
    <w:rsid w:val="006131D4"/>
    <w:rsid w:val="00613B78"/>
    <w:rsid w:val="00613CCB"/>
    <w:rsid w:val="0061406A"/>
    <w:rsid w:val="00614714"/>
    <w:rsid w:val="006151BC"/>
    <w:rsid w:val="00615667"/>
    <w:rsid w:val="006159A7"/>
    <w:rsid w:val="00615DB0"/>
    <w:rsid w:val="006165DE"/>
    <w:rsid w:val="0061673C"/>
    <w:rsid w:val="00616BD3"/>
    <w:rsid w:val="00616C2F"/>
    <w:rsid w:val="006170BB"/>
    <w:rsid w:val="0061729F"/>
    <w:rsid w:val="00617372"/>
    <w:rsid w:val="006176AB"/>
    <w:rsid w:val="00617D5D"/>
    <w:rsid w:val="0062002D"/>
    <w:rsid w:val="00620182"/>
    <w:rsid w:val="006209C7"/>
    <w:rsid w:val="00620BB4"/>
    <w:rsid w:val="00620C5E"/>
    <w:rsid w:val="00622257"/>
    <w:rsid w:val="006223E6"/>
    <w:rsid w:val="0062250C"/>
    <w:rsid w:val="006227A0"/>
    <w:rsid w:val="00622BE1"/>
    <w:rsid w:val="00623A55"/>
    <w:rsid w:val="006242B9"/>
    <w:rsid w:val="00624446"/>
    <w:rsid w:val="00624D34"/>
    <w:rsid w:val="00624F4D"/>
    <w:rsid w:val="0062535E"/>
    <w:rsid w:val="0062556F"/>
    <w:rsid w:val="00625717"/>
    <w:rsid w:val="0062589B"/>
    <w:rsid w:val="00625906"/>
    <w:rsid w:val="00625947"/>
    <w:rsid w:val="00625AE8"/>
    <w:rsid w:val="00625C66"/>
    <w:rsid w:val="00626442"/>
    <w:rsid w:val="00626543"/>
    <w:rsid w:val="0062654B"/>
    <w:rsid w:val="006265A5"/>
    <w:rsid w:val="0062693F"/>
    <w:rsid w:val="0062747D"/>
    <w:rsid w:val="00627F19"/>
    <w:rsid w:val="00627FC7"/>
    <w:rsid w:val="0063027B"/>
    <w:rsid w:val="00630BD7"/>
    <w:rsid w:val="006310D2"/>
    <w:rsid w:val="0063118A"/>
    <w:rsid w:val="006312BF"/>
    <w:rsid w:val="006320FD"/>
    <w:rsid w:val="00632545"/>
    <w:rsid w:val="00632680"/>
    <w:rsid w:val="0063293D"/>
    <w:rsid w:val="00632C92"/>
    <w:rsid w:val="00632EEC"/>
    <w:rsid w:val="006332F6"/>
    <w:rsid w:val="00633552"/>
    <w:rsid w:val="006337CE"/>
    <w:rsid w:val="00633848"/>
    <w:rsid w:val="00633963"/>
    <w:rsid w:val="00633AB5"/>
    <w:rsid w:val="0063419A"/>
    <w:rsid w:val="006341DE"/>
    <w:rsid w:val="00634754"/>
    <w:rsid w:val="006347E2"/>
    <w:rsid w:val="00635D22"/>
    <w:rsid w:val="0063612B"/>
    <w:rsid w:val="0063616C"/>
    <w:rsid w:val="006361E7"/>
    <w:rsid w:val="00636231"/>
    <w:rsid w:val="006364C9"/>
    <w:rsid w:val="00636811"/>
    <w:rsid w:val="00637541"/>
    <w:rsid w:val="00637DBE"/>
    <w:rsid w:val="006401F7"/>
    <w:rsid w:val="0064049A"/>
    <w:rsid w:val="0064069B"/>
    <w:rsid w:val="00640A6C"/>
    <w:rsid w:val="00641096"/>
    <w:rsid w:val="00641B0B"/>
    <w:rsid w:val="00641B5C"/>
    <w:rsid w:val="00641E0F"/>
    <w:rsid w:val="0064243A"/>
    <w:rsid w:val="00642BD7"/>
    <w:rsid w:val="00643191"/>
    <w:rsid w:val="00643B1B"/>
    <w:rsid w:val="00643BE4"/>
    <w:rsid w:val="0064434B"/>
    <w:rsid w:val="006450CE"/>
    <w:rsid w:val="00645195"/>
    <w:rsid w:val="00645253"/>
    <w:rsid w:val="00645C4B"/>
    <w:rsid w:val="00646722"/>
    <w:rsid w:val="00646BE7"/>
    <w:rsid w:val="00647787"/>
    <w:rsid w:val="0064795E"/>
    <w:rsid w:val="00647B8F"/>
    <w:rsid w:val="00647E87"/>
    <w:rsid w:val="00647E9D"/>
    <w:rsid w:val="006500D7"/>
    <w:rsid w:val="0065013E"/>
    <w:rsid w:val="00650318"/>
    <w:rsid w:val="006509E4"/>
    <w:rsid w:val="00650B34"/>
    <w:rsid w:val="00650F23"/>
    <w:rsid w:val="00650FC7"/>
    <w:rsid w:val="00651162"/>
    <w:rsid w:val="00651245"/>
    <w:rsid w:val="00651DE5"/>
    <w:rsid w:val="00651DE9"/>
    <w:rsid w:val="00651E96"/>
    <w:rsid w:val="00651EE8"/>
    <w:rsid w:val="00651F7B"/>
    <w:rsid w:val="00652041"/>
    <w:rsid w:val="006520FD"/>
    <w:rsid w:val="0065219B"/>
    <w:rsid w:val="00652227"/>
    <w:rsid w:val="00652405"/>
    <w:rsid w:val="006524BA"/>
    <w:rsid w:val="006524DF"/>
    <w:rsid w:val="00652625"/>
    <w:rsid w:val="00652720"/>
    <w:rsid w:val="006529D6"/>
    <w:rsid w:val="006531F9"/>
    <w:rsid w:val="006532AA"/>
    <w:rsid w:val="006534B2"/>
    <w:rsid w:val="006537BD"/>
    <w:rsid w:val="00653CEC"/>
    <w:rsid w:val="0065424F"/>
    <w:rsid w:val="006542B3"/>
    <w:rsid w:val="006547BC"/>
    <w:rsid w:val="00654967"/>
    <w:rsid w:val="00654A9F"/>
    <w:rsid w:val="00655066"/>
    <w:rsid w:val="0065515A"/>
    <w:rsid w:val="00655182"/>
    <w:rsid w:val="00655334"/>
    <w:rsid w:val="0065581B"/>
    <w:rsid w:val="00655BFE"/>
    <w:rsid w:val="00655FAA"/>
    <w:rsid w:val="00655FBC"/>
    <w:rsid w:val="0065615D"/>
    <w:rsid w:val="0065648F"/>
    <w:rsid w:val="00656744"/>
    <w:rsid w:val="006569F3"/>
    <w:rsid w:val="00656BEC"/>
    <w:rsid w:val="00656C17"/>
    <w:rsid w:val="00656E98"/>
    <w:rsid w:val="00656FD7"/>
    <w:rsid w:val="00657011"/>
    <w:rsid w:val="00657530"/>
    <w:rsid w:val="006575A2"/>
    <w:rsid w:val="006577FB"/>
    <w:rsid w:val="0065788A"/>
    <w:rsid w:val="006578E3"/>
    <w:rsid w:val="00657978"/>
    <w:rsid w:val="00657A62"/>
    <w:rsid w:val="00657B3F"/>
    <w:rsid w:val="00657D14"/>
    <w:rsid w:val="00660008"/>
    <w:rsid w:val="006613E2"/>
    <w:rsid w:val="00661C57"/>
    <w:rsid w:val="0066228C"/>
    <w:rsid w:val="006627DE"/>
    <w:rsid w:val="00662A4E"/>
    <w:rsid w:val="00662ACA"/>
    <w:rsid w:val="006634EA"/>
    <w:rsid w:val="00663756"/>
    <w:rsid w:val="006638A0"/>
    <w:rsid w:val="00663C1E"/>
    <w:rsid w:val="00663F72"/>
    <w:rsid w:val="00663FC1"/>
    <w:rsid w:val="00664577"/>
    <w:rsid w:val="0066479E"/>
    <w:rsid w:val="00664FE1"/>
    <w:rsid w:val="006650B5"/>
    <w:rsid w:val="006651B1"/>
    <w:rsid w:val="00665778"/>
    <w:rsid w:val="00665AFF"/>
    <w:rsid w:val="00665C19"/>
    <w:rsid w:val="00666066"/>
    <w:rsid w:val="00666461"/>
    <w:rsid w:val="00666B01"/>
    <w:rsid w:val="00666E6D"/>
    <w:rsid w:val="00667251"/>
    <w:rsid w:val="006674FF"/>
    <w:rsid w:val="00667712"/>
    <w:rsid w:val="00667A71"/>
    <w:rsid w:val="00667B7F"/>
    <w:rsid w:val="00667B9E"/>
    <w:rsid w:val="00667FD1"/>
    <w:rsid w:val="00670669"/>
    <w:rsid w:val="00670957"/>
    <w:rsid w:val="00670EDC"/>
    <w:rsid w:val="00670F8E"/>
    <w:rsid w:val="006713A2"/>
    <w:rsid w:val="0067151B"/>
    <w:rsid w:val="0067158A"/>
    <w:rsid w:val="0067168B"/>
    <w:rsid w:val="0067180E"/>
    <w:rsid w:val="00671963"/>
    <w:rsid w:val="00671A33"/>
    <w:rsid w:val="00671B1B"/>
    <w:rsid w:val="00671B6B"/>
    <w:rsid w:val="006721A7"/>
    <w:rsid w:val="0067323F"/>
    <w:rsid w:val="00673427"/>
    <w:rsid w:val="00673639"/>
    <w:rsid w:val="006738C4"/>
    <w:rsid w:val="00673B59"/>
    <w:rsid w:val="00673BC5"/>
    <w:rsid w:val="00673C6D"/>
    <w:rsid w:val="00674150"/>
    <w:rsid w:val="006741E4"/>
    <w:rsid w:val="0067440C"/>
    <w:rsid w:val="0067519A"/>
    <w:rsid w:val="00675217"/>
    <w:rsid w:val="006755B5"/>
    <w:rsid w:val="00675DA4"/>
    <w:rsid w:val="00675EEF"/>
    <w:rsid w:val="00676403"/>
    <w:rsid w:val="00676630"/>
    <w:rsid w:val="00676D55"/>
    <w:rsid w:val="00676FFE"/>
    <w:rsid w:val="006772E7"/>
    <w:rsid w:val="006775F6"/>
    <w:rsid w:val="00677623"/>
    <w:rsid w:val="00677A19"/>
    <w:rsid w:val="00677CB1"/>
    <w:rsid w:val="00677D96"/>
    <w:rsid w:val="00677EAE"/>
    <w:rsid w:val="006801D6"/>
    <w:rsid w:val="00680410"/>
    <w:rsid w:val="006805B9"/>
    <w:rsid w:val="00681330"/>
    <w:rsid w:val="006818BD"/>
    <w:rsid w:val="00681CD8"/>
    <w:rsid w:val="00681EFF"/>
    <w:rsid w:val="006821D2"/>
    <w:rsid w:val="006825C8"/>
    <w:rsid w:val="006828B4"/>
    <w:rsid w:val="00682938"/>
    <w:rsid w:val="00682B6A"/>
    <w:rsid w:val="006830D9"/>
    <w:rsid w:val="006832DC"/>
    <w:rsid w:val="00683770"/>
    <w:rsid w:val="0068378A"/>
    <w:rsid w:val="00683899"/>
    <w:rsid w:val="006839B3"/>
    <w:rsid w:val="00683E6F"/>
    <w:rsid w:val="00683F40"/>
    <w:rsid w:val="006842E6"/>
    <w:rsid w:val="006843A5"/>
    <w:rsid w:val="00684556"/>
    <w:rsid w:val="00684ACE"/>
    <w:rsid w:val="00684C98"/>
    <w:rsid w:val="0068576E"/>
    <w:rsid w:val="00685D64"/>
    <w:rsid w:val="00686426"/>
    <w:rsid w:val="0068678F"/>
    <w:rsid w:val="00686F27"/>
    <w:rsid w:val="00686F51"/>
    <w:rsid w:val="00687099"/>
    <w:rsid w:val="00687336"/>
    <w:rsid w:val="006877D4"/>
    <w:rsid w:val="0068780E"/>
    <w:rsid w:val="00690352"/>
    <w:rsid w:val="0069060C"/>
    <w:rsid w:val="006909B4"/>
    <w:rsid w:val="00690AE8"/>
    <w:rsid w:val="00690EAF"/>
    <w:rsid w:val="0069115A"/>
    <w:rsid w:val="00691306"/>
    <w:rsid w:val="006917C5"/>
    <w:rsid w:val="00691C09"/>
    <w:rsid w:val="00691C97"/>
    <w:rsid w:val="00691DC3"/>
    <w:rsid w:val="00691E70"/>
    <w:rsid w:val="006925EF"/>
    <w:rsid w:val="00692E16"/>
    <w:rsid w:val="006932EB"/>
    <w:rsid w:val="00693381"/>
    <w:rsid w:val="00693484"/>
    <w:rsid w:val="00693B24"/>
    <w:rsid w:val="00693C2A"/>
    <w:rsid w:val="00693F67"/>
    <w:rsid w:val="006947F5"/>
    <w:rsid w:val="0069489C"/>
    <w:rsid w:val="00694916"/>
    <w:rsid w:val="006949CC"/>
    <w:rsid w:val="00694B21"/>
    <w:rsid w:val="00694DC1"/>
    <w:rsid w:val="00694E75"/>
    <w:rsid w:val="00694F63"/>
    <w:rsid w:val="00694F6B"/>
    <w:rsid w:val="00695384"/>
    <w:rsid w:val="00695B32"/>
    <w:rsid w:val="00695B3A"/>
    <w:rsid w:val="00695DB8"/>
    <w:rsid w:val="00695DD5"/>
    <w:rsid w:val="006960A4"/>
    <w:rsid w:val="00696319"/>
    <w:rsid w:val="00696603"/>
    <w:rsid w:val="0069678A"/>
    <w:rsid w:val="00696922"/>
    <w:rsid w:val="00696B9B"/>
    <w:rsid w:val="00696DC7"/>
    <w:rsid w:val="00696E4E"/>
    <w:rsid w:val="006976A1"/>
    <w:rsid w:val="00697766"/>
    <w:rsid w:val="0069777E"/>
    <w:rsid w:val="006A0819"/>
    <w:rsid w:val="006A0988"/>
    <w:rsid w:val="006A0B3E"/>
    <w:rsid w:val="006A1362"/>
    <w:rsid w:val="006A1BC3"/>
    <w:rsid w:val="006A1C2D"/>
    <w:rsid w:val="006A1E7B"/>
    <w:rsid w:val="006A2013"/>
    <w:rsid w:val="006A24C1"/>
    <w:rsid w:val="006A2751"/>
    <w:rsid w:val="006A2761"/>
    <w:rsid w:val="006A287A"/>
    <w:rsid w:val="006A2ADB"/>
    <w:rsid w:val="006A2BF8"/>
    <w:rsid w:val="006A336D"/>
    <w:rsid w:val="006A3740"/>
    <w:rsid w:val="006A3B60"/>
    <w:rsid w:val="006A3D9C"/>
    <w:rsid w:val="006A47A0"/>
    <w:rsid w:val="006A4C06"/>
    <w:rsid w:val="006A4DCC"/>
    <w:rsid w:val="006A5147"/>
    <w:rsid w:val="006A570E"/>
    <w:rsid w:val="006A5B34"/>
    <w:rsid w:val="006A5DDE"/>
    <w:rsid w:val="006A5F5B"/>
    <w:rsid w:val="006A6222"/>
    <w:rsid w:val="006A63C1"/>
    <w:rsid w:val="006A6799"/>
    <w:rsid w:val="006A6A5A"/>
    <w:rsid w:val="006A6E31"/>
    <w:rsid w:val="006A73A8"/>
    <w:rsid w:val="006A7A4D"/>
    <w:rsid w:val="006A7BE4"/>
    <w:rsid w:val="006A7D49"/>
    <w:rsid w:val="006A7D82"/>
    <w:rsid w:val="006B00C6"/>
    <w:rsid w:val="006B00D6"/>
    <w:rsid w:val="006B019B"/>
    <w:rsid w:val="006B06BB"/>
    <w:rsid w:val="006B0745"/>
    <w:rsid w:val="006B075F"/>
    <w:rsid w:val="006B0901"/>
    <w:rsid w:val="006B0A0D"/>
    <w:rsid w:val="006B11C0"/>
    <w:rsid w:val="006B1268"/>
    <w:rsid w:val="006B1B83"/>
    <w:rsid w:val="006B1CC2"/>
    <w:rsid w:val="006B208B"/>
    <w:rsid w:val="006B24D4"/>
    <w:rsid w:val="006B266D"/>
    <w:rsid w:val="006B2E46"/>
    <w:rsid w:val="006B38D0"/>
    <w:rsid w:val="006B3937"/>
    <w:rsid w:val="006B3A49"/>
    <w:rsid w:val="006B41FF"/>
    <w:rsid w:val="006B4622"/>
    <w:rsid w:val="006B4B99"/>
    <w:rsid w:val="006B4C08"/>
    <w:rsid w:val="006B4E03"/>
    <w:rsid w:val="006B5330"/>
    <w:rsid w:val="006B59DB"/>
    <w:rsid w:val="006B5DCE"/>
    <w:rsid w:val="006B5DD7"/>
    <w:rsid w:val="006B6643"/>
    <w:rsid w:val="006B6AA4"/>
    <w:rsid w:val="006B6B8F"/>
    <w:rsid w:val="006B7602"/>
    <w:rsid w:val="006B798F"/>
    <w:rsid w:val="006B79D5"/>
    <w:rsid w:val="006B7B27"/>
    <w:rsid w:val="006B7BB2"/>
    <w:rsid w:val="006B7C17"/>
    <w:rsid w:val="006B7E74"/>
    <w:rsid w:val="006B7ED8"/>
    <w:rsid w:val="006C027A"/>
    <w:rsid w:val="006C03FC"/>
    <w:rsid w:val="006C087F"/>
    <w:rsid w:val="006C08F9"/>
    <w:rsid w:val="006C0944"/>
    <w:rsid w:val="006C0D06"/>
    <w:rsid w:val="006C1120"/>
    <w:rsid w:val="006C2168"/>
    <w:rsid w:val="006C224E"/>
    <w:rsid w:val="006C263D"/>
    <w:rsid w:val="006C26DC"/>
    <w:rsid w:val="006C2AE5"/>
    <w:rsid w:val="006C2ED2"/>
    <w:rsid w:val="006C322A"/>
    <w:rsid w:val="006C354F"/>
    <w:rsid w:val="006C3967"/>
    <w:rsid w:val="006C3973"/>
    <w:rsid w:val="006C3A43"/>
    <w:rsid w:val="006C3BE6"/>
    <w:rsid w:val="006C4435"/>
    <w:rsid w:val="006C45B2"/>
    <w:rsid w:val="006C4C08"/>
    <w:rsid w:val="006C4F07"/>
    <w:rsid w:val="006C517C"/>
    <w:rsid w:val="006C5280"/>
    <w:rsid w:val="006C52A1"/>
    <w:rsid w:val="006C52B0"/>
    <w:rsid w:val="006C5645"/>
    <w:rsid w:val="006C576B"/>
    <w:rsid w:val="006C58F0"/>
    <w:rsid w:val="006C59A7"/>
    <w:rsid w:val="006C5EAA"/>
    <w:rsid w:val="006C5EE6"/>
    <w:rsid w:val="006C6431"/>
    <w:rsid w:val="006C6B80"/>
    <w:rsid w:val="006C6E26"/>
    <w:rsid w:val="006C6E6A"/>
    <w:rsid w:val="006C71FF"/>
    <w:rsid w:val="006C77A9"/>
    <w:rsid w:val="006C7866"/>
    <w:rsid w:val="006C79E5"/>
    <w:rsid w:val="006C7B1B"/>
    <w:rsid w:val="006C7E3F"/>
    <w:rsid w:val="006C7F4B"/>
    <w:rsid w:val="006D07B2"/>
    <w:rsid w:val="006D0A82"/>
    <w:rsid w:val="006D196D"/>
    <w:rsid w:val="006D1AC1"/>
    <w:rsid w:val="006D1B7D"/>
    <w:rsid w:val="006D1ED2"/>
    <w:rsid w:val="006D1F6E"/>
    <w:rsid w:val="006D20B3"/>
    <w:rsid w:val="006D21B9"/>
    <w:rsid w:val="006D2284"/>
    <w:rsid w:val="006D2E8A"/>
    <w:rsid w:val="006D30CA"/>
    <w:rsid w:val="006D399C"/>
    <w:rsid w:val="006D3BA1"/>
    <w:rsid w:val="006D3F20"/>
    <w:rsid w:val="006D4108"/>
    <w:rsid w:val="006D41F5"/>
    <w:rsid w:val="006D438E"/>
    <w:rsid w:val="006D4529"/>
    <w:rsid w:val="006D460E"/>
    <w:rsid w:val="006D4702"/>
    <w:rsid w:val="006D4832"/>
    <w:rsid w:val="006D4860"/>
    <w:rsid w:val="006D4ABA"/>
    <w:rsid w:val="006D4D96"/>
    <w:rsid w:val="006D52E4"/>
    <w:rsid w:val="006D5771"/>
    <w:rsid w:val="006D5AC4"/>
    <w:rsid w:val="006D5E96"/>
    <w:rsid w:val="006D5EEF"/>
    <w:rsid w:val="006D5F54"/>
    <w:rsid w:val="006D6086"/>
    <w:rsid w:val="006D60C9"/>
    <w:rsid w:val="006D6173"/>
    <w:rsid w:val="006D6567"/>
    <w:rsid w:val="006D6716"/>
    <w:rsid w:val="006D677D"/>
    <w:rsid w:val="006D6863"/>
    <w:rsid w:val="006D7075"/>
    <w:rsid w:val="006D7574"/>
    <w:rsid w:val="006D78DE"/>
    <w:rsid w:val="006D79B5"/>
    <w:rsid w:val="006D7AEC"/>
    <w:rsid w:val="006D7B85"/>
    <w:rsid w:val="006D7E8B"/>
    <w:rsid w:val="006E04B0"/>
    <w:rsid w:val="006E05E1"/>
    <w:rsid w:val="006E0859"/>
    <w:rsid w:val="006E098E"/>
    <w:rsid w:val="006E0B7D"/>
    <w:rsid w:val="006E0BDB"/>
    <w:rsid w:val="006E0D57"/>
    <w:rsid w:val="006E0F6C"/>
    <w:rsid w:val="006E1236"/>
    <w:rsid w:val="006E15EA"/>
    <w:rsid w:val="006E2471"/>
    <w:rsid w:val="006E24DB"/>
    <w:rsid w:val="006E26EC"/>
    <w:rsid w:val="006E2B5D"/>
    <w:rsid w:val="006E2B8A"/>
    <w:rsid w:val="006E2F56"/>
    <w:rsid w:val="006E3007"/>
    <w:rsid w:val="006E352A"/>
    <w:rsid w:val="006E358D"/>
    <w:rsid w:val="006E3BE3"/>
    <w:rsid w:val="006E3DB0"/>
    <w:rsid w:val="006E3DF4"/>
    <w:rsid w:val="006E3F96"/>
    <w:rsid w:val="006E413B"/>
    <w:rsid w:val="006E426A"/>
    <w:rsid w:val="006E48A1"/>
    <w:rsid w:val="006E4BCE"/>
    <w:rsid w:val="006E4DF6"/>
    <w:rsid w:val="006E4F6D"/>
    <w:rsid w:val="006E52E3"/>
    <w:rsid w:val="006E59E0"/>
    <w:rsid w:val="006E5AFD"/>
    <w:rsid w:val="006E5B2C"/>
    <w:rsid w:val="006E5B8C"/>
    <w:rsid w:val="006E5EC9"/>
    <w:rsid w:val="006E6488"/>
    <w:rsid w:val="006E64A5"/>
    <w:rsid w:val="006E6E19"/>
    <w:rsid w:val="006E7055"/>
    <w:rsid w:val="006E7425"/>
    <w:rsid w:val="006E7B1A"/>
    <w:rsid w:val="006E7DCA"/>
    <w:rsid w:val="006F0097"/>
    <w:rsid w:val="006F0229"/>
    <w:rsid w:val="006F0427"/>
    <w:rsid w:val="006F08F2"/>
    <w:rsid w:val="006F08FA"/>
    <w:rsid w:val="006F0A45"/>
    <w:rsid w:val="006F0FDE"/>
    <w:rsid w:val="006F19DA"/>
    <w:rsid w:val="006F1DE2"/>
    <w:rsid w:val="006F2369"/>
    <w:rsid w:val="006F2494"/>
    <w:rsid w:val="006F2668"/>
    <w:rsid w:val="006F26AA"/>
    <w:rsid w:val="006F27AA"/>
    <w:rsid w:val="006F28EE"/>
    <w:rsid w:val="006F2ABC"/>
    <w:rsid w:val="006F2CD2"/>
    <w:rsid w:val="006F32E0"/>
    <w:rsid w:val="006F36C0"/>
    <w:rsid w:val="006F3700"/>
    <w:rsid w:val="006F3768"/>
    <w:rsid w:val="006F3D3C"/>
    <w:rsid w:val="006F469B"/>
    <w:rsid w:val="006F4B1C"/>
    <w:rsid w:val="006F4B98"/>
    <w:rsid w:val="006F4E57"/>
    <w:rsid w:val="006F5262"/>
    <w:rsid w:val="006F573B"/>
    <w:rsid w:val="006F5781"/>
    <w:rsid w:val="006F5968"/>
    <w:rsid w:val="006F5DA7"/>
    <w:rsid w:val="006F610A"/>
    <w:rsid w:val="006F6693"/>
    <w:rsid w:val="006F6CFC"/>
    <w:rsid w:val="006F6D59"/>
    <w:rsid w:val="006F6F21"/>
    <w:rsid w:val="006F704C"/>
    <w:rsid w:val="006F7068"/>
    <w:rsid w:val="006F70D9"/>
    <w:rsid w:val="006F761A"/>
    <w:rsid w:val="006F767D"/>
    <w:rsid w:val="006F7AD9"/>
    <w:rsid w:val="006F7DE3"/>
    <w:rsid w:val="0070006E"/>
    <w:rsid w:val="0070031A"/>
    <w:rsid w:val="00700506"/>
    <w:rsid w:val="0070089A"/>
    <w:rsid w:val="00700EFE"/>
    <w:rsid w:val="00700FA6"/>
    <w:rsid w:val="007013AD"/>
    <w:rsid w:val="0070158D"/>
    <w:rsid w:val="00701696"/>
    <w:rsid w:val="007021F3"/>
    <w:rsid w:val="00702408"/>
    <w:rsid w:val="0070245F"/>
    <w:rsid w:val="00702CD2"/>
    <w:rsid w:val="00702E6E"/>
    <w:rsid w:val="00703075"/>
    <w:rsid w:val="007032E8"/>
    <w:rsid w:val="00703490"/>
    <w:rsid w:val="007036F9"/>
    <w:rsid w:val="007038E2"/>
    <w:rsid w:val="00703C7E"/>
    <w:rsid w:val="00703D47"/>
    <w:rsid w:val="00703F0F"/>
    <w:rsid w:val="007041A7"/>
    <w:rsid w:val="007044C7"/>
    <w:rsid w:val="007044E4"/>
    <w:rsid w:val="00704782"/>
    <w:rsid w:val="007047FA"/>
    <w:rsid w:val="00704DD7"/>
    <w:rsid w:val="0070509C"/>
    <w:rsid w:val="007053C0"/>
    <w:rsid w:val="007057B0"/>
    <w:rsid w:val="00705EE3"/>
    <w:rsid w:val="00706170"/>
    <w:rsid w:val="007063F3"/>
    <w:rsid w:val="00706A93"/>
    <w:rsid w:val="00706BCF"/>
    <w:rsid w:val="00706D01"/>
    <w:rsid w:val="00706E78"/>
    <w:rsid w:val="00706FFE"/>
    <w:rsid w:val="007072EC"/>
    <w:rsid w:val="0070741C"/>
    <w:rsid w:val="007078F6"/>
    <w:rsid w:val="00707B4C"/>
    <w:rsid w:val="00707FE8"/>
    <w:rsid w:val="0071016E"/>
    <w:rsid w:val="00710310"/>
    <w:rsid w:val="00710314"/>
    <w:rsid w:val="007104B1"/>
    <w:rsid w:val="00710599"/>
    <w:rsid w:val="00710991"/>
    <w:rsid w:val="00710E6D"/>
    <w:rsid w:val="00711489"/>
    <w:rsid w:val="0071187D"/>
    <w:rsid w:val="00711C60"/>
    <w:rsid w:val="00711DDD"/>
    <w:rsid w:val="00711DE3"/>
    <w:rsid w:val="00711EA6"/>
    <w:rsid w:val="0071284B"/>
    <w:rsid w:val="007131E2"/>
    <w:rsid w:val="00713273"/>
    <w:rsid w:val="007138CD"/>
    <w:rsid w:val="00713D98"/>
    <w:rsid w:val="00714100"/>
    <w:rsid w:val="00714251"/>
    <w:rsid w:val="007143A2"/>
    <w:rsid w:val="007143DE"/>
    <w:rsid w:val="00714981"/>
    <w:rsid w:val="007151F4"/>
    <w:rsid w:val="00715764"/>
    <w:rsid w:val="007157F8"/>
    <w:rsid w:val="00715A24"/>
    <w:rsid w:val="00715A99"/>
    <w:rsid w:val="00715B8B"/>
    <w:rsid w:val="00715E5E"/>
    <w:rsid w:val="00715F2F"/>
    <w:rsid w:val="00716150"/>
    <w:rsid w:val="00716486"/>
    <w:rsid w:val="00716548"/>
    <w:rsid w:val="00716572"/>
    <w:rsid w:val="00716787"/>
    <w:rsid w:val="007168D1"/>
    <w:rsid w:val="00716F1D"/>
    <w:rsid w:val="00716FF0"/>
    <w:rsid w:val="00717007"/>
    <w:rsid w:val="007171D3"/>
    <w:rsid w:val="00717472"/>
    <w:rsid w:val="007177A2"/>
    <w:rsid w:val="00717BD1"/>
    <w:rsid w:val="00717FEA"/>
    <w:rsid w:val="007200F8"/>
    <w:rsid w:val="0072040D"/>
    <w:rsid w:val="0072044C"/>
    <w:rsid w:val="00720951"/>
    <w:rsid w:val="00720BD4"/>
    <w:rsid w:val="00720C24"/>
    <w:rsid w:val="0072126F"/>
    <w:rsid w:val="007212A1"/>
    <w:rsid w:val="00721504"/>
    <w:rsid w:val="007217EA"/>
    <w:rsid w:val="00721C28"/>
    <w:rsid w:val="00721D99"/>
    <w:rsid w:val="0072346E"/>
    <w:rsid w:val="00723834"/>
    <w:rsid w:val="00723B04"/>
    <w:rsid w:val="00723C43"/>
    <w:rsid w:val="00724218"/>
    <w:rsid w:val="00724962"/>
    <w:rsid w:val="00724A0F"/>
    <w:rsid w:val="00724AB2"/>
    <w:rsid w:val="00724B0C"/>
    <w:rsid w:val="00724BCC"/>
    <w:rsid w:val="00724CFC"/>
    <w:rsid w:val="00724DE8"/>
    <w:rsid w:val="0072514B"/>
    <w:rsid w:val="007254A7"/>
    <w:rsid w:val="007255DC"/>
    <w:rsid w:val="007257BE"/>
    <w:rsid w:val="00725918"/>
    <w:rsid w:val="00725D88"/>
    <w:rsid w:val="0072629D"/>
    <w:rsid w:val="0072653F"/>
    <w:rsid w:val="00726627"/>
    <w:rsid w:val="007268F9"/>
    <w:rsid w:val="0072765D"/>
    <w:rsid w:val="007277C3"/>
    <w:rsid w:val="007300C7"/>
    <w:rsid w:val="007300FB"/>
    <w:rsid w:val="007302DA"/>
    <w:rsid w:val="007303A4"/>
    <w:rsid w:val="00730418"/>
    <w:rsid w:val="0073041A"/>
    <w:rsid w:val="0073072C"/>
    <w:rsid w:val="00730D2D"/>
    <w:rsid w:val="00730DCC"/>
    <w:rsid w:val="00730F77"/>
    <w:rsid w:val="00731399"/>
    <w:rsid w:val="007318A2"/>
    <w:rsid w:val="00731B94"/>
    <w:rsid w:val="00731E4D"/>
    <w:rsid w:val="007320B4"/>
    <w:rsid w:val="00732162"/>
    <w:rsid w:val="007321CF"/>
    <w:rsid w:val="00732378"/>
    <w:rsid w:val="007325B4"/>
    <w:rsid w:val="0073260E"/>
    <w:rsid w:val="0073276E"/>
    <w:rsid w:val="007328DE"/>
    <w:rsid w:val="00732977"/>
    <w:rsid w:val="00732AD4"/>
    <w:rsid w:val="00732E0B"/>
    <w:rsid w:val="00732E66"/>
    <w:rsid w:val="00732E78"/>
    <w:rsid w:val="007335CE"/>
    <w:rsid w:val="0073364E"/>
    <w:rsid w:val="00733808"/>
    <w:rsid w:val="0073400C"/>
    <w:rsid w:val="007343E9"/>
    <w:rsid w:val="00734465"/>
    <w:rsid w:val="0073467A"/>
    <w:rsid w:val="00734B16"/>
    <w:rsid w:val="00734C32"/>
    <w:rsid w:val="00734E34"/>
    <w:rsid w:val="00734ED9"/>
    <w:rsid w:val="007351F9"/>
    <w:rsid w:val="007357F0"/>
    <w:rsid w:val="00735870"/>
    <w:rsid w:val="0073590F"/>
    <w:rsid w:val="00735984"/>
    <w:rsid w:val="0073613F"/>
    <w:rsid w:val="007361A4"/>
    <w:rsid w:val="007364E8"/>
    <w:rsid w:val="00736732"/>
    <w:rsid w:val="00736A77"/>
    <w:rsid w:val="00736F8A"/>
    <w:rsid w:val="00736FED"/>
    <w:rsid w:val="007375E1"/>
    <w:rsid w:val="007377ED"/>
    <w:rsid w:val="00737E3A"/>
    <w:rsid w:val="00740287"/>
    <w:rsid w:val="007409A3"/>
    <w:rsid w:val="00740B21"/>
    <w:rsid w:val="00740E8C"/>
    <w:rsid w:val="00741014"/>
    <w:rsid w:val="0074109E"/>
    <w:rsid w:val="0074113A"/>
    <w:rsid w:val="00741E00"/>
    <w:rsid w:val="00741F1D"/>
    <w:rsid w:val="00742036"/>
    <w:rsid w:val="00742363"/>
    <w:rsid w:val="007429AA"/>
    <w:rsid w:val="00742ADB"/>
    <w:rsid w:val="00742B50"/>
    <w:rsid w:val="00742DF9"/>
    <w:rsid w:val="00743146"/>
    <w:rsid w:val="00743700"/>
    <w:rsid w:val="00743823"/>
    <w:rsid w:val="007438BC"/>
    <w:rsid w:val="007439B5"/>
    <w:rsid w:val="007442F6"/>
    <w:rsid w:val="00744661"/>
    <w:rsid w:val="0074479D"/>
    <w:rsid w:val="00744C3A"/>
    <w:rsid w:val="00745049"/>
    <w:rsid w:val="00745086"/>
    <w:rsid w:val="007454A3"/>
    <w:rsid w:val="00745DCF"/>
    <w:rsid w:val="007468BD"/>
    <w:rsid w:val="007476CC"/>
    <w:rsid w:val="007477CE"/>
    <w:rsid w:val="00747D18"/>
    <w:rsid w:val="007502A7"/>
    <w:rsid w:val="00750437"/>
    <w:rsid w:val="00750B77"/>
    <w:rsid w:val="00750CBE"/>
    <w:rsid w:val="00750EAF"/>
    <w:rsid w:val="0075104F"/>
    <w:rsid w:val="00751824"/>
    <w:rsid w:val="00751CA9"/>
    <w:rsid w:val="00751CB9"/>
    <w:rsid w:val="00751D2B"/>
    <w:rsid w:val="00751FC9"/>
    <w:rsid w:val="007522BB"/>
    <w:rsid w:val="007522CE"/>
    <w:rsid w:val="007525A1"/>
    <w:rsid w:val="0075261A"/>
    <w:rsid w:val="00752BC8"/>
    <w:rsid w:val="00752E20"/>
    <w:rsid w:val="00753259"/>
    <w:rsid w:val="0075343E"/>
    <w:rsid w:val="00753877"/>
    <w:rsid w:val="00753EFF"/>
    <w:rsid w:val="00754191"/>
    <w:rsid w:val="00754207"/>
    <w:rsid w:val="0075440A"/>
    <w:rsid w:val="0075459B"/>
    <w:rsid w:val="00754C73"/>
    <w:rsid w:val="00754D1A"/>
    <w:rsid w:val="00754F2F"/>
    <w:rsid w:val="00754F9B"/>
    <w:rsid w:val="007552C9"/>
    <w:rsid w:val="00755C70"/>
    <w:rsid w:val="00755F66"/>
    <w:rsid w:val="00756615"/>
    <w:rsid w:val="00756B6E"/>
    <w:rsid w:val="00756BA7"/>
    <w:rsid w:val="007573C5"/>
    <w:rsid w:val="00757858"/>
    <w:rsid w:val="0076003B"/>
    <w:rsid w:val="00760265"/>
    <w:rsid w:val="00761663"/>
    <w:rsid w:val="00761A9A"/>
    <w:rsid w:val="00761F1E"/>
    <w:rsid w:val="00762A29"/>
    <w:rsid w:val="00762AAE"/>
    <w:rsid w:val="00762C00"/>
    <w:rsid w:val="00762F76"/>
    <w:rsid w:val="007630B6"/>
    <w:rsid w:val="00763B01"/>
    <w:rsid w:val="0076432D"/>
    <w:rsid w:val="00764886"/>
    <w:rsid w:val="007651E4"/>
    <w:rsid w:val="00765424"/>
    <w:rsid w:val="007657DA"/>
    <w:rsid w:val="00765A12"/>
    <w:rsid w:val="00766B5A"/>
    <w:rsid w:val="00766C6C"/>
    <w:rsid w:val="007674DC"/>
    <w:rsid w:val="00767A73"/>
    <w:rsid w:val="00767B2A"/>
    <w:rsid w:val="00767CBA"/>
    <w:rsid w:val="00767D4C"/>
    <w:rsid w:val="007702E7"/>
    <w:rsid w:val="00770D4A"/>
    <w:rsid w:val="00770D88"/>
    <w:rsid w:val="007710B1"/>
    <w:rsid w:val="0077153A"/>
    <w:rsid w:val="00771D10"/>
    <w:rsid w:val="00771FC6"/>
    <w:rsid w:val="007720E3"/>
    <w:rsid w:val="0077230E"/>
    <w:rsid w:val="00772A00"/>
    <w:rsid w:val="00773086"/>
    <w:rsid w:val="007730B0"/>
    <w:rsid w:val="00773155"/>
    <w:rsid w:val="00773ABF"/>
    <w:rsid w:val="00773B75"/>
    <w:rsid w:val="00773F07"/>
    <w:rsid w:val="00774055"/>
    <w:rsid w:val="007740D1"/>
    <w:rsid w:val="007745B4"/>
    <w:rsid w:val="007746AD"/>
    <w:rsid w:val="007746E1"/>
    <w:rsid w:val="0077496C"/>
    <w:rsid w:val="00774C22"/>
    <w:rsid w:val="00774D0A"/>
    <w:rsid w:val="00775043"/>
    <w:rsid w:val="00775331"/>
    <w:rsid w:val="0077581C"/>
    <w:rsid w:val="00775892"/>
    <w:rsid w:val="00775AAE"/>
    <w:rsid w:val="007760A5"/>
    <w:rsid w:val="0077611F"/>
    <w:rsid w:val="00776299"/>
    <w:rsid w:val="007763CB"/>
    <w:rsid w:val="0077685A"/>
    <w:rsid w:val="007771B9"/>
    <w:rsid w:val="007777AB"/>
    <w:rsid w:val="00777835"/>
    <w:rsid w:val="00777861"/>
    <w:rsid w:val="00777C82"/>
    <w:rsid w:val="00777ED5"/>
    <w:rsid w:val="00780429"/>
    <w:rsid w:val="0078046C"/>
    <w:rsid w:val="007806D5"/>
    <w:rsid w:val="007808E5"/>
    <w:rsid w:val="007809D7"/>
    <w:rsid w:val="00781403"/>
    <w:rsid w:val="00781834"/>
    <w:rsid w:val="0078242F"/>
    <w:rsid w:val="0078263A"/>
    <w:rsid w:val="007827C9"/>
    <w:rsid w:val="00782CF3"/>
    <w:rsid w:val="0078313D"/>
    <w:rsid w:val="007834F2"/>
    <w:rsid w:val="00783807"/>
    <w:rsid w:val="00783961"/>
    <w:rsid w:val="0078436E"/>
    <w:rsid w:val="00784446"/>
    <w:rsid w:val="00784EEC"/>
    <w:rsid w:val="00784FC0"/>
    <w:rsid w:val="0078589D"/>
    <w:rsid w:val="0078590B"/>
    <w:rsid w:val="00785932"/>
    <w:rsid w:val="00785EF2"/>
    <w:rsid w:val="00786A0B"/>
    <w:rsid w:val="0078700D"/>
    <w:rsid w:val="00787330"/>
    <w:rsid w:val="00787A7E"/>
    <w:rsid w:val="00787C7A"/>
    <w:rsid w:val="00787EBC"/>
    <w:rsid w:val="0079021D"/>
    <w:rsid w:val="007903D4"/>
    <w:rsid w:val="007905B4"/>
    <w:rsid w:val="007905FF"/>
    <w:rsid w:val="007906F7"/>
    <w:rsid w:val="00791020"/>
    <w:rsid w:val="007910CD"/>
    <w:rsid w:val="007915F6"/>
    <w:rsid w:val="00791605"/>
    <w:rsid w:val="007918F2"/>
    <w:rsid w:val="0079195D"/>
    <w:rsid w:val="00791A9C"/>
    <w:rsid w:val="00791B21"/>
    <w:rsid w:val="00791EB5"/>
    <w:rsid w:val="00791F2A"/>
    <w:rsid w:val="007923CF"/>
    <w:rsid w:val="00792440"/>
    <w:rsid w:val="00792658"/>
    <w:rsid w:val="00793042"/>
    <w:rsid w:val="007934CF"/>
    <w:rsid w:val="007935DD"/>
    <w:rsid w:val="00793A09"/>
    <w:rsid w:val="00793A23"/>
    <w:rsid w:val="00793A6A"/>
    <w:rsid w:val="00793C43"/>
    <w:rsid w:val="00793C9E"/>
    <w:rsid w:val="00793D2C"/>
    <w:rsid w:val="00793ECF"/>
    <w:rsid w:val="00794001"/>
    <w:rsid w:val="00794284"/>
    <w:rsid w:val="007943C0"/>
    <w:rsid w:val="0079441C"/>
    <w:rsid w:val="0079464C"/>
    <w:rsid w:val="007946AF"/>
    <w:rsid w:val="00794C80"/>
    <w:rsid w:val="00794D1C"/>
    <w:rsid w:val="00794E80"/>
    <w:rsid w:val="00795574"/>
    <w:rsid w:val="0079563E"/>
    <w:rsid w:val="00795B0D"/>
    <w:rsid w:val="00795BAB"/>
    <w:rsid w:val="00795D83"/>
    <w:rsid w:val="00795F3C"/>
    <w:rsid w:val="00796109"/>
    <w:rsid w:val="00796EDF"/>
    <w:rsid w:val="007972F8"/>
    <w:rsid w:val="00797592"/>
    <w:rsid w:val="00797B4B"/>
    <w:rsid w:val="00797DE5"/>
    <w:rsid w:val="007A0199"/>
    <w:rsid w:val="007A03A9"/>
    <w:rsid w:val="007A0427"/>
    <w:rsid w:val="007A05F5"/>
    <w:rsid w:val="007A07D1"/>
    <w:rsid w:val="007A08BB"/>
    <w:rsid w:val="007A0A77"/>
    <w:rsid w:val="007A1110"/>
    <w:rsid w:val="007A1353"/>
    <w:rsid w:val="007A158B"/>
    <w:rsid w:val="007A1F6F"/>
    <w:rsid w:val="007A1FD6"/>
    <w:rsid w:val="007A2066"/>
    <w:rsid w:val="007A2152"/>
    <w:rsid w:val="007A26FA"/>
    <w:rsid w:val="007A343F"/>
    <w:rsid w:val="007A348D"/>
    <w:rsid w:val="007A3572"/>
    <w:rsid w:val="007A3915"/>
    <w:rsid w:val="007A40FA"/>
    <w:rsid w:val="007A4237"/>
    <w:rsid w:val="007A48FD"/>
    <w:rsid w:val="007A4DB6"/>
    <w:rsid w:val="007A4FB6"/>
    <w:rsid w:val="007A5291"/>
    <w:rsid w:val="007A575A"/>
    <w:rsid w:val="007A597A"/>
    <w:rsid w:val="007A5A0E"/>
    <w:rsid w:val="007A5A7D"/>
    <w:rsid w:val="007A5F82"/>
    <w:rsid w:val="007A621E"/>
    <w:rsid w:val="007A6254"/>
    <w:rsid w:val="007A678A"/>
    <w:rsid w:val="007A6BE1"/>
    <w:rsid w:val="007A6DEA"/>
    <w:rsid w:val="007A6F40"/>
    <w:rsid w:val="007A7325"/>
    <w:rsid w:val="007A7387"/>
    <w:rsid w:val="007A73FE"/>
    <w:rsid w:val="007A7495"/>
    <w:rsid w:val="007A77CE"/>
    <w:rsid w:val="007B0672"/>
    <w:rsid w:val="007B0764"/>
    <w:rsid w:val="007B08C9"/>
    <w:rsid w:val="007B0AF0"/>
    <w:rsid w:val="007B1114"/>
    <w:rsid w:val="007B11A0"/>
    <w:rsid w:val="007B141C"/>
    <w:rsid w:val="007B16F9"/>
    <w:rsid w:val="007B1C0B"/>
    <w:rsid w:val="007B1E50"/>
    <w:rsid w:val="007B22E4"/>
    <w:rsid w:val="007B2D3F"/>
    <w:rsid w:val="007B2FAA"/>
    <w:rsid w:val="007B308E"/>
    <w:rsid w:val="007B3497"/>
    <w:rsid w:val="007B3781"/>
    <w:rsid w:val="007B37FC"/>
    <w:rsid w:val="007B3ADA"/>
    <w:rsid w:val="007B3EC8"/>
    <w:rsid w:val="007B4686"/>
    <w:rsid w:val="007B473D"/>
    <w:rsid w:val="007B4B2D"/>
    <w:rsid w:val="007B4EEE"/>
    <w:rsid w:val="007B501E"/>
    <w:rsid w:val="007B524C"/>
    <w:rsid w:val="007B526B"/>
    <w:rsid w:val="007B5338"/>
    <w:rsid w:val="007B54C9"/>
    <w:rsid w:val="007B5898"/>
    <w:rsid w:val="007B5A9F"/>
    <w:rsid w:val="007B5BBF"/>
    <w:rsid w:val="007B5C73"/>
    <w:rsid w:val="007B5F8C"/>
    <w:rsid w:val="007B60D2"/>
    <w:rsid w:val="007B62B8"/>
    <w:rsid w:val="007B6361"/>
    <w:rsid w:val="007B645D"/>
    <w:rsid w:val="007B68BC"/>
    <w:rsid w:val="007B72C7"/>
    <w:rsid w:val="007B75A4"/>
    <w:rsid w:val="007B777D"/>
    <w:rsid w:val="007B77CC"/>
    <w:rsid w:val="007B7D3C"/>
    <w:rsid w:val="007C007A"/>
    <w:rsid w:val="007C03CA"/>
    <w:rsid w:val="007C0774"/>
    <w:rsid w:val="007C0B01"/>
    <w:rsid w:val="007C0E41"/>
    <w:rsid w:val="007C1046"/>
    <w:rsid w:val="007C1169"/>
    <w:rsid w:val="007C1615"/>
    <w:rsid w:val="007C16D7"/>
    <w:rsid w:val="007C18AE"/>
    <w:rsid w:val="007C20B1"/>
    <w:rsid w:val="007C2191"/>
    <w:rsid w:val="007C2480"/>
    <w:rsid w:val="007C25D4"/>
    <w:rsid w:val="007C2991"/>
    <w:rsid w:val="007C2B3C"/>
    <w:rsid w:val="007C2CFF"/>
    <w:rsid w:val="007C3125"/>
    <w:rsid w:val="007C3D74"/>
    <w:rsid w:val="007C4465"/>
    <w:rsid w:val="007C46F5"/>
    <w:rsid w:val="007C4A08"/>
    <w:rsid w:val="007C57AB"/>
    <w:rsid w:val="007C5A74"/>
    <w:rsid w:val="007C5B90"/>
    <w:rsid w:val="007C5E5B"/>
    <w:rsid w:val="007C636A"/>
    <w:rsid w:val="007C6730"/>
    <w:rsid w:val="007C723A"/>
    <w:rsid w:val="007C7257"/>
    <w:rsid w:val="007C75D6"/>
    <w:rsid w:val="007C766B"/>
    <w:rsid w:val="007C79F4"/>
    <w:rsid w:val="007C7B6B"/>
    <w:rsid w:val="007C7DAC"/>
    <w:rsid w:val="007C7FE1"/>
    <w:rsid w:val="007D048D"/>
    <w:rsid w:val="007D05D7"/>
    <w:rsid w:val="007D0765"/>
    <w:rsid w:val="007D0794"/>
    <w:rsid w:val="007D0D3C"/>
    <w:rsid w:val="007D0F81"/>
    <w:rsid w:val="007D1A75"/>
    <w:rsid w:val="007D1C55"/>
    <w:rsid w:val="007D1F1C"/>
    <w:rsid w:val="007D2299"/>
    <w:rsid w:val="007D24B0"/>
    <w:rsid w:val="007D2631"/>
    <w:rsid w:val="007D2B16"/>
    <w:rsid w:val="007D2EDB"/>
    <w:rsid w:val="007D33C2"/>
    <w:rsid w:val="007D3562"/>
    <w:rsid w:val="007D3820"/>
    <w:rsid w:val="007D395D"/>
    <w:rsid w:val="007D3EEC"/>
    <w:rsid w:val="007D431C"/>
    <w:rsid w:val="007D4F56"/>
    <w:rsid w:val="007D50FB"/>
    <w:rsid w:val="007D544B"/>
    <w:rsid w:val="007D5983"/>
    <w:rsid w:val="007D649B"/>
    <w:rsid w:val="007D667C"/>
    <w:rsid w:val="007D68C7"/>
    <w:rsid w:val="007D72D2"/>
    <w:rsid w:val="007D731E"/>
    <w:rsid w:val="007D73CF"/>
    <w:rsid w:val="007D751A"/>
    <w:rsid w:val="007E0417"/>
    <w:rsid w:val="007E0533"/>
    <w:rsid w:val="007E0807"/>
    <w:rsid w:val="007E0DE1"/>
    <w:rsid w:val="007E157A"/>
    <w:rsid w:val="007E1CA3"/>
    <w:rsid w:val="007E1E21"/>
    <w:rsid w:val="007E1F5D"/>
    <w:rsid w:val="007E206C"/>
    <w:rsid w:val="007E25B8"/>
    <w:rsid w:val="007E2681"/>
    <w:rsid w:val="007E2BA5"/>
    <w:rsid w:val="007E2F46"/>
    <w:rsid w:val="007E306C"/>
    <w:rsid w:val="007E424C"/>
    <w:rsid w:val="007E4488"/>
    <w:rsid w:val="007E4649"/>
    <w:rsid w:val="007E468B"/>
    <w:rsid w:val="007E47FD"/>
    <w:rsid w:val="007E4EB6"/>
    <w:rsid w:val="007E4FAF"/>
    <w:rsid w:val="007E552F"/>
    <w:rsid w:val="007E56E6"/>
    <w:rsid w:val="007E59E3"/>
    <w:rsid w:val="007E6781"/>
    <w:rsid w:val="007E71A0"/>
    <w:rsid w:val="007E7500"/>
    <w:rsid w:val="007F020F"/>
    <w:rsid w:val="007F078E"/>
    <w:rsid w:val="007F0A9E"/>
    <w:rsid w:val="007F11D2"/>
    <w:rsid w:val="007F1A4C"/>
    <w:rsid w:val="007F2026"/>
    <w:rsid w:val="007F2374"/>
    <w:rsid w:val="007F27D4"/>
    <w:rsid w:val="007F2AB4"/>
    <w:rsid w:val="007F32C6"/>
    <w:rsid w:val="007F3A9B"/>
    <w:rsid w:val="007F3BBD"/>
    <w:rsid w:val="007F47BD"/>
    <w:rsid w:val="007F4975"/>
    <w:rsid w:val="007F49D7"/>
    <w:rsid w:val="007F4F8E"/>
    <w:rsid w:val="007F5294"/>
    <w:rsid w:val="007F561E"/>
    <w:rsid w:val="007F5A61"/>
    <w:rsid w:val="007F5AB4"/>
    <w:rsid w:val="007F5B98"/>
    <w:rsid w:val="007F5DB4"/>
    <w:rsid w:val="007F5ECE"/>
    <w:rsid w:val="007F5F89"/>
    <w:rsid w:val="007F6252"/>
    <w:rsid w:val="007F6610"/>
    <w:rsid w:val="007F6651"/>
    <w:rsid w:val="007F696C"/>
    <w:rsid w:val="007F6A20"/>
    <w:rsid w:val="007F73E4"/>
    <w:rsid w:val="007F7533"/>
    <w:rsid w:val="007F7553"/>
    <w:rsid w:val="007F767D"/>
    <w:rsid w:val="007F76A0"/>
    <w:rsid w:val="007F7C79"/>
    <w:rsid w:val="007F7F27"/>
    <w:rsid w:val="00800015"/>
    <w:rsid w:val="00800650"/>
    <w:rsid w:val="00800656"/>
    <w:rsid w:val="008006D8"/>
    <w:rsid w:val="00800A71"/>
    <w:rsid w:val="00800EDC"/>
    <w:rsid w:val="008011B3"/>
    <w:rsid w:val="0080133E"/>
    <w:rsid w:val="0080136C"/>
    <w:rsid w:val="00801A83"/>
    <w:rsid w:val="00801AC5"/>
    <w:rsid w:val="00802139"/>
    <w:rsid w:val="0080214E"/>
    <w:rsid w:val="008022C3"/>
    <w:rsid w:val="008022E6"/>
    <w:rsid w:val="008023D5"/>
    <w:rsid w:val="00802530"/>
    <w:rsid w:val="008028AC"/>
    <w:rsid w:val="008029A1"/>
    <w:rsid w:val="00802A9B"/>
    <w:rsid w:val="00802C11"/>
    <w:rsid w:val="00802F34"/>
    <w:rsid w:val="00803137"/>
    <w:rsid w:val="00803937"/>
    <w:rsid w:val="00803D56"/>
    <w:rsid w:val="00803D98"/>
    <w:rsid w:val="008041E6"/>
    <w:rsid w:val="00804370"/>
    <w:rsid w:val="00804CE6"/>
    <w:rsid w:val="00804E60"/>
    <w:rsid w:val="00805803"/>
    <w:rsid w:val="00805844"/>
    <w:rsid w:val="008059BA"/>
    <w:rsid w:val="00805C24"/>
    <w:rsid w:val="00806063"/>
    <w:rsid w:val="00806237"/>
    <w:rsid w:val="008065D2"/>
    <w:rsid w:val="00806652"/>
    <w:rsid w:val="00806D23"/>
    <w:rsid w:val="00806D4D"/>
    <w:rsid w:val="00807004"/>
    <w:rsid w:val="008072D6"/>
    <w:rsid w:val="008073BA"/>
    <w:rsid w:val="008073E6"/>
    <w:rsid w:val="00807461"/>
    <w:rsid w:val="0080778C"/>
    <w:rsid w:val="00807AAA"/>
    <w:rsid w:val="00807F03"/>
    <w:rsid w:val="008103C1"/>
    <w:rsid w:val="00810557"/>
    <w:rsid w:val="00810690"/>
    <w:rsid w:val="008108E9"/>
    <w:rsid w:val="008109B4"/>
    <w:rsid w:val="00810A5C"/>
    <w:rsid w:val="00810C09"/>
    <w:rsid w:val="00810CE6"/>
    <w:rsid w:val="00810DAC"/>
    <w:rsid w:val="0081122E"/>
    <w:rsid w:val="00811444"/>
    <w:rsid w:val="00811949"/>
    <w:rsid w:val="00811C70"/>
    <w:rsid w:val="00811F85"/>
    <w:rsid w:val="00812031"/>
    <w:rsid w:val="0081223E"/>
    <w:rsid w:val="008123DC"/>
    <w:rsid w:val="008124AC"/>
    <w:rsid w:val="008125B1"/>
    <w:rsid w:val="008129B4"/>
    <w:rsid w:val="00812B28"/>
    <w:rsid w:val="008135E9"/>
    <w:rsid w:val="00813DCD"/>
    <w:rsid w:val="00813E8E"/>
    <w:rsid w:val="0081443B"/>
    <w:rsid w:val="00814462"/>
    <w:rsid w:val="0081481F"/>
    <w:rsid w:val="0081489E"/>
    <w:rsid w:val="00814A0C"/>
    <w:rsid w:val="00814B46"/>
    <w:rsid w:val="00814BF9"/>
    <w:rsid w:val="00814F45"/>
    <w:rsid w:val="008150E6"/>
    <w:rsid w:val="00815664"/>
    <w:rsid w:val="00815709"/>
    <w:rsid w:val="00815742"/>
    <w:rsid w:val="00815E3C"/>
    <w:rsid w:val="00816004"/>
    <w:rsid w:val="008162E8"/>
    <w:rsid w:val="00816C3F"/>
    <w:rsid w:val="00816D08"/>
    <w:rsid w:val="008170BC"/>
    <w:rsid w:val="008173C3"/>
    <w:rsid w:val="008174B5"/>
    <w:rsid w:val="0081758F"/>
    <w:rsid w:val="008179F6"/>
    <w:rsid w:val="00817AAD"/>
    <w:rsid w:val="00817C0F"/>
    <w:rsid w:val="00817C3F"/>
    <w:rsid w:val="00817C5F"/>
    <w:rsid w:val="00817FCD"/>
    <w:rsid w:val="00820298"/>
    <w:rsid w:val="00820892"/>
    <w:rsid w:val="008209CA"/>
    <w:rsid w:val="00820AC8"/>
    <w:rsid w:val="00820DBB"/>
    <w:rsid w:val="008213FF"/>
    <w:rsid w:val="008216C2"/>
    <w:rsid w:val="0082194C"/>
    <w:rsid w:val="00822006"/>
    <w:rsid w:val="008220C4"/>
    <w:rsid w:val="008221EA"/>
    <w:rsid w:val="008222FF"/>
    <w:rsid w:val="00822301"/>
    <w:rsid w:val="0082258A"/>
    <w:rsid w:val="00822794"/>
    <w:rsid w:val="00822DEC"/>
    <w:rsid w:val="00822FB9"/>
    <w:rsid w:val="008235F1"/>
    <w:rsid w:val="008237E4"/>
    <w:rsid w:val="0082381B"/>
    <w:rsid w:val="00823CD7"/>
    <w:rsid w:val="00824086"/>
    <w:rsid w:val="008241FF"/>
    <w:rsid w:val="00824720"/>
    <w:rsid w:val="00825337"/>
    <w:rsid w:val="008255A9"/>
    <w:rsid w:val="00825756"/>
    <w:rsid w:val="00825835"/>
    <w:rsid w:val="00825B35"/>
    <w:rsid w:val="00825FD7"/>
    <w:rsid w:val="0082604C"/>
    <w:rsid w:val="008260C7"/>
    <w:rsid w:val="00826B69"/>
    <w:rsid w:val="00826B7D"/>
    <w:rsid w:val="00826E94"/>
    <w:rsid w:val="00827419"/>
    <w:rsid w:val="008274D2"/>
    <w:rsid w:val="00827D5A"/>
    <w:rsid w:val="00830233"/>
    <w:rsid w:val="008307C2"/>
    <w:rsid w:val="0083142F"/>
    <w:rsid w:val="00831442"/>
    <w:rsid w:val="00831B7A"/>
    <w:rsid w:val="00832364"/>
    <w:rsid w:val="0083243C"/>
    <w:rsid w:val="0083250E"/>
    <w:rsid w:val="00832590"/>
    <w:rsid w:val="008326F4"/>
    <w:rsid w:val="00832792"/>
    <w:rsid w:val="00832864"/>
    <w:rsid w:val="00832A8B"/>
    <w:rsid w:val="00832C6E"/>
    <w:rsid w:val="00832CC4"/>
    <w:rsid w:val="00832DCA"/>
    <w:rsid w:val="00833248"/>
    <w:rsid w:val="008337BF"/>
    <w:rsid w:val="00833A7B"/>
    <w:rsid w:val="00833D38"/>
    <w:rsid w:val="00833D97"/>
    <w:rsid w:val="008343F9"/>
    <w:rsid w:val="00834897"/>
    <w:rsid w:val="00834A85"/>
    <w:rsid w:val="00834F4F"/>
    <w:rsid w:val="00835098"/>
    <w:rsid w:val="00835232"/>
    <w:rsid w:val="00835666"/>
    <w:rsid w:val="00835791"/>
    <w:rsid w:val="00835DB4"/>
    <w:rsid w:val="008365E3"/>
    <w:rsid w:val="00836770"/>
    <w:rsid w:val="0083704C"/>
    <w:rsid w:val="00837161"/>
    <w:rsid w:val="008371AE"/>
    <w:rsid w:val="0083723D"/>
    <w:rsid w:val="008372F6"/>
    <w:rsid w:val="0083739A"/>
    <w:rsid w:val="008376AA"/>
    <w:rsid w:val="00837798"/>
    <w:rsid w:val="00837D30"/>
    <w:rsid w:val="0084040D"/>
    <w:rsid w:val="008404CF"/>
    <w:rsid w:val="00840A93"/>
    <w:rsid w:val="00841100"/>
    <w:rsid w:val="008411E9"/>
    <w:rsid w:val="00841545"/>
    <w:rsid w:val="00841856"/>
    <w:rsid w:val="0084200F"/>
    <w:rsid w:val="00842359"/>
    <w:rsid w:val="00842538"/>
    <w:rsid w:val="00842563"/>
    <w:rsid w:val="00842630"/>
    <w:rsid w:val="00842989"/>
    <w:rsid w:val="008429B5"/>
    <w:rsid w:val="00842FC1"/>
    <w:rsid w:val="00843770"/>
    <w:rsid w:val="00843B2C"/>
    <w:rsid w:val="00844286"/>
    <w:rsid w:val="00844789"/>
    <w:rsid w:val="00844929"/>
    <w:rsid w:val="00844E4E"/>
    <w:rsid w:val="00844E66"/>
    <w:rsid w:val="008451CD"/>
    <w:rsid w:val="00845242"/>
    <w:rsid w:val="008455A1"/>
    <w:rsid w:val="0084564B"/>
    <w:rsid w:val="008457E7"/>
    <w:rsid w:val="008458ED"/>
    <w:rsid w:val="008459BB"/>
    <w:rsid w:val="00845AE1"/>
    <w:rsid w:val="00846024"/>
    <w:rsid w:val="0084615B"/>
    <w:rsid w:val="008465D4"/>
    <w:rsid w:val="0084676F"/>
    <w:rsid w:val="00846A6B"/>
    <w:rsid w:val="00846D48"/>
    <w:rsid w:val="008471B4"/>
    <w:rsid w:val="008471C4"/>
    <w:rsid w:val="008477AC"/>
    <w:rsid w:val="00847A23"/>
    <w:rsid w:val="00847F94"/>
    <w:rsid w:val="00850046"/>
    <w:rsid w:val="008502C4"/>
    <w:rsid w:val="00850FBE"/>
    <w:rsid w:val="00851010"/>
    <w:rsid w:val="008512EF"/>
    <w:rsid w:val="0085138B"/>
    <w:rsid w:val="00851FBB"/>
    <w:rsid w:val="0085227F"/>
    <w:rsid w:val="008528DD"/>
    <w:rsid w:val="00852B8E"/>
    <w:rsid w:val="008536EF"/>
    <w:rsid w:val="0085388E"/>
    <w:rsid w:val="008538AE"/>
    <w:rsid w:val="00853EEB"/>
    <w:rsid w:val="00854B18"/>
    <w:rsid w:val="00854B74"/>
    <w:rsid w:val="00854C1D"/>
    <w:rsid w:val="00854CC7"/>
    <w:rsid w:val="00854DD4"/>
    <w:rsid w:val="008551B7"/>
    <w:rsid w:val="00855A8C"/>
    <w:rsid w:val="00855AC9"/>
    <w:rsid w:val="00855C3E"/>
    <w:rsid w:val="008563E6"/>
    <w:rsid w:val="008569A8"/>
    <w:rsid w:val="00856BA9"/>
    <w:rsid w:val="00856F97"/>
    <w:rsid w:val="008572DB"/>
    <w:rsid w:val="0085777E"/>
    <w:rsid w:val="0085789E"/>
    <w:rsid w:val="00857B51"/>
    <w:rsid w:val="00857D8D"/>
    <w:rsid w:val="00860004"/>
    <w:rsid w:val="008601A0"/>
    <w:rsid w:val="008604A9"/>
    <w:rsid w:val="00860E7E"/>
    <w:rsid w:val="00861242"/>
    <w:rsid w:val="00861382"/>
    <w:rsid w:val="008615A2"/>
    <w:rsid w:val="008617E2"/>
    <w:rsid w:val="00861913"/>
    <w:rsid w:val="0086194B"/>
    <w:rsid w:val="00861A33"/>
    <w:rsid w:val="008625A6"/>
    <w:rsid w:val="00862E73"/>
    <w:rsid w:val="008632BA"/>
    <w:rsid w:val="008639E7"/>
    <w:rsid w:val="00864872"/>
    <w:rsid w:val="00864D7E"/>
    <w:rsid w:val="00864E73"/>
    <w:rsid w:val="00864EE0"/>
    <w:rsid w:val="0086507C"/>
    <w:rsid w:val="008654DA"/>
    <w:rsid w:val="008654DE"/>
    <w:rsid w:val="008657D5"/>
    <w:rsid w:val="00865944"/>
    <w:rsid w:val="008659C3"/>
    <w:rsid w:val="00865B6F"/>
    <w:rsid w:val="00865CD7"/>
    <w:rsid w:val="00865CFE"/>
    <w:rsid w:val="00865D6A"/>
    <w:rsid w:val="00865DE8"/>
    <w:rsid w:val="008661C6"/>
    <w:rsid w:val="008668B3"/>
    <w:rsid w:val="00866AB6"/>
    <w:rsid w:val="00866CAA"/>
    <w:rsid w:val="00866D3D"/>
    <w:rsid w:val="00866F32"/>
    <w:rsid w:val="00866F44"/>
    <w:rsid w:val="00866F87"/>
    <w:rsid w:val="008671C5"/>
    <w:rsid w:val="00867C52"/>
    <w:rsid w:val="00867F19"/>
    <w:rsid w:val="008703AE"/>
    <w:rsid w:val="0087058F"/>
    <w:rsid w:val="00870593"/>
    <w:rsid w:val="00870617"/>
    <w:rsid w:val="00870AD8"/>
    <w:rsid w:val="00870B78"/>
    <w:rsid w:val="0087148E"/>
    <w:rsid w:val="00871ECE"/>
    <w:rsid w:val="00872325"/>
    <w:rsid w:val="00872694"/>
    <w:rsid w:val="008728E0"/>
    <w:rsid w:val="00872967"/>
    <w:rsid w:val="00872976"/>
    <w:rsid w:val="00872AE3"/>
    <w:rsid w:val="00872E00"/>
    <w:rsid w:val="00873103"/>
    <w:rsid w:val="008733F8"/>
    <w:rsid w:val="00873889"/>
    <w:rsid w:val="008738B6"/>
    <w:rsid w:val="008738E1"/>
    <w:rsid w:val="008739F8"/>
    <w:rsid w:val="00873A4F"/>
    <w:rsid w:val="00873DDC"/>
    <w:rsid w:val="00873E4D"/>
    <w:rsid w:val="008741C6"/>
    <w:rsid w:val="008743C7"/>
    <w:rsid w:val="00874499"/>
    <w:rsid w:val="0087468B"/>
    <w:rsid w:val="00874710"/>
    <w:rsid w:val="00874795"/>
    <w:rsid w:val="0087485D"/>
    <w:rsid w:val="0087488E"/>
    <w:rsid w:val="00874936"/>
    <w:rsid w:val="00874B7E"/>
    <w:rsid w:val="00874D0A"/>
    <w:rsid w:val="0087522E"/>
    <w:rsid w:val="00875FC1"/>
    <w:rsid w:val="0087616B"/>
    <w:rsid w:val="00876464"/>
    <w:rsid w:val="008765C2"/>
    <w:rsid w:val="00876631"/>
    <w:rsid w:val="00876D3F"/>
    <w:rsid w:val="00876E8B"/>
    <w:rsid w:val="00876EBE"/>
    <w:rsid w:val="00877018"/>
    <w:rsid w:val="008779E6"/>
    <w:rsid w:val="00877A64"/>
    <w:rsid w:val="00877C7A"/>
    <w:rsid w:val="008800D0"/>
    <w:rsid w:val="00880107"/>
    <w:rsid w:val="008802F0"/>
    <w:rsid w:val="00881076"/>
    <w:rsid w:val="0088143B"/>
    <w:rsid w:val="008818BE"/>
    <w:rsid w:val="00882094"/>
    <w:rsid w:val="00882385"/>
    <w:rsid w:val="0088285B"/>
    <w:rsid w:val="008828D3"/>
    <w:rsid w:val="00882EDA"/>
    <w:rsid w:val="0088395D"/>
    <w:rsid w:val="00883B2C"/>
    <w:rsid w:val="00883B6A"/>
    <w:rsid w:val="00883C6F"/>
    <w:rsid w:val="00884628"/>
    <w:rsid w:val="008846E5"/>
    <w:rsid w:val="0088481D"/>
    <w:rsid w:val="00884CB3"/>
    <w:rsid w:val="00884ECD"/>
    <w:rsid w:val="00884F63"/>
    <w:rsid w:val="00885231"/>
    <w:rsid w:val="008859D0"/>
    <w:rsid w:val="00885A06"/>
    <w:rsid w:val="00885B83"/>
    <w:rsid w:val="00885BA3"/>
    <w:rsid w:val="00885D7A"/>
    <w:rsid w:val="00886519"/>
    <w:rsid w:val="008867EF"/>
    <w:rsid w:val="0088692C"/>
    <w:rsid w:val="00886D07"/>
    <w:rsid w:val="00886D1B"/>
    <w:rsid w:val="00886DAC"/>
    <w:rsid w:val="00886FEC"/>
    <w:rsid w:val="00887042"/>
    <w:rsid w:val="008871EF"/>
    <w:rsid w:val="00887234"/>
    <w:rsid w:val="00887687"/>
    <w:rsid w:val="008877CB"/>
    <w:rsid w:val="0088796E"/>
    <w:rsid w:val="00887D05"/>
    <w:rsid w:val="00887E63"/>
    <w:rsid w:val="008901B2"/>
    <w:rsid w:val="008901D5"/>
    <w:rsid w:val="00890431"/>
    <w:rsid w:val="0089048D"/>
    <w:rsid w:val="008908A9"/>
    <w:rsid w:val="00890DF2"/>
    <w:rsid w:val="00890F6F"/>
    <w:rsid w:val="00891307"/>
    <w:rsid w:val="00891C1C"/>
    <w:rsid w:val="00891D03"/>
    <w:rsid w:val="00891DD4"/>
    <w:rsid w:val="0089271F"/>
    <w:rsid w:val="00892B0A"/>
    <w:rsid w:val="00892C2E"/>
    <w:rsid w:val="0089301F"/>
    <w:rsid w:val="0089313B"/>
    <w:rsid w:val="00893636"/>
    <w:rsid w:val="00893779"/>
    <w:rsid w:val="00893B0B"/>
    <w:rsid w:val="00893D85"/>
    <w:rsid w:val="008942E6"/>
    <w:rsid w:val="00894391"/>
    <w:rsid w:val="0089444B"/>
    <w:rsid w:val="00894B49"/>
    <w:rsid w:val="00894BE7"/>
    <w:rsid w:val="00894FA8"/>
    <w:rsid w:val="00895447"/>
    <w:rsid w:val="00895588"/>
    <w:rsid w:val="00895E31"/>
    <w:rsid w:val="00896050"/>
    <w:rsid w:val="00896126"/>
    <w:rsid w:val="0089624A"/>
    <w:rsid w:val="0089624F"/>
    <w:rsid w:val="008962F2"/>
    <w:rsid w:val="00896611"/>
    <w:rsid w:val="00896765"/>
    <w:rsid w:val="00896D20"/>
    <w:rsid w:val="00896D99"/>
    <w:rsid w:val="00896DA0"/>
    <w:rsid w:val="00896E34"/>
    <w:rsid w:val="00896ECA"/>
    <w:rsid w:val="00896F34"/>
    <w:rsid w:val="008A0084"/>
    <w:rsid w:val="008A0163"/>
    <w:rsid w:val="008A06EC"/>
    <w:rsid w:val="008A0914"/>
    <w:rsid w:val="008A0A22"/>
    <w:rsid w:val="008A0CF1"/>
    <w:rsid w:val="008A0E37"/>
    <w:rsid w:val="008A1258"/>
    <w:rsid w:val="008A13C1"/>
    <w:rsid w:val="008A15FB"/>
    <w:rsid w:val="008A186C"/>
    <w:rsid w:val="008A209F"/>
    <w:rsid w:val="008A21A6"/>
    <w:rsid w:val="008A24F5"/>
    <w:rsid w:val="008A25B8"/>
    <w:rsid w:val="008A283B"/>
    <w:rsid w:val="008A2BB4"/>
    <w:rsid w:val="008A31F9"/>
    <w:rsid w:val="008A358A"/>
    <w:rsid w:val="008A35C6"/>
    <w:rsid w:val="008A3A40"/>
    <w:rsid w:val="008A4152"/>
    <w:rsid w:val="008A43BA"/>
    <w:rsid w:val="008A45D4"/>
    <w:rsid w:val="008A4900"/>
    <w:rsid w:val="008A4A4C"/>
    <w:rsid w:val="008A4AF1"/>
    <w:rsid w:val="008A4FE6"/>
    <w:rsid w:val="008A5594"/>
    <w:rsid w:val="008A55A5"/>
    <w:rsid w:val="008A5C02"/>
    <w:rsid w:val="008A5C2F"/>
    <w:rsid w:val="008A5D1E"/>
    <w:rsid w:val="008A6126"/>
    <w:rsid w:val="008A6331"/>
    <w:rsid w:val="008A691D"/>
    <w:rsid w:val="008A6D16"/>
    <w:rsid w:val="008A70AF"/>
    <w:rsid w:val="008A73E9"/>
    <w:rsid w:val="008A778E"/>
    <w:rsid w:val="008A7B34"/>
    <w:rsid w:val="008A7F3A"/>
    <w:rsid w:val="008B0518"/>
    <w:rsid w:val="008B0837"/>
    <w:rsid w:val="008B09EF"/>
    <w:rsid w:val="008B1210"/>
    <w:rsid w:val="008B152A"/>
    <w:rsid w:val="008B1743"/>
    <w:rsid w:val="008B1D58"/>
    <w:rsid w:val="008B282A"/>
    <w:rsid w:val="008B2AFD"/>
    <w:rsid w:val="008B2BE6"/>
    <w:rsid w:val="008B3123"/>
    <w:rsid w:val="008B32DA"/>
    <w:rsid w:val="008B3331"/>
    <w:rsid w:val="008B4592"/>
    <w:rsid w:val="008B46A2"/>
    <w:rsid w:val="008B4DEE"/>
    <w:rsid w:val="008B4E2D"/>
    <w:rsid w:val="008B4F51"/>
    <w:rsid w:val="008B52ED"/>
    <w:rsid w:val="008B53BE"/>
    <w:rsid w:val="008B5D87"/>
    <w:rsid w:val="008B61B8"/>
    <w:rsid w:val="008B64E4"/>
    <w:rsid w:val="008B6C1F"/>
    <w:rsid w:val="008B6F12"/>
    <w:rsid w:val="008B6F84"/>
    <w:rsid w:val="008B6FB0"/>
    <w:rsid w:val="008B6FC2"/>
    <w:rsid w:val="008B74CD"/>
    <w:rsid w:val="008B755B"/>
    <w:rsid w:val="008B7658"/>
    <w:rsid w:val="008B76DA"/>
    <w:rsid w:val="008B79C5"/>
    <w:rsid w:val="008B7F37"/>
    <w:rsid w:val="008B7F39"/>
    <w:rsid w:val="008C0416"/>
    <w:rsid w:val="008C0C56"/>
    <w:rsid w:val="008C0C91"/>
    <w:rsid w:val="008C0E23"/>
    <w:rsid w:val="008C0F29"/>
    <w:rsid w:val="008C102F"/>
    <w:rsid w:val="008C128B"/>
    <w:rsid w:val="008C13FA"/>
    <w:rsid w:val="008C147E"/>
    <w:rsid w:val="008C1BB1"/>
    <w:rsid w:val="008C1C65"/>
    <w:rsid w:val="008C1EDC"/>
    <w:rsid w:val="008C2044"/>
    <w:rsid w:val="008C22B5"/>
    <w:rsid w:val="008C2697"/>
    <w:rsid w:val="008C2B03"/>
    <w:rsid w:val="008C2E55"/>
    <w:rsid w:val="008C2F2C"/>
    <w:rsid w:val="008C38C7"/>
    <w:rsid w:val="008C3A76"/>
    <w:rsid w:val="008C3EF7"/>
    <w:rsid w:val="008C3F0B"/>
    <w:rsid w:val="008C4133"/>
    <w:rsid w:val="008C43CE"/>
    <w:rsid w:val="008C464C"/>
    <w:rsid w:val="008C5ECA"/>
    <w:rsid w:val="008C6015"/>
    <w:rsid w:val="008C6199"/>
    <w:rsid w:val="008C65F2"/>
    <w:rsid w:val="008C6919"/>
    <w:rsid w:val="008C6945"/>
    <w:rsid w:val="008C6D05"/>
    <w:rsid w:val="008C6D8A"/>
    <w:rsid w:val="008C6E3D"/>
    <w:rsid w:val="008C7160"/>
    <w:rsid w:val="008C7272"/>
    <w:rsid w:val="008C797D"/>
    <w:rsid w:val="008D0281"/>
    <w:rsid w:val="008D06F2"/>
    <w:rsid w:val="008D09C8"/>
    <w:rsid w:val="008D0FCE"/>
    <w:rsid w:val="008D1101"/>
    <w:rsid w:val="008D144E"/>
    <w:rsid w:val="008D153B"/>
    <w:rsid w:val="008D1C82"/>
    <w:rsid w:val="008D1F30"/>
    <w:rsid w:val="008D215B"/>
    <w:rsid w:val="008D2227"/>
    <w:rsid w:val="008D2278"/>
    <w:rsid w:val="008D24E7"/>
    <w:rsid w:val="008D2883"/>
    <w:rsid w:val="008D2CB8"/>
    <w:rsid w:val="008D2D0A"/>
    <w:rsid w:val="008D2D0C"/>
    <w:rsid w:val="008D3353"/>
    <w:rsid w:val="008D359E"/>
    <w:rsid w:val="008D38AA"/>
    <w:rsid w:val="008D3A9B"/>
    <w:rsid w:val="008D4120"/>
    <w:rsid w:val="008D42EF"/>
    <w:rsid w:val="008D46B9"/>
    <w:rsid w:val="008D4733"/>
    <w:rsid w:val="008D4951"/>
    <w:rsid w:val="008D495C"/>
    <w:rsid w:val="008D5509"/>
    <w:rsid w:val="008D552B"/>
    <w:rsid w:val="008D553F"/>
    <w:rsid w:val="008D58BB"/>
    <w:rsid w:val="008D59B5"/>
    <w:rsid w:val="008D59CA"/>
    <w:rsid w:val="008D5B5A"/>
    <w:rsid w:val="008D6195"/>
    <w:rsid w:val="008D63A8"/>
    <w:rsid w:val="008D6479"/>
    <w:rsid w:val="008D6AF7"/>
    <w:rsid w:val="008D6F7A"/>
    <w:rsid w:val="008D71B0"/>
    <w:rsid w:val="008D763E"/>
    <w:rsid w:val="008D79F7"/>
    <w:rsid w:val="008E00A2"/>
    <w:rsid w:val="008E02BD"/>
    <w:rsid w:val="008E0465"/>
    <w:rsid w:val="008E04F0"/>
    <w:rsid w:val="008E06A2"/>
    <w:rsid w:val="008E0E4B"/>
    <w:rsid w:val="008E1352"/>
    <w:rsid w:val="008E198C"/>
    <w:rsid w:val="008E2273"/>
    <w:rsid w:val="008E23B8"/>
    <w:rsid w:val="008E254B"/>
    <w:rsid w:val="008E26ED"/>
    <w:rsid w:val="008E2B36"/>
    <w:rsid w:val="008E2DFC"/>
    <w:rsid w:val="008E3039"/>
    <w:rsid w:val="008E342F"/>
    <w:rsid w:val="008E364F"/>
    <w:rsid w:val="008E38AE"/>
    <w:rsid w:val="008E38C0"/>
    <w:rsid w:val="008E3C4E"/>
    <w:rsid w:val="008E3DAC"/>
    <w:rsid w:val="008E3F19"/>
    <w:rsid w:val="008E422A"/>
    <w:rsid w:val="008E436C"/>
    <w:rsid w:val="008E4876"/>
    <w:rsid w:val="008E4946"/>
    <w:rsid w:val="008E49B3"/>
    <w:rsid w:val="008E4BD2"/>
    <w:rsid w:val="008E4D7F"/>
    <w:rsid w:val="008E4DBB"/>
    <w:rsid w:val="008E4F8A"/>
    <w:rsid w:val="008E5BC9"/>
    <w:rsid w:val="008E6366"/>
    <w:rsid w:val="008E6845"/>
    <w:rsid w:val="008E6B38"/>
    <w:rsid w:val="008E6D1F"/>
    <w:rsid w:val="008E6EBD"/>
    <w:rsid w:val="008E7572"/>
    <w:rsid w:val="008E7BF9"/>
    <w:rsid w:val="008E7DD4"/>
    <w:rsid w:val="008F0066"/>
    <w:rsid w:val="008F0265"/>
    <w:rsid w:val="008F02B4"/>
    <w:rsid w:val="008F0313"/>
    <w:rsid w:val="008F06F6"/>
    <w:rsid w:val="008F073D"/>
    <w:rsid w:val="008F0A1F"/>
    <w:rsid w:val="008F0E13"/>
    <w:rsid w:val="008F10F5"/>
    <w:rsid w:val="008F123E"/>
    <w:rsid w:val="008F1A68"/>
    <w:rsid w:val="008F21BD"/>
    <w:rsid w:val="008F2E5E"/>
    <w:rsid w:val="008F2F3F"/>
    <w:rsid w:val="008F372C"/>
    <w:rsid w:val="008F3CC4"/>
    <w:rsid w:val="008F3EB4"/>
    <w:rsid w:val="008F3FBA"/>
    <w:rsid w:val="008F433C"/>
    <w:rsid w:val="008F443B"/>
    <w:rsid w:val="008F4A7D"/>
    <w:rsid w:val="008F4DE4"/>
    <w:rsid w:val="008F51FC"/>
    <w:rsid w:val="008F5440"/>
    <w:rsid w:val="008F561E"/>
    <w:rsid w:val="008F575F"/>
    <w:rsid w:val="008F578F"/>
    <w:rsid w:val="008F57AE"/>
    <w:rsid w:val="008F5A1D"/>
    <w:rsid w:val="008F5B59"/>
    <w:rsid w:val="008F5C08"/>
    <w:rsid w:val="008F5EF9"/>
    <w:rsid w:val="008F61FE"/>
    <w:rsid w:val="008F6405"/>
    <w:rsid w:val="008F667E"/>
    <w:rsid w:val="008F67C3"/>
    <w:rsid w:val="008F6A65"/>
    <w:rsid w:val="008F6D45"/>
    <w:rsid w:val="008F745A"/>
    <w:rsid w:val="008F777C"/>
    <w:rsid w:val="008F779A"/>
    <w:rsid w:val="008F7B25"/>
    <w:rsid w:val="0090031A"/>
    <w:rsid w:val="00900553"/>
    <w:rsid w:val="00900872"/>
    <w:rsid w:val="00900BEB"/>
    <w:rsid w:val="00900CED"/>
    <w:rsid w:val="00900F98"/>
    <w:rsid w:val="0090115D"/>
    <w:rsid w:val="009014B5"/>
    <w:rsid w:val="009017AD"/>
    <w:rsid w:val="009021EC"/>
    <w:rsid w:val="0090249F"/>
    <w:rsid w:val="009024CF"/>
    <w:rsid w:val="0090265A"/>
    <w:rsid w:val="009027A7"/>
    <w:rsid w:val="00902829"/>
    <w:rsid w:val="00902D55"/>
    <w:rsid w:val="00902DF9"/>
    <w:rsid w:val="00902E54"/>
    <w:rsid w:val="0090305E"/>
    <w:rsid w:val="0090311C"/>
    <w:rsid w:val="009035EF"/>
    <w:rsid w:val="009039AC"/>
    <w:rsid w:val="00904088"/>
    <w:rsid w:val="0090409A"/>
    <w:rsid w:val="00904659"/>
    <w:rsid w:val="00904A1C"/>
    <w:rsid w:val="00904D4C"/>
    <w:rsid w:val="00905222"/>
    <w:rsid w:val="00905325"/>
    <w:rsid w:val="00905826"/>
    <w:rsid w:val="00905C7D"/>
    <w:rsid w:val="00905DA9"/>
    <w:rsid w:val="00906075"/>
    <w:rsid w:val="00906145"/>
    <w:rsid w:val="00906B57"/>
    <w:rsid w:val="00907081"/>
    <w:rsid w:val="00907776"/>
    <w:rsid w:val="00907B0E"/>
    <w:rsid w:val="00910096"/>
    <w:rsid w:val="009103D7"/>
    <w:rsid w:val="009107BC"/>
    <w:rsid w:val="00910CE3"/>
    <w:rsid w:val="00910F5B"/>
    <w:rsid w:val="0091123F"/>
    <w:rsid w:val="009117C9"/>
    <w:rsid w:val="00911847"/>
    <w:rsid w:val="00911DD6"/>
    <w:rsid w:val="00911FD3"/>
    <w:rsid w:val="00911FD8"/>
    <w:rsid w:val="009123CE"/>
    <w:rsid w:val="00912719"/>
    <w:rsid w:val="00912873"/>
    <w:rsid w:val="00912B48"/>
    <w:rsid w:val="00912DAA"/>
    <w:rsid w:val="00912E63"/>
    <w:rsid w:val="00913054"/>
    <w:rsid w:val="00913292"/>
    <w:rsid w:val="0091346A"/>
    <w:rsid w:val="009138FE"/>
    <w:rsid w:val="00913934"/>
    <w:rsid w:val="00913EC7"/>
    <w:rsid w:val="00914039"/>
    <w:rsid w:val="009140FB"/>
    <w:rsid w:val="00914577"/>
    <w:rsid w:val="0091495B"/>
    <w:rsid w:val="0091497F"/>
    <w:rsid w:val="00914AA9"/>
    <w:rsid w:val="00914D4D"/>
    <w:rsid w:val="00914F82"/>
    <w:rsid w:val="00915484"/>
    <w:rsid w:val="00915A63"/>
    <w:rsid w:val="00915F59"/>
    <w:rsid w:val="00915F86"/>
    <w:rsid w:val="00916C2F"/>
    <w:rsid w:val="00916ECC"/>
    <w:rsid w:val="0091716D"/>
    <w:rsid w:val="0091725B"/>
    <w:rsid w:val="00917377"/>
    <w:rsid w:val="00917594"/>
    <w:rsid w:val="009179DF"/>
    <w:rsid w:val="00917E86"/>
    <w:rsid w:val="00917F1F"/>
    <w:rsid w:val="0092040D"/>
    <w:rsid w:val="00920576"/>
    <w:rsid w:val="009205C5"/>
    <w:rsid w:val="009207A2"/>
    <w:rsid w:val="0092096E"/>
    <w:rsid w:val="009209FC"/>
    <w:rsid w:val="00920B4F"/>
    <w:rsid w:val="009211B6"/>
    <w:rsid w:val="00921345"/>
    <w:rsid w:val="00922ACC"/>
    <w:rsid w:val="00922B84"/>
    <w:rsid w:val="00922D31"/>
    <w:rsid w:val="00922D9F"/>
    <w:rsid w:val="00923259"/>
    <w:rsid w:val="009235DD"/>
    <w:rsid w:val="0092369B"/>
    <w:rsid w:val="00923BC8"/>
    <w:rsid w:val="00923FB5"/>
    <w:rsid w:val="009243FB"/>
    <w:rsid w:val="009244F4"/>
    <w:rsid w:val="00924513"/>
    <w:rsid w:val="00924C51"/>
    <w:rsid w:val="0092616F"/>
    <w:rsid w:val="009261AA"/>
    <w:rsid w:val="009261C5"/>
    <w:rsid w:val="009269F0"/>
    <w:rsid w:val="00926D02"/>
    <w:rsid w:val="00927890"/>
    <w:rsid w:val="00927FE7"/>
    <w:rsid w:val="009301B2"/>
    <w:rsid w:val="009302C3"/>
    <w:rsid w:val="00930455"/>
    <w:rsid w:val="0093055F"/>
    <w:rsid w:val="0093060A"/>
    <w:rsid w:val="009308A1"/>
    <w:rsid w:val="00930A72"/>
    <w:rsid w:val="00931360"/>
    <w:rsid w:val="009318D4"/>
    <w:rsid w:val="00931DA2"/>
    <w:rsid w:val="00932125"/>
    <w:rsid w:val="009324ED"/>
    <w:rsid w:val="00932B6D"/>
    <w:rsid w:val="00932C8F"/>
    <w:rsid w:val="00932F50"/>
    <w:rsid w:val="00933072"/>
    <w:rsid w:val="0093347A"/>
    <w:rsid w:val="00933519"/>
    <w:rsid w:val="0093388E"/>
    <w:rsid w:val="009339A9"/>
    <w:rsid w:val="00933A3E"/>
    <w:rsid w:val="00933AFF"/>
    <w:rsid w:val="00933D3C"/>
    <w:rsid w:val="00933EAD"/>
    <w:rsid w:val="0093410C"/>
    <w:rsid w:val="0093423A"/>
    <w:rsid w:val="009343DF"/>
    <w:rsid w:val="00934520"/>
    <w:rsid w:val="00934685"/>
    <w:rsid w:val="009349F8"/>
    <w:rsid w:val="00934DF1"/>
    <w:rsid w:val="00934F35"/>
    <w:rsid w:val="009352BB"/>
    <w:rsid w:val="00935462"/>
    <w:rsid w:val="009355D1"/>
    <w:rsid w:val="00935601"/>
    <w:rsid w:val="00935679"/>
    <w:rsid w:val="00935931"/>
    <w:rsid w:val="00935BB3"/>
    <w:rsid w:val="00935F9C"/>
    <w:rsid w:val="00936362"/>
    <w:rsid w:val="0093636C"/>
    <w:rsid w:val="0093665E"/>
    <w:rsid w:val="00936682"/>
    <w:rsid w:val="00936A68"/>
    <w:rsid w:val="00936D5F"/>
    <w:rsid w:val="00937073"/>
    <w:rsid w:val="009371C7"/>
    <w:rsid w:val="00937304"/>
    <w:rsid w:val="00937423"/>
    <w:rsid w:val="0093780C"/>
    <w:rsid w:val="009378AE"/>
    <w:rsid w:val="00937E7D"/>
    <w:rsid w:val="00940128"/>
    <w:rsid w:val="00940182"/>
    <w:rsid w:val="00940549"/>
    <w:rsid w:val="00940581"/>
    <w:rsid w:val="00940A07"/>
    <w:rsid w:val="00940CD0"/>
    <w:rsid w:val="009411C8"/>
    <w:rsid w:val="009412C2"/>
    <w:rsid w:val="009412ED"/>
    <w:rsid w:val="0094161B"/>
    <w:rsid w:val="0094192B"/>
    <w:rsid w:val="00941F8F"/>
    <w:rsid w:val="009423B6"/>
    <w:rsid w:val="00942E3D"/>
    <w:rsid w:val="00942F81"/>
    <w:rsid w:val="0094318B"/>
    <w:rsid w:val="00943A1B"/>
    <w:rsid w:val="0094404D"/>
    <w:rsid w:val="00944199"/>
    <w:rsid w:val="00944AE3"/>
    <w:rsid w:val="00944E95"/>
    <w:rsid w:val="00944F9C"/>
    <w:rsid w:val="00944FD0"/>
    <w:rsid w:val="00945626"/>
    <w:rsid w:val="0094567F"/>
    <w:rsid w:val="00945B4E"/>
    <w:rsid w:val="00946872"/>
    <w:rsid w:val="00946BC7"/>
    <w:rsid w:val="009474C8"/>
    <w:rsid w:val="009477FA"/>
    <w:rsid w:val="00947D90"/>
    <w:rsid w:val="00950B00"/>
    <w:rsid w:val="0095151E"/>
    <w:rsid w:val="00951A96"/>
    <w:rsid w:val="009520EA"/>
    <w:rsid w:val="0095233C"/>
    <w:rsid w:val="00952450"/>
    <w:rsid w:val="009527E9"/>
    <w:rsid w:val="00952841"/>
    <w:rsid w:val="009529AA"/>
    <w:rsid w:val="00953A1D"/>
    <w:rsid w:val="00953C9A"/>
    <w:rsid w:val="00954103"/>
    <w:rsid w:val="009541B9"/>
    <w:rsid w:val="00954232"/>
    <w:rsid w:val="009543F7"/>
    <w:rsid w:val="00954501"/>
    <w:rsid w:val="00955292"/>
    <w:rsid w:val="009558FC"/>
    <w:rsid w:val="00955EAC"/>
    <w:rsid w:val="00956066"/>
    <w:rsid w:val="009560D0"/>
    <w:rsid w:val="00956420"/>
    <w:rsid w:val="00956678"/>
    <w:rsid w:val="009566EB"/>
    <w:rsid w:val="00956D8E"/>
    <w:rsid w:val="0095708F"/>
    <w:rsid w:val="00957119"/>
    <w:rsid w:val="009573E2"/>
    <w:rsid w:val="00957773"/>
    <w:rsid w:val="00957830"/>
    <w:rsid w:val="00957F00"/>
    <w:rsid w:val="00960107"/>
    <w:rsid w:val="0096018C"/>
    <w:rsid w:val="009602A7"/>
    <w:rsid w:val="009603B0"/>
    <w:rsid w:val="0096075E"/>
    <w:rsid w:val="009614C3"/>
    <w:rsid w:val="009619EE"/>
    <w:rsid w:val="009619EF"/>
    <w:rsid w:val="00961E85"/>
    <w:rsid w:val="0096212B"/>
    <w:rsid w:val="0096212E"/>
    <w:rsid w:val="0096247D"/>
    <w:rsid w:val="0096269A"/>
    <w:rsid w:val="009627FB"/>
    <w:rsid w:val="009628B8"/>
    <w:rsid w:val="00962949"/>
    <w:rsid w:val="009629CA"/>
    <w:rsid w:val="00962B92"/>
    <w:rsid w:val="00962E37"/>
    <w:rsid w:val="00963095"/>
    <w:rsid w:val="009635B7"/>
    <w:rsid w:val="00964143"/>
    <w:rsid w:val="009648F1"/>
    <w:rsid w:val="00964F1C"/>
    <w:rsid w:val="009650D7"/>
    <w:rsid w:val="009654FB"/>
    <w:rsid w:val="00965838"/>
    <w:rsid w:val="00965D4A"/>
    <w:rsid w:val="00965F70"/>
    <w:rsid w:val="00966722"/>
    <w:rsid w:val="00966C0A"/>
    <w:rsid w:val="00966D63"/>
    <w:rsid w:val="00966E26"/>
    <w:rsid w:val="00966EE5"/>
    <w:rsid w:val="00966F37"/>
    <w:rsid w:val="00967411"/>
    <w:rsid w:val="0096774E"/>
    <w:rsid w:val="009677B8"/>
    <w:rsid w:val="00967C0C"/>
    <w:rsid w:val="00970547"/>
    <w:rsid w:val="00970618"/>
    <w:rsid w:val="00970944"/>
    <w:rsid w:val="00970F30"/>
    <w:rsid w:val="00971204"/>
    <w:rsid w:val="009714E4"/>
    <w:rsid w:val="009719A2"/>
    <w:rsid w:val="0097222B"/>
    <w:rsid w:val="009722E4"/>
    <w:rsid w:val="009727C6"/>
    <w:rsid w:val="00972C47"/>
    <w:rsid w:val="009731BA"/>
    <w:rsid w:val="00973354"/>
    <w:rsid w:val="009737B2"/>
    <w:rsid w:val="00973844"/>
    <w:rsid w:val="00974045"/>
    <w:rsid w:val="009740A8"/>
    <w:rsid w:val="009743BD"/>
    <w:rsid w:val="00974509"/>
    <w:rsid w:val="009746CD"/>
    <w:rsid w:val="0097478F"/>
    <w:rsid w:val="00974A2D"/>
    <w:rsid w:val="00974AAA"/>
    <w:rsid w:val="00974EF9"/>
    <w:rsid w:val="00975457"/>
    <w:rsid w:val="0097580C"/>
    <w:rsid w:val="00975AF9"/>
    <w:rsid w:val="00975C11"/>
    <w:rsid w:val="0097630A"/>
    <w:rsid w:val="0097663B"/>
    <w:rsid w:val="00976D81"/>
    <w:rsid w:val="00976E1E"/>
    <w:rsid w:val="009778E5"/>
    <w:rsid w:val="00977CC0"/>
    <w:rsid w:val="00977D51"/>
    <w:rsid w:val="00980884"/>
    <w:rsid w:val="00980B35"/>
    <w:rsid w:val="0098124D"/>
    <w:rsid w:val="009819F2"/>
    <w:rsid w:val="00981A88"/>
    <w:rsid w:val="00982929"/>
    <w:rsid w:val="0098300B"/>
    <w:rsid w:val="009833A4"/>
    <w:rsid w:val="009834C0"/>
    <w:rsid w:val="009836FD"/>
    <w:rsid w:val="009838B8"/>
    <w:rsid w:val="00984814"/>
    <w:rsid w:val="009849B2"/>
    <w:rsid w:val="00984C95"/>
    <w:rsid w:val="009851DA"/>
    <w:rsid w:val="009857B7"/>
    <w:rsid w:val="009860ED"/>
    <w:rsid w:val="00986512"/>
    <w:rsid w:val="009866C0"/>
    <w:rsid w:val="00986860"/>
    <w:rsid w:val="00986AAC"/>
    <w:rsid w:val="00986B4F"/>
    <w:rsid w:val="00986B74"/>
    <w:rsid w:val="00986BDE"/>
    <w:rsid w:val="00986FE5"/>
    <w:rsid w:val="0098740A"/>
    <w:rsid w:val="0098771D"/>
    <w:rsid w:val="009878E3"/>
    <w:rsid w:val="00987EAD"/>
    <w:rsid w:val="00987EFA"/>
    <w:rsid w:val="00990052"/>
    <w:rsid w:val="0099017E"/>
    <w:rsid w:val="009901DF"/>
    <w:rsid w:val="00990301"/>
    <w:rsid w:val="00990740"/>
    <w:rsid w:val="009909DF"/>
    <w:rsid w:val="00990AE2"/>
    <w:rsid w:val="00990D33"/>
    <w:rsid w:val="00991468"/>
    <w:rsid w:val="009916B5"/>
    <w:rsid w:val="00991758"/>
    <w:rsid w:val="00991C58"/>
    <w:rsid w:val="0099259B"/>
    <w:rsid w:val="00992D4C"/>
    <w:rsid w:val="00993128"/>
    <w:rsid w:val="0099344A"/>
    <w:rsid w:val="009934AC"/>
    <w:rsid w:val="00993503"/>
    <w:rsid w:val="00993B89"/>
    <w:rsid w:val="009941EF"/>
    <w:rsid w:val="0099455A"/>
    <w:rsid w:val="00994993"/>
    <w:rsid w:val="00994C51"/>
    <w:rsid w:val="00994F84"/>
    <w:rsid w:val="0099500C"/>
    <w:rsid w:val="009950F2"/>
    <w:rsid w:val="009951D9"/>
    <w:rsid w:val="009953F0"/>
    <w:rsid w:val="00995B09"/>
    <w:rsid w:val="00995F9E"/>
    <w:rsid w:val="00996163"/>
    <w:rsid w:val="009964F9"/>
    <w:rsid w:val="00996716"/>
    <w:rsid w:val="00996B70"/>
    <w:rsid w:val="00996C6E"/>
    <w:rsid w:val="00996C8E"/>
    <w:rsid w:val="00996E41"/>
    <w:rsid w:val="00996F3F"/>
    <w:rsid w:val="00997263"/>
    <w:rsid w:val="00997483"/>
    <w:rsid w:val="00997A95"/>
    <w:rsid w:val="00997AEA"/>
    <w:rsid w:val="00997BCB"/>
    <w:rsid w:val="00997DE9"/>
    <w:rsid w:val="009A0157"/>
    <w:rsid w:val="009A05B1"/>
    <w:rsid w:val="009A0CF4"/>
    <w:rsid w:val="009A0EBD"/>
    <w:rsid w:val="009A12E8"/>
    <w:rsid w:val="009A1527"/>
    <w:rsid w:val="009A176C"/>
    <w:rsid w:val="009A18B7"/>
    <w:rsid w:val="009A1C8E"/>
    <w:rsid w:val="009A1DA2"/>
    <w:rsid w:val="009A1E45"/>
    <w:rsid w:val="009A2023"/>
    <w:rsid w:val="009A2129"/>
    <w:rsid w:val="009A23B6"/>
    <w:rsid w:val="009A2462"/>
    <w:rsid w:val="009A270D"/>
    <w:rsid w:val="009A2757"/>
    <w:rsid w:val="009A29AB"/>
    <w:rsid w:val="009A2BF0"/>
    <w:rsid w:val="009A337E"/>
    <w:rsid w:val="009A3704"/>
    <w:rsid w:val="009A3C37"/>
    <w:rsid w:val="009A3EA6"/>
    <w:rsid w:val="009A3F12"/>
    <w:rsid w:val="009A4032"/>
    <w:rsid w:val="009A40C7"/>
    <w:rsid w:val="009A4279"/>
    <w:rsid w:val="009A44A4"/>
    <w:rsid w:val="009A4739"/>
    <w:rsid w:val="009A47F9"/>
    <w:rsid w:val="009A48E2"/>
    <w:rsid w:val="009A4BA4"/>
    <w:rsid w:val="009A4DDD"/>
    <w:rsid w:val="009A5592"/>
    <w:rsid w:val="009A585E"/>
    <w:rsid w:val="009A5883"/>
    <w:rsid w:val="009A5893"/>
    <w:rsid w:val="009A674F"/>
    <w:rsid w:val="009A6B8A"/>
    <w:rsid w:val="009A6CF5"/>
    <w:rsid w:val="009A7153"/>
    <w:rsid w:val="009A746C"/>
    <w:rsid w:val="009A7560"/>
    <w:rsid w:val="009A77EC"/>
    <w:rsid w:val="009A77F5"/>
    <w:rsid w:val="009A78BF"/>
    <w:rsid w:val="009A7C6B"/>
    <w:rsid w:val="009A7C83"/>
    <w:rsid w:val="009A7ED9"/>
    <w:rsid w:val="009A7F2C"/>
    <w:rsid w:val="009B0514"/>
    <w:rsid w:val="009B058D"/>
    <w:rsid w:val="009B058F"/>
    <w:rsid w:val="009B05A5"/>
    <w:rsid w:val="009B0A89"/>
    <w:rsid w:val="009B0B6C"/>
    <w:rsid w:val="009B13C5"/>
    <w:rsid w:val="009B199C"/>
    <w:rsid w:val="009B1A21"/>
    <w:rsid w:val="009B23BF"/>
    <w:rsid w:val="009B2A06"/>
    <w:rsid w:val="009B31C7"/>
    <w:rsid w:val="009B3996"/>
    <w:rsid w:val="009B3E06"/>
    <w:rsid w:val="009B3F55"/>
    <w:rsid w:val="009B3F6D"/>
    <w:rsid w:val="009B4001"/>
    <w:rsid w:val="009B451E"/>
    <w:rsid w:val="009B48D2"/>
    <w:rsid w:val="009B4FD9"/>
    <w:rsid w:val="009B54C8"/>
    <w:rsid w:val="009B551A"/>
    <w:rsid w:val="009B616D"/>
    <w:rsid w:val="009B61F1"/>
    <w:rsid w:val="009B62E0"/>
    <w:rsid w:val="009B6E94"/>
    <w:rsid w:val="009B6ECA"/>
    <w:rsid w:val="009B70AE"/>
    <w:rsid w:val="009B7760"/>
    <w:rsid w:val="009B7CD3"/>
    <w:rsid w:val="009C0887"/>
    <w:rsid w:val="009C0B5E"/>
    <w:rsid w:val="009C0F48"/>
    <w:rsid w:val="009C13C9"/>
    <w:rsid w:val="009C2086"/>
    <w:rsid w:val="009C212E"/>
    <w:rsid w:val="009C2B02"/>
    <w:rsid w:val="009C2B4E"/>
    <w:rsid w:val="009C2E4C"/>
    <w:rsid w:val="009C2FF4"/>
    <w:rsid w:val="009C359D"/>
    <w:rsid w:val="009C3D88"/>
    <w:rsid w:val="009C3E39"/>
    <w:rsid w:val="009C412D"/>
    <w:rsid w:val="009C4350"/>
    <w:rsid w:val="009C45CA"/>
    <w:rsid w:val="009C4A43"/>
    <w:rsid w:val="009C4EBC"/>
    <w:rsid w:val="009C52A8"/>
    <w:rsid w:val="009C55C4"/>
    <w:rsid w:val="009C596A"/>
    <w:rsid w:val="009C5FB8"/>
    <w:rsid w:val="009C6022"/>
    <w:rsid w:val="009C6280"/>
    <w:rsid w:val="009C644C"/>
    <w:rsid w:val="009C672A"/>
    <w:rsid w:val="009C6C2E"/>
    <w:rsid w:val="009C6CF6"/>
    <w:rsid w:val="009C7F2C"/>
    <w:rsid w:val="009C7FA6"/>
    <w:rsid w:val="009D00BD"/>
    <w:rsid w:val="009D011D"/>
    <w:rsid w:val="009D03FE"/>
    <w:rsid w:val="009D0427"/>
    <w:rsid w:val="009D0826"/>
    <w:rsid w:val="009D093E"/>
    <w:rsid w:val="009D09FC"/>
    <w:rsid w:val="009D0C95"/>
    <w:rsid w:val="009D1040"/>
    <w:rsid w:val="009D108E"/>
    <w:rsid w:val="009D11A4"/>
    <w:rsid w:val="009D12C1"/>
    <w:rsid w:val="009D17A7"/>
    <w:rsid w:val="009D1800"/>
    <w:rsid w:val="009D18D6"/>
    <w:rsid w:val="009D1D48"/>
    <w:rsid w:val="009D2106"/>
    <w:rsid w:val="009D21F1"/>
    <w:rsid w:val="009D2355"/>
    <w:rsid w:val="009D2CB1"/>
    <w:rsid w:val="009D2F46"/>
    <w:rsid w:val="009D2F55"/>
    <w:rsid w:val="009D30C3"/>
    <w:rsid w:val="009D3CA5"/>
    <w:rsid w:val="009D3F7B"/>
    <w:rsid w:val="009D4717"/>
    <w:rsid w:val="009D49BF"/>
    <w:rsid w:val="009D4D48"/>
    <w:rsid w:val="009D52AE"/>
    <w:rsid w:val="009D571E"/>
    <w:rsid w:val="009D58DD"/>
    <w:rsid w:val="009D5E9E"/>
    <w:rsid w:val="009D6A50"/>
    <w:rsid w:val="009D71CD"/>
    <w:rsid w:val="009D7522"/>
    <w:rsid w:val="009D7929"/>
    <w:rsid w:val="009D7D5E"/>
    <w:rsid w:val="009D7D6E"/>
    <w:rsid w:val="009D7DD3"/>
    <w:rsid w:val="009D7F79"/>
    <w:rsid w:val="009E0178"/>
    <w:rsid w:val="009E02D9"/>
    <w:rsid w:val="009E088F"/>
    <w:rsid w:val="009E0A8C"/>
    <w:rsid w:val="009E1094"/>
    <w:rsid w:val="009E14CE"/>
    <w:rsid w:val="009E1687"/>
    <w:rsid w:val="009E1838"/>
    <w:rsid w:val="009E197B"/>
    <w:rsid w:val="009E197D"/>
    <w:rsid w:val="009E1BE9"/>
    <w:rsid w:val="009E1C58"/>
    <w:rsid w:val="009E1DC4"/>
    <w:rsid w:val="009E2A7F"/>
    <w:rsid w:val="009E32AE"/>
    <w:rsid w:val="009E3858"/>
    <w:rsid w:val="009E3861"/>
    <w:rsid w:val="009E398A"/>
    <w:rsid w:val="009E407E"/>
    <w:rsid w:val="009E4093"/>
    <w:rsid w:val="009E40E9"/>
    <w:rsid w:val="009E432F"/>
    <w:rsid w:val="009E45EC"/>
    <w:rsid w:val="009E468F"/>
    <w:rsid w:val="009E46B5"/>
    <w:rsid w:val="009E46FC"/>
    <w:rsid w:val="009E46FD"/>
    <w:rsid w:val="009E4908"/>
    <w:rsid w:val="009E4B9B"/>
    <w:rsid w:val="009E4BC0"/>
    <w:rsid w:val="009E4D56"/>
    <w:rsid w:val="009E4F66"/>
    <w:rsid w:val="009E4FC3"/>
    <w:rsid w:val="009E5778"/>
    <w:rsid w:val="009E5942"/>
    <w:rsid w:val="009E5DED"/>
    <w:rsid w:val="009E5E7E"/>
    <w:rsid w:val="009E5FBB"/>
    <w:rsid w:val="009E60B2"/>
    <w:rsid w:val="009E6181"/>
    <w:rsid w:val="009E70DD"/>
    <w:rsid w:val="009E77B8"/>
    <w:rsid w:val="009E78CD"/>
    <w:rsid w:val="009E7AC7"/>
    <w:rsid w:val="009E7E30"/>
    <w:rsid w:val="009E7F3E"/>
    <w:rsid w:val="009F00FE"/>
    <w:rsid w:val="009F0E5C"/>
    <w:rsid w:val="009F12EB"/>
    <w:rsid w:val="009F1369"/>
    <w:rsid w:val="009F17F2"/>
    <w:rsid w:val="009F1892"/>
    <w:rsid w:val="009F1947"/>
    <w:rsid w:val="009F2441"/>
    <w:rsid w:val="009F2444"/>
    <w:rsid w:val="009F2A16"/>
    <w:rsid w:val="009F2BFB"/>
    <w:rsid w:val="009F2ED9"/>
    <w:rsid w:val="009F2FAE"/>
    <w:rsid w:val="009F3050"/>
    <w:rsid w:val="009F3231"/>
    <w:rsid w:val="009F372D"/>
    <w:rsid w:val="009F3B51"/>
    <w:rsid w:val="009F3C08"/>
    <w:rsid w:val="009F3C39"/>
    <w:rsid w:val="009F40F1"/>
    <w:rsid w:val="009F4C6F"/>
    <w:rsid w:val="009F54FA"/>
    <w:rsid w:val="009F5C58"/>
    <w:rsid w:val="009F5C83"/>
    <w:rsid w:val="009F5C96"/>
    <w:rsid w:val="009F5DEF"/>
    <w:rsid w:val="009F5E9C"/>
    <w:rsid w:val="009F65F0"/>
    <w:rsid w:val="009F6B15"/>
    <w:rsid w:val="009F6B4F"/>
    <w:rsid w:val="009F6B5E"/>
    <w:rsid w:val="009F6EA9"/>
    <w:rsid w:val="009F7461"/>
    <w:rsid w:val="009F7596"/>
    <w:rsid w:val="009F7890"/>
    <w:rsid w:val="009F7D5B"/>
    <w:rsid w:val="009F7F89"/>
    <w:rsid w:val="00A00338"/>
    <w:rsid w:val="00A00A43"/>
    <w:rsid w:val="00A00C07"/>
    <w:rsid w:val="00A00D7C"/>
    <w:rsid w:val="00A0170F"/>
    <w:rsid w:val="00A01B23"/>
    <w:rsid w:val="00A01D16"/>
    <w:rsid w:val="00A02346"/>
    <w:rsid w:val="00A023A0"/>
    <w:rsid w:val="00A02593"/>
    <w:rsid w:val="00A02858"/>
    <w:rsid w:val="00A0288E"/>
    <w:rsid w:val="00A02C54"/>
    <w:rsid w:val="00A03127"/>
    <w:rsid w:val="00A03882"/>
    <w:rsid w:val="00A038D8"/>
    <w:rsid w:val="00A03BF5"/>
    <w:rsid w:val="00A03D97"/>
    <w:rsid w:val="00A03ED0"/>
    <w:rsid w:val="00A0415B"/>
    <w:rsid w:val="00A0430D"/>
    <w:rsid w:val="00A04906"/>
    <w:rsid w:val="00A05726"/>
    <w:rsid w:val="00A05D4F"/>
    <w:rsid w:val="00A0647A"/>
    <w:rsid w:val="00A064A6"/>
    <w:rsid w:val="00A06D1A"/>
    <w:rsid w:val="00A06DD6"/>
    <w:rsid w:val="00A06F34"/>
    <w:rsid w:val="00A06F47"/>
    <w:rsid w:val="00A07618"/>
    <w:rsid w:val="00A07882"/>
    <w:rsid w:val="00A07D44"/>
    <w:rsid w:val="00A10091"/>
    <w:rsid w:val="00A101DB"/>
    <w:rsid w:val="00A10435"/>
    <w:rsid w:val="00A10600"/>
    <w:rsid w:val="00A10768"/>
    <w:rsid w:val="00A107F6"/>
    <w:rsid w:val="00A10B54"/>
    <w:rsid w:val="00A10B55"/>
    <w:rsid w:val="00A10E75"/>
    <w:rsid w:val="00A10EAC"/>
    <w:rsid w:val="00A111DD"/>
    <w:rsid w:val="00A11814"/>
    <w:rsid w:val="00A1190F"/>
    <w:rsid w:val="00A11B20"/>
    <w:rsid w:val="00A11DCE"/>
    <w:rsid w:val="00A11E18"/>
    <w:rsid w:val="00A12237"/>
    <w:rsid w:val="00A12345"/>
    <w:rsid w:val="00A12883"/>
    <w:rsid w:val="00A12D50"/>
    <w:rsid w:val="00A12DE8"/>
    <w:rsid w:val="00A13348"/>
    <w:rsid w:val="00A13369"/>
    <w:rsid w:val="00A13BA6"/>
    <w:rsid w:val="00A143D4"/>
    <w:rsid w:val="00A14BE6"/>
    <w:rsid w:val="00A151D3"/>
    <w:rsid w:val="00A151E2"/>
    <w:rsid w:val="00A1536A"/>
    <w:rsid w:val="00A153F2"/>
    <w:rsid w:val="00A1562B"/>
    <w:rsid w:val="00A15D71"/>
    <w:rsid w:val="00A16117"/>
    <w:rsid w:val="00A1625B"/>
    <w:rsid w:val="00A16C0A"/>
    <w:rsid w:val="00A170F4"/>
    <w:rsid w:val="00A17120"/>
    <w:rsid w:val="00A17493"/>
    <w:rsid w:val="00A174C7"/>
    <w:rsid w:val="00A17679"/>
    <w:rsid w:val="00A17945"/>
    <w:rsid w:val="00A179B6"/>
    <w:rsid w:val="00A17A17"/>
    <w:rsid w:val="00A17B37"/>
    <w:rsid w:val="00A201A1"/>
    <w:rsid w:val="00A202FD"/>
    <w:rsid w:val="00A204F5"/>
    <w:rsid w:val="00A206FC"/>
    <w:rsid w:val="00A20882"/>
    <w:rsid w:val="00A211F2"/>
    <w:rsid w:val="00A2197C"/>
    <w:rsid w:val="00A21A5C"/>
    <w:rsid w:val="00A220B3"/>
    <w:rsid w:val="00A22742"/>
    <w:rsid w:val="00A2290C"/>
    <w:rsid w:val="00A22AC6"/>
    <w:rsid w:val="00A23422"/>
    <w:rsid w:val="00A23778"/>
    <w:rsid w:val="00A23C1D"/>
    <w:rsid w:val="00A242E5"/>
    <w:rsid w:val="00A246E2"/>
    <w:rsid w:val="00A24865"/>
    <w:rsid w:val="00A24C4F"/>
    <w:rsid w:val="00A24ED0"/>
    <w:rsid w:val="00A24EE0"/>
    <w:rsid w:val="00A2526E"/>
    <w:rsid w:val="00A2528D"/>
    <w:rsid w:val="00A2547E"/>
    <w:rsid w:val="00A2557A"/>
    <w:rsid w:val="00A2559E"/>
    <w:rsid w:val="00A25927"/>
    <w:rsid w:val="00A259D4"/>
    <w:rsid w:val="00A25B05"/>
    <w:rsid w:val="00A25C6F"/>
    <w:rsid w:val="00A25FD9"/>
    <w:rsid w:val="00A26361"/>
    <w:rsid w:val="00A263C5"/>
    <w:rsid w:val="00A26670"/>
    <w:rsid w:val="00A26C1C"/>
    <w:rsid w:val="00A26F68"/>
    <w:rsid w:val="00A273E5"/>
    <w:rsid w:val="00A275E2"/>
    <w:rsid w:val="00A27B03"/>
    <w:rsid w:val="00A27C72"/>
    <w:rsid w:val="00A308D0"/>
    <w:rsid w:val="00A31119"/>
    <w:rsid w:val="00A3169F"/>
    <w:rsid w:val="00A320C7"/>
    <w:rsid w:val="00A323F3"/>
    <w:rsid w:val="00A324D8"/>
    <w:rsid w:val="00A324F0"/>
    <w:rsid w:val="00A33108"/>
    <w:rsid w:val="00A33404"/>
    <w:rsid w:val="00A33587"/>
    <w:rsid w:val="00A3389C"/>
    <w:rsid w:val="00A3421E"/>
    <w:rsid w:val="00A3435D"/>
    <w:rsid w:val="00A343AE"/>
    <w:rsid w:val="00A34563"/>
    <w:rsid w:val="00A345BC"/>
    <w:rsid w:val="00A34BC4"/>
    <w:rsid w:val="00A34D2F"/>
    <w:rsid w:val="00A34DDE"/>
    <w:rsid w:val="00A352F9"/>
    <w:rsid w:val="00A3538F"/>
    <w:rsid w:val="00A354DB"/>
    <w:rsid w:val="00A35516"/>
    <w:rsid w:val="00A35778"/>
    <w:rsid w:val="00A359CC"/>
    <w:rsid w:val="00A35E12"/>
    <w:rsid w:val="00A3626D"/>
    <w:rsid w:val="00A3634B"/>
    <w:rsid w:val="00A36B18"/>
    <w:rsid w:val="00A36BE3"/>
    <w:rsid w:val="00A36D1B"/>
    <w:rsid w:val="00A36EFB"/>
    <w:rsid w:val="00A3702F"/>
    <w:rsid w:val="00A37430"/>
    <w:rsid w:val="00A3769B"/>
    <w:rsid w:val="00A37A8C"/>
    <w:rsid w:val="00A4006B"/>
    <w:rsid w:val="00A402A5"/>
    <w:rsid w:val="00A402F7"/>
    <w:rsid w:val="00A4084A"/>
    <w:rsid w:val="00A40FC5"/>
    <w:rsid w:val="00A41627"/>
    <w:rsid w:val="00A42345"/>
    <w:rsid w:val="00A427AF"/>
    <w:rsid w:val="00A42894"/>
    <w:rsid w:val="00A42F98"/>
    <w:rsid w:val="00A43304"/>
    <w:rsid w:val="00A438DF"/>
    <w:rsid w:val="00A44233"/>
    <w:rsid w:val="00A44245"/>
    <w:rsid w:val="00A44463"/>
    <w:rsid w:val="00A44B9E"/>
    <w:rsid w:val="00A44CF6"/>
    <w:rsid w:val="00A45330"/>
    <w:rsid w:val="00A453B3"/>
    <w:rsid w:val="00A456D2"/>
    <w:rsid w:val="00A457AB"/>
    <w:rsid w:val="00A45B33"/>
    <w:rsid w:val="00A45B5D"/>
    <w:rsid w:val="00A4646E"/>
    <w:rsid w:val="00A46617"/>
    <w:rsid w:val="00A46ACF"/>
    <w:rsid w:val="00A46B36"/>
    <w:rsid w:val="00A46BA8"/>
    <w:rsid w:val="00A46CD8"/>
    <w:rsid w:val="00A46D50"/>
    <w:rsid w:val="00A46ED3"/>
    <w:rsid w:val="00A46FD6"/>
    <w:rsid w:val="00A47064"/>
    <w:rsid w:val="00A47206"/>
    <w:rsid w:val="00A475DA"/>
    <w:rsid w:val="00A47634"/>
    <w:rsid w:val="00A47827"/>
    <w:rsid w:val="00A47DC4"/>
    <w:rsid w:val="00A47FD7"/>
    <w:rsid w:val="00A5029B"/>
    <w:rsid w:val="00A50602"/>
    <w:rsid w:val="00A50AA9"/>
    <w:rsid w:val="00A50CF1"/>
    <w:rsid w:val="00A51073"/>
    <w:rsid w:val="00A5116C"/>
    <w:rsid w:val="00A51288"/>
    <w:rsid w:val="00A5132D"/>
    <w:rsid w:val="00A51ACC"/>
    <w:rsid w:val="00A52485"/>
    <w:rsid w:val="00A52DFA"/>
    <w:rsid w:val="00A52EC3"/>
    <w:rsid w:val="00A52F44"/>
    <w:rsid w:val="00A534BC"/>
    <w:rsid w:val="00A53675"/>
    <w:rsid w:val="00A53BE4"/>
    <w:rsid w:val="00A53D59"/>
    <w:rsid w:val="00A5421F"/>
    <w:rsid w:val="00A543B3"/>
    <w:rsid w:val="00A543CA"/>
    <w:rsid w:val="00A547BF"/>
    <w:rsid w:val="00A5498C"/>
    <w:rsid w:val="00A54DAB"/>
    <w:rsid w:val="00A55234"/>
    <w:rsid w:val="00A556C8"/>
    <w:rsid w:val="00A55816"/>
    <w:rsid w:val="00A55923"/>
    <w:rsid w:val="00A55D8B"/>
    <w:rsid w:val="00A564BA"/>
    <w:rsid w:val="00A564F5"/>
    <w:rsid w:val="00A566E7"/>
    <w:rsid w:val="00A568F0"/>
    <w:rsid w:val="00A56BB5"/>
    <w:rsid w:val="00A56DC3"/>
    <w:rsid w:val="00A57843"/>
    <w:rsid w:val="00A578D7"/>
    <w:rsid w:val="00A57BD0"/>
    <w:rsid w:val="00A57C4A"/>
    <w:rsid w:val="00A57D0F"/>
    <w:rsid w:val="00A6083F"/>
    <w:rsid w:val="00A60FCB"/>
    <w:rsid w:val="00A612FE"/>
    <w:rsid w:val="00A613DC"/>
    <w:rsid w:val="00A618C5"/>
    <w:rsid w:val="00A61B75"/>
    <w:rsid w:val="00A61C66"/>
    <w:rsid w:val="00A61CB3"/>
    <w:rsid w:val="00A61F55"/>
    <w:rsid w:val="00A61F9C"/>
    <w:rsid w:val="00A62010"/>
    <w:rsid w:val="00A621E7"/>
    <w:rsid w:val="00A622E6"/>
    <w:rsid w:val="00A62483"/>
    <w:rsid w:val="00A6269C"/>
    <w:rsid w:val="00A62DAB"/>
    <w:rsid w:val="00A632F7"/>
    <w:rsid w:val="00A63901"/>
    <w:rsid w:val="00A63B1E"/>
    <w:rsid w:val="00A63DC7"/>
    <w:rsid w:val="00A63DDE"/>
    <w:rsid w:val="00A63F4C"/>
    <w:rsid w:val="00A641AA"/>
    <w:rsid w:val="00A64565"/>
    <w:rsid w:val="00A64696"/>
    <w:rsid w:val="00A64830"/>
    <w:rsid w:val="00A65205"/>
    <w:rsid w:val="00A65476"/>
    <w:rsid w:val="00A654DE"/>
    <w:rsid w:val="00A6574B"/>
    <w:rsid w:val="00A65F7E"/>
    <w:rsid w:val="00A667AE"/>
    <w:rsid w:val="00A66D78"/>
    <w:rsid w:val="00A66DEA"/>
    <w:rsid w:val="00A66ECD"/>
    <w:rsid w:val="00A67506"/>
    <w:rsid w:val="00A6779F"/>
    <w:rsid w:val="00A677F0"/>
    <w:rsid w:val="00A67F64"/>
    <w:rsid w:val="00A67FE0"/>
    <w:rsid w:val="00A7019E"/>
    <w:rsid w:val="00A703F0"/>
    <w:rsid w:val="00A70982"/>
    <w:rsid w:val="00A70B35"/>
    <w:rsid w:val="00A70E46"/>
    <w:rsid w:val="00A7128E"/>
    <w:rsid w:val="00A712CA"/>
    <w:rsid w:val="00A71314"/>
    <w:rsid w:val="00A7195D"/>
    <w:rsid w:val="00A71A67"/>
    <w:rsid w:val="00A71C37"/>
    <w:rsid w:val="00A71C84"/>
    <w:rsid w:val="00A7248E"/>
    <w:rsid w:val="00A7293B"/>
    <w:rsid w:val="00A73009"/>
    <w:rsid w:val="00A736A5"/>
    <w:rsid w:val="00A7372C"/>
    <w:rsid w:val="00A73CA0"/>
    <w:rsid w:val="00A7438B"/>
    <w:rsid w:val="00A749B0"/>
    <w:rsid w:val="00A74BAE"/>
    <w:rsid w:val="00A74C7F"/>
    <w:rsid w:val="00A75C83"/>
    <w:rsid w:val="00A760A2"/>
    <w:rsid w:val="00A76127"/>
    <w:rsid w:val="00A7641A"/>
    <w:rsid w:val="00A767A6"/>
    <w:rsid w:val="00A76DEE"/>
    <w:rsid w:val="00A76EF1"/>
    <w:rsid w:val="00A76FDD"/>
    <w:rsid w:val="00A76FFA"/>
    <w:rsid w:val="00A77205"/>
    <w:rsid w:val="00A77DA8"/>
    <w:rsid w:val="00A77E69"/>
    <w:rsid w:val="00A801FE"/>
    <w:rsid w:val="00A805F1"/>
    <w:rsid w:val="00A808E9"/>
    <w:rsid w:val="00A808F1"/>
    <w:rsid w:val="00A80B3E"/>
    <w:rsid w:val="00A80E8F"/>
    <w:rsid w:val="00A80F74"/>
    <w:rsid w:val="00A80F93"/>
    <w:rsid w:val="00A810FA"/>
    <w:rsid w:val="00A8113D"/>
    <w:rsid w:val="00A81168"/>
    <w:rsid w:val="00A814B2"/>
    <w:rsid w:val="00A81666"/>
    <w:rsid w:val="00A81A5C"/>
    <w:rsid w:val="00A82051"/>
    <w:rsid w:val="00A82716"/>
    <w:rsid w:val="00A82C92"/>
    <w:rsid w:val="00A82D66"/>
    <w:rsid w:val="00A833E2"/>
    <w:rsid w:val="00A83EA4"/>
    <w:rsid w:val="00A83FE7"/>
    <w:rsid w:val="00A84057"/>
    <w:rsid w:val="00A84D28"/>
    <w:rsid w:val="00A84DE7"/>
    <w:rsid w:val="00A85408"/>
    <w:rsid w:val="00A857E2"/>
    <w:rsid w:val="00A858A3"/>
    <w:rsid w:val="00A85DF0"/>
    <w:rsid w:val="00A85F47"/>
    <w:rsid w:val="00A85F96"/>
    <w:rsid w:val="00A86030"/>
    <w:rsid w:val="00A86285"/>
    <w:rsid w:val="00A86368"/>
    <w:rsid w:val="00A863A4"/>
    <w:rsid w:val="00A86983"/>
    <w:rsid w:val="00A86BB9"/>
    <w:rsid w:val="00A86EC4"/>
    <w:rsid w:val="00A87180"/>
    <w:rsid w:val="00A8772D"/>
    <w:rsid w:val="00A87889"/>
    <w:rsid w:val="00A87964"/>
    <w:rsid w:val="00A87D29"/>
    <w:rsid w:val="00A901A7"/>
    <w:rsid w:val="00A9088B"/>
    <w:rsid w:val="00A90AB2"/>
    <w:rsid w:val="00A90DD3"/>
    <w:rsid w:val="00A913BF"/>
    <w:rsid w:val="00A91507"/>
    <w:rsid w:val="00A91821"/>
    <w:rsid w:val="00A91E40"/>
    <w:rsid w:val="00A92405"/>
    <w:rsid w:val="00A9258A"/>
    <w:rsid w:val="00A92783"/>
    <w:rsid w:val="00A92B5D"/>
    <w:rsid w:val="00A937CB"/>
    <w:rsid w:val="00A9392D"/>
    <w:rsid w:val="00A93A79"/>
    <w:rsid w:val="00A93B03"/>
    <w:rsid w:val="00A93FDE"/>
    <w:rsid w:val="00A94395"/>
    <w:rsid w:val="00A943F8"/>
    <w:rsid w:val="00A9491A"/>
    <w:rsid w:val="00A94A4E"/>
    <w:rsid w:val="00A94B68"/>
    <w:rsid w:val="00A94DE4"/>
    <w:rsid w:val="00A94F38"/>
    <w:rsid w:val="00A953BC"/>
    <w:rsid w:val="00A95E16"/>
    <w:rsid w:val="00A95E93"/>
    <w:rsid w:val="00A96475"/>
    <w:rsid w:val="00A96606"/>
    <w:rsid w:val="00A96631"/>
    <w:rsid w:val="00A96714"/>
    <w:rsid w:val="00A96BA5"/>
    <w:rsid w:val="00A96CC4"/>
    <w:rsid w:val="00A96DC7"/>
    <w:rsid w:val="00A97EAE"/>
    <w:rsid w:val="00AA00D9"/>
    <w:rsid w:val="00AA03BE"/>
    <w:rsid w:val="00AA06CB"/>
    <w:rsid w:val="00AA0AD6"/>
    <w:rsid w:val="00AA0C11"/>
    <w:rsid w:val="00AA11B1"/>
    <w:rsid w:val="00AA1230"/>
    <w:rsid w:val="00AA2074"/>
    <w:rsid w:val="00AA214A"/>
    <w:rsid w:val="00AA2522"/>
    <w:rsid w:val="00AA26B8"/>
    <w:rsid w:val="00AA28DE"/>
    <w:rsid w:val="00AA2A1C"/>
    <w:rsid w:val="00AA3092"/>
    <w:rsid w:val="00AA32F0"/>
    <w:rsid w:val="00AA339E"/>
    <w:rsid w:val="00AA3608"/>
    <w:rsid w:val="00AA360A"/>
    <w:rsid w:val="00AA3A4B"/>
    <w:rsid w:val="00AA422B"/>
    <w:rsid w:val="00AA43A5"/>
    <w:rsid w:val="00AA478B"/>
    <w:rsid w:val="00AA4996"/>
    <w:rsid w:val="00AA4E24"/>
    <w:rsid w:val="00AA513F"/>
    <w:rsid w:val="00AA51C2"/>
    <w:rsid w:val="00AA5261"/>
    <w:rsid w:val="00AA53B8"/>
    <w:rsid w:val="00AA5514"/>
    <w:rsid w:val="00AA609E"/>
    <w:rsid w:val="00AA6437"/>
    <w:rsid w:val="00AA6684"/>
    <w:rsid w:val="00AA6785"/>
    <w:rsid w:val="00AA67AD"/>
    <w:rsid w:val="00AA6835"/>
    <w:rsid w:val="00AA69DB"/>
    <w:rsid w:val="00AA6C3F"/>
    <w:rsid w:val="00AA6D1E"/>
    <w:rsid w:val="00AA6FB5"/>
    <w:rsid w:val="00AA72DD"/>
    <w:rsid w:val="00AA73E9"/>
    <w:rsid w:val="00AA746F"/>
    <w:rsid w:val="00AB03E7"/>
    <w:rsid w:val="00AB0676"/>
    <w:rsid w:val="00AB0A4C"/>
    <w:rsid w:val="00AB0B80"/>
    <w:rsid w:val="00AB0E1C"/>
    <w:rsid w:val="00AB0F77"/>
    <w:rsid w:val="00AB173A"/>
    <w:rsid w:val="00AB17BF"/>
    <w:rsid w:val="00AB20D2"/>
    <w:rsid w:val="00AB2216"/>
    <w:rsid w:val="00AB224C"/>
    <w:rsid w:val="00AB2325"/>
    <w:rsid w:val="00AB23BC"/>
    <w:rsid w:val="00AB2446"/>
    <w:rsid w:val="00AB2451"/>
    <w:rsid w:val="00AB258A"/>
    <w:rsid w:val="00AB29D8"/>
    <w:rsid w:val="00AB2E19"/>
    <w:rsid w:val="00AB3172"/>
    <w:rsid w:val="00AB34DB"/>
    <w:rsid w:val="00AB373F"/>
    <w:rsid w:val="00AB398B"/>
    <w:rsid w:val="00AB3AAB"/>
    <w:rsid w:val="00AB3DB5"/>
    <w:rsid w:val="00AB3E1F"/>
    <w:rsid w:val="00AB3FE2"/>
    <w:rsid w:val="00AB425A"/>
    <w:rsid w:val="00AB4535"/>
    <w:rsid w:val="00AB4B22"/>
    <w:rsid w:val="00AB53B4"/>
    <w:rsid w:val="00AB54FB"/>
    <w:rsid w:val="00AB5ED4"/>
    <w:rsid w:val="00AB604C"/>
    <w:rsid w:val="00AB6343"/>
    <w:rsid w:val="00AB6CB9"/>
    <w:rsid w:val="00AB715D"/>
    <w:rsid w:val="00AB7257"/>
    <w:rsid w:val="00AB74A8"/>
    <w:rsid w:val="00AB754D"/>
    <w:rsid w:val="00AB7776"/>
    <w:rsid w:val="00AB7BDC"/>
    <w:rsid w:val="00AB7F79"/>
    <w:rsid w:val="00AB7FD8"/>
    <w:rsid w:val="00AC00BF"/>
    <w:rsid w:val="00AC1858"/>
    <w:rsid w:val="00AC2214"/>
    <w:rsid w:val="00AC2895"/>
    <w:rsid w:val="00AC28D2"/>
    <w:rsid w:val="00AC2908"/>
    <w:rsid w:val="00AC2A65"/>
    <w:rsid w:val="00AC2C0A"/>
    <w:rsid w:val="00AC2CA4"/>
    <w:rsid w:val="00AC36E2"/>
    <w:rsid w:val="00AC3CC0"/>
    <w:rsid w:val="00AC3EAB"/>
    <w:rsid w:val="00AC3FBA"/>
    <w:rsid w:val="00AC40B6"/>
    <w:rsid w:val="00AC4228"/>
    <w:rsid w:val="00AC4931"/>
    <w:rsid w:val="00AC4A22"/>
    <w:rsid w:val="00AC4AA7"/>
    <w:rsid w:val="00AC4C0D"/>
    <w:rsid w:val="00AC4C1D"/>
    <w:rsid w:val="00AC50DA"/>
    <w:rsid w:val="00AC512D"/>
    <w:rsid w:val="00AC548F"/>
    <w:rsid w:val="00AC5B09"/>
    <w:rsid w:val="00AC5DE0"/>
    <w:rsid w:val="00AC630C"/>
    <w:rsid w:val="00AC6385"/>
    <w:rsid w:val="00AC660D"/>
    <w:rsid w:val="00AC6A65"/>
    <w:rsid w:val="00AC6E10"/>
    <w:rsid w:val="00AC6E7D"/>
    <w:rsid w:val="00AC6FCF"/>
    <w:rsid w:val="00AC6FE0"/>
    <w:rsid w:val="00AC7416"/>
    <w:rsid w:val="00AC75FD"/>
    <w:rsid w:val="00AC7603"/>
    <w:rsid w:val="00AC7606"/>
    <w:rsid w:val="00AC7741"/>
    <w:rsid w:val="00AC79A0"/>
    <w:rsid w:val="00AD0518"/>
    <w:rsid w:val="00AD06DE"/>
    <w:rsid w:val="00AD07BA"/>
    <w:rsid w:val="00AD07D8"/>
    <w:rsid w:val="00AD0FBD"/>
    <w:rsid w:val="00AD0FC2"/>
    <w:rsid w:val="00AD10C0"/>
    <w:rsid w:val="00AD12BF"/>
    <w:rsid w:val="00AD12D0"/>
    <w:rsid w:val="00AD1FD6"/>
    <w:rsid w:val="00AD23E3"/>
    <w:rsid w:val="00AD2954"/>
    <w:rsid w:val="00AD303B"/>
    <w:rsid w:val="00AD3322"/>
    <w:rsid w:val="00AD36BC"/>
    <w:rsid w:val="00AD3D8A"/>
    <w:rsid w:val="00AD3DCF"/>
    <w:rsid w:val="00AD3E9E"/>
    <w:rsid w:val="00AD3F4B"/>
    <w:rsid w:val="00AD40A7"/>
    <w:rsid w:val="00AD4204"/>
    <w:rsid w:val="00AD4489"/>
    <w:rsid w:val="00AD4659"/>
    <w:rsid w:val="00AD485B"/>
    <w:rsid w:val="00AD4C86"/>
    <w:rsid w:val="00AD4D98"/>
    <w:rsid w:val="00AD5A27"/>
    <w:rsid w:val="00AD5A7A"/>
    <w:rsid w:val="00AD5C81"/>
    <w:rsid w:val="00AD5D80"/>
    <w:rsid w:val="00AD60C7"/>
    <w:rsid w:val="00AD61ED"/>
    <w:rsid w:val="00AD63EB"/>
    <w:rsid w:val="00AD6707"/>
    <w:rsid w:val="00AD6762"/>
    <w:rsid w:val="00AD6819"/>
    <w:rsid w:val="00AD6895"/>
    <w:rsid w:val="00AD6B5C"/>
    <w:rsid w:val="00AD6C90"/>
    <w:rsid w:val="00AD701C"/>
    <w:rsid w:val="00AD70DA"/>
    <w:rsid w:val="00AD77E2"/>
    <w:rsid w:val="00AD785D"/>
    <w:rsid w:val="00AD7DA0"/>
    <w:rsid w:val="00AD7E4E"/>
    <w:rsid w:val="00AE0010"/>
    <w:rsid w:val="00AE0B7A"/>
    <w:rsid w:val="00AE0BEF"/>
    <w:rsid w:val="00AE0F5A"/>
    <w:rsid w:val="00AE16F0"/>
    <w:rsid w:val="00AE1C4B"/>
    <w:rsid w:val="00AE1EDD"/>
    <w:rsid w:val="00AE23B3"/>
    <w:rsid w:val="00AE23DF"/>
    <w:rsid w:val="00AE27D0"/>
    <w:rsid w:val="00AE2CED"/>
    <w:rsid w:val="00AE2D1E"/>
    <w:rsid w:val="00AE3405"/>
    <w:rsid w:val="00AE3667"/>
    <w:rsid w:val="00AE3804"/>
    <w:rsid w:val="00AE3AA7"/>
    <w:rsid w:val="00AE3F95"/>
    <w:rsid w:val="00AE42C8"/>
    <w:rsid w:val="00AE443E"/>
    <w:rsid w:val="00AE44EE"/>
    <w:rsid w:val="00AE4600"/>
    <w:rsid w:val="00AE4AAB"/>
    <w:rsid w:val="00AE4C5C"/>
    <w:rsid w:val="00AE56D0"/>
    <w:rsid w:val="00AE5728"/>
    <w:rsid w:val="00AE6054"/>
    <w:rsid w:val="00AE61D3"/>
    <w:rsid w:val="00AE6815"/>
    <w:rsid w:val="00AE6AB5"/>
    <w:rsid w:val="00AE7AAF"/>
    <w:rsid w:val="00AE7B2A"/>
    <w:rsid w:val="00AE7E85"/>
    <w:rsid w:val="00AE7F61"/>
    <w:rsid w:val="00AF0204"/>
    <w:rsid w:val="00AF071A"/>
    <w:rsid w:val="00AF07F0"/>
    <w:rsid w:val="00AF0ABE"/>
    <w:rsid w:val="00AF0B25"/>
    <w:rsid w:val="00AF0F8E"/>
    <w:rsid w:val="00AF12B6"/>
    <w:rsid w:val="00AF1422"/>
    <w:rsid w:val="00AF1499"/>
    <w:rsid w:val="00AF1CF2"/>
    <w:rsid w:val="00AF2345"/>
    <w:rsid w:val="00AF2EA4"/>
    <w:rsid w:val="00AF30A9"/>
    <w:rsid w:val="00AF3189"/>
    <w:rsid w:val="00AF32A0"/>
    <w:rsid w:val="00AF336A"/>
    <w:rsid w:val="00AF346A"/>
    <w:rsid w:val="00AF34A8"/>
    <w:rsid w:val="00AF34DE"/>
    <w:rsid w:val="00AF3AAE"/>
    <w:rsid w:val="00AF3AB5"/>
    <w:rsid w:val="00AF3B9C"/>
    <w:rsid w:val="00AF3EBE"/>
    <w:rsid w:val="00AF4B87"/>
    <w:rsid w:val="00AF4D58"/>
    <w:rsid w:val="00AF4FCA"/>
    <w:rsid w:val="00AF5292"/>
    <w:rsid w:val="00AF53BD"/>
    <w:rsid w:val="00AF56CB"/>
    <w:rsid w:val="00AF5743"/>
    <w:rsid w:val="00AF5D86"/>
    <w:rsid w:val="00AF5E18"/>
    <w:rsid w:val="00AF6012"/>
    <w:rsid w:val="00AF61E5"/>
    <w:rsid w:val="00AF64D5"/>
    <w:rsid w:val="00AF6560"/>
    <w:rsid w:val="00AF6666"/>
    <w:rsid w:val="00AF6782"/>
    <w:rsid w:val="00AF6C63"/>
    <w:rsid w:val="00AF716C"/>
    <w:rsid w:val="00AF7456"/>
    <w:rsid w:val="00AF75A0"/>
    <w:rsid w:val="00AF75A2"/>
    <w:rsid w:val="00AF75B0"/>
    <w:rsid w:val="00AF7A5D"/>
    <w:rsid w:val="00AF7C91"/>
    <w:rsid w:val="00B000E3"/>
    <w:rsid w:val="00B004F1"/>
    <w:rsid w:val="00B007C6"/>
    <w:rsid w:val="00B00A8A"/>
    <w:rsid w:val="00B00AC2"/>
    <w:rsid w:val="00B00AEE"/>
    <w:rsid w:val="00B00CFE"/>
    <w:rsid w:val="00B01204"/>
    <w:rsid w:val="00B012BE"/>
    <w:rsid w:val="00B015C1"/>
    <w:rsid w:val="00B01CA8"/>
    <w:rsid w:val="00B01CC1"/>
    <w:rsid w:val="00B0271E"/>
    <w:rsid w:val="00B02CBB"/>
    <w:rsid w:val="00B02F07"/>
    <w:rsid w:val="00B02FDE"/>
    <w:rsid w:val="00B031D0"/>
    <w:rsid w:val="00B031F4"/>
    <w:rsid w:val="00B03A61"/>
    <w:rsid w:val="00B03B24"/>
    <w:rsid w:val="00B03CA9"/>
    <w:rsid w:val="00B0401D"/>
    <w:rsid w:val="00B04273"/>
    <w:rsid w:val="00B0436B"/>
    <w:rsid w:val="00B04691"/>
    <w:rsid w:val="00B048C4"/>
    <w:rsid w:val="00B04989"/>
    <w:rsid w:val="00B04F61"/>
    <w:rsid w:val="00B05681"/>
    <w:rsid w:val="00B06054"/>
    <w:rsid w:val="00B060EF"/>
    <w:rsid w:val="00B0654A"/>
    <w:rsid w:val="00B0668F"/>
    <w:rsid w:val="00B06708"/>
    <w:rsid w:val="00B07079"/>
    <w:rsid w:val="00B07592"/>
    <w:rsid w:val="00B077DC"/>
    <w:rsid w:val="00B0791C"/>
    <w:rsid w:val="00B0794C"/>
    <w:rsid w:val="00B07E69"/>
    <w:rsid w:val="00B07FE7"/>
    <w:rsid w:val="00B100D5"/>
    <w:rsid w:val="00B10154"/>
    <w:rsid w:val="00B10D13"/>
    <w:rsid w:val="00B1102E"/>
    <w:rsid w:val="00B11535"/>
    <w:rsid w:val="00B11A45"/>
    <w:rsid w:val="00B123E9"/>
    <w:rsid w:val="00B12CB7"/>
    <w:rsid w:val="00B12D82"/>
    <w:rsid w:val="00B130D4"/>
    <w:rsid w:val="00B13235"/>
    <w:rsid w:val="00B13A59"/>
    <w:rsid w:val="00B13DEC"/>
    <w:rsid w:val="00B140FE"/>
    <w:rsid w:val="00B14F8A"/>
    <w:rsid w:val="00B15139"/>
    <w:rsid w:val="00B1555B"/>
    <w:rsid w:val="00B156DD"/>
    <w:rsid w:val="00B15942"/>
    <w:rsid w:val="00B159F0"/>
    <w:rsid w:val="00B15A91"/>
    <w:rsid w:val="00B15C45"/>
    <w:rsid w:val="00B15CF2"/>
    <w:rsid w:val="00B160E6"/>
    <w:rsid w:val="00B165F7"/>
    <w:rsid w:val="00B167CF"/>
    <w:rsid w:val="00B16B40"/>
    <w:rsid w:val="00B170D5"/>
    <w:rsid w:val="00B172E0"/>
    <w:rsid w:val="00B17984"/>
    <w:rsid w:val="00B17B8B"/>
    <w:rsid w:val="00B17C4B"/>
    <w:rsid w:val="00B17FE6"/>
    <w:rsid w:val="00B205B8"/>
    <w:rsid w:val="00B20830"/>
    <w:rsid w:val="00B20A9D"/>
    <w:rsid w:val="00B20B79"/>
    <w:rsid w:val="00B20CFE"/>
    <w:rsid w:val="00B2100F"/>
    <w:rsid w:val="00B21338"/>
    <w:rsid w:val="00B216B3"/>
    <w:rsid w:val="00B2191F"/>
    <w:rsid w:val="00B21C53"/>
    <w:rsid w:val="00B2221D"/>
    <w:rsid w:val="00B22275"/>
    <w:rsid w:val="00B22929"/>
    <w:rsid w:val="00B22F04"/>
    <w:rsid w:val="00B233E4"/>
    <w:rsid w:val="00B236B5"/>
    <w:rsid w:val="00B23D71"/>
    <w:rsid w:val="00B23F75"/>
    <w:rsid w:val="00B23FA6"/>
    <w:rsid w:val="00B242A2"/>
    <w:rsid w:val="00B24369"/>
    <w:rsid w:val="00B24409"/>
    <w:rsid w:val="00B245D4"/>
    <w:rsid w:val="00B245DD"/>
    <w:rsid w:val="00B24861"/>
    <w:rsid w:val="00B24E20"/>
    <w:rsid w:val="00B24EDF"/>
    <w:rsid w:val="00B25203"/>
    <w:rsid w:val="00B25672"/>
    <w:rsid w:val="00B25918"/>
    <w:rsid w:val="00B25EB3"/>
    <w:rsid w:val="00B26018"/>
    <w:rsid w:val="00B26199"/>
    <w:rsid w:val="00B262C5"/>
    <w:rsid w:val="00B26394"/>
    <w:rsid w:val="00B263AB"/>
    <w:rsid w:val="00B265B6"/>
    <w:rsid w:val="00B265CC"/>
    <w:rsid w:val="00B26BA7"/>
    <w:rsid w:val="00B26BB4"/>
    <w:rsid w:val="00B26D56"/>
    <w:rsid w:val="00B270AC"/>
    <w:rsid w:val="00B27231"/>
    <w:rsid w:val="00B27252"/>
    <w:rsid w:val="00B272E9"/>
    <w:rsid w:val="00B273EF"/>
    <w:rsid w:val="00B278A3"/>
    <w:rsid w:val="00B27B14"/>
    <w:rsid w:val="00B27B90"/>
    <w:rsid w:val="00B27BDD"/>
    <w:rsid w:val="00B30564"/>
    <w:rsid w:val="00B30714"/>
    <w:rsid w:val="00B308AF"/>
    <w:rsid w:val="00B30B3D"/>
    <w:rsid w:val="00B30E57"/>
    <w:rsid w:val="00B30FD6"/>
    <w:rsid w:val="00B3148B"/>
    <w:rsid w:val="00B3171C"/>
    <w:rsid w:val="00B31769"/>
    <w:rsid w:val="00B318DE"/>
    <w:rsid w:val="00B31E93"/>
    <w:rsid w:val="00B32B49"/>
    <w:rsid w:val="00B3309A"/>
    <w:rsid w:val="00B33252"/>
    <w:rsid w:val="00B3362D"/>
    <w:rsid w:val="00B339B2"/>
    <w:rsid w:val="00B33B59"/>
    <w:rsid w:val="00B34293"/>
    <w:rsid w:val="00B34353"/>
    <w:rsid w:val="00B343FF"/>
    <w:rsid w:val="00B347E5"/>
    <w:rsid w:val="00B34827"/>
    <w:rsid w:val="00B34BC0"/>
    <w:rsid w:val="00B34D5F"/>
    <w:rsid w:val="00B34F0F"/>
    <w:rsid w:val="00B35327"/>
    <w:rsid w:val="00B353D5"/>
    <w:rsid w:val="00B357EB"/>
    <w:rsid w:val="00B3597B"/>
    <w:rsid w:val="00B359B7"/>
    <w:rsid w:val="00B35B72"/>
    <w:rsid w:val="00B35C99"/>
    <w:rsid w:val="00B35CE5"/>
    <w:rsid w:val="00B36499"/>
    <w:rsid w:val="00B36661"/>
    <w:rsid w:val="00B36A5F"/>
    <w:rsid w:val="00B36B0E"/>
    <w:rsid w:val="00B36F89"/>
    <w:rsid w:val="00B37513"/>
    <w:rsid w:val="00B37582"/>
    <w:rsid w:val="00B37CB7"/>
    <w:rsid w:val="00B40469"/>
    <w:rsid w:val="00B41317"/>
    <w:rsid w:val="00B41502"/>
    <w:rsid w:val="00B4162E"/>
    <w:rsid w:val="00B41757"/>
    <w:rsid w:val="00B41F78"/>
    <w:rsid w:val="00B42222"/>
    <w:rsid w:val="00B4233B"/>
    <w:rsid w:val="00B423CD"/>
    <w:rsid w:val="00B42667"/>
    <w:rsid w:val="00B42CFA"/>
    <w:rsid w:val="00B4344A"/>
    <w:rsid w:val="00B4349E"/>
    <w:rsid w:val="00B434BD"/>
    <w:rsid w:val="00B43A4C"/>
    <w:rsid w:val="00B4406E"/>
    <w:rsid w:val="00B44940"/>
    <w:rsid w:val="00B44B46"/>
    <w:rsid w:val="00B450DE"/>
    <w:rsid w:val="00B45940"/>
    <w:rsid w:val="00B45BDA"/>
    <w:rsid w:val="00B45EF8"/>
    <w:rsid w:val="00B45FDA"/>
    <w:rsid w:val="00B4646D"/>
    <w:rsid w:val="00B46BD1"/>
    <w:rsid w:val="00B46DDE"/>
    <w:rsid w:val="00B4704F"/>
    <w:rsid w:val="00B472A0"/>
    <w:rsid w:val="00B47B2C"/>
    <w:rsid w:val="00B47C4F"/>
    <w:rsid w:val="00B47EB4"/>
    <w:rsid w:val="00B50219"/>
    <w:rsid w:val="00B5062F"/>
    <w:rsid w:val="00B5083C"/>
    <w:rsid w:val="00B50B86"/>
    <w:rsid w:val="00B50BB2"/>
    <w:rsid w:val="00B5106D"/>
    <w:rsid w:val="00B511C8"/>
    <w:rsid w:val="00B514A5"/>
    <w:rsid w:val="00B514D8"/>
    <w:rsid w:val="00B51875"/>
    <w:rsid w:val="00B5211A"/>
    <w:rsid w:val="00B524A7"/>
    <w:rsid w:val="00B525BB"/>
    <w:rsid w:val="00B526E8"/>
    <w:rsid w:val="00B52DC5"/>
    <w:rsid w:val="00B52E04"/>
    <w:rsid w:val="00B5361F"/>
    <w:rsid w:val="00B53FD0"/>
    <w:rsid w:val="00B54125"/>
    <w:rsid w:val="00B54A24"/>
    <w:rsid w:val="00B54B41"/>
    <w:rsid w:val="00B54D0B"/>
    <w:rsid w:val="00B54ED1"/>
    <w:rsid w:val="00B55625"/>
    <w:rsid w:val="00B55995"/>
    <w:rsid w:val="00B55A1C"/>
    <w:rsid w:val="00B55B56"/>
    <w:rsid w:val="00B55B62"/>
    <w:rsid w:val="00B55BB5"/>
    <w:rsid w:val="00B55DBD"/>
    <w:rsid w:val="00B55E10"/>
    <w:rsid w:val="00B561D8"/>
    <w:rsid w:val="00B56859"/>
    <w:rsid w:val="00B56991"/>
    <w:rsid w:val="00B56B27"/>
    <w:rsid w:val="00B56B5C"/>
    <w:rsid w:val="00B56DB9"/>
    <w:rsid w:val="00B56F96"/>
    <w:rsid w:val="00B56FCD"/>
    <w:rsid w:val="00B578FF"/>
    <w:rsid w:val="00B57A2A"/>
    <w:rsid w:val="00B57B0F"/>
    <w:rsid w:val="00B57B9A"/>
    <w:rsid w:val="00B57D84"/>
    <w:rsid w:val="00B57E75"/>
    <w:rsid w:val="00B57F74"/>
    <w:rsid w:val="00B60534"/>
    <w:rsid w:val="00B6099B"/>
    <w:rsid w:val="00B6099E"/>
    <w:rsid w:val="00B60E02"/>
    <w:rsid w:val="00B61075"/>
    <w:rsid w:val="00B61785"/>
    <w:rsid w:val="00B61FD2"/>
    <w:rsid w:val="00B620C6"/>
    <w:rsid w:val="00B62185"/>
    <w:rsid w:val="00B62FC5"/>
    <w:rsid w:val="00B63057"/>
    <w:rsid w:val="00B63097"/>
    <w:rsid w:val="00B6332B"/>
    <w:rsid w:val="00B63A1B"/>
    <w:rsid w:val="00B63CE3"/>
    <w:rsid w:val="00B64DE7"/>
    <w:rsid w:val="00B654C7"/>
    <w:rsid w:val="00B655C7"/>
    <w:rsid w:val="00B658A6"/>
    <w:rsid w:val="00B659DB"/>
    <w:rsid w:val="00B65FA1"/>
    <w:rsid w:val="00B66033"/>
    <w:rsid w:val="00B66920"/>
    <w:rsid w:val="00B671D4"/>
    <w:rsid w:val="00B67886"/>
    <w:rsid w:val="00B67B97"/>
    <w:rsid w:val="00B70083"/>
    <w:rsid w:val="00B70275"/>
    <w:rsid w:val="00B7086C"/>
    <w:rsid w:val="00B708E3"/>
    <w:rsid w:val="00B70BBD"/>
    <w:rsid w:val="00B70FF1"/>
    <w:rsid w:val="00B713B0"/>
    <w:rsid w:val="00B71402"/>
    <w:rsid w:val="00B71906"/>
    <w:rsid w:val="00B71A18"/>
    <w:rsid w:val="00B71A23"/>
    <w:rsid w:val="00B71AD6"/>
    <w:rsid w:val="00B71B16"/>
    <w:rsid w:val="00B71C21"/>
    <w:rsid w:val="00B7234D"/>
    <w:rsid w:val="00B72350"/>
    <w:rsid w:val="00B7237D"/>
    <w:rsid w:val="00B724BD"/>
    <w:rsid w:val="00B724ED"/>
    <w:rsid w:val="00B72ACA"/>
    <w:rsid w:val="00B73449"/>
    <w:rsid w:val="00B73984"/>
    <w:rsid w:val="00B73A44"/>
    <w:rsid w:val="00B73B89"/>
    <w:rsid w:val="00B73EAB"/>
    <w:rsid w:val="00B7458D"/>
    <w:rsid w:val="00B74823"/>
    <w:rsid w:val="00B74FD0"/>
    <w:rsid w:val="00B75548"/>
    <w:rsid w:val="00B7606E"/>
    <w:rsid w:val="00B76370"/>
    <w:rsid w:val="00B765CE"/>
    <w:rsid w:val="00B76962"/>
    <w:rsid w:val="00B77356"/>
    <w:rsid w:val="00B77448"/>
    <w:rsid w:val="00B77838"/>
    <w:rsid w:val="00B77BB3"/>
    <w:rsid w:val="00B80488"/>
    <w:rsid w:val="00B80B6D"/>
    <w:rsid w:val="00B80CA4"/>
    <w:rsid w:val="00B80DD0"/>
    <w:rsid w:val="00B80F7D"/>
    <w:rsid w:val="00B81499"/>
    <w:rsid w:val="00B81B44"/>
    <w:rsid w:val="00B81BBB"/>
    <w:rsid w:val="00B81E3E"/>
    <w:rsid w:val="00B82091"/>
    <w:rsid w:val="00B82669"/>
    <w:rsid w:val="00B82972"/>
    <w:rsid w:val="00B83594"/>
    <w:rsid w:val="00B835A4"/>
    <w:rsid w:val="00B836C2"/>
    <w:rsid w:val="00B836CC"/>
    <w:rsid w:val="00B83A3A"/>
    <w:rsid w:val="00B83D0B"/>
    <w:rsid w:val="00B84386"/>
    <w:rsid w:val="00B8445C"/>
    <w:rsid w:val="00B847FA"/>
    <w:rsid w:val="00B84B63"/>
    <w:rsid w:val="00B84C99"/>
    <w:rsid w:val="00B84CC0"/>
    <w:rsid w:val="00B84F8B"/>
    <w:rsid w:val="00B8532B"/>
    <w:rsid w:val="00B853E0"/>
    <w:rsid w:val="00B863FB"/>
    <w:rsid w:val="00B86478"/>
    <w:rsid w:val="00B86574"/>
    <w:rsid w:val="00B865FF"/>
    <w:rsid w:val="00B86792"/>
    <w:rsid w:val="00B86914"/>
    <w:rsid w:val="00B86AED"/>
    <w:rsid w:val="00B86C41"/>
    <w:rsid w:val="00B86E58"/>
    <w:rsid w:val="00B8700C"/>
    <w:rsid w:val="00B87263"/>
    <w:rsid w:val="00B874B7"/>
    <w:rsid w:val="00B87665"/>
    <w:rsid w:val="00B87746"/>
    <w:rsid w:val="00B8774A"/>
    <w:rsid w:val="00B8782B"/>
    <w:rsid w:val="00B87EA0"/>
    <w:rsid w:val="00B900F4"/>
    <w:rsid w:val="00B9053B"/>
    <w:rsid w:val="00B9085C"/>
    <w:rsid w:val="00B91368"/>
    <w:rsid w:val="00B9153C"/>
    <w:rsid w:val="00B9200C"/>
    <w:rsid w:val="00B921FD"/>
    <w:rsid w:val="00B92626"/>
    <w:rsid w:val="00B92907"/>
    <w:rsid w:val="00B93216"/>
    <w:rsid w:val="00B934CE"/>
    <w:rsid w:val="00B9377E"/>
    <w:rsid w:val="00B93BF3"/>
    <w:rsid w:val="00B93E6B"/>
    <w:rsid w:val="00B93E7D"/>
    <w:rsid w:val="00B94154"/>
    <w:rsid w:val="00B942D6"/>
    <w:rsid w:val="00B943EC"/>
    <w:rsid w:val="00B949BB"/>
    <w:rsid w:val="00B94A16"/>
    <w:rsid w:val="00B954C1"/>
    <w:rsid w:val="00B95CA0"/>
    <w:rsid w:val="00B95D27"/>
    <w:rsid w:val="00B9678C"/>
    <w:rsid w:val="00B96DCF"/>
    <w:rsid w:val="00B96FF0"/>
    <w:rsid w:val="00B970B2"/>
    <w:rsid w:val="00B974BC"/>
    <w:rsid w:val="00B97823"/>
    <w:rsid w:val="00B97F1A"/>
    <w:rsid w:val="00BA0543"/>
    <w:rsid w:val="00BA08C3"/>
    <w:rsid w:val="00BA0E58"/>
    <w:rsid w:val="00BA124D"/>
    <w:rsid w:val="00BA16CC"/>
    <w:rsid w:val="00BA1E9A"/>
    <w:rsid w:val="00BA1EB4"/>
    <w:rsid w:val="00BA1F58"/>
    <w:rsid w:val="00BA211F"/>
    <w:rsid w:val="00BA219A"/>
    <w:rsid w:val="00BA21F7"/>
    <w:rsid w:val="00BA288D"/>
    <w:rsid w:val="00BA3438"/>
    <w:rsid w:val="00BA35D3"/>
    <w:rsid w:val="00BA3731"/>
    <w:rsid w:val="00BA3CA5"/>
    <w:rsid w:val="00BA3D03"/>
    <w:rsid w:val="00BA3EE4"/>
    <w:rsid w:val="00BA457F"/>
    <w:rsid w:val="00BA46B0"/>
    <w:rsid w:val="00BA4CDB"/>
    <w:rsid w:val="00BA4FAD"/>
    <w:rsid w:val="00BA59A7"/>
    <w:rsid w:val="00BA59DE"/>
    <w:rsid w:val="00BA5A3E"/>
    <w:rsid w:val="00BA5A68"/>
    <w:rsid w:val="00BA5BB0"/>
    <w:rsid w:val="00BA5BE9"/>
    <w:rsid w:val="00BA5F64"/>
    <w:rsid w:val="00BA65D8"/>
    <w:rsid w:val="00BA69F4"/>
    <w:rsid w:val="00BA6CAD"/>
    <w:rsid w:val="00BA70B5"/>
    <w:rsid w:val="00BA7375"/>
    <w:rsid w:val="00BA7EC3"/>
    <w:rsid w:val="00BB0045"/>
    <w:rsid w:val="00BB0617"/>
    <w:rsid w:val="00BB0E83"/>
    <w:rsid w:val="00BB1061"/>
    <w:rsid w:val="00BB121F"/>
    <w:rsid w:val="00BB1789"/>
    <w:rsid w:val="00BB1E9B"/>
    <w:rsid w:val="00BB1FF4"/>
    <w:rsid w:val="00BB1FFA"/>
    <w:rsid w:val="00BB2562"/>
    <w:rsid w:val="00BB2641"/>
    <w:rsid w:val="00BB27B0"/>
    <w:rsid w:val="00BB27E2"/>
    <w:rsid w:val="00BB2925"/>
    <w:rsid w:val="00BB298C"/>
    <w:rsid w:val="00BB29B9"/>
    <w:rsid w:val="00BB2E75"/>
    <w:rsid w:val="00BB3070"/>
    <w:rsid w:val="00BB31AB"/>
    <w:rsid w:val="00BB35B0"/>
    <w:rsid w:val="00BB38DB"/>
    <w:rsid w:val="00BB3B8C"/>
    <w:rsid w:val="00BB3C9B"/>
    <w:rsid w:val="00BB3E4F"/>
    <w:rsid w:val="00BB4EA4"/>
    <w:rsid w:val="00BB52A9"/>
    <w:rsid w:val="00BB5508"/>
    <w:rsid w:val="00BB56DB"/>
    <w:rsid w:val="00BB58D7"/>
    <w:rsid w:val="00BB5C73"/>
    <w:rsid w:val="00BB5CBE"/>
    <w:rsid w:val="00BB5DE4"/>
    <w:rsid w:val="00BB5E7F"/>
    <w:rsid w:val="00BB640B"/>
    <w:rsid w:val="00BB660E"/>
    <w:rsid w:val="00BB66BE"/>
    <w:rsid w:val="00BB69FB"/>
    <w:rsid w:val="00BB6D55"/>
    <w:rsid w:val="00BB76BF"/>
    <w:rsid w:val="00BB76F2"/>
    <w:rsid w:val="00BB7B15"/>
    <w:rsid w:val="00BB7C05"/>
    <w:rsid w:val="00BC016B"/>
    <w:rsid w:val="00BC027F"/>
    <w:rsid w:val="00BC0740"/>
    <w:rsid w:val="00BC081B"/>
    <w:rsid w:val="00BC08A8"/>
    <w:rsid w:val="00BC172A"/>
    <w:rsid w:val="00BC19AC"/>
    <w:rsid w:val="00BC1A30"/>
    <w:rsid w:val="00BC1C53"/>
    <w:rsid w:val="00BC1F14"/>
    <w:rsid w:val="00BC221E"/>
    <w:rsid w:val="00BC2631"/>
    <w:rsid w:val="00BC2813"/>
    <w:rsid w:val="00BC2871"/>
    <w:rsid w:val="00BC2A3A"/>
    <w:rsid w:val="00BC2C8F"/>
    <w:rsid w:val="00BC2CE8"/>
    <w:rsid w:val="00BC329A"/>
    <w:rsid w:val="00BC3422"/>
    <w:rsid w:val="00BC38FC"/>
    <w:rsid w:val="00BC3B23"/>
    <w:rsid w:val="00BC4107"/>
    <w:rsid w:val="00BC4125"/>
    <w:rsid w:val="00BC4151"/>
    <w:rsid w:val="00BC4276"/>
    <w:rsid w:val="00BC436C"/>
    <w:rsid w:val="00BC47BD"/>
    <w:rsid w:val="00BC4951"/>
    <w:rsid w:val="00BC5233"/>
    <w:rsid w:val="00BC5504"/>
    <w:rsid w:val="00BC589F"/>
    <w:rsid w:val="00BC60BD"/>
    <w:rsid w:val="00BC65A9"/>
    <w:rsid w:val="00BC665B"/>
    <w:rsid w:val="00BC683D"/>
    <w:rsid w:val="00BC6AA2"/>
    <w:rsid w:val="00BC79F9"/>
    <w:rsid w:val="00BC7A20"/>
    <w:rsid w:val="00BD0069"/>
    <w:rsid w:val="00BD009F"/>
    <w:rsid w:val="00BD01E1"/>
    <w:rsid w:val="00BD06FE"/>
    <w:rsid w:val="00BD078E"/>
    <w:rsid w:val="00BD0950"/>
    <w:rsid w:val="00BD0A72"/>
    <w:rsid w:val="00BD0AD7"/>
    <w:rsid w:val="00BD0B43"/>
    <w:rsid w:val="00BD0F10"/>
    <w:rsid w:val="00BD1047"/>
    <w:rsid w:val="00BD10A5"/>
    <w:rsid w:val="00BD1C76"/>
    <w:rsid w:val="00BD1CC8"/>
    <w:rsid w:val="00BD1F88"/>
    <w:rsid w:val="00BD2495"/>
    <w:rsid w:val="00BD25C7"/>
    <w:rsid w:val="00BD3401"/>
    <w:rsid w:val="00BD37DB"/>
    <w:rsid w:val="00BD41F8"/>
    <w:rsid w:val="00BD44C6"/>
    <w:rsid w:val="00BD4CC0"/>
    <w:rsid w:val="00BD4E25"/>
    <w:rsid w:val="00BD5190"/>
    <w:rsid w:val="00BD5358"/>
    <w:rsid w:val="00BD54B7"/>
    <w:rsid w:val="00BD57CB"/>
    <w:rsid w:val="00BD5910"/>
    <w:rsid w:val="00BD5F2E"/>
    <w:rsid w:val="00BD680E"/>
    <w:rsid w:val="00BD6AD1"/>
    <w:rsid w:val="00BD6BED"/>
    <w:rsid w:val="00BD75DB"/>
    <w:rsid w:val="00BD7609"/>
    <w:rsid w:val="00BD797D"/>
    <w:rsid w:val="00BD7B4B"/>
    <w:rsid w:val="00BD7D64"/>
    <w:rsid w:val="00BD7F56"/>
    <w:rsid w:val="00BE02FA"/>
    <w:rsid w:val="00BE037D"/>
    <w:rsid w:val="00BE046B"/>
    <w:rsid w:val="00BE04D1"/>
    <w:rsid w:val="00BE0966"/>
    <w:rsid w:val="00BE0CFB"/>
    <w:rsid w:val="00BE12E2"/>
    <w:rsid w:val="00BE1377"/>
    <w:rsid w:val="00BE214C"/>
    <w:rsid w:val="00BE2267"/>
    <w:rsid w:val="00BE2350"/>
    <w:rsid w:val="00BE24BF"/>
    <w:rsid w:val="00BE2526"/>
    <w:rsid w:val="00BE25BC"/>
    <w:rsid w:val="00BE2777"/>
    <w:rsid w:val="00BE27D0"/>
    <w:rsid w:val="00BE2BF5"/>
    <w:rsid w:val="00BE3182"/>
    <w:rsid w:val="00BE326C"/>
    <w:rsid w:val="00BE3BB7"/>
    <w:rsid w:val="00BE43C1"/>
    <w:rsid w:val="00BE4603"/>
    <w:rsid w:val="00BE4610"/>
    <w:rsid w:val="00BE4747"/>
    <w:rsid w:val="00BE4E7B"/>
    <w:rsid w:val="00BE547D"/>
    <w:rsid w:val="00BE54CC"/>
    <w:rsid w:val="00BE5561"/>
    <w:rsid w:val="00BE5746"/>
    <w:rsid w:val="00BE58AD"/>
    <w:rsid w:val="00BE59A8"/>
    <w:rsid w:val="00BE5AF1"/>
    <w:rsid w:val="00BE5BF5"/>
    <w:rsid w:val="00BE5DEC"/>
    <w:rsid w:val="00BE5EAD"/>
    <w:rsid w:val="00BE5ED9"/>
    <w:rsid w:val="00BE5EE2"/>
    <w:rsid w:val="00BE63E5"/>
    <w:rsid w:val="00BE6511"/>
    <w:rsid w:val="00BE6652"/>
    <w:rsid w:val="00BE6C95"/>
    <w:rsid w:val="00BE7069"/>
    <w:rsid w:val="00BE71D7"/>
    <w:rsid w:val="00BE72CD"/>
    <w:rsid w:val="00BE72E0"/>
    <w:rsid w:val="00BE73F8"/>
    <w:rsid w:val="00BE79BC"/>
    <w:rsid w:val="00BE7C1E"/>
    <w:rsid w:val="00BF03DF"/>
    <w:rsid w:val="00BF054F"/>
    <w:rsid w:val="00BF0BA2"/>
    <w:rsid w:val="00BF0D52"/>
    <w:rsid w:val="00BF15A9"/>
    <w:rsid w:val="00BF15CC"/>
    <w:rsid w:val="00BF173A"/>
    <w:rsid w:val="00BF1E65"/>
    <w:rsid w:val="00BF1E9C"/>
    <w:rsid w:val="00BF1ECE"/>
    <w:rsid w:val="00BF2044"/>
    <w:rsid w:val="00BF225D"/>
    <w:rsid w:val="00BF23A6"/>
    <w:rsid w:val="00BF27CA"/>
    <w:rsid w:val="00BF2CCF"/>
    <w:rsid w:val="00BF2DCC"/>
    <w:rsid w:val="00BF2E7A"/>
    <w:rsid w:val="00BF33A9"/>
    <w:rsid w:val="00BF33DF"/>
    <w:rsid w:val="00BF35E3"/>
    <w:rsid w:val="00BF3A57"/>
    <w:rsid w:val="00BF3B71"/>
    <w:rsid w:val="00BF42A5"/>
    <w:rsid w:val="00BF43C6"/>
    <w:rsid w:val="00BF45F1"/>
    <w:rsid w:val="00BF4631"/>
    <w:rsid w:val="00BF4D34"/>
    <w:rsid w:val="00BF51BB"/>
    <w:rsid w:val="00BF53B3"/>
    <w:rsid w:val="00BF5409"/>
    <w:rsid w:val="00BF5495"/>
    <w:rsid w:val="00BF556D"/>
    <w:rsid w:val="00BF5A89"/>
    <w:rsid w:val="00BF5DB0"/>
    <w:rsid w:val="00BF61A5"/>
    <w:rsid w:val="00BF632C"/>
    <w:rsid w:val="00BF663C"/>
    <w:rsid w:val="00BF66C0"/>
    <w:rsid w:val="00BF6C76"/>
    <w:rsid w:val="00BF6D49"/>
    <w:rsid w:val="00BF748E"/>
    <w:rsid w:val="00BF7988"/>
    <w:rsid w:val="00BF7BD7"/>
    <w:rsid w:val="00C002B5"/>
    <w:rsid w:val="00C0047D"/>
    <w:rsid w:val="00C00594"/>
    <w:rsid w:val="00C00F5F"/>
    <w:rsid w:val="00C00FB4"/>
    <w:rsid w:val="00C01048"/>
    <w:rsid w:val="00C015B9"/>
    <w:rsid w:val="00C01CD0"/>
    <w:rsid w:val="00C022F9"/>
    <w:rsid w:val="00C0246B"/>
    <w:rsid w:val="00C026E6"/>
    <w:rsid w:val="00C02B78"/>
    <w:rsid w:val="00C02CEC"/>
    <w:rsid w:val="00C0318B"/>
    <w:rsid w:val="00C032EA"/>
    <w:rsid w:val="00C03CE0"/>
    <w:rsid w:val="00C04176"/>
    <w:rsid w:val="00C0419E"/>
    <w:rsid w:val="00C0427C"/>
    <w:rsid w:val="00C0430E"/>
    <w:rsid w:val="00C04391"/>
    <w:rsid w:val="00C04475"/>
    <w:rsid w:val="00C045B2"/>
    <w:rsid w:val="00C047C0"/>
    <w:rsid w:val="00C049CD"/>
    <w:rsid w:val="00C04DC0"/>
    <w:rsid w:val="00C04FFF"/>
    <w:rsid w:val="00C054F3"/>
    <w:rsid w:val="00C059C2"/>
    <w:rsid w:val="00C05B21"/>
    <w:rsid w:val="00C05C90"/>
    <w:rsid w:val="00C06574"/>
    <w:rsid w:val="00C06639"/>
    <w:rsid w:val="00C0695E"/>
    <w:rsid w:val="00C06A08"/>
    <w:rsid w:val="00C06BA9"/>
    <w:rsid w:val="00C06EB5"/>
    <w:rsid w:val="00C07354"/>
    <w:rsid w:val="00C0769A"/>
    <w:rsid w:val="00C0788B"/>
    <w:rsid w:val="00C07964"/>
    <w:rsid w:val="00C07999"/>
    <w:rsid w:val="00C07CBB"/>
    <w:rsid w:val="00C07CF9"/>
    <w:rsid w:val="00C10446"/>
    <w:rsid w:val="00C1066E"/>
    <w:rsid w:val="00C10803"/>
    <w:rsid w:val="00C10BCF"/>
    <w:rsid w:val="00C10C11"/>
    <w:rsid w:val="00C1101A"/>
    <w:rsid w:val="00C1145F"/>
    <w:rsid w:val="00C117C7"/>
    <w:rsid w:val="00C118E9"/>
    <w:rsid w:val="00C11A27"/>
    <w:rsid w:val="00C12266"/>
    <w:rsid w:val="00C1246A"/>
    <w:rsid w:val="00C128A9"/>
    <w:rsid w:val="00C12CB3"/>
    <w:rsid w:val="00C133AD"/>
    <w:rsid w:val="00C138A9"/>
    <w:rsid w:val="00C13B3C"/>
    <w:rsid w:val="00C13BDB"/>
    <w:rsid w:val="00C13D52"/>
    <w:rsid w:val="00C13DB4"/>
    <w:rsid w:val="00C14885"/>
    <w:rsid w:val="00C148DC"/>
    <w:rsid w:val="00C15335"/>
    <w:rsid w:val="00C15482"/>
    <w:rsid w:val="00C1572B"/>
    <w:rsid w:val="00C159D3"/>
    <w:rsid w:val="00C15B4E"/>
    <w:rsid w:val="00C15D01"/>
    <w:rsid w:val="00C15EA7"/>
    <w:rsid w:val="00C165CF"/>
    <w:rsid w:val="00C169DA"/>
    <w:rsid w:val="00C16AFB"/>
    <w:rsid w:val="00C16C6D"/>
    <w:rsid w:val="00C16F43"/>
    <w:rsid w:val="00C17031"/>
    <w:rsid w:val="00C174CE"/>
    <w:rsid w:val="00C178A0"/>
    <w:rsid w:val="00C17D50"/>
    <w:rsid w:val="00C200FD"/>
    <w:rsid w:val="00C20737"/>
    <w:rsid w:val="00C209DA"/>
    <w:rsid w:val="00C2103E"/>
    <w:rsid w:val="00C214A1"/>
    <w:rsid w:val="00C22028"/>
    <w:rsid w:val="00C223F3"/>
    <w:rsid w:val="00C22AB7"/>
    <w:rsid w:val="00C22D69"/>
    <w:rsid w:val="00C22DB3"/>
    <w:rsid w:val="00C22FEB"/>
    <w:rsid w:val="00C2354C"/>
    <w:rsid w:val="00C23560"/>
    <w:rsid w:val="00C23862"/>
    <w:rsid w:val="00C23D75"/>
    <w:rsid w:val="00C2401E"/>
    <w:rsid w:val="00C24630"/>
    <w:rsid w:val="00C24B85"/>
    <w:rsid w:val="00C24D7F"/>
    <w:rsid w:val="00C25829"/>
    <w:rsid w:val="00C2622D"/>
    <w:rsid w:val="00C26792"/>
    <w:rsid w:val="00C26949"/>
    <w:rsid w:val="00C27583"/>
    <w:rsid w:val="00C2794A"/>
    <w:rsid w:val="00C27BF0"/>
    <w:rsid w:val="00C30031"/>
    <w:rsid w:val="00C30150"/>
    <w:rsid w:val="00C30515"/>
    <w:rsid w:val="00C306A0"/>
    <w:rsid w:val="00C30C04"/>
    <w:rsid w:val="00C30C18"/>
    <w:rsid w:val="00C31146"/>
    <w:rsid w:val="00C311F6"/>
    <w:rsid w:val="00C31381"/>
    <w:rsid w:val="00C3144E"/>
    <w:rsid w:val="00C3165E"/>
    <w:rsid w:val="00C3184B"/>
    <w:rsid w:val="00C31950"/>
    <w:rsid w:val="00C31DC2"/>
    <w:rsid w:val="00C31F76"/>
    <w:rsid w:val="00C321F5"/>
    <w:rsid w:val="00C326DE"/>
    <w:rsid w:val="00C32700"/>
    <w:rsid w:val="00C3299F"/>
    <w:rsid w:val="00C33145"/>
    <w:rsid w:val="00C332D0"/>
    <w:rsid w:val="00C332F4"/>
    <w:rsid w:val="00C336CA"/>
    <w:rsid w:val="00C33DB7"/>
    <w:rsid w:val="00C3404A"/>
    <w:rsid w:val="00C344E3"/>
    <w:rsid w:val="00C347A5"/>
    <w:rsid w:val="00C34EF1"/>
    <w:rsid w:val="00C3531E"/>
    <w:rsid w:val="00C35BA8"/>
    <w:rsid w:val="00C36042"/>
    <w:rsid w:val="00C363B0"/>
    <w:rsid w:val="00C36487"/>
    <w:rsid w:val="00C3661D"/>
    <w:rsid w:val="00C36976"/>
    <w:rsid w:val="00C36C26"/>
    <w:rsid w:val="00C36C55"/>
    <w:rsid w:val="00C37640"/>
    <w:rsid w:val="00C37ACF"/>
    <w:rsid w:val="00C37D75"/>
    <w:rsid w:val="00C37F42"/>
    <w:rsid w:val="00C4039F"/>
    <w:rsid w:val="00C407BF"/>
    <w:rsid w:val="00C40D45"/>
    <w:rsid w:val="00C410F0"/>
    <w:rsid w:val="00C41288"/>
    <w:rsid w:val="00C42376"/>
    <w:rsid w:val="00C4245F"/>
    <w:rsid w:val="00C425E6"/>
    <w:rsid w:val="00C42A9F"/>
    <w:rsid w:val="00C43EE9"/>
    <w:rsid w:val="00C440A2"/>
    <w:rsid w:val="00C440B0"/>
    <w:rsid w:val="00C441F0"/>
    <w:rsid w:val="00C445A7"/>
    <w:rsid w:val="00C44618"/>
    <w:rsid w:val="00C44E01"/>
    <w:rsid w:val="00C4527F"/>
    <w:rsid w:val="00C45480"/>
    <w:rsid w:val="00C45678"/>
    <w:rsid w:val="00C45B12"/>
    <w:rsid w:val="00C45C7C"/>
    <w:rsid w:val="00C45D3C"/>
    <w:rsid w:val="00C45E63"/>
    <w:rsid w:val="00C4689C"/>
    <w:rsid w:val="00C46B1F"/>
    <w:rsid w:val="00C46BB2"/>
    <w:rsid w:val="00C470C0"/>
    <w:rsid w:val="00C47629"/>
    <w:rsid w:val="00C47717"/>
    <w:rsid w:val="00C478EF"/>
    <w:rsid w:val="00C47F5C"/>
    <w:rsid w:val="00C500CA"/>
    <w:rsid w:val="00C50552"/>
    <w:rsid w:val="00C50634"/>
    <w:rsid w:val="00C50714"/>
    <w:rsid w:val="00C50A1D"/>
    <w:rsid w:val="00C51257"/>
    <w:rsid w:val="00C512C3"/>
    <w:rsid w:val="00C5131F"/>
    <w:rsid w:val="00C51780"/>
    <w:rsid w:val="00C517E7"/>
    <w:rsid w:val="00C51F0F"/>
    <w:rsid w:val="00C521DB"/>
    <w:rsid w:val="00C52280"/>
    <w:rsid w:val="00C522F4"/>
    <w:rsid w:val="00C523D4"/>
    <w:rsid w:val="00C52718"/>
    <w:rsid w:val="00C52887"/>
    <w:rsid w:val="00C532C2"/>
    <w:rsid w:val="00C5334E"/>
    <w:rsid w:val="00C5358F"/>
    <w:rsid w:val="00C53655"/>
    <w:rsid w:val="00C53977"/>
    <w:rsid w:val="00C53CA1"/>
    <w:rsid w:val="00C53E3A"/>
    <w:rsid w:val="00C54364"/>
    <w:rsid w:val="00C543DA"/>
    <w:rsid w:val="00C54C3D"/>
    <w:rsid w:val="00C54FEE"/>
    <w:rsid w:val="00C550B1"/>
    <w:rsid w:val="00C55A0C"/>
    <w:rsid w:val="00C55AF0"/>
    <w:rsid w:val="00C55B58"/>
    <w:rsid w:val="00C562A0"/>
    <w:rsid w:val="00C5631A"/>
    <w:rsid w:val="00C56382"/>
    <w:rsid w:val="00C56496"/>
    <w:rsid w:val="00C56AE8"/>
    <w:rsid w:val="00C56DC5"/>
    <w:rsid w:val="00C56F44"/>
    <w:rsid w:val="00C5716F"/>
    <w:rsid w:val="00C573AA"/>
    <w:rsid w:val="00C5750F"/>
    <w:rsid w:val="00C57909"/>
    <w:rsid w:val="00C57950"/>
    <w:rsid w:val="00C57F6D"/>
    <w:rsid w:val="00C57FAF"/>
    <w:rsid w:val="00C60152"/>
    <w:rsid w:val="00C6064B"/>
    <w:rsid w:val="00C610DE"/>
    <w:rsid w:val="00C61243"/>
    <w:rsid w:val="00C615A3"/>
    <w:rsid w:val="00C61717"/>
    <w:rsid w:val="00C61C08"/>
    <w:rsid w:val="00C61C5D"/>
    <w:rsid w:val="00C61F2A"/>
    <w:rsid w:val="00C62242"/>
    <w:rsid w:val="00C627AA"/>
    <w:rsid w:val="00C628C8"/>
    <w:rsid w:val="00C63507"/>
    <w:rsid w:val="00C637E1"/>
    <w:rsid w:val="00C63F31"/>
    <w:rsid w:val="00C64630"/>
    <w:rsid w:val="00C647C9"/>
    <w:rsid w:val="00C64849"/>
    <w:rsid w:val="00C64D1C"/>
    <w:rsid w:val="00C64DED"/>
    <w:rsid w:val="00C6546D"/>
    <w:rsid w:val="00C65486"/>
    <w:rsid w:val="00C65839"/>
    <w:rsid w:val="00C65D68"/>
    <w:rsid w:val="00C65F25"/>
    <w:rsid w:val="00C65F98"/>
    <w:rsid w:val="00C66077"/>
    <w:rsid w:val="00C66C33"/>
    <w:rsid w:val="00C670E6"/>
    <w:rsid w:val="00C67205"/>
    <w:rsid w:val="00C6729C"/>
    <w:rsid w:val="00C67367"/>
    <w:rsid w:val="00C67378"/>
    <w:rsid w:val="00C673A6"/>
    <w:rsid w:val="00C67403"/>
    <w:rsid w:val="00C6777E"/>
    <w:rsid w:val="00C67AD5"/>
    <w:rsid w:val="00C67EEC"/>
    <w:rsid w:val="00C701D8"/>
    <w:rsid w:val="00C70321"/>
    <w:rsid w:val="00C703B6"/>
    <w:rsid w:val="00C70814"/>
    <w:rsid w:val="00C70925"/>
    <w:rsid w:val="00C70D50"/>
    <w:rsid w:val="00C70ED6"/>
    <w:rsid w:val="00C70F9D"/>
    <w:rsid w:val="00C70FAC"/>
    <w:rsid w:val="00C712AF"/>
    <w:rsid w:val="00C71616"/>
    <w:rsid w:val="00C7183A"/>
    <w:rsid w:val="00C71DE9"/>
    <w:rsid w:val="00C72416"/>
    <w:rsid w:val="00C726AF"/>
    <w:rsid w:val="00C72D91"/>
    <w:rsid w:val="00C72EB0"/>
    <w:rsid w:val="00C72F7A"/>
    <w:rsid w:val="00C73291"/>
    <w:rsid w:val="00C73335"/>
    <w:rsid w:val="00C73410"/>
    <w:rsid w:val="00C73612"/>
    <w:rsid w:val="00C73721"/>
    <w:rsid w:val="00C73D83"/>
    <w:rsid w:val="00C73E9E"/>
    <w:rsid w:val="00C74036"/>
    <w:rsid w:val="00C74442"/>
    <w:rsid w:val="00C74563"/>
    <w:rsid w:val="00C74A7B"/>
    <w:rsid w:val="00C74F68"/>
    <w:rsid w:val="00C750FE"/>
    <w:rsid w:val="00C75123"/>
    <w:rsid w:val="00C757C2"/>
    <w:rsid w:val="00C76059"/>
    <w:rsid w:val="00C7612E"/>
    <w:rsid w:val="00C76339"/>
    <w:rsid w:val="00C76A3C"/>
    <w:rsid w:val="00C76F48"/>
    <w:rsid w:val="00C774F7"/>
    <w:rsid w:val="00C77A28"/>
    <w:rsid w:val="00C77A8A"/>
    <w:rsid w:val="00C77E26"/>
    <w:rsid w:val="00C77F7C"/>
    <w:rsid w:val="00C801C0"/>
    <w:rsid w:val="00C80319"/>
    <w:rsid w:val="00C803BB"/>
    <w:rsid w:val="00C806AE"/>
    <w:rsid w:val="00C80B36"/>
    <w:rsid w:val="00C81291"/>
    <w:rsid w:val="00C818CF"/>
    <w:rsid w:val="00C81A00"/>
    <w:rsid w:val="00C81BBE"/>
    <w:rsid w:val="00C81E49"/>
    <w:rsid w:val="00C82228"/>
    <w:rsid w:val="00C8243E"/>
    <w:rsid w:val="00C824FE"/>
    <w:rsid w:val="00C82768"/>
    <w:rsid w:val="00C82916"/>
    <w:rsid w:val="00C82CF1"/>
    <w:rsid w:val="00C83201"/>
    <w:rsid w:val="00C83296"/>
    <w:rsid w:val="00C834B0"/>
    <w:rsid w:val="00C838EC"/>
    <w:rsid w:val="00C83B4F"/>
    <w:rsid w:val="00C84042"/>
    <w:rsid w:val="00C844B0"/>
    <w:rsid w:val="00C8482D"/>
    <w:rsid w:val="00C84D3F"/>
    <w:rsid w:val="00C84DED"/>
    <w:rsid w:val="00C859E2"/>
    <w:rsid w:val="00C85E3B"/>
    <w:rsid w:val="00C85EF6"/>
    <w:rsid w:val="00C86212"/>
    <w:rsid w:val="00C8631F"/>
    <w:rsid w:val="00C86385"/>
    <w:rsid w:val="00C86C74"/>
    <w:rsid w:val="00C86D12"/>
    <w:rsid w:val="00C86D18"/>
    <w:rsid w:val="00C87623"/>
    <w:rsid w:val="00C87805"/>
    <w:rsid w:val="00C87864"/>
    <w:rsid w:val="00C87A82"/>
    <w:rsid w:val="00C90257"/>
    <w:rsid w:val="00C907D7"/>
    <w:rsid w:val="00C9102F"/>
    <w:rsid w:val="00C9115C"/>
    <w:rsid w:val="00C9153E"/>
    <w:rsid w:val="00C91742"/>
    <w:rsid w:val="00C91B7C"/>
    <w:rsid w:val="00C9211D"/>
    <w:rsid w:val="00C922E0"/>
    <w:rsid w:val="00C92338"/>
    <w:rsid w:val="00C92549"/>
    <w:rsid w:val="00C9256F"/>
    <w:rsid w:val="00C92A74"/>
    <w:rsid w:val="00C92BF7"/>
    <w:rsid w:val="00C92E1C"/>
    <w:rsid w:val="00C92FBA"/>
    <w:rsid w:val="00C93479"/>
    <w:rsid w:val="00C93647"/>
    <w:rsid w:val="00C9414C"/>
    <w:rsid w:val="00C942F4"/>
    <w:rsid w:val="00C94796"/>
    <w:rsid w:val="00C9630F"/>
    <w:rsid w:val="00C96388"/>
    <w:rsid w:val="00C964C4"/>
    <w:rsid w:val="00C967CD"/>
    <w:rsid w:val="00C9683F"/>
    <w:rsid w:val="00C96D35"/>
    <w:rsid w:val="00C9716B"/>
    <w:rsid w:val="00C97184"/>
    <w:rsid w:val="00C978F6"/>
    <w:rsid w:val="00C97981"/>
    <w:rsid w:val="00CA01B3"/>
    <w:rsid w:val="00CA02E1"/>
    <w:rsid w:val="00CA0511"/>
    <w:rsid w:val="00CA0D07"/>
    <w:rsid w:val="00CA0F55"/>
    <w:rsid w:val="00CA0FD1"/>
    <w:rsid w:val="00CA13FA"/>
    <w:rsid w:val="00CA140A"/>
    <w:rsid w:val="00CA16B2"/>
    <w:rsid w:val="00CA1D6A"/>
    <w:rsid w:val="00CA1F3C"/>
    <w:rsid w:val="00CA20F4"/>
    <w:rsid w:val="00CA237C"/>
    <w:rsid w:val="00CA24A3"/>
    <w:rsid w:val="00CA24D2"/>
    <w:rsid w:val="00CA2AAD"/>
    <w:rsid w:val="00CA2C7C"/>
    <w:rsid w:val="00CA2D57"/>
    <w:rsid w:val="00CA34AC"/>
    <w:rsid w:val="00CA3923"/>
    <w:rsid w:val="00CA3A02"/>
    <w:rsid w:val="00CA3F6B"/>
    <w:rsid w:val="00CA4392"/>
    <w:rsid w:val="00CA447A"/>
    <w:rsid w:val="00CA4578"/>
    <w:rsid w:val="00CA49A0"/>
    <w:rsid w:val="00CA51F5"/>
    <w:rsid w:val="00CA5228"/>
    <w:rsid w:val="00CA5943"/>
    <w:rsid w:val="00CA6073"/>
    <w:rsid w:val="00CA615B"/>
    <w:rsid w:val="00CA625C"/>
    <w:rsid w:val="00CA637D"/>
    <w:rsid w:val="00CA64A2"/>
    <w:rsid w:val="00CA65C8"/>
    <w:rsid w:val="00CA6DD4"/>
    <w:rsid w:val="00CA6E5C"/>
    <w:rsid w:val="00CA7132"/>
    <w:rsid w:val="00CA71C4"/>
    <w:rsid w:val="00CA72D4"/>
    <w:rsid w:val="00CA756F"/>
    <w:rsid w:val="00CA780D"/>
    <w:rsid w:val="00CA788C"/>
    <w:rsid w:val="00CA7A30"/>
    <w:rsid w:val="00CA7C3A"/>
    <w:rsid w:val="00CA7CFF"/>
    <w:rsid w:val="00CA7E82"/>
    <w:rsid w:val="00CA7FA3"/>
    <w:rsid w:val="00CB011E"/>
    <w:rsid w:val="00CB07D2"/>
    <w:rsid w:val="00CB08A1"/>
    <w:rsid w:val="00CB10DB"/>
    <w:rsid w:val="00CB1159"/>
    <w:rsid w:val="00CB1448"/>
    <w:rsid w:val="00CB1B74"/>
    <w:rsid w:val="00CB1EFE"/>
    <w:rsid w:val="00CB2123"/>
    <w:rsid w:val="00CB2348"/>
    <w:rsid w:val="00CB24C5"/>
    <w:rsid w:val="00CB2CD6"/>
    <w:rsid w:val="00CB2F8A"/>
    <w:rsid w:val="00CB379F"/>
    <w:rsid w:val="00CB3DE3"/>
    <w:rsid w:val="00CB4300"/>
    <w:rsid w:val="00CB4943"/>
    <w:rsid w:val="00CB4E29"/>
    <w:rsid w:val="00CB5BE9"/>
    <w:rsid w:val="00CB6081"/>
    <w:rsid w:val="00CB661A"/>
    <w:rsid w:val="00CB6BCF"/>
    <w:rsid w:val="00CB6CFC"/>
    <w:rsid w:val="00CB6DE1"/>
    <w:rsid w:val="00CB7239"/>
    <w:rsid w:val="00CB7434"/>
    <w:rsid w:val="00CB74B0"/>
    <w:rsid w:val="00CB7952"/>
    <w:rsid w:val="00CB7A79"/>
    <w:rsid w:val="00CB7D25"/>
    <w:rsid w:val="00CB7DC2"/>
    <w:rsid w:val="00CB7FCF"/>
    <w:rsid w:val="00CC0282"/>
    <w:rsid w:val="00CC05F1"/>
    <w:rsid w:val="00CC06F8"/>
    <w:rsid w:val="00CC0751"/>
    <w:rsid w:val="00CC0BA6"/>
    <w:rsid w:val="00CC0D97"/>
    <w:rsid w:val="00CC12DF"/>
    <w:rsid w:val="00CC1A84"/>
    <w:rsid w:val="00CC1BE2"/>
    <w:rsid w:val="00CC1DC4"/>
    <w:rsid w:val="00CC22EE"/>
    <w:rsid w:val="00CC23F7"/>
    <w:rsid w:val="00CC297F"/>
    <w:rsid w:val="00CC2A1A"/>
    <w:rsid w:val="00CC2DB2"/>
    <w:rsid w:val="00CC2E9B"/>
    <w:rsid w:val="00CC30AE"/>
    <w:rsid w:val="00CC33EF"/>
    <w:rsid w:val="00CC3413"/>
    <w:rsid w:val="00CC36E7"/>
    <w:rsid w:val="00CC3C34"/>
    <w:rsid w:val="00CC3F06"/>
    <w:rsid w:val="00CC41EA"/>
    <w:rsid w:val="00CC4251"/>
    <w:rsid w:val="00CC4499"/>
    <w:rsid w:val="00CC4726"/>
    <w:rsid w:val="00CC4846"/>
    <w:rsid w:val="00CC4C34"/>
    <w:rsid w:val="00CC50EA"/>
    <w:rsid w:val="00CC57FA"/>
    <w:rsid w:val="00CC5B14"/>
    <w:rsid w:val="00CC5CCB"/>
    <w:rsid w:val="00CC5DC0"/>
    <w:rsid w:val="00CC6252"/>
    <w:rsid w:val="00CC65AA"/>
    <w:rsid w:val="00CC65CA"/>
    <w:rsid w:val="00CC6657"/>
    <w:rsid w:val="00CC67AA"/>
    <w:rsid w:val="00CC695B"/>
    <w:rsid w:val="00CC6A1B"/>
    <w:rsid w:val="00CC6A77"/>
    <w:rsid w:val="00CC712A"/>
    <w:rsid w:val="00CC757B"/>
    <w:rsid w:val="00CC75AD"/>
    <w:rsid w:val="00CC78D5"/>
    <w:rsid w:val="00CC7ADC"/>
    <w:rsid w:val="00CC7F69"/>
    <w:rsid w:val="00CC7FE7"/>
    <w:rsid w:val="00CD00D9"/>
    <w:rsid w:val="00CD02E3"/>
    <w:rsid w:val="00CD0307"/>
    <w:rsid w:val="00CD0732"/>
    <w:rsid w:val="00CD10FA"/>
    <w:rsid w:val="00CD1392"/>
    <w:rsid w:val="00CD1403"/>
    <w:rsid w:val="00CD188F"/>
    <w:rsid w:val="00CD1D41"/>
    <w:rsid w:val="00CD21B5"/>
    <w:rsid w:val="00CD25EC"/>
    <w:rsid w:val="00CD283E"/>
    <w:rsid w:val="00CD29D4"/>
    <w:rsid w:val="00CD2A94"/>
    <w:rsid w:val="00CD3050"/>
    <w:rsid w:val="00CD309F"/>
    <w:rsid w:val="00CD31C2"/>
    <w:rsid w:val="00CD31D6"/>
    <w:rsid w:val="00CD35DC"/>
    <w:rsid w:val="00CD3AEB"/>
    <w:rsid w:val="00CD3B3A"/>
    <w:rsid w:val="00CD3D1B"/>
    <w:rsid w:val="00CD3FEC"/>
    <w:rsid w:val="00CD41D5"/>
    <w:rsid w:val="00CD470F"/>
    <w:rsid w:val="00CD4781"/>
    <w:rsid w:val="00CD4B0D"/>
    <w:rsid w:val="00CD53E8"/>
    <w:rsid w:val="00CD5400"/>
    <w:rsid w:val="00CD5AE8"/>
    <w:rsid w:val="00CD6041"/>
    <w:rsid w:val="00CD63D4"/>
    <w:rsid w:val="00CD64EB"/>
    <w:rsid w:val="00CD6879"/>
    <w:rsid w:val="00CD6CDA"/>
    <w:rsid w:val="00CD71F4"/>
    <w:rsid w:val="00CD72ED"/>
    <w:rsid w:val="00CD73E5"/>
    <w:rsid w:val="00CD7564"/>
    <w:rsid w:val="00CD7570"/>
    <w:rsid w:val="00CD7ADF"/>
    <w:rsid w:val="00CD7B21"/>
    <w:rsid w:val="00CE022B"/>
    <w:rsid w:val="00CE0B5C"/>
    <w:rsid w:val="00CE0EE8"/>
    <w:rsid w:val="00CE0F6C"/>
    <w:rsid w:val="00CE1915"/>
    <w:rsid w:val="00CE19D1"/>
    <w:rsid w:val="00CE1BFC"/>
    <w:rsid w:val="00CE2451"/>
    <w:rsid w:val="00CE2694"/>
    <w:rsid w:val="00CE28B9"/>
    <w:rsid w:val="00CE2F61"/>
    <w:rsid w:val="00CE3703"/>
    <w:rsid w:val="00CE382D"/>
    <w:rsid w:val="00CE393A"/>
    <w:rsid w:val="00CE42D0"/>
    <w:rsid w:val="00CE4417"/>
    <w:rsid w:val="00CE455F"/>
    <w:rsid w:val="00CE45CF"/>
    <w:rsid w:val="00CE4B8F"/>
    <w:rsid w:val="00CE4BE8"/>
    <w:rsid w:val="00CE514F"/>
    <w:rsid w:val="00CE5D1F"/>
    <w:rsid w:val="00CE6225"/>
    <w:rsid w:val="00CE62B3"/>
    <w:rsid w:val="00CE6410"/>
    <w:rsid w:val="00CE6B98"/>
    <w:rsid w:val="00CE6FCB"/>
    <w:rsid w:val="00CE70F8"/>
    <w:rsid w:val="00CE71A4"/>
    <w:rsid w:val="00CE73CA"/>
    <w:rsid w:val="00CE7610"/>
    <w:rsid w:val="00CE7DE6"/>
    <w:rsid w:val="00CE7F3E"/>
    <w:rsid w:val="00CF020A"/>
    <w:rsid w:val="00CF03A7"/>
    <w:rsid w:val="00CF0469"/>
    <w:rsid w:val="00CF0A47"/>
    <w:rsid w:val="00CF0DA1"/>
    <w:rsid w:val="00CF0FF1"/>
    <w:rsid w:val="00CF1039"/>
    <w:rsid w:val="00CF13B5"/>
    <w:rsid w:val="00CF18AA"/>
    <w:rsid w:val="00CF196D"/>
    <w:rsid w:val="00CF1AB0"/>
    <w:rsid w:val="00CF255C"/>
    <w:rsid w:val="00CF2809"/>
    <w:rsid w:val="00CF2B1F"/>
    <w:rsid w:val="00CF2FF1"/>
    <w:rsid w:val="00CF3453"/>
    <w:rsid w:val="00CF367D"/>
    <w:rsid w:val="00CF38E6"/>
    <w:rsid w:val="00CF3A0E"/>
    <w:rsid w:val="00CF44DB"/>
    <w:rsid w:val="00CF4E29"/>
    <w:rsid w:val="00CF4E44"/>
    <w:rsid w:val="00CF4F1B"/>
    <w:rsid w:val="00CF58DD"/>
    <w:rsid w:val="00CF5F92"/>
    <w:rsid w:val="00CF5FDB"/>
    <w:rsid w:val="00CF5FF7"/>
    <w:rsid w:val="00CF6277"/>
    <w:rsid w:val="00CF646B"/>
    <w:rsid w:val="00CF6804"/>
    <w:rsid w:val="00CF69AC"/>
    <w:rsid w:val="00CF6B53"/>
    <w:rsid w:val="00CF6EA7"/>
    <w:rsid w:val="00CF6FCE"/>
    <w:rsid w:val="00CF7224"/>
    <w:rsid w:val="00CF752C"/>
    <w:rsid w:val="00CF798C"/>
    <w:rsid w:val="00CF7A2F"/>
    <w:rsid w:val="00CF7A9E"/>
    <w:rsid w:val="00CF7DCA"/>
    <w:rsid w:val="00D00339"/>
    <w:rsid w:val="00D00417"/>
    <w:rsid w:val="00D0044A"/>
    <w:rsid w:val="00D00673"/>
    <w:rsid w:val="00D00B65"/>
    <w:rsid w:val="00D010B4"/>
    <w:rsid w:val="00D010C8"/>
    <w:rsid w:val="00D0121B"/>
    <w:rsid w:val="00D01331"/>
    <w:rsid w:val="00D013CC"/>
    <w:rsid w:val="00D015B0"/>
    <w:rsid w:val="00D015DF"/>
    <w:rsid w:val="00D01B2B"/>
    <w:rsid w:val="00D01B47"/>
    <w:rsid w:val="00D01D5E"/>
    <w:rsid w:val="00D01DE5"/>
    <w:rsid w:val="00D02388"/>
    <w:rsid w:val="00D02C0B"/>
    <w:rsid w:val="00D02C69"/>
    <w:rsid w:val="00D02E2E"/>
    <w:rsid w:val="00D03853"/>
    <w:rsid w:val="00D03B85"/>
    <w:rsid w:val="00D03C43"/>
    <w:rsid w:val="00D03C7B"/>
    <w:rsid w:val="00D03E67"/>
    <w:rsid w:val="00D03E78"/>
    <w:rsid w:val="00D0494D"/>
    <w:rsid w:val="00D04A71"/>
    <w:rsid w:val="00D050B8"/>
    <w:rsid w:val="00D05492"/>
    <w:rsid w:val="00D05560"/>
    <w:rsid w:val="00D059CE"/>
    <w:rsid w:val="00D06128"/>
    <w:rsid w:val="00D061BC"/>
    <w:rsid w:val="00D063C0"/>
    <w:rsid w:val="00D064B7"/>
    <w:rsid w:val="00D06755"/>
    <w:rsid w:val="00D06814"/>
    <w:rsid w:val="00D07018"/>
    <w:rsid w:val="00D074AC"/>
    <w:rsid w:val="00D07E27"/>
    <w:rsid w:val="00D07F6C"/>
    <w:rsid w:val="00D10016"/>
    <w:rsid w:val="00D10061"/>
    <w:rsid w:val="00D1011E"/>
    <w:rsid w:val="00D10311"/>
    <w:rsid w:val="00D1042C"/>
    <w:rsid w:val="00D106C6"/>
    <w:rsid w:val="00D1084B"/>
    <w:rsid w:val="00D10877"/>
    <w:rsid w:val="00D10997"/>
    <w:rsid w:val="00D10D2C"/>
    <w:rsid w:val="00D114C8"/>
    <w:rsid w:val="00D11E9C"/>
    <w:rsid w:val="00D11FD4"/>
    <w:rsid w:val="00D1239A"/>
    <w:rsid w:val="00D12E87"/>
    <w:rsid w:val="00D13110"/>
    <w:rsid w:val="00D13129"/>
    <w:rsid w:val="00D13160"/>
    <w:rsid w:val="00D13267"/>
    <w:rsid w:val="00D132C3"/>
    <w:rsid w:val="00D1387B"/>
    <w:rsid w:val="00D1397E"/>
    <w:rsid w:val="00D13AD0"/>
    <w:rsid w:val="00D13CF5"/>
    <w:rsid w:val="00D13D1F"/>
    <w:rsid w:val="00D145FA"/>
    <w:rsid w:val="00D15067"/>
    <w:rsid w:val="00D15219"/>
    <w:rsid w:val="00D152DE"/>
    <w:rsid w:val="00D16120"/>
    <w:rsid w:val="00D164DE"/>
    <w:rsid w:val="00D16946"/>
    <w:rsid w:val="00D16D1E"/>
    <w:rsid w:val="00D176F5"/>
    <w:rsid w:val="00D17764"/>
    <w:rsid w:val="00D17ABE"/>
    <w:rsid w:val="00D2020C"/>
    <w:rsid w:val="00D20344"/>
    <w:rsid w:val="00D205FB"/>
    <w:rsid w:val="00D208C3"/>
    <w:rsid w:val="00D2092E"/>
    <w:rsid w:val="00D211E9"/>
    <w:rsid w:val="00D21287"/>
    <w:rsid w:val="00D21331"/>
    <w:rsid w:val="00D21928"/>
    <w:rsid w:val="00D219B5"/>
    <w:rsid w:val="00D21DF5"/>
    <w:rsid w:val="00D22204"/>
    <w:rsid w:val="00D222E8"/>
    <w:rsid w:val="00D2285E"/>
    <w:rsid w:val="00D22BA2"/>
    <w:rsid w:val="00D22D21"/>
    <w:rsid w:val="00D2311B"/>
    <w:rsid w:val="00D2312F"/>
    <w:rsid w:val="00D2315C"/>
    <w:rsid w:val="00D23424"/>
    <w:rsid w:val="00D23548"/>
    <w:rsid w:val="00D23BBC"/>
    <w:rsid w:val="00D243A5"/>
    <w:rsid w:val="00D244E8"/>
    <w:rsid w:val="00D24547"/>
    <w:rsid w:val="00D245E5"/>
    <w:rsid w:val="00D24CCB"/>
    <w:rsid w:val="00D24E66"/>
    <w:rsid w:val="00D25182"/>
    <w:rsid w:val="00D253A9"/>
    <w:rsid w:val="00D2544B"/>
    <w:rsid w:val="00D25562"/>
    <w:rsid w:val="00D25839"/>
    <w:rsid w:val="00D269B8"/>
    <w:rsid w:val="00D269C1"/>
    <w:rsid w:val="00D26AF2"/>
    <w:rsid w:val="00D26CE9"/>
    <w:rsid w:val="00D27368"/>
    <w:rsid w:val="00D274A8"/>
    <w:rsid w:val="00D27C9F"/>
    <w:rsid w:val="00D27D19"/>
    <w:rsid w:val="00D27D47"/>
    <w:rsid w:val="00D27E20"/>
    <w:rsid w:val="00D300F2"/>
    <w:rsid w:val="00D305A4"/>
    <w:rsid w:val="00D309BB"/>
    <w:rsid w:val="00D30B40"/>
    <w:rsid w:val="00D30F4F"/>
    <w:rsid w:val="00D31040"/>
    <w:rsid w:val="00D3123E"/>
    <w:rsid w:val="00D31503"/>
    <w:rsid w:val="00D316D6"/>
    <w:rsid w:val="00D318C7"/>
    <w:rsid w:val="00D321E0"/>
    <w:rsid w:val="00D322E9"/>
    <w:rsid w:val="00D32663"/>
    <w:rsid w:val="00D32793"/>
    <w:rsid w:val="00D32C2B"/>
    <w:rsid w:val="00D32F00"/>
    <w:rsid w:val="00D32F5B"/>
    <w:rsid w:val="00D330A2"/>
    <w:rsid w:val="00D3329A"/>
    <w:rsid w:val="00D33A7D"/>
    <w:rsid w:val="00D33B2A"/>
    <w:rsid w:val="00D33D07"/>
    <w:rsid w:val="00D34430"/>
    <w:rsid w:val="00D34BFA"/>
    <w:rsid w:val="00D34DC8"/>
    <w:rsid w:val="00D34E8F"/>
    <w:rsid w:val="00D3505E"/>
    <w:rsid w:val="00D3520B"/>
    <w:rsid w:val="00D35900"/>
    <w:rsid w:val="00D35E9F"/>
    <w:rsid w:val="00D35F7B"/>
    <w:rsid w:val="00D368F0"/>
    <w:rsid w:val="00D369F5"/>
    <w:rsid w:val="00D36A7B"/>
    <w:rsid w:val="00D36AED"/>
    <w:rsid w:val="00D36CE3"/>
    <w:rsid w:val="00D36D1A"/>
    <w:rsid w:val="00D36D6F"/>
    <w:rsid w:val="00D36EAA"/>
    <w:rsid w:val="00D36EC4"/>
    <w:rsid w:val="00D3773D"/>
    <w:rsid w:val="00D3781D"/>
    <w:rsid w:val="00D37B81"/>
    <w:rsid w:val="00D37BF2"/>
    <w:rsid w:val="00D37E30"/>
    <w:rsid w:val="00D4001B"/>
    <w:rsid w:val="00D402C1"/>
    <w:rsid w:val="00D407BA"/>
    <w:rsid w:val="00D40981"/>
    <w:rsid w:val="00D40EB8"/>
    <w:rsid w:val="00D41265"/>
    <w:rsid w:val="00D41308"/>
    <w:rsid w:val="00D418C3"/>
    <w:rsid w:val="00D41F09"/>
    <w:rsid w:val="00D429FD"/>
    <w:rsid w:val="00D42C78"/>
    <w:rsid w:val="00D430A7"/>
    <w:rsid w:val="00D435B8"/>
    <w:rsid w:val="00D43AEB"/>
    <w:rsid w:val="00D442DE"/>
    <w:rsid w:val="00D44428"/>
    <w:rsid w:val="00D44601"/>
    <w:rsid w:val="00D44953"/>
    <w:rsid w:val="00D44AC6"/>
    <w:rsid w:val="00D44BA4"/>
    <w:rsid w:val="00D45144"/>
    <w:rsid w:val="00D4556E"/>
    <w:rsid w:val="00D456B5"/>
    <w:rsid w:val="00D45B84"/>
    <w:rsid w:val="00D45D81"/>
    <w:rsid w:val="00D45F9D"/>
    <w:rsid w:val="00D46138"/>
    <w:rsid w:val="00D46A7C"/>
    <w:rsid w:val="00D46D02"/>
    <w:rsid w:val="00D46DBB"/>
    <w:rsid w:val="00D46E5D"/>
    <w:rsid w:val="00D4748B"/>
    <w:rsid w:val="00D479EE"/>
    <w:rsid w:val="00D47B2B"/>
    <w:rsid w:val="00D47D54"/>
    <w:rsid w:val="00D502B1"/>
    <w:rsid w:val="00D5060A"/>
    <w:rsid w:val="00D50641"/>
    <w:rsid w:val="00D50A27"/>
    <w:rsid w:val="00D50A3F"/>
    <w:rsid w:val="00D512A7"/>
    <w:rsid w:val="00D51467"/>
    <w:rsid w:val="00D5149B"/>
    <w:rsid w:val="00D5164F"/>
    <w:rsid w:val="00D51B6F"/>
    <w:rsid w:val="00D5214D"/>
    <w:rsid w:val="00D523C5"/>
    <w:rsid w:val="00D52666"/>
    <w:rsid w:val="00D52C5C"/>
    <w:rsid w:val="00D52DEA"/>
    <w:rsid w:val="00D52E18"/>
    <w:rsid w:val="00D5319F"/>
    <w:rsid w:val="00D533FB"/>
    <w:rsid w:val="00D5394A"/>
    <w:rsid w:val="00D53AC5"/>
    <w:rsid w:val="00D53BD9"/>
    <w:rsid w:val="00D53D8D"/>
    <w:rsid w:val="00D542F3"/>
    <w:rsid w:val="00D543E5"/>
    <w:rsid w:val="00D544C9"/>
    <w:rsid w:val="00D545C6"/>
    <w:rsid w:val="00D54923"/>
    <w:rsid w:val="00D54D39"/>
    <w:rsid w:val="00D54F38"/>
    <w:rsid w:val="00D54F89"/>
    <w:rsid w:val="00D55064"/>
    <w:rsid w:val="00D550BA"/>
    <w:rsid w:val="00D556B0"/>
    <w:rsid w:val="00D559A7"/>
    <w:rsid w:val="00D55FB1"/>
    <w:rsid w:val="00D55FDC"/>
    <w:rsid w:val="00D5630A"/>
    <w:rsid w:val="00D5644B"/>
    <w:rsid w:val="00D566E0"/>
    <w:rsid w:val="00D5694D"/>
    <w:rsid w:val="00D56A00"/>
    <w:rsid w:val="00D56BDB"/>
    <w:rsid w:val="00D56C5A"/>
    <w:rsid w:val="00D56E25"/>
    <w:rsid w:val="00D57571"/>
    <w:rsid w:val="00D575EF"/>
    <w:rsid w:val="00D57D08"/>
    <w:rsid w:val="00D6070B"/>
    <w:rsid w:val="00D60A3E"/>
    <w:rsid w:val="00D60BE9"/>
    <w:rsid w:val="00D61355"/>
    <w:rsid w:val="00D6165E"/>
    <w:rsid w:val="00D61ABA"/>
    <w:rsid w:val="00D6214E"/>
    <w:rsid w:val="00D62427"/>
    <w:rsid w:val="00D62A63"/>
    <w:rsid w:val="00D62D45"/>
    <w:rsid w:val="00D62DE7"/>
    <w:rsid w:val="00D63303"/>
    <w:rsid w:val="00D6369D"/>
    <w:rsid w:val="00D63742"/>
    <w:rsid w:val="00D6425B"/>
    <w:rsid w:val="00D643DB"/>
    <w:rsid w:val="00D64578"/>
    <w:rsid w:val="00D6478F"/>
    <w:rsid w:val="00D64B97"/>
    <w:rsid w:val="00D64C6D"/>
    <w:rsid w:val="00D64D35"/>
    <w:rsid w:val="00D64DD9"/>
    <w:rsid w:val="00D64F7F"/>
    <w:rsid w:val="00D659F1"/>
    <w:rsid w:val="00D65C35"/>
    <w:rsid w:val="00D65EE2"/>
    <w:rsid w:val="00D660B0"/>
    <w:rsid w:val="00D66F08"/>
    <w:rsid w:val="00D6718B"/>
    <w:rsid w:val="00D67C61"/>
    <w:rsid w:val="00D67EFC"/>
    <w:rsid w:val="00D7006C"/>
    <w:rsid w:val="00D70308"/>
    <w:rsid w:val="00D70313"/>
    <w:rsid w:val="00D7034F"/>
    <w:rsid w:val="00D70594"/>
    <w:rsid w:val="00D7082F"/>
    <w:rsid w:val="00D70DB9"/>
    <w:rsid w:val="00D7136A"/>
    <w:rsid w:val="00D71584"/>
    <w:rsid w:val="00D71667"/>
    <w:rsid w:val="00D7172B"/>
    <w:rsid w:val="00D71896"/>
    <w:rsid w:val="00D718D7"/>
    <w:rsid w:val="00D71A77"/>
    <w:rsid w:val="00D71D06"/>
    <w:rsid w:val="00D7217D"/>
    <w:rsid w:val="00D722D6"/>
    <w:rsid w:val="00D722F8"/>
    <w:rsid w:val="00D72306"/>
    <w:rsid w:val="00D72833"/>
    <w:rsid w:val="00D72B1A"/>
    <w:rsid w:val="00D72E0A"/>
    <w:rsid w:val="00D73212"/>
    <w:rsid w:val="00D7375E"/>
    <w:rsid w:val="00D73857"/>
    <w:rsid w:val="00D73B6A"/>
    <w:rsid w:val="00D73D64"/>
    <w:rsid w:val="00D74BFA"/>
    <w:rsid w:val="00D75627"/>
    <w:rsid w:val="00D75834"/>
    <w:rsid w:val="00D7586A"/>
    <w:rsid w:val="00D758EC"/>
    <w:rsid w:val="00D75B29"/>
    <w:rsid w:val="00D75E0C"/>
    <w:rsid w:val="00D75FDF"/>
    <w:rsid w:val="00D760C5"/>
    <w:rsid w:val="00D762A8"/>
    <w:rsid w:val="00D7630D"/>
    <w:rsid w:val="00D7644A"/>
    <w:rsid w:val="00D76B9F"/>
    <w:rsid w:val="00D76C48"/>
    <w:rsid w:val="00D76E5D"/>
    <w:rsid w:val="00D76FC4"/>
    <w:rsid w:val="00D7769B"/>
    <w:rsid w:val="00D776E6"/>
    <w:rsid w:val="00D77844"/>
    <w:rsid w:val="00D77BAD"/>
    <w:rsid w:val="00D802FB"/>
    <w:rsid w:val="00D8034A"/>
    <w:rsid w:val="00D803B3"/>
    <w:rsid w:val="00D804C8"/>
    <w:rsid w:val="00D80500"/>
    <w:rsid w:val="00D806A5"/>
    <w:rsid w:val="00D80886"/>
    <w:rsid w:val="00D809C3"/>
    <w:rsid w:val="00D81102"/>
    <w:rsid w:val="00D812D4"/>
    <w:rsid w:val="00D814B7"/>
    <w:rsid w:val="00D81936"/>
    <w:rsid w:val="00D81961"/>
    <w:rsid w:val="00D81DC7"/>
    <w:rsid w:val="00D8252A"/>
    <w:rsid w:val="00D829A2"/>
    <w:rsid w:val="00D82C5B"/>
    <w:rsid w:val="00D82D50"/>
    <w:rsid w:val="00D82F5F"/>
    <w:rsid w:val="00D83961"/>
    <w:rsid w:val="00D839AE"/>
    <w:rsid w:val="00D83D6F"/>
    <w:rsid w:val="00D83E1D"/>
    <w:rsid w:val="00D84B04"/>
    <w:rsid w:val="00D84CC3"/>
    <w:rsid w:val="00D84D92"/>
    <w:rsid w:val="00D85894"/>
    <w:rsid w:val="00D85B10"/>
    <w:rsid w:val="00D85CF3"/>
    <w:rsid w:val="00D85E56"/>
    <w:rsid w:val="00D85EA1"/>
    <w:rsid w:val="00D86398"/>
    <w:rsid w:val="00D8659C"/>
    <w:rsid w:val="00D86CE8"/>
    <w:rsid w:val="00D86EA8"/>
    <w:rsid w:val="00D86F28"/>
    <w:rsid w:val="00D87353"/>
    <w:rsid w:val="00D876A2"/>
    <w:rsid w:val="00D8772A"/>
    <w:rsid w:val="00D8796C"/>
    <w:rsid w:val="00D879BC"/>
    <w:rsid w:val="00D900DB"/>
    <w:rsid w:val="00D901DC"/>
    <w:rsid w:val="00D904F4"/>
    <w:rsid w:val="00D90688"/>
    <w:rsid w:val="00D90789"/>
    <w:rsid w:val="00D908A3"/>
    <w:rsid w:val="00D90AA8"/>
    <w:rsid w:val="00D90B39"/>
    <w:rsid w:val="00D90D12"/>
    <w:rsid w:val="00D90DA7"/>
    <w:rsid w:val="00D9131A"/>
    <w:rsid w:val="00D91CA2"/>
    <w:rsid w:val="00D923CA"/>
    <w:rsid w:val="00D92812"/>
    <w:rsid w:val="00D929BF"/>
    <w:rsid w:val="00D92CD8"/>
    <w:rsid w:val="00D92E0A"/>
    <w:rsid w:val="00D931AD"/>
    <w:rsid w:val="00D9320C"/>
    <w:rsid w:val="00D932B3"/>
    <w:rsid w:val="00D9333C"/>
    <w:rsid w:val="00D93351"/>
    <w:rsid w:val="00D93561"/>
    <w:rsid w:val="00D937B5"/>
    <w:rsid w:val="00D93920"/>
    <w:rsid w:val="00D939E6"/>
    <w:rsid w:val="00D93AB3"/>
    <w:rsid w:val="00D93D31"/>
    <w:rsid w:val="00D93D67"/>
    <w:rsid w:val="00D93DAE"/>
    <w:rsid w:val="00D94408"/>
    <w:rsid w:val="00D95780"/>
    <w:rsid w:val="00D95A68"/>
    <w:rsid w:val="00D95AE6"/>
    <w:rsid w:val="00D95E78"/>
    <w:rsid w:val="00D962C1"/>
    <w:rsid w:val="00D96939"/>
    <w:rsid w:val="00D96CC9"/>
    <w:rsid w:val="00D97152"/>
    <w:rsid w:val="00D97473"/>
    <w:rsid w:val="00D9775D"/>
    <w:rsid w:val="00D97F65"/>
    <w:rsid w:val="00D97FE3"/>
    <w:rsid w:val="00DA00FE"/>
    <w:rsid w:val="00DA0144"/>
    <w:rsid w:val="00DA01E3"/>
    <w:rsid w:val="00DA033B"/>
    <w:rsid w:val="00DA04CD"/>
    <w:rsid w:val="00DA04F5"/>
    <w:rsid w:val="00DA0A2E"/>
    <w:rsid w:val="00DA0ACC"/>
    <w:rsid w:val="00DA0D89"/>
    <w:rsid w:val="00DA0FD4"/>
    <w:rsid w:val="00DA10CA"/>
    <w:rsid w:val="00DA121C"/>
    <w:rsid w:val="00DA12F3"/>
    <w:rsid w:val="00DA1606"/>
    <w:rsid w:val="00DA1853"/>
    <w:rsid w:val="00DA1B6C"/>
    <w:rsid w:val="00DA1DA8"/>
    <w:rsid w:val="00DA2ABD"/>
    <w:rsid w:val="00DA3559"/>
    <w:rsid w:val="00DA3598"/>
    <w:rsid w:val="00DA35B1"/>
    <w:rsid w:val="00DA37F0"/>
    <w:rsid w:val="00DA38AB"/>
    <w:rsid w:val="00DA3A1D"/>
    <w:rsid w:val="00DA3AAD"/>
    <w:rsid w:val="00DA3B1F"/>
    <w:rsid w:val="00DA3CB2"/>
    <w:rsid w:val="00DA43E5"/>
    <w:rsid w:val="00DA472F"/>
    <w:rsid w:val="00DA488E"/>
    <w:rsid w:val="00DA4CC8"/>
    <w:rsid w:val="00DA5403"/>
    <w:rsid w:val="00DA5577"/>
    <w:rsid w:val="00DA575C"/>
    <w:rsid w:val="00DA57E6"/>
    <w:rsid w:val="00DA5B10"/>
    <w:rsid w:val="00DA5B56"/>
    <w:rsid w:val="00DA5B84"/>
    <w:rsid w:val="00DA5E2F"/>
    <w:rsid w:val="00DA5F00"/>
    <w:rsid w:val="00DA6103"/>
    <w:rsid w:val="00DA623D"/>
    <w:rsid w:val="00DA6283"/>
    <w:rsid w:val="00DA6911"/>
    <w:rsid w:val="00DA69F2"/>
    <w:rsid w:val="00DA6A84"/>
    <w:rsid w:val="00DA6B63"/>
    <w:rsid w:val="00DA6D00"/>
    <w:rsid w:val="00DA6DB7"/>
    <w:rsid w:val="00DA7133"/>
    <w:rsid w:val="00DA72B3"/>
    <w:rsid w:val="00DA76B5"/>
    <w:rsid w:val="00DA782A"/>
    <w:rsid w:val="00DA793E"/>
    <w:rsid w:val="00DA7A89"/>
    <w:rsid w:val="00DA7BE9"/>
    <w:rsid w:val="00DA7E6B"/>
    <w:rsid w:val="00DB007F"/>
    <w:rsid w:val="00DB03FF"/>
    <w:rsid w:val="00DB04CE"/>
    <w:rsid w:val="00DB094F"/>
    <w:rsid w:val="00DB0B9F"/>
    <w:rsid w:val="00DB11DF"/>
    <w:rsid w:val="00DB13CD"/>
    <w:rsid w:val="00DB145C"/>
    <w:rsid w:val="00DB14F0"/>
    <w:rsid w:val="00DB15B2"/>
    <w:rsid w:val="00DB1FC8"/>
    <w:rsid w:val="00DB22CE"/>
    <w:rsid w:val="00DB2A0D"/>
    <w:rsid w:val="00DB2B33"/>
    <w:rsid w:val="00DB2F73"/>
    <w:rsid w:val="00DB30F3"/>
    <w:rsid w:val="00DB312B"/>
    <w:rsid w:val="00DB3199"/>
    <w:rsid w:val="00DB3231"/>
    <w:rsid w:val="00DB32D3"/>
    <w:rsid w:val="00DB365F"/>
    <w:rsid w:val="00DB38B2"/>
    <w:rsid w:val="00DB3928"/>
    <w:rsid w:val="00DB3D5B"/>
    <w:rsid w:val="00DB4858"/>
    <w:rsid w:val="00DB4C34"/>
    <w:rsid w:val="00DB4D6F"/>
    <w:rsid w:val="00DB5189"/>
    <w:rsid w:val="00DB51D7"/>
    <w:rsid w:val="00DB5265"/>
    <w:rsid w:val="00DB52C9"/>
    <w:rsid w:val="00DB5E1B"/>
    <w:rsid w:val="00DB5FE3"/>
    <w:rsid w:val="00DB6206"/>
    <w:rsid w:val="00DB69D9"/>
    <w:rsid w:val="00DB6DD4"/>
    <w:rsid w:val="00DB6FD6"/>
    <w:rsid w:val="00DB76AC"/>
    <w:rsid w:val="00DB77A1"/>
    <w:rsid w:val="00DB7C11"/>
    <w:rsid w:val="00DC053B"/>
    <w:rsid w:val="00DC0955"/>
    <w:rsid w:val="00DC17E0"/>
    <w:rsid w:val="00DC1C90"/>
    <w:rsid w:val="00DC1CE3"/>
    <w:rsid w:val="00DC22DD"/>
    <w:rsid w:val="00DC231B"/>
    <w:rsid w:val="00DC24E5"/>
    <w:rsid w:val="00DC2F2A"/>
    <w:rsid w:val="00DC31C9"/>
    <w:rsid w:val="00DC3264"/>
    <w:rsid w:val="00DC3310"/>
    <w:rsid w:val="00DC3512"/>
    <w:rsid w:val="00DC44D4"/>
    <w:rsid w:val="00DC456F"/>
    <w:rsid w:val="00DC4CB0"/>
    <w:rsid w:val="00DC4CB1"/>
    <w:rsid w:val="00DC4F51"/>
    <w:rsid w:val="00DC4F71"/>
    <w:rsid w:val="00DC5483"/>
    <w:rsid w:val="00DC55C7"/>
    <w:rsid w:val="00DC5654"/>
    <w:rsid w:val="00DC56EF"/>
    <w:rsid w:val="00DC5C18"/>
    <w:rsid w:val="00DC5CDD"/>
    <w:rsid w:val="00DC6219"/>
    <w:rsid w:val="00DC63AA"/>
    <w:rsid w:val="00DC658F"/>
    <w:rsid w:val="00DC67FE"/>
    <w:rsid w:val="00DC68BB"/>
    <w:rsid w:val="00DC6E3F"/>
    <w:rsid w:val="00DC71E8"/>
    <w:rsid w:val="00DC73B5"/>
    <w:rsid w:val="00DC774F"/>
    <w:rsid w:val="00DC79C6"/>
    <w:rsid w:val="00DC7F0E"/>
    <w:rsid w:val="00DD0392"/>
    <w:rsid w:val="00DD056D"/>
    <w:rsid w:val="00DD064C"/>
    <w:rsid w:val="00DD0706"/>
    <w:rsid w:val="00DD08A1"/>
    <w:rsid w:val="00DD0A9E"/>
    <w:rsid w:val="00DD0E08"/>
    <w:rsid w:val="00DD0E3B"/>
    <w:rsid w:val="00DD16D7"/>
    <w:rsid w:val="00DD1A5D"/>
    <w:rsid w:val="00DD1C6A"/>
    <w:rsid w:val="00DD22DE"/>
    <w:rsid w:val="00DD294C"/>
    <w:rsid w:val="00DD2A28"/>
    <w:rsid w:val="00DD2AF1"/>
    <w:rsid w:val="00DD2CDB"/>
    <w:rsid w:val="00DD2DEF"/>
    <w:rsid w:val="00DD333C"/>
    <w:rsid w:val="00DD35DC"/>
    <w:rsid w:val="00DD360F"/>
    <w:rsid w:val="00DD36DF"/>
    <w:rsid w:val="00DD3AE4"/>
    <w:rsid w:val="00DD3BBB"/>
    <w:rsid w:val="00DD3C59"/>
    <w:rsid w:val="00DD4276"/>
    <w:rsid w:val="00DD486C"/>
    <w:rsid w:val="00DD4A25"/>
    <w:rsid w:val="00DD4D08"/>
    <w:rsid w:val="00DD4E5C"/>
    <w:rsid w:val="00DD4F84"/>
    <w:rsid w:val="00DD52D3"/>
    <w:rsid w:val="00DD5327"/>
    <w:rsid w:val="00DD5692"/>
    <w:rsid w:val="00DD5874"/>
    <w:rsid w:val="00DD58EC"/>
    <w:rsid w:val="00DD5985"/>
    <w:rsid w:val="00DD5EEC"/>
    <w:rsid w:val="00DD6313"/>
    <w:rsid w:val="00DD66F7"/>
    <w:rsid w:val="00DD6E51"/>
    <w:rsid w:val="00DD6E62"/>
    <w:rsid w:val="00DD6F5A"/>
    <w:rsid w:val="00DD76D1"/>
    <w:rsid w:val="00DE02B9"/>
    <w:rsid w:val="00DE0D48"/>
    <w:rsid w:val="00DE0F72"/>
    <w:rsid w:val="00DE1047"/>
    <w:rsid w:val="00DE10C6"/>
    <w:rsid w:val="00DE152E"/>
    <w:rsid w:val="00DE1FFC"/>
    <w:rsid w:val="00DE2122"/>
    <w:rsid w:val="00DE217E"/>
    <w:rsid w:val="00DE2357"/>
    <w:rsid w:val="00DE253C"/>
    <w:rsid w:val="00DE2681"/>
    <w:rsid w:val="00DE2E75"/>
    <w:rsid w:val="00DE3114"/>
    <w:rsid w:val="00DE313E"/>
    <w:rsid w:val="00DE34D4"/>
    <w:rsid w:val="00DE3B81"/>
    <w:rsid w:val="00DE4148"/>
    <w:rsid w:val="00DE41CA"/>
    <w:rsid w:val="00DE46FB"/>
    <w:rsid w:val="00DE4B3D"/>
    <w:rsid w:val="00DE54E6"/>
    <w:rsid w:val="00DE55C0"/>
    <w:rsid w:val="00DE5784"/>
    <w:rsid w:val="00DE57EC"/>
    <w:rsid w:val="00DE5BA0"/>
    <w:rsid w:val="00DE60CC"/>
    <w:rsid w:val="00DE61DF"/>
    <w:rsid w:val="00DE6359"/>
    <w:rsid w:val="00DE64FF"/>
    <w:rsid w:val="00DE66B4"/>
    <w:rsid w:val="00DE6985"/>
    <w:rsid w:val="00DE69EF"/>
    <w:rsid w:val="00DE6B80"/>
    <w:rsid w:val="00DE70AB"/>
    <w:rsid w:val="00DE7547"/>
    <w:rsid w:val="00DE7AE3"/>
    <w:rsid w:val="00DE7DF2"/>
    <w:rsid w:val="00DF02DE"/>
    <w:rsid w:val="00DF08E0"/>
    <w:rsid w:val="00DF0F22"/>
    <w:rsid w:val="00DF1351"/>
    <w:rsid w:val="00DF1560"/>
    <w:rsid w:val="00DF1599"/>
    <w:rsid w:val="00DF17FA"/>
    <w:rsid w:val="00DF1BE3"/>
    <w:rsid w:val="00DF2314"/>
    <w:rsid w:val="00DF2A76"/>
    <w:rsid w:val="00DF31F5"/>
    <w:rsid w:val="00DF3247"/>
    <w:rsid w:val="00DF3405"/>
    <w:rsid w:val="00DF349C"/>
    <w:rsid w:val="00DF3596"/>
    <w:rsid w:val="00DF3A7D"/>
    <w:rsid w:val="00DF3BD6"/>
    <w:rsid w:val="00DF3DBB"/>
    <w:rsid w:val="00DF3E08"/>
    <w:rsid w:val="00DF4077"/>
    <w:rsid w:val="00DF4294"/>
    <w:rsid w:val="00DF42D6"/>
    <w:rsid w:val="00DF4421"/>
    <w:rsid w:val="00DF4699"/>
    <w:rsid w:val="00DF48C6"/>
    <w:rsid w:val="00DF48F1"/>
    <w:rsid w:val="00DF4944"/>
    <w:rsid w:val="00DF5270"/>
    <w:rsid w:val="00DF55FF"/>
    <w:rsid w:val="00DF5872"/>
    <w:rsid w:val="00DF5C6F"/>
    <w:rsid w:val="00DF5F84"/>
    <w:rsid w:val="00DF6180"/>
    <w:rsid w:val="00DF6568"/>
    <w:rsid w:val="00DF6609"/>
    <w:rsid w:val="00DF694F"/>
    <w:rsid w:val="00DF69D0"/>
    <w:rsid w:val="00DF6D4B"/>
    <w:rsid w:val="00DF6F48"/>
    <w:rsid w:val="00DF731C"/>
    <w:rsid w:val="00DF768E"/>
    <w:rsid w:val="00DF7A68"/>
    <w:rsid w:val="00DF7DB3"/>
    <w:rsid w:val="00E00510"/>
    <w:rsid w:val="00E00602"/>
    <w:rsid w:val="00E00607"/>
    <w:rsid w:val="00E008E4"/>
    <w:rsid w:val="00E00A16"/>
    <w:rsid w:val="00E00D6C"/>
    <w:rsid w:val="00E00EF9"/>
    <w:rsid w:val="00E01191"/>
    <w:rsid w:val="00E011D4"/>
    <w:rsid w:val="00E01D3C"/>
    <w:rsid w:val="00E01DB6"/>
    <w:rsid w:val="00E020B2"/>
    <w:rsid w:val="00E025F4"/>
    <w:rsid w:val="00E02ADB"/>
    <w:rsid w:val="00E03210"/>
    <w:rsid w:val="00E0324D"/>
    <w:rsid w:val="00E03939"/>
    <w:rsid w:val="00E039F4"/>
    <w:rsid w:val="00E03B92"/>
    <w:rsid w:val="00E03BF6"/>
    <w:rsid w:val="00E03FC2"/>
    <w:rsid w:val="00E03FCD"/>
    <w:rsid w:val="00E04654"/>
    <w:rsid w:val="00E05BAB"/>
    <w:rsid w:val="00E05FC9"/>
    <w:rsid w:val="00E0613B"/>
    <w:rsid w:val="00E061B0"/>
    <w:rsid w:val="00E062C7"/>
    <w:rsid w:val="00E06363"/>
    <w:rsid w:val="00E06A4E"/>
    <w:rsid w:val="00E06DCE"/>
    <w:rsid w:val="00E06F23"/>
    <w:rsid w:val="00E06FBF"/>
    <w:rsid w:val="00E075AF"/>
    <w:rsid w:val="00E0794B"/>
    <w:rsid w:val="00E079F1"/>
    <w:rsid w:val="00E109F2"/>
    <w:rsid w:val="00E11261"/>
    <w:rsid w:val="00E112B8"/>
    <w:rsid w:val="00E11612"/>
    <w:rsid w:val="00E11857"/>
    <w:rsid w:val="00E119D8"/>
    <w:rsid w:val="00E11A8F"/>
    <w:rsid w:val="00E11A9C"/>
    <w:rsid w:val="00E11B9F"/>
    <w:rsid w:val="00E11BF3"/>
    <w:rsid w:val="00E11C1F"/>
    <w:rsid w:val="00E11C41"/>
    <w:rsid w:val="00E11CCB"/>
    <w:rsid w:val="00E11E0A"/>
    <w:rsid w:val="00E11E28"/>
    <w:rsid w:val="00E1237C"/>
    <w:rsid w:val="00E12405"/>
    <w:rsid w:val="00E12D05"/>
    <w:rsid w:val="00E130FF"/>
    <w:rsid w:val="00E133CE"/>
    <w:rsid w:val="00E13513"/>
    <w:rsid w:val="00E139BF"/>
    <w:rsid w:val="00E14005"/>
    <w:rsid w:val="00E1404D"/>
    <w:rsid w:val="00E141E2"/>
    <w:rsid w:val="00E1431E"/>
    <w:rsid w:val="00E14658"/>
    <w:rsid w:val="00E147B2"/>
    <w:rsid w:val="00E14AAA"/>
    <w:rsid w:val="00E14BFE"/>
    <w:rsid w:val="00E14CCD"/>
    <w:rsid w:val="00E14DD2"/>
    <w:rsid w:val="00E1519C"/>
    <w:rsid w:val="00E1543D"/>
    <w:rsid w:val="00E15451"/>
    <w:rsid w:val="00E1582C"/>
    <w:rsid w:val="00E1603D"/>
    <w:rsid w:val="00E160AC"/>
    <w:rsid w:val="00E163C6"/>
    <w:rsid w:val="00E16500"/>
    <w:rsid w:val="00E16872"/>
    <w:rsid w:val="00E169CE"/>
    <w:rsid w:val="00E16A51"/>
    <w:rsid w:val="00E16B84"/>
    <w:rsid w:val="00E16BD0"/>
    <w:rsid w:val="00E16D60"/>
    <w:rsid w:val="00E16E02"/>
    <w:rsid w:val="00E17092"/>
    <w:rsid w:val="00E173D0"/>
    <w:rsid w:val="00E1761F"/>
    <w:rsid w:val="00E1785F"/>
    <w:rsid w:val="00E17890"/>
    <w:rsid w:val="00E17B75"/>
    <w:rsid w:val="00E17CAF"/>
    <w:rsid w:val="00E17D07"/>
    <w:rsid w:val="00E17DF0"/>
    <w:rsid w:val="00E20413"/>
    <w:rsid w:val="00E207CD"/>
    <w:rsid w:val="00E209CE"/>
    <w:rsid w:val="00E20ABB"/>
    <w:rsid w:val="00E20CC3"/>
    <w:rsid w:val="00E212E4"/>
    <w:rsid w:val="00E21441"/>
    <w:rsid w:val="00E21690"/>
    <w:rsid w:val="00E217DC"/>
    <w:rsid w:val="00E21D0E"/>
    <w:rsid w:val="00E22113"/>
    <w:rsid w:val="00E222D0"/>
    <w:rsid w:val="00E2257A"/>
    <w:rsid w:val="00E22EA3"/>
    <w:rsid w:val="00E23D8E"/>
    <w:rsid w:val="00E242ED"/>
    <w:rsid w:val="00E24542"/>
    <w:rsid w:val="00E246E6"/>
    <w:rsid w:val="00E2473A"/>
    <w:rsid w:val="00E248B5"/>
    <w:rsid w:val="00E251DE"/>
    <w:rsid w:val="00E25B30"/>
    <w:rsid w:val="00E25D86"/>
    <w:rsid w:val="00E25EB3"/>
    <w:rsid w:val="00E2673B"/>
    <w:rsid w:val="00E26944"/>
    <w:rsid w:val="00E26B32"/>
    <w:rsid w:val="00E26F43"/>
    <w:rsid w:val="00E26F73"/>
    <w:rsid w:val="00E27066"/>
    <w:rsid w:val="00E27A4A"/>
    <w:rsid w:val="00E3041D"/>
    <w:rsid w:val="00E30514"/>
    <w:rsid w:val="00E307DD"/>
    <w:rsid w:val="00E30DA6"/>
    <w:rsid w:val="00E30ECF"/>
    <w:rsid w:val="00E31057"/>
    <w:rsid w:val="00E31092"/>
    <w:rsid w:val="00E3111C"/>
    <w:rsid w:val="00E31444"/>
    <w:rsid w:val="00E314F5"/>
    <w:rsid w:val="00E3198D"/>
    <w:rsid w:val="00E32114"/>
    <w:rsid w:val="00E3220B"/>
    <w:rsid w:val="00E32397"/>
    <w:rsid w:val="00E326F0"/>
    <w:rsid w:val="00E328D7"/>
    <w:rsid w:val="00E32974"/>
    <w:rsid w:val="00E32B0F"/>
    <w:rsid w:val="00E32B9B"/>
    <w:rsid w:val="00E32D2D"/>
    <w:rsid w:val="00E32F10"/>
    <w:rsid w:val="00E33072"/>
    <w:rsid w:val="00E33115"/>
    <w:rsid w:val="00E331C8"/>
    <w:rsid w:val="00E33804"/>
    <w:rsid w:val="00E33AA1"/>
    <w:rsid w:val="00E33ABD"/>
    <w:rsid w:val="00E340E1"/>
    <w:rsid w:val="00E340EC"/>
    <w:rsid w:val="00E34995"/>
    <w:rsid w:val="00E34A18"/>
    <w:rsid w:val="00E353AC"/>
    <w:rsid w:val="00E353D6"/>
    <w:rsid w:val="00E3542D"/>
    <w:rsid w:val="00E3584B"/>
    <w:rsid w:val="00E35C68"/>
    <w:rsid w:val="00E36899"/>
    <w:rsid w:val="00E368AB"/>
    <w:rsid w:val="00E36FC1"/>
    <w:rsid w:val="00E370CF"/>
    <w:rsid w:val="00E37140"/>
    <w:rsid w:val="00E37732"/>
    <w:rsid w:val="00E37937"/>
    <w:rsid w:val="00E37ACE"/>
    <w:rsid w:val="00E37BD5"/>
    <w:rsid w:val="00E401E1"/>
    <w:rsid w:val="00E40401"/>
    <w:rsid w:val="00E40522"/>
    <w:rsid w:val="00E405A1"/>
    <w:rsid w:val="00E406F3"/>
    <w:rsid w:val="00E407B6"/>
    <w:rsid w:val="00E40B6C"/>
    <w:rsid w:val="00E41243"/>
    <w:rsid w:val="00E41C68"/>
    <w:rsid w:val="00E41EF1"/>
    <w:rsid w:val="00E41FCC"/>
    <w:rsid w:val="00E42240"/>
    <w:rsid w:val="00E42369"/>
    <w:rsid w:val="00E4241D"/>
    <w:rsid w:val="00E42738"/>
    <w:rsid w:val="00E42942"/>
    <w:rsid w:val="00E42A42"/>
    <w:rsid w:val="00E42B1D"/>
    <w:rsid w:val="00E42D14"/>
    <w:rsid w:val="00E43D32"/>
    <w:rsid w:val="00E43E38"/>
    <w:rsid w:val="00E43E8A"/>
    <w:rsid w:val="00E44157"/>
    <w:rsid w:val="00E444E1"/>
    <w:rsid w:val="00E44939"/>
    <w:rsid w:val="00E449E1"/>
    <w:rsid w:val="00E452E7"/>
    <w:rsid w:val="00E45F3D"/>
    <w:rsid w:val="00E46482"/>
    <w:rsid w:val="00E46561"/>
    <w:rsid w:val="00E468A6"/>
    <w:rsid w:val="00E468FE"/>
    <w:rsid w:val="00E46B5B"/>
    <w:rsid w:val="00E46BD8"/>
    <w:rsid w:val="00E47319"/>
    <w:rsid w:val="00E4773E"/>
    <w:rsid w:val="00E47DFF"/>
    <w:rsid w:val="00E47FC1"/>
    <w:rsid w:val="00E5004B"/>
    <w:rsid w:val="00E500BF"/>
    <w:rsid w:val="00E502A8"/>
    <w:rsid w:val="00E50697"/>
    <w:rsid w:val="00E50918"/>
    <w:rsid w:val="00E50E6E"/>
    <w:rsid w:val="00E516FA"/>
    <w:rsid w:val="00E51919"/>
    <w:rsid w:val="00E51C67"/>
    <w:rsid w:val="00E52694"/>
    <w:rsid w:val="00E52A85"/>
    <w:rsid w:val="00E52AA6"/>
    <w:rsid w:val="00E52DBD"/>
    <w:rsid w:val="00E53717"/>
    <w:rsid w:val="00E538A2"/>
    <w:rsid w:val="00E53EB4"/>
    <w:rsid w:val="00E5424C"/>
    <w:rsid w:val="00E54398"/>
    <w:rsid w:val="00E5455C"/>
    <w:rsid w:val="00E54777"/>
    <w:rsid w:val="00E54AD8"/>
    <w:rsid w:val="00E54D59"/>
    <w:rsid w:val="00E5598F"/>
    <w:rsid w:val="00E55C94"/>
    <w:rsid w:val="00E55ED4"/>
    <w:rsid w:val="00E560A4"/>
    <w:rsid w:val="00E56311"/>
    <w:rsid w:val="00E566FC"/>
    <w:rsid w:val="00E56A0F"/>
    <w:rsid w:val="00E56BBE"/>
    <w:rsid w:val="00E56D7A"/>
    <w:rsid w:val="00E573F6"/>
    <w:rsid w:val="00E57C21"/>
    <w:rsid w:val="00E60175"/>
    <w:rsid w:val="00E60205"/>
    <w:rsid w:val="00E608C2"/>
    <w:rsid w:val="00E60CFD"/>
    <w:rsid w:val="00E60DF9"/>
    <w:rsid w:val="00E61E31"/>
    <w:rsid w:val="00E61F8D"/>
    <w:rsid w:val="00E625F2"/>
    <w:rsid w:val="00E62985"/>
    <w:rsid w:val="00E62A87"/>
    <w:rsid w:val="00E62BDD"/>
    <w:rsid w:val="00E62D75"/>
    <w:rsid w:val="00E6385F"/>
    <w:rsid w:val="00E638C7"/>
    <w:rsid w:val="00E63EB7"/>
    <w:rsid w:val="00E64122"/>
    <w:rsid w:val="00E64569"/>
    <w:rsid w:val="00E6474B"/>
    <w:rsid w:val="00E64A28"/>
    <w:rsid w:val="00E64BD4"/>
    <w:rsid w:val="00E64D29"/>
    <w:rsid w:val="00E64F05"/>
    <w:rsid w:val="00E65016"/>
    <w:rsid w:val="00E656AC"/>
    <w:rsid w:val="00E659EE"/>
    <w:rsid w:val="00E65BAD"/>
    <w:rsid w:val="00E65BC8"/>
    <w:rsid w:val="00E65C0A"/>
    <w:rsid w:val="00E65D90"/>
    <w:rsid w:val="00E66336"/>
    <w:rsid w:val="00E6633D"/>
    <w:rsid w:val="00E66A11"/>
    <w:rsid w:val="00E66C15"/>
    <w:rsid w:val="00E66CE9"/>
    <w:rsid w:val="00E678C3"/>
    <w:rsid w:val="00E67E65"/>
    <w:rsid w:val="00E67F76"/>
    <w:rsid w:val="00E70077"/>
    <w:rsid w:val="00E701B1"/>
    <w:rsid w:val="00E705F7"/>
    <w:rsid w:val="00E70816"/>
    <w:rsid w:val="00E708F2"/>
    <w:rsid w:val="00E70BF2"/>
    <w:rsid w:val="00E712B6"/>
    <w:rsid w:val="00E712C3"/>
    <w:rsid w:val="00E7176B"/>
    <w:rsid w:val="00E71BDF"/>
    <w:rsid w:val="00E7210D"/>
    <w:rsid w:val="00E725EC"/>
    <w:rsid w:val="00E72BE9"/>
    <w:rsid w:val="00E72FB0"/>
    <w:rsid w:val="00E733B3"/>
    <w:rsid w:val="00E73476"/>
    <w:rsid w:val="00E735D3"/>
    <w:rsid w:val="00E7372D"/>
    <w:rsid w:val="00E73C5C"/>
    <w:rsid w:val="00E73CC7"/>
    <w:rsid w:val="00E73DF4"/>
    <w:rsid w:val="00E740EE"/>
    <w:rsid w:val="00E75202"/>
    <w:rsid w:val="00E75928"/>
    <w:rsid w:val="00E75D53"/>
    <w:rsid w:val="00E76265"/>
    <w:rsid w:val="00E76284"/>
    <w:rsid w:val="00E766E4"/>
    <w:rsid w:val="00E76979"/>
    <w:rsid w:val="00E77185"/>
    <w:rsid w:val="00E7731F"/>
    <w:rsid w:val="00E775B5"/>
    <w:rsid w:val="00E77762"/>
    <w:rsid w:val="00E77C7A"/>
    <w:rsid w:val="00E77C97"/>
    <w:rsid w:val="00E77E2B"/>
    <w:rsid w:val="00E8011F"/>
    <w:rsid w:val="00E8018D"/>
    <w:rsid w:val="00E803CF"/>
    <w:rsid w:val="00E80C6F"/>
    <w:rsid w:val="00E80C9E"/>
    <w:rsid w:val="00E80EE8"/>
    <w:rsid w:val="00E810EA"/>
    <w:rsid w:val="00E8128A"/>
    <w:rsid w:val="00E8147C"/>
    <w:rsid w:val="00E817D9"/>
    <w:rsid w:val="00E81846"/>
    <w:rsid w:val="00E81995"/>
    <w:rsid w:val="00E819C3"/>
    <w:rsid w:val="00E81FF5"/>
    <w:rsid w:val="00E82087"/>
    <w:rsid w:val="00E82C63"/>
    <w:rsid w:val="00E82CD3"/>
    <w:rsid w:val="00E82F3A"/>
    <w:rsid w:val="00E83667"/>
    <w:rsid w:val="00E83761"/>
    <w:rsid w:val="00E83782"/>
    <w:rsid w:val="00E83890"/>
    <w:rsid w:val="00E83CA7"/>
    <w:rsid w:val="00E84494"/>
    <w:rsid w:val="00E844A1"/>
    <w:rsid w:val="00E84524"/>
    <w:rsid w:val="00E8453B"/>
    <w:rsid w:val="00E8456E"/>
    <w:rsid w:val="00E849E2"/>
    <w:rsid w:val="00E84A6D"/>
    <w:rsid w:val="00E84CE1"/>
    <w:rsid w:val="00E85145"/>
    <w:rsid w:val="00E85174"/>
    <w:rsid w:val="00E855B0"/>
    <w:rsid w:val="00E857A8"/>
    <w:rsid w:val="00E85EB1"/>
    <w:rsid w:val="00E8607E"/>
    <w:rsid w:val="00E86149"/>
    <w:rsid w:val="00E86315"/>
    <w:rsid w:val="00E867AB"/>
    <w:rsid w:val="00E86895"/>
    <w:rsid w:val="00E86974"/>
    <w:rsid w:val="00E86D3D"/>
    <w:rsid w:val="00E87632"/>
    <w:rsid w:val="00E87C2D"/>
    <w:rsid w:val="00E87CD3"/>
    <w:rsid w:val="00E90102"/>
    <w:rsid w:val="00E9027C"/>
    <w:rsid w:val="00E909FF"/>
    <w:rsid w:val="00E90BEC"/>
    <w:rsid w:val="00E90CD6"/>
    <w:rsid w:val="00E91476"/>
    <w:rsid w:val="00E916C9"/>
    <w:rsid w:val="00E91847"/>
    <w:rsid w:val="00E91937"/>
    <w:rsid w:val="00E91A16"/>
    <w:rsid w:val="00E91CA4"/>
    <w:rsid w:val="00E91F9D"/>
    <w:rsid w:val="00E92266"/>
    <w:rsid w:val="00E92393"/>
    <w:rsid w:val="00E9239D"/>
    <w:rsid w:val="00E9285B"/>
    <w:rsid w:val="00E92AE1"/>
    <w:rsid w:val="00E93007"/>
    <w:rsid w:val="00E93066"/>
    <w:rsid w:val="00E93586"/>
    <w:rsid w:val="00E936F8"/>
    <w:rsid w:val="00E938D7"/>
    <w:rsid w:val="00E93A81"/>
    <w:rsid w:val="00E94A40"/>
    <w:rsid w:val="00E94BF1"/>
    <w:rsid w:val="00E9509A"/>
    <w:rsid w:val="00E95177"/>
    <w:rsid w:val="00E95329"/>
    <w:rsid w:val="00E957D0"/>
    <w:rsid w:val="00E959F3"/>
    <w:rsid w:val="00E9634B"/>
    <w:rsid w:val="00E966F1"/>
    <w:rsid w:val="00E96925"/>
    <w:rsid w:val="00E96960"/>
    <w:rsid w:val="00E977EE"/>
    <w:rsid w:val="00E978A2"/>
    <w:rsid w:val="00E97972"/>
    <w:rsid w:val="00E979AE"/>
    <w:rsid w:val="00E97C35"/>
    <w:rsid w:val="00E97F1C"/>
    <w:rsid w:val="00EA039D"/>
    <w:rsid w:val="00EA0526"/>
    <w:rsid w:val="00EA05A8"/>
    <w:rsid w:val="00EA061E"/>
    <w:rsid w:val="00EA071F"/>
    <w:rsid w:val="00EA08E2"/>
    <w:rsid w:val="00EA09E9"/>
    <w:rsid w:val="00EA0A06"/>
    <w:rsid w:val="00EA0A56"/>
    <w:rsid w:val="00EA0C1E"/>
    <w:rsid w:val="00EA0CDD"/>
    <w:rsid w:val="00EA0CFD"/>
    <w:rsid w:val="00EA0E37"/>
    <w:rsid w:val="00EA14C0"/>
    <w:rsid w:val="00EA1AA9"/>
    <w:rsid w:val="00EA1C5D"/>
    <w:rsid w:val="00EA1CA2"/>
    <w:rsid w:val="00EA1F9F"/>
    <w:rsid w:val="00EA2365"/>
    <w:rsid w:val="00EA23D3"/>
    <w:rsid w:val="00EA35CF"/>
    <w:rsid w:val="00EA35EF"/>
    <w:rsid w:val="00EA39D0"/>
    <w:rsid w:val="00EA42C1"/>
    <w:rsid w:val="00EA43E7"/>
    <w:rsid w:val="00EA44FD"/>
    <w:rsid w:val="00EA45C0"/>
    <w:rsid w:val="00EA4799"/>
    <w:rsid w:val="00EA4A2C"/>
    <w:rsid w:val="00EA4B01"/>
    <w:rsid w:val="00EA4B91"/>
    <w:rsid w:val="00EA4CC8"/>
    <w:rsid w:val="00EA557A"/>
    <w:rsid w:val="00EA5B77"/>
    <w:rsid w:val="00EA5B8A"/>
    <w:rsid w:val="00EA5F35"/>
    <w:rsid w:val="00EA62FA"/>
    <w:rsid w:val="00EA6382"/>
    <w:rsid w:val="00EA680F"/>
    <w:rsid w:val="00EA6B00"/>
    <w:rsid w:val="00EA6B26"/>
    <w:rsid w:val="00EA6D0E"/>
    <w:rsid w:val="00EA6FAC"/>
    <w:rsid w:val="00EA75EF"/>
    <w:rsid w:val="00EA7F90"/>
    <w:rsid w:val="00EB02E8"/>
    <w:rsid w:val="00EB0AAD"/>
    <w:rsid w:val="00EB0B3E"/>
    <w:rsid w:val="00EB0D70"/>
    <w:rsid w:val="00EB0EAC"/>
    <w:rsid w:val="00EB10CA"/>
    <w:rsid w:val="00EB1199"/>
    <w:rsid w:val="00EB13A0"/>
    <w:rsid w:val="00EB1438"/>
    <w:rsid w:val="00EB1C8A"/>
    <w:rsid w:val="00EB1D46"/>
    <w:rsid w:val="00EB2123"/>
    <w:rsid w:val="00EB23AC"/>
    <w:rsid w:val="00EB25CA"/>
    <w:rsid w:val="00EB2656"/>
    <w:rsid w:val="00EB26B2"/>
    <w:rsid w:val="00EB2739"/>
    <w:rsid w:val="00EB28B4"/>
    <w:rsid w:val="00EB31D8"/>
    <w:rsid w:val="00EB3268"/>
    <w:rsid w:val="00EB396D"/>
    <w:rsid w:val="00EB39EA"/>
    <w:rsid w:val="00EB3F55"/>
    <w:rsid w:val="00EB432E"/>
    <w:rsid w:val="00EB4375"/>
    <w:rsid w:val="00EB4383"/>
    <w:rsid w:val="00EB47CD"/>
    <w:rsid w:val="00EB4D5D"/>
    <w:rsid w:val="00EB4E6F"/>
    <w:rsid w:val="00EB5432"/>
    <w:rsid w:val="00EB576E"/>
    <w:rsid w:val="00EB58D1"/>
    <w:rsid w:val="00EB5FAF"/>
    <w:rsid w:val="00EB6041"/>
    <w:rsid w:val="00EB62C9"/>
    <w:rsid w:val="00EB6619"/>
    <w:rsid w:val="00EB6C88"/>
    <w:rsid w:val="00EB727C"/>
    <w:rsid w:val="00EB72BA"/>
    <w:rsid w:val="00EB7A7D"/>
    <w:rsid w:val="00EB7A96"/>
    <w:rsid w:val="00EB7B71"/>
    <w:rsid w:val="00EC00DC"/>
    <w:rsid w:val="00EC0306"/>
    <w:rsid w:val="00EC068A"/>
    <w:rsid w:val="00EC0719"/>
    <w:rsid w:val="00EC0A41"/>
    <w:rsid w:val="00EC0E99"/>
    <w:rsid w:val="00EC103E"/>
    <w:rsid w:val="00EC112E"/>
    <w:rsid w:val="00EC138D"/>
    <w:rsid w:val="00EC171D"/>
    <w:rsid w:val="00EC1F12"/>
    <w:rsid w:val="00EC215C"/>
    <w:rsid w:val="00EC21F6"/>
    <w:rsid w:val="00EC2292"/>
    <w:rsid w:val="00EC2FF4"/>
    <w:rsid w:val="00EC32FB"/>
    <w:rsid w:val="00EC341E"/>
    <w:rsid w:val="00EC379A"/>
    <w:rsid w:val="00EC3A9F"/>
    <w:rsid w:val="00EC3D68"/>
    <w:rsid w:val="00EC3FC1"/>
    <w:rsid w:val="00EC4234"/>
    <w:rsid w:val="00EC4754"/>
    <w:rsid w:val="00EC4917"/>
    <w:rsid w:val="00EC4A0E"/>
    <w:rsid w:val="00EC4C5C"/>
    <w:rsid w:val="00EC568A"/>
    <w:rsid w:val="00EC5D62"/>
    <w:rsid w:val="00EC5FDA"/>
    <w:rsid w:val="00EC6124"/>
    <w:rsid w:val="00EC669C"/>
    <w:rsid w:val="00EC687E"/>
    <w:rsid w:val="00EC6CED"/>
    <w:rsid w:val="00EC6F4A"/>
    <w:rsid w:val="00EC7A3E"/>
    <w:rsid w:val="00EC7D9F"/>
    <w:rsid w:val="00ED00C9"/>
    <w:rsid w:val="00ED041E"/>
    <w:rsid w:val="00ED0760"/>
    <w:rsid w:val="00ED09BF"/>
    <w:rsid w:val="00ED0C11"/>
    <w:rsid w:val="00ED0CB9"/>
    <w:rsid w:val="00ED0D37"/>
    <w:rsid w:val="00ED1301"/>
    <w:rsid w:val="00ED1413"/>
    <w:rsid w:val="00ED24F2"/>
    <w:rsid w:val="00ED2A18"/>
    <w:rsid w:val="00ED2C55"/>
    <w:rsid w:val="00ED363E"/>
    <w:rsid w:val="00ED3BEE"/>
    <w:rsid w:val="00ED3C0C"/>
    <w:rsid w:val="00ED4133"/>
    <w:rsid w:val="00ED462C"/>
    <w:rsid w:val="00ED487E"/>
    <w:rsid w:val="00ED56E6"/>
    <w:rsid w:val="00ED5A5B"/>
    <w:rsid w:val="00ED5B19"/>
    <w:rsid w:val="00ED5DE0"/>
    <w:rsid w:val="00ED6478"/>
    <w:rsid w:val="00ED6835"/>
    <w:rsid w:val="00ED68AC"/>
    <w:rsid w:val="00ED7134"/>
    <w:rsid w:val="00ED7B47"/>
    <w:rsid w:val="00ED7BB5"/>
    <w:rsid w:val="00EE0039"/>
    <w:rsid w:val="00EE008F"/>
    <w:rsid w:val="00EE01AF"/>
    <w:rsid w:val="00EE0247"/>
    <w:rsid w:val="00EE0AD0"/>
    <w:rsid w:val="00EE0BE0"/>
    <w:rsid w:val="00EE0D8C"/>
    <w:rsid w:val="00EE1171"/>
    <w:rsid w:val="00EE11C4"/>
    <w:rsid w:val="00EE14B6"/>
    <w:rsid w:val="00EE1A2E"/>
    <w:rsid w:val="00EE22C3"/>
    <w:rsid w:val="00EE2317"/>
    <w:rsid w:val="00EE2769"/>
    <w:rsid w:val="00EE2AF5"/>
    <w:rsid w:val="00EE2DAB"/>
    <w:rsid w:val="00EE30E4"/>
    <w:rsid w:val="00EE3387"/>
    <w:rsid w:val="00EE34AB"/>
    <w:rsid w:val="00EE3AB7"/>
    <w:rsid w:val="00EE3ACE"/>
    <w:rsid w:val="00EE431E"/>
    <w:rsid w:val="00EE4376"/>
    <w:rsid w:val="00EE461B"/>
    <w:rsid w:val="00EE46E7"/>
    <w:rsid w:val="00EE4BAD"/>
    <w:rsid w:val="00EE4EB8"/>
    <w:rsid w:val="00EE514A"/>
    <w:rsid w:val="00EE51AD"/>
    <w:rsid w:val="00EE581D"/>
    <w:rsid w:val="00EE59D7"/>
    <w:rsid w:val="00EE5EC7"/>
    <w:rsid w:val="00EE6056"/>
    <w:rsid w:val="00EE642F"/>
    <w:rsid w:val="00EE6757"/>
    <w:rsid w:val="00EE6852"/>
    <w:rsid w:val="00EE69A3"/>
    <w:rsid w:val="00EE768A"/>
    <w:rsid w:val="00EE7706"/>
    <w:rsid w:val="00EE7A0D"/>
    <w:rsid w:val="00EE7D4E"/>
    <w:rsid w:val="00EF0376"/>
    <w:rsid w:val="00EF03FF"/>
    <w:rsid w:val="00EF069E"/>
    <w:rsid w:val="00EF0D21"/>
    <w:rsid w:val="00EF1380"/>
    <w:rsid w:val="00EF2567"/>
    <w:rsid w:val="00EF26BB"/>
    <w:rsid w:val="00EF2E38"/>
    <w:rsid w:val="00EF30D5"/>
    <w:rsid w:val="00EF31F9"/>
    <w:rsid w:val="00EF355F"/>
    <w:rsid w:val="00EF39B6"/>
    <w:rsid w:val="00EF4702"/>
    <w:rsid w:val="00EF4725"/>
    <w:rsid w:val="00EF47AF"/>
    <w:rsid w:val="00EF4892"/>
    <w:rsid w:val="00EF4C7B"/>
    <w:rsid w:val="00EF4EC4"/>
    <w:rsid w:val="00EF50D9"/>
    <w:rsid w:val="00EF51AF"/>
    <w:rsid w:val="00EF5359"/>
    <w:rsid w:val="00EF586B"/>
    <w:rsid w:val="00EF5DF9"/>
    <w:rsid w:val="00EF5E86"/>
    <w:rsid w:val="00EF5FA1"/>
    <w:rsid w:val="00EF60A2"/>
    <w:rsid w:val="00EF6189"/>
    <w:rsid w:val="00EF6459"/>
    <w:rsid w:val="00EF6764"/>
    <w:rsid w:val="00EF706E"/>
    <w:rsid w:val="00EF7507"/>
    <w:rsid w:val="00EF7A6D"/>
    <w:rsid w:val="00EF7A76"/>
    <w:rsid w:val="00EF7AFF"/>
    <w:rsid w:val="00EF7D25"/>
    <w:rsid w:val="00EF7E08"/>
    <w:rsid w:val="00EF7FB2"/>
    <w:rsid w:val="00F001D6"/>
    <w:rsid w:val="00F00778"/>
    <w:rsid w:val="00F00886"/>
    <w:rsid w:val="00F01051"/>
    <w:rsid w:val="00F010F5"/>
    <w:rsid w:val="00F011CC"/>
    <w:rsid w:val="00F0187F"/>
    <w:rsid w:val="00F01BD3"/>
    <w:rsid w:val="00F01E1D"/>
    <w:rsid w:val="00F02799"/>
    <w:rsid w:val="00F02880"/>
    <w:rsid w:val="00F02892"/>
    <w:rsid w:val="00F02B0C"/>
    <w:rsid w:val="00F02EB3"/>
    <w:rsid w:val="00F02ED9"/>
    <w:rsid w:val="00F038DC"/>
    <w:rsid w:val="00F03D8D"/>
    <w:rsid w:val="00F03F80"/>
    <w:rsid w:val="00F0415C"/>
    <w:rsid w:val="00F041CC"/>
    <w:rsid w:val="00F04465"/>
    <w:rsid w:val="00F046DA"/>
    <w:rsid w:val="00F04C08"/>
    <w:rsid w:val="00F04C43"/>
    <w:rsid w:val="00F04EE6"/>
    <w:rsid w:val="00F0510A"/>
    <w:rsid w:val="00F05A7F"/>
    <w:rsid w:val="00F06011"/>
    <w:rsid w:val="00F061BC"/>
    <w:rsid w:val="00F06327"/>
    <w:rsid w:val="00F066C2"/>
    <w:rsid w:val="00F068F5"/>
    <w:rsid w:val="00F06F8C"/>
    <w:rsid w:val="00F075B0"/>
    <w:rsid w:val="00F07891"/>
    <w:rsid w:val="00F07B6C"/>
    <w:rsid w:val="00F07F52"/>
    <w:rsid w:val="00F10299"/>
    <w:rsid w:val="00F10300"/>
    <w:rsid w:val="00F1038C"/>
    <w:rsid w:val="00F1068F"/>
    <w:rsid w:val="00F10877"/>
    <w:rsid w:val="00F10B14"/>
    <w:rsid w:val="00F10BF6"/>
    <w:rsid w:val="00F10C7C"/>
    <w:rsid w:val="00F10D6C"/>
    <w:rsid w:val="00F10E38"/>
    <w:rsid w:val="00F11420"/>
    <w:rsid w:val="00F11493"/>
    <w:rsid w:val="00F118B1"/>
    <w:rsid w:val="00F11B29"/>
    <w:rsid w:val="00F11DCD"/>
    <w:rsid w:val="00F126FE"/>
    <w:rsid w:val="00F12718"/>
    <w:rsid w:val="00F1294A"/>
    <w:rsid w:val="00F12967"/>
    <w:rsid w:val="00F12EED"/>
    <w:rsid w:val="00F13135"/>
    <w:rsid w:val="00F13424"/>
    <w:rsid w:val="00F13652"/>
    <w:rsid w:val="00F137CA"/>
    <w:rsid w:val="00F1395E"/>
    <w:rsid w:val="00F13BF9"/>
    <w:rsid w:val="00F13D90"/>
    <w:rsid w:val="00F140E7"/>
    <w:rsid w:val="00F141C8"/>
    <w:rsid w:val="00F14272"/>
    <w:rsid w:val="00F14303"/>
    <w:rsid w:val="00F14618"/>
    <w:rsid w:val="00F1494E"/>
    <w:rsid w:val="00F14BF9"/>
    <w:rsid w:val="00F14CA0"/>
    <w:rsid w:val="00F15204"/>
    <w:rsid w:val="00F15579"/>
    <w:rsid w:val="00F157D6"/>
    <w:rsid w:val="00F157E8"/>
    <w:rsid w:val="00F158C0"/>
    <w:rsid w:val="00F158C5"/>
    <w:rsid w:val="00F15E9C"/>
    <w:rsid w:val="00F15F1D"/>
    <w:rsid w:val="00F15F79"/>
    <w:rsid w:val="00F16257"/>
    <w:rsid w:val="00F16326"/>
    <w:rsid w:val="00F16630"/>
    <w:rsid w:val="00F16C76"/>
    <w:rsid w:val="00F16E21"/>
    <w:rsid w:val="00F170AE"/>
    <w:rsid w:val="00F17580"/>
    <w:rsid w:val="00F17CE1"/>
    <w:rsid w:val="00F17E08"/>
    <w:rsid w:val="00F17EE0"/>
    <w:rsid w:val="00F200FE"/>
    <w:rsid w:val="00F201D7"/>
    <w:rsid w:val="00F2021F"/>
    <w:rsid w:val="00F2035B"/>
    <w:rsid w:val="00F20565"/>
    <w:rsid w:val="00F20B1E"/>
    <w:rsid w:val="00F20D34"/>
    <w:rsid w:val="00F2115C"/>
    <w:rsid w:val="00F214F2"/>
    <w:rsid w:val="00F216FE"/>
    <w:rsid w:val="00F21B94"/>
    <w:rsid w:val="00F21CB9"/>
    <w:rsid w:val="00F21F3A"/>
    <w:rsid w:val="00F2214F"/>
    <w:rsid w:val="00F226E5"/>
    <w:rsid w:val="00F2290E"/>
    <w:rsid w:val="00F229A3"/>
    <w:rsid w:val="00F229E5"/>
    <w:rsid w:val="00F22ABA"/>
    <w:rsid w:val="00F22D71"/>
    <w:rsid w:val="00F23147"/>
    <w:rsid w:val="00F232E6"/>
    <w:rsid w:val="00F23579"/>
    <w:rsid w:val="00F237FE"/>
    <w:rsid w:val="00F23803"/>
    <w:rsid w:val="00F23C5E"/>
    <w:rsid w:val="00F23CB7"/>
    <w:rsid w:val="00F23CEC"/>
    <w:rsid w:val="00F23F73"/>
    <w:rsid w:val="00F24302"/>
    <w:rsid w:val="00F246E3"/>
    <w:rsid w:val="00F2492E"/>
    <w:rsid w:val="00F2566E"/>
    <w:rsid w:val="00F2576F"/>
    <w:rsid w:val="00F2578B"/>
    <w:rsid w:val="00F257CD"/>
    <w:rsid w:val="00F25B03"/>
    <w:rsid w:val="00F25D93"/>
    <w:rsid w:val="00F2639C"/>
    <w:rsid w:val="00F26657"/>
    <w:rsid w:val="00F26B0B"/>
    <w:rsid w:val="00F26C3F"/>
    <w:rsid w:val="00F2723B"/>
    <w:rsid w:val="00F27442"/>
    <w:rsid w:val="00F27475"/>
    <w:rsid w:val="00F2799A"/>
    <w:rsid w:val="00F27DF6"/>
    <w:rsid w:val="00F27E71"/>
    <w:rsid w:val="00F27ED1"/>
    <w:rsid w:val="00F307D2"/>
    <w:rsid w:val="00F31140"/>
    <w:rsid w:val="00F3122C"/>
    <w:rsid w:val="00F313B0"/>
    <w:rsid w:val="00F31987"/>
    <w:rsid w:val="00F321D8"/>
    <w:rsid w:val="00F321DE"/>
    <w:rsid w:val="00F324CD"/>
    <w:rsid w:val="00F32537"/>
    <w:rsid w:val="00F32880"/>
    <w:rsid w:val="00F32B20"/>
    <w:rsid w:val="00F32CAD"/>
    <w:rsid w:val="00F32CB4"/>
    <w:rsid w:val="00F32E3A"/>
    <w:rsid w:val="00F32EDE"/>
    <w:rsid w:val="00F332A8"/>
    <w:rsid w:val="00F335D7"/>
    <w:rsid w:val="00F336AE"/>
    <w:rsid w:val="00F336DC"/>
    <w:rsid w:val="00F33B8A"/>
    <w:rsid w:val="00F33E0D"/>
    <w:rsid w:val="00F33EB8"/>
    <w:rsid w:val="00F33EF9"/>
    <w:rsid w:val="00F33FE3"/>
    <w:rsid w:val="00F34024"/>
    <w:rsid w:val="00F34089"/>
    <w:rsid w:val="00F3452E"/>
    <w:rsid w:val="00F346E9"/>
    <w:rsid w:val="00F34E79"/>
    <w:rsid w:val="00F34F72"/>
    <w:rsid w:val="00F35072"/>
    <w:rsid w:val="00F35BFE"/>
    <w:rsid w:val="00F36464"/>
    <w:rsid w:val="00F367C2"/>
    <w:rsid w:val="00F36B12"/>
    <w:rsid w:val="00F36B72"/>
    <w:rsid w:val="00F36BB3"/>
    <w:rsid w:val="00F36D24"/>
    <w:rsid w:val="00F36DA7"/>
    <w:rsid w:val="00F37034"/>
    <w:rsid w:val="00F37066"/>
    <w:rsid w:val="00F374B8"/>
    <w:rsid w:val="00F402E7"/>
    <w:rsid w:val="00F40436"/>
    <w:rsid w:val="00F40946"/>
    <w:rsid w:val="00F40B5C"/>
    <w:rsid w:val="00F40F60"/>
    <w:rsid w:val="00F40FDD"/>
    <w:rsid w:val="00F417C3"/>
    <w:rsid w:val="00F41AA8"/>
    <w:rsid w:val="00F41C9F"/>
    <w:rsid w:val="00F41DBF"/>
    <w:rsid w:val="00F42071"/>
    <w:rsid w:val="00F420BE"/>
    <w:rsid w:val="00F423A6"/>
    <w:rsid w:val="00F424EC"/>
    <w:rsid w:val="00F428B5"/>
    <w:rsid w:val="00F42DE7"/>
    <w:rsid w:val="00F42ED3"/>
    <w:rsid w:val="00F433E4"/>
    <w:rsid w:val="00F435D5"/>
    <w:rsid w:val="00F43658"/>
    <w:rsid w:val="00F43D1C"/>
    <w:rsid w:val="00F440B5"/>
    <w:rsid w:val="00F440F9"/>
    <w:rsid w:val="00F4445E"/>
    <w:rsid w:val="00F446F1"/>
    <w:rsid w:val="00F44843"/>
    <w:rsid w:val="00F448C4"/>
    <w:rsid w:val="00F44A91"/>
    <w:rsid w:val="00F45421"/>
    <w:rsid w:val="00F4599E"/>
    <w:rsid w:val="00F461A6"/>
    <w:rsid w:val="00F47010"/>
    <w:rsid w:val="00F472A8"/>
    <w:rsid w:val="00F4749D"/>
    <w:rsid w:val="00F47629"/>
    <w:rsid w:val="00F47F97"/>
    <w:rsid w:val="00F50066"/>
    <w:rsid w:val="00F505D4"/>
    <w:rsid w:val="00F507A4"/>
    <w:rsid w:val="00F50AE3"/>
    <w:rsid w:val="00F51821"/>
    <w:rsid w:val="00F51DC2"/>
    <w:rsid w:val="00F51FE3"/>
    <w:rsid w:val="00F5214F"/>
    <w:rsid w:val="00F52784"/>
    <w:rsid w:val="00F527AD"/>
    <w:rsid w:val="00F52BB0"/>
    <w:rsid w:val="00F53070"/>
    <w:rsid w:val="00F532A4"/>
    <w:rsid w:val="00F53C5A"/>
    <w:rsid w:val="00F53CAC"/>
    <w:rsid w:val="00F53E61"/>
    <w:rsid w:val="00F5402B"/>
    <w:rsid w:val="00F54394"/>
    <w:rsid w:val="00F5461F"/>
    <w:rsid w:val="00F54AB3"/>
    <w:rsid w:val="00F54D24"/>
    <w:rsid w:val="00F54F90"/>
    <w:rsid w:val="00F55B1A"/>
    <w:rsid w:val="00F55B52"/>
    <w:rsid w:val="00F55E88"/>
    <w:rsid w:val="00F5656D"/>
    <w:rsid w:val="00F569BC"/>
    <w:rsid w:val="00F56A03"/>
    <w:rsid w:val="00F56BFA"/>
    <w:rsid w:val="00F56CEE"/>
    <w:rsid w:val="00F57768"/>
    <w:rsid w:val="00F57AD9"/>
    <w:rsid w:val="00F57CA2"/>
    <w:rsid w:val="00F602F5"/>
    <w:rsid w:val="00F60A51"/>
    <w:rsid w:val="00F60CCF"/>
    <w:rsid w:val="00F60F1C"/>
    <w:rsid w:val="00F60F9F"/>
    <w:rsid w:val="00F61204"/>
    <w:rsid w:val="00F615C5"/>
    <w:rsid w:val="00F61E23"/>
    <w:rsid w:val="00F61E57"/>
    <w:rsid w:val="00F621B0"/>
    <w:rsid w:val="00F62230"/>
    <w:rsid w:val="00F622E0"/>
    <w:rsid w:val="00F622E1"/>
    <w:rsid w:val="00F6270E"/>
    <w:rsid w:val="00F62E38"/>
    <w:rsid w:val="00F6320D"/>
    <w:rsid w:val="00F63422"/>
    <w:rsid w:val="00F63532"/>
    <w:rsid w:val="00F64265"/>
    <w:rsid w:val="00F64560"/>
    <w:rsid w:val="00F646C2"/>
    <w:rsid w:val="00F64C85"/>
    <w:rsid w:val="00F64E0B"/>
    <w:rsid w:val="00F64F08"/>
    <w:rsid w:val="00F64F36"/>
    <w:rsid w:val="00F652AE"/>
    <w:rsid w:val="00F659B4"/>
    <w:rsid w:val="00F65B52"/>
    <w:rsid w:val="00F66034"/>
    <w:rsid w:val="00F665DB"/>
    <w:rsid w:val="00F6677F"/>
    <w:rsid w:val="00F6688C"/>
    <w:rsid w:val="00F66D87"/>
    <w:rsid w:val="00F675F0"/>
    <w:rsid w:val="00F67A04"/>
    <w:rsid w:val="00F67D29"/>
    <w:rsid w:val="00F67DCD"/>
    <w:rsid w:val="00F67F0B"/>
    <w:rsid w:val="00F70390"/>
    <w:rsid w:val="00F706F8"/>
    <w:rsid w:val="00F70ADD"/>
    <w:rsid w:val="00F70C35"/>
    <w:rsid w:val="00F70DD9"/>
    <w:rsid w:val="00F70FE9"/>
    <w:rsid w:val="00F70FEE"/>
    <w:rsid w:val="00F71902"/>
    <w:rsid w:val="00F71B18"/>
    <w:rsid w:val="00F71EFA"/>
    <w:rsid w:val="00F7204E"/>
    <w:rsid w:val="00F722C1"/>
    <w:rsid w:val="00F7284C"/>
    <w:rsid w:val="00F7285F"/>
    <w:rsid w:val="00F72A0B"/>
    <w:rsid w:val="00F72ABD"/>
    <w:rsid w:val="00F72B5A"/>
    <w:rsid w:val="00F72C2E"/>
    <w:rsid w:val="00F72CAB"/>
    <w:rsid w:val="00F73028"/>
    <w:rsid w:val="00F730D4"/>
    <w:rsid w:val="00F732B6"/>
    <w:rsid w:val="00F73409"/>
    <w:rsid w:val="00F734F5"/>
    <w:rsid w:val="00F736CA"/>
    <w:rsid w:val="00F73DBD"/>
    <w:rsid w:val="00F74165"/>
    <w:rsid w:val="00F74427"/>
    <w:rsid w:val="00F74496"/>
    <w:rsid w:val="00F746AF"/>
    <w:rsid w:val="00F748E0"/>
    <w:rsid w:val="00F750B6"/>
    <w:rsid w:val="00F75311"/>
    <w:rsid w:val="00F7541A"/>
    <w:rsid w:val="00F756EA"/>
    <w:rsid w:val="00F75A69"/>
    <w:rsid w:val="00F75F9B"/>
    <w:rsid w:val="00F760BD"/>
    <w:rsid w:val="00F7621F"/>
    <w:rsid w:val="00F762BC"/>
    <w:rsid w:val="00F76613"/>
    <w:rsid w:val="00F766F2"/>
    <w:rsid w:val="00F7695E"/>
    <w:rsid w:val="00F76BA6"/>
    <w:rsid w:val="00F77231"/>
    <w:rsid w:val="00F773FF"/>
    <w:rsid w:val="00F77453"/>
    <w:rsid w:val="00F77496"/>
    <w:rsid w:val="00F77583"/>
    <w:rsid w:val="00F7788E"/>
    <w:rsid w:val="00F77981"/>
    <w:rsid w:val="00F77A26"/>
    <w:rsid w:val="00F77A92"/>
    <w:rsid w:val="00F8017D"/>
    <w:rsid w:val="00F803F7"/>
    <w:rsid w:val="00F80533"/>
    <w:rsid w:val="00F8063F"/>
    <w:rsid w:val="00F80897"/>
    <w:rsid w:val="00F80CA2"/>
    <w:rsid w:val="00F8100A"/>
    <w:rsid w:val="00F813E9"/>
    <w:rsid w:val="00F8197C"/>
    <w:rsid w:val="00F81AF2"/>
    <w:rsid w:val="00F81BF0"/>
    <w:rsid w:val="00F81DB8"/>
    <w:rsid w:val="00F8241D"/>
    <w:rsid w:val="00F82559"/>
    <w:rsid w:val="00F82718"/>
    <w:rsid w:val="00F8369A"/>
    <w:rsid w:val="00F838AB"/>
    <w:rsid w:val="00F8399E"/>
    <w:rsid w:val="00F83D76"/>
    <w:rsid w:val="00F84032"/>
    <w:rsid w:val="00F84049"/>
    <w:rsid w:val="00F84421"/>
    <w:rsid w:val="00F846C9"/>
    <w:rsid w:val="00F847A7"/>
    <w:rsid w:val="00F84A0A"/>
    <w:rsid w:val="00F84F27"/>
    <w:rsid w:val="00F84F99"/>
    <w:rsid w:val="00F85AFD"/>
    <w:rsid w:val="00F85D68"/>
    <w:rsid w:val="00F85E54"/>
    <w:rsid w:val="00F86174"/>
    <w:rsid w:val="00F86232"/>
    <w:rsid w:val="00F865D3"/>
    <w:rsid w:val="00F86B34"/>
    <w:rsid w:val="00F86D02"/>
    <w:rsid w:val="00F870CF"/>
    <w:rsid w:val="00F87603"/>
    <w:rsid w:val="00F87684"/>
    <w:rsid w:val="00F87897"/>
    <w:rsid w:val="00F879BE"/>
    <w:rsid w:val="00F87BEE"/>
    <w:rsid w:val="00F87E76"/>
    <w:rsid w:val="00F901DA"/>
    <w:rsid w:val="00F90312"/>
    <w:rsid w:val="00F90BDA"/>
    <w:rsid w:val="00F9105B"/>
    <w:rsid w:val="00F913FE"/>
    <w:rsid w:val="00F91B11"/>
    <w:rsid w:val="00F91C5E"/>
    <w:rsid w:val="00F91CDC"/>
    <w:rsid w:val="00F91FF4"/>
    <w:rsid w:val="00F922DA"/>
    <w:rsid w:val="00F92FF7"/>
    <w:rsid w:val="00F93340"/>
    <w:rsid w:val="00F935B0"/>
    <w:rsid w:val="00F93DAD"/>
    <w:rsid w:val="00F94782"/>
    <w:rsid w:val="00F9484F"/>
    <w:rsid w:val="00F94CA0"/>
    <w:rsid w:val="00F95160"/>
    <w:rsid w:val="00F9522A"/>
    <w:rsid w:val="00F95B64"/>
    <w:rsid w:val="00F96085"/>
    <w:rsid w:val="00F9658B"/>
    <w:rsid w:val="00F965D4"/>
    <w:rsid w:val="00F966B1"/>
    <w:rsid w:val="00F96C6D"/>
    <w:rsid w:val="00F970EE"/>
    <w:rsid w:val="00F9719D"/>
    <w:rsid w:val="00F97289"/>
    <w:rsid w:val="00F978E2"/>
    <w:rsid w:val="00F97D48"/>
    <w:rsid w:val="00F97F47"/>
    <w:rsid w:val="00F97FD0"/>
    <w:rsid w:val="00FA00F0"/>
    <w:rsid w:val="00FA027E"/>
    <w:rsid w:val="00FA0311"/>
    <w:rsid w:val="00FA08B9"/>
    <w:rsid w:val="00FA0E6D"/>
    <w:rsid w:val="00FA0EF7"/>
    <w:rsid w:val="00FA148E"/>
    <w:rsid w:val="00FA1F6C"/>
    <w:rsid w:val="00FA22BE"/>
    <w:rsid w:val="00FA2772"/>
    <w:rsid w:val="00FA2884"/>
    <w:rsid w:val="00FA2BF5"/>
    <w:rsid w:val="00FA2DEA"/>
    <w:rsid w:val="00FA2E73"/>
    <w:rsid w:val="00FA2EC9"/>
    <w:rsid w:val="00FA301C"/>
    <w:rsid w:val="00FA3472"/>
    <w:rsid w:val="00FA39E0"/>
    <w:rsid w:val="00FA46A0"/>
    <w:rsid w:val="00FA4CB6"/>
    <w:rsid w:val="00FA50D9"/>
    <w:rsid w:val="00FA515C"/>
    <w:rsid w:val="00FA5160"/>
    <w:rsid w:val="00FA54D3"/>
    <w:rsid w:val="00FA56DE"/>
    <w:rsid w:val="00FA5721"/>
    <w:rsid w:val="00FA582D"/>
    <w:rsid w:val="00FA5D08"/>
    <w:rsid w:val="00FA5D5C"/>
    <w:rsid w:val="00FA61AE"/>
    <w:rsid w:val="00FA631B"/>
    <w:rsid w:val="00FA639C"/>
    <w:rsid w:val="00FA6685"/>
    <w:rsid w:val="00FA66DB"/>
    <w:rsid w:val="00FA6B3F"/>
    <w:rsid w:val="00FA6DCC"/>
    <w:rsid w:val="00FA71BB"/>
    <w:rsid w:val="00FA734D"/>
    <w:rsid w:val="00FA73C6"/>
    <w:rsid w:val="00FA78DC"/>
    <w:rsid w:val="00FB0148"/>
    <w:rsid w:val="00FB0197"/>
    <w:rsid w:val="00FB0655"/>
    <w:rsid w:val="00FB07F9"/>
    <w:rsid w:val="00FB0A13"/>
    <w:rsid w:val="00FB0C96"/>
    <w:rsid w:val="00FB0D84"/>
    <w:rsid w:val="00FB0FDC"/>
    <w:rsid w:val="00FB151A"/>
    <w:rsid w:val="00FB1771"/>
    <w:rsid w:val="00FB17A0"/>
    <w:rsid w:val="00FB18BF"/>
    <w:rsid w:val="00FB1E9C"/>
    <w:rsid w:val="00FB204D"/>
    <w:rsid w:val="00FB2187"/>
    <w:rsid w:val="00FB22DE"/>
    <w:rsid w:val="00FB2394"/>
    <w:rsid w:val="00FB26CF"/>
    <w:rsid w:val="00FB2760"/>
    <w:rsid w:val="00FB3265"/>
    <w:rsid w:val="00FB340D"/>
    <w:rsid w:val="00FB35E0"/>
    <w:rsid w:val="00FB39A4"/>
    <w:rsid w:val="00FB39D6"/>
    <w:rsid w:val="00FB3A3D"/>
    <w:rsid w:val="00FB3AF0"/>
    <w:rsid w:val="00FB3C44"/>
    <w:rsid w:val="00FB3DA2"/>
    <w:rsid w:val="00FB3E2F"/>
    <w:rsid w:val="00FB3F9F"/>
    <w:rsid w:val="00FB434F"/>
    <w:rsid w:val="00FB4681"/>
    <w:rsid w:val="00FB4AAB"/>
    <w:rsid w:val="00FB5641"/>
    <w:rsid w:val="00FB5EFD"/>
    <w:rsid w:val="00FB61EB"/>
    <w:rsid w:val="00FB66BA"/>
    <w:rsid w:val="00FB6D19"/>
    <w:rsid w:val="00FB6E71"/>
    <w:rsid w:val="00FB71DC"/>
    <w:rsid w:val="00FB72E6"/>
    <w:rsid w:val="00FB75C6"/>
    <w:rsid w:val="00FB7D73"/>
    <w:rsid w:val="00FB7DED"/>
    <w:rsid w:val="00FB7FA1"/>
    <w:rsid w:val="00FC0852"/>
    <w:rsid w:val="00FC096D"/>
    <w:rsid w:val="00FC0A4C"/>
    <w:rsid w:val="00FC0FCF"/>
    <w:rsid w:val="00FC129F"/>
    <w:rsid w:val="00FC1431"/>
    <w:rsid w:val="00FC14F6"/>
    <w:rsid w:val="00FC1E84"/>
    <w:rsid w:val="00FC21DF"/>
    <w:rsid w:val="00FC28D0"/>
    <w:rsid w:val="00FC2EB7"/>
    <w:rsid w:val="00FC317B"/>
    <w:rsid w:val="00FC37A9"/>
    <w:rsid w:val="00FC38FC"/>
    <w:rsid w:val="00FC3A3F"/>
    <w:rsid w:val="00FC3E7C"/>
    <w:rsid w:val="00FC42E5"/>
    <w:rsid w:val="00FC4BC3"/>
    <w:rsid w:val="00FC4D83"/>
    <w:rsid w:val="00FC55AB"/>
    <w:rsid w:val="00FC55BA"/>
    <w:rsid w:val="00FC560D"/>
    <w:rsid w:val="00FC605C"/>
    <w:rsid w:val="00FC6524"/>
    <w:rsid w:val="00FC6892"/>
    <w:rsid w:val="00FC69A1"/>
    <w:rsid w:val="00FC6AD7"/>
    <w:rsid w:val="00FC6FA1"/>
    <w:rsid w:val="00FC6FAD"/>
    <w:rsid w:val="00FC6FF7"/>
    <w:rsid w:val="00FC7083"/>
    <w:rsid w:val="00FC71EC"/>
    <w:rsid w:val="00FD021E"/>
    <w:rsid w:val="00FD059F"/>
    <w:rsid w:val="00FD0867"/>
    <w:rsid w:val="00FD0ED0"/>
    <w:rsid w:val="00FD2095"/>
    <w:rsid w:val="00FD25BF"/>
    <w:rsid w:val="00FD277E"/>
    <w:rsid w:val="00FD2938"/>
    <w:rsid w:val="00FD29B4"/>
    <w:rsid w:val="00FD2B95"/>
    <w:rsid w:val="00FD3062"/>
    <w:rsid w:val="00FD30CC"/>
    <w:rsid w:val="00FD30F8"/>
    <w:rsid w:val="00FD345D"/>
    <w:rsid w:val="00FD3572"/>
    <w:rsid w:val="00FD36A7"/>
    <w:rsid w:val="00FD3708"/>
    <w:rsid w:val="00FD40B5"/>
    <w:rsid w:val="00FD41E1"/>
    <w:rsid w:val="00FD4476"/>
    <w:rsid w:val="00FD4A55"/>
    <w:rsid w:val="00FD4AB9"/>
    <w:rsid w:val="00FD4D6E"/>
    <w:rsid w:val="00FD4FBF"/>
    <w:rsid w:val="00FD5425"/>
    <w:rsid w:val="00FD553A"/>
    <w:rsid w:val="00FD5CF5"/>
    <w:rsid w:val="00FD5D61"/>
    <w:rsid w:val="00FD5F86"/>
    <w:rsid w:val="00FD618C"/>
    <w:rsid w:val="00FD640F"/>
    <w:rsid w:val="00FD6A3F"/>
    <w:rsid w:val="00FD6B4C"/>
    <w:rsid w:val="00FD6BE9"/>
    <w:rsid w:val="00FD6E54"/>
    <w:rsid w:val="00FD7053"/>
    <w:rsid w:val="00FD7635"/>
    <w:rsid w:val="00FD7785"/>
    <w:rsid w:val="00FD78F1"/>
    <w:rsid w:val="00FD7C44"/>
    <w:rsid w:val="00FD7DEE"/>
    <w:rsid w:val="00FD7F83"/>
    <w:rsid w:val="00FE0088"/>
    <w:rsid w:val="00FE01F0"/>
    <w:rsid w:val="00FE02C1"/>
    <w:rsid w:val="00FE03F6"/>
    <w:rsid w:val="00FE041E"/>
    <w:rsid w:val="00FE0E9B"/>
    <w:rsid w:val="00FE0F8C"/>
    <w:rsid w:val="00FE100B"/>
    <w:rsid w:val="00FE10C1"/>
    <w:rsid w:val="00FE1148"/>
    <w:rsid w:val="00FE11F8"/>
    <w:rsid w:val="00FE1304"/>
    <w:rsid w:val="00FE154B"/>
    <w:rsid w:val="00FE17D7"/>
    <w:rsid w:val="00FE1957"/>
    <w:rsid w:val="00FE1A9E"/>
    <w:rsid w:val="00FE1E31"/>
    <w:rsid w:val="00FE1F5A"/>
    <w:rsid w:val="00FE24E9"/>
    <w:rsid w:val="00FE26F7"/>
    <w:rsid w:val="00FE2AAC"/>
    <w:rsid w:val="00FE313F"/>
    <w:rsid w:val="00FE40D2"/>
    <w:rsid w:val="00FE42E9"/>
    <w:rsid w:val="00FE463B"/>
    <w:rsid w:val="00FE46E4"/>
    <w:rsid w:val="00FE483B"/>
    <w:rsid w:val="00FE4FAA"/>
    <w:rsid w:val="00FE5BFF"/>
    <w:rsid w:val="00FE5CDF"/>
    <w:rsid w:val="00FE5EBA"/>
    <w:rsid w:val="00FE5F25"/>
    <w:rsid w:val="00FE6016"/>
    <w:rsid w:val="00FE6085"/>
    <w:rsid w:val="00FE608C"/>
    <w:rsid w:val="00FE6099"/>
    <w:rsid w:val="00FE63E1"/>
    <w:rsid w:val="00FE6AAE"/>
    <w:rsid w:val="00FE6F42"/>
    <w:rsid w:val="00FE7141"/>
    <w:rsid w:val="00FE72CA"/>
    <w:rsid w:val="00FE7481"/>
    <w:rsid w:val="00FE7766"/>
    <w:rsid w:val="00FE7809"/>
    <w:rsid w:val="00FE7A7D"/>
    <w:rsid w:val="00FE7D0B"/>
    <w:rsid w:val="00FE7E94"/>
    <w:rsid w:val="00FF00AB"/>
    <w:rsid w:val="00FF00E0"/>
    <w:rsid w:val="00FF0188"/>
    <w:rsid w:val="00FF077F"/>
    <w:rsid w:val="00FF0874"/>
    <w:rsid w:val="00FF0CBF"/>
    <w:rsid w:val="00FF0EAD"/>
    <w:rsid w:val="00FF0EE7"/>
    <w:rsid w:val="00FF1166"/>
    <w:rsid w:val="00FF16C6"/>
    <w:rsid w:val="00FF184C"/>
    <w:rsid w:val="00FF18ED"/>
    <w:rsid w:val="00FF1D0C"/>
    <w:rsid w:val="00FF23DD"/>
    <w:rsid w:val="00FF24AD"/>
    <w:rsid w:val="00FF299D"/>
    <w:rsid w:val="00FF2A3C"/>
    <w:rsid w:val="00FF2B00"/>
    <w:rsid w:val="00FF33A4"/>
    <w:rsid w:val="00FF3404"/>
    <w:rsid w:val="00FF340B"/>
    <w:rsid w:val="00FF3854"/>
    <w:rsid w:val="00FF3A17"/>
    <w:rsid w:val="00FF3EC1"/>
    <w:rsid w:val="00FF4387"/>
    <w:rsid w:val="00FF43D0"/>
    <w:rsid w:val="00FF4998"/>
    <w:rsid w:val="00FF4D83"/>
    <w:rsid w:val="00FF4E99"/>
    <w:rsid w:val="00FF4EEC"/>
    <w:rsid w:val="00FF5020"/>
    <w:rsid w:val="00FF50EE"/>
    <w:rsid w:val="00FF514E"/>
    <w:rsid w:val="00FF5939"/>
    <w:rsid w:val="00FF59D1"/>
    <w:rsid w:val="00FF5AD5"/>
    <w:rsid w:val="00FF5DFD"/>
    <w:rsid w:val="00FF5FB3"/>
    <w:rsid w:val="00FF61AC"/>
    <w:rsid w:val="00FF64D3"/>
    <w:rsid w:val="00FF6602"/>
    <w:rsid w:val="00FF68ED"/>
    <w:rsid w:val="00FF6A09"/>
    <w:rsid w:val="00FF6C39"/>
    <w:rsid w:val="00FF6EF8"/>
    <w:rsid w:val="00FF6F23"/>
    <w:rsid w:val="00FF70BF"/>
    <w:rsid w:val="00FF70E3"/>
    <w:rsid w:val="00FF73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D5DB56"/>
  <w15:docId w15:val="{0F8AB27D-6132-48CE-A903-F22762F6F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lsdException w:name="Signature" w:semiHidden="1" w:unhideWhenUsed="1"/>
    <w:lsdException w:name="Default Paragraph Font" w:semiHidden="1" w:uiPriority="1" w:unhideWhenUsed="1"/>
    <w:lsdException w:name="Body Text" w:semiHidden="1" w:uiPriority="49" w:unhideWhenUsed="1"/>
    <w:lsdException w:name="Body Text Indent" w:semiHidden="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491C72"/>
    <w:pPr>
      <w:keepLines/>
      <w:spacing w:before="120" w:after="120" w:line="252" w:lineRule="auto"/>
    </w:pPr>
    <w:rPr>
      <w:color w:val="232B39" w:themeColor="text1"/>
      <w:sz w:val="18"/>
    </w:rPr>
  </w:style>
  <w:style w:type="paragraph" w:styleId="Heading1">
    <w:name w:val="heading 1"/>
    <w:next w:val="Normal"/>
    <w:link w:val="Heading1Char"/>
    <w:qFormat/>
    <w:rsid w:val="0027122F"/>
    <w:pPr>
      <w:keepNext/>
      <w:keepLines/>
      <w:spacing w:before="400" w:after="80" w:line="252" w:lineRule="auto"/>
      <w:outlineLvl w:val="0"/>
    </w:pPr>
    <w:rPr>
      <w:rFonts w:asciiTheme="majorHAnsi" w:eastAsia="Times New Roman" w:hAnsiTheme="majorHAnsi" w:cstheme="majorBidi"/>
      <w:b/>
      <w:bCs/>
      <w:color w:val="3A3467" w:themeColor="text2"/>
      <w:sz w:val="36"/>
      <w:szCs w:val="28"/>
    </w:rPr>
  </w:style>
  <w:style w:type="paragraph" w:styleId="Heading2">
    <w:name w:val="heading 2"/>
    <w:basedOn w:val="Normal"/>
    <w:next w:val="Normal"/>
    <w:link w:val="Heading2Char"/>
    <w:qFormat/>
    <w:rsid w:val="0096774E"/>
    <w:pPr>
      <w:keepNext/>
      <w:spacing w:before="200" w:after="240"/>
      <w:outlineLvl w:val="1"/>
    </w:pPr>
    <w:rPr>
      <w:rFonts w:asciiTheme="majorHAnsi" w:eastAsiaTheme="majorEastAsia" w:hAnsiTheme="majorHAnsi" w:cstheme="majorBidi"/>
      <w:b/>
      <w:bCs/>
      <w:color w:val="3A3467" w:themeColor="text2"/>
      <w:sz w:val="28"/>
      <w:szCs w:val="26"/>
    </w:rPr>
  </w:style>
  <w:style w:type="paragraph" w:styleId="Heading3">
    <w:name w:val="heading 3"/>
    <w:basedOn w:val="Normal"/>
    <w:next w:val="Normal"/>
    <w:link w:val="Heading3Char"/>
    <w:qFormat/>
    <w:rsid w:val="00001BF1"/>
    <w:pPr>
      <w:keepNext/>
      <w:spacing w:before="240"/>
      <w:outlineLvl w:val="2"/>
    </w:pPr>
    <w:rPr>
      <w:rFonts w:asciiTheme="majorHAnsi" w:eastAsiaTheme="majorEastAsia" w:hAnsiTheme="majorHAnsi" w:cstheme="majorBidi"/>
      <w:b/>
      <w:bCs/>
      <w:sz w:val="22"/>
      <w:szCs w:val="24"/>
    </w:rPr>
  </w:style>
  <w:style w:type="paragraph" w:styleId="Heading4">
    <w:name w:val="heading 4"/>
    <w:basedOn w:val="Normal"/>
    <w:next w:val="Normal"/>
    <w:link w:val="Heading4Char"/>
    <w:semiHidden/>
    <w:qFormat/>
    <w:rsid w:val="00522F8A"/>
    <w:pPr>
      <w:keepNext/>
      <w:spacing w:before="200"/>
      <w:outlineLvl w:val="3"/>
    </w:pPr>
    <w:rPr>
      <w:rFonts w:asciiTheme="majorHAnsi" w:eastAsiaTheme="majorEastAsia" w:hAnsiTheme="majorHAnsi" w:cstheme="majorBidi"/>
      <w:b/>
      <w:bCs/>
      <w:iCs/>
      <w:color w:val="3A3467" w:themeColor="text2"/>
      <w:sz w:val="21"/>
      <w:szCs w:val="21"/>
    </w:rPr>
  </w:style>
  <w:style w:type="paragraph" w:styleId="Heading5">
    <w:name w:val="heading 5"/>
    <w:basedOn w:val="Normal"/>
    <w:next w:val="Normal"/>
    <w:link w:val="Heading5Char"/>
    <w:semiHidden/>
    <w:rsid w:val="00522F8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22F8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313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522F8A"/>
    <w:pPr>
      <w:spacing w:after="0" w:line="240" w:lineRule="auto"/>
    </w:pPr>
    <w:tblPr>
      <w:tblStyleRowBandSize w:val="1"/>
      <w:tblStyleColBandSize w:val="1"/>
      <w:tblBorders>
        <w:top w:val="single" w:sz="8" w:space="0" w:color="4C9E61" w:themeColor="accent4"/>
        <w:left w:val="single" w:sz="8" w:space="0" w:color="4C9E61" w:themeColor="accent4"/>
        <w:bottom w:val="single" w:sz="8" w:space="0" w:color="4C9E61" w:themeColor="accent4"/>
        <w:right w:val="single" w:sz="8" w:space="0" w:color="4C9E61" w:themeColor="accent4"/>
      </w:tblBorders>
    </w:tblPr>
    <w:tblStylePr w:type="firstRow">
      <w:pPr>
        <w:spacing w:before="0" w:after="0" w:line="240" w:lineRule="auto"/>
      </w:pPr>
      <w:rPr>
        <w:b/>
        <w:bCs/>
        <w:color w:val="FFFFFF" w:themeColor="background1"/>
      </w:rPr>
      <w:tblPr/>
      <w:tcPr>
        <w:shd w:val="clear" w:color="auto" w:fill="4C9E61" w:themeFill="accent4"/>
      </w:tcPr>
    </w:tblStylePr>
    <w:tblStylePr w:type="lastRow">
      <w:pPr>
        <w:spacing w:before="0" w:after="0" w:line="240" w:lineRule="auto"/>
      </w:pPr>
      <w:rPr>
        <w:b/>
        <w:bCs/>
      </w:rPr>
      <w:tblPr/>
      <w:tcPr>
        <w:tcBorders>
          <w:top w:val="double" w:sz="6" w:space="0" w:color="4C9E61" w:themeColor="accent4"/>
          <w:left w:val="single" w:sz="8" w:space="0" w:color="4C9E61" w:themeColor="accent4"/>
          <w:bottom w:val="single" w:sz="8" w:space="0" w:color="4C9E61" w:themeColor="accent4"/>
          <w:right w:val="single" w:sz="8" w:space="0" w:color="4C9E61" w:themeColor="accent4"/>
        </w:tcBorders>
      </w:tcPr>
    </w:tblStylePr>
    <w:tblStylePr w:type="firstCol">
      <w:rPr>
        <w:b/>
        <w:bCs/>
      </w:rPr>
    </w:tblStylePr>
    <w:tblStylePr w:type="lastCol">
      <w:rPr>
        <w:b/>
        <w:bCs/>
      </w:rPr>
    </w:tblStylePr>
    <w:tblStylePr w:type="band1Vert">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tblStylePr w:type="band1Horz">
      <w:tblPr/>
      <w:tcPr>
        <w:tcBorders>
          <w:top w:val="single" w:sz="8" w:space="0" w:color="4C9E61" w:themeColor="accent4"/>
          <w:left w:val="single" w:sz="8" w:space="0" w:color="4C9E61" w:themeColor="accent4"/>
          <w:bottom w:val="single" w:sz="8" w:space="0" w:color="4C9E61" w:themeColor="accent4"/>
          <w:right w:val="single" w:sz="8" w:space="0" w:color="4C9E61" w:themeColor="accent4"/>
        </w:tcBorders>
      </w:tcPr>
    </w:tblStylePr>
  </w:style>
  <w:style w:type="table" w:styleId="LightList-Accent1">
    <w:name w:val="Light List Accent 1"/>
    <w:basedOn w:val="TableNormal"/>
    <w:uiPriority w:val="61"/>
    <w:rsid w:val="00522F8A"/>
    <w:pPr>
      <w:spacing w:after="0" w:line="240" w:lineRule="auto"/>
    </w:pPr>
    <w:tblPr>
      <w:tblStyleRowBandSize w:val="1"/>
      <w:tblStyleColBandSize w:val="1"/>
      <w:tblBorders>
        <w:top w:val="single" w:sz="8" w:space="0" w:color="00BAC7" w:themeColor="accent1"/>
        <w:left w:val="single" w:sz="8" w:space="0" w:color="00BAC7" w:themeColor="accent1"/>
        <w:bottom w:val="single" w:sz="8" w:space="0" w:color="00BAC7" w:themeColor="accent1"/>
        <w:right w:val="single" w:sz="8" w:space="0" w:color="00BAC7" w:themeColor="accent1"/>
      </w:tblBorders>
    </w:tblPr>
    <w:tblStylePr w:type="firstRow">
      <w:pPr>
        <w:spacing w:before="0" w:after="0" w:line="240" w:lineRule="auto"/>
      </w:pPr>
      <w:rPr>
        <w:b/>
        <w:bCs/>
        <w:color w:val="FFFFFF" w:themeColor="background1"/>
      </w:rPr>
      <w:tblPr/>
      <w:tcPr>
        <w:shd w:val="clear" w:color="auto" w:fill="00BAC7" w:themeFill="accent1"/>
      </w:tcPr>
    </w:tblStylePr>
    <w:tblStylePr w:type="lastRow">
      <w:pPr>
        <w:spacing w:before="0" w:after="0" w:line="240" w:lineRule="auto"/>
      </w:pPr>
      <w:rPr>
        <w:b/>
        <w:bCs/>
      </w:rPr>
      <w:tblPr/>
      <w:tcPr>
        <w:tcBorders>
          <w:top w:val="double" w:sz="6" w:space="0" w:color="00BAC7" w:themeColor="accent1"/>
          <w:left w:val="single" w:sz="8" w:space="0" w:color="00BAC7" w:themeColor="accent1"/>
          <w:bottom w:val="single" w:sz="8" w:space="0" w:color="00BAC7" w:themeColor="accent1"/>
          <w:right w:val="single" w:sz="8" w:space="0" w:color="00BAC7" w:themeColor="accent1"/>
        </w:tcBorders>
      </w:tcPr>
    </w:tblStylePr>
    <w:tblStylePr w:type="firstCol">
      <w:rPr>
        <w:b/>
        <w:bCs/>
      </w:rPr>
    </w:tblStylePr>
    <w:tblStylePr w:type="lastCol">
      <w:rPr>
        <w:b/>
        <w:bCs/>
      </w:rPr>
    </w:tblStylePr>
    <w:tblStylePr w:type="band1Vert">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tblStylePr w:type="band1Horz">
      <w:tblPr/>
      <w:tcPr>
        <w:tcBorders>
          <w:top w:val="single" w:sz="8" w:space="0" w:color="00BAC7" w:themeColor="accent1"/>
          <w:left w:val="single" w:sz="8" w:space="0" w:color="00BAC7" w:themeColor="accent1"/>
          <w:bottom w:val="single" w:sz="8" w:space="0" w:color="00BAC7" w:themeColor="accent1"/>
          <w:right w:val="single" w:sz="8" w:space="0" w:color="00BAC7" w:themeColor="accent1"/>
        </w:tcBorders>
      </w:tcPr>
    </w:tblStylePr>
  </w:style>
  <w:style w:type="paragraph" w:styleId="TOC1">
    <w:name w:val="toc 1"/>
    <w:basedOn w:val="Normal"/>
    <w:next w:val="Normal"/>
    <w:uiPriority w:val="39"/>
    <w:rsid w:val="00F15E9C"/>
    <w:pPr>
      <w:pBdr>
        <w:bottom w:val="single" w:sz="12" w:space="4" w:color="auto"/>
        <w:between w:val="single" w:sz="6" w:space="1" w:color="auto"/>
      </w:pBdr>
      <w:tabs>
        <w:tab w:val="right" w:pos="9000"/>
      </w:tabs>
      <w:spacing w:before="80" w:after="40" w:line="240" w:lineRule="auto"/>
      <w:ind w:right="29"/>
    </w:pPr>
    <w:rPr>
      <w:noProof/>
      <w:color w:val="000000"/>
      <w:sz w:val="16"/>
      <w:szCs w:val="24"/>
    </w:rPr>
  </w:style>
  <w:style w:type="paragraph" w:styleId="TOC2">
    <w:name w:val="toc 2"/>
    <w:next w:val="Normal"/>
    <w:uiPriority w:val="39"/>
    <w:semiHidden/>
    <w:rsid w:val="00522F8A"/>
    <w:pPr>
      <w:tabs>
        <w:tab w:val="right" w:pos="9000"/>
      </w:tabs>
      <w:spacing w:after="100"/>
      <w:ind w:left="446" w:right="432"/>
      <w:contextualSpacing/>
    </w:pPr>
    <w:rPr>
      <w:noProof/>
      <w:spacing w:val="2"/>
    </w:rPr>
  </w:style>
  <w:style w:type="paragraph" w:styleId="TOC3">
    <w:name w:val="toc 3"/>
    <w:basedOn w:val="Normal"/>
    <w:next w:val="Normal"/>
    <w:uiPriority w:val="39"/>
    <w:semiHidden/>
    <w:rsid w:val="00522F8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522F8A"/>
    <w:pPr>
      <w:spacing w:after="60" w:line="240" w:lineRule="auto"/>
    </w:pPr>
    <w:rPr>
      <w:sz w:val="16"/>
    </w:rPr>
  </w:style>
  <w:style w:type="paragraph" w:styleId="Index2">
    <w:name w:val="index 2"/>
    <w:basedOn w:val="Normal"/>
    <w:next w:val="Normal"/>
    <w:uiPriority w:val="99"/>
    <w:semiHidden/>
    <w:rsid w:val="00522F8A"/>
    <w:pPr>
      <w:spacing w:after="0" w:line="240" w:lineRule="auto"/>
      <w:ind w:left="216"/>
    </w:pPr>
    <w:rPr>
      <w:sz w:val="16"/>
      <w:szCs w:val="16"/>
    </w:rPr>
  </w:style>
  <w:style w:type="character" w:styleId="Hyperlink">
    <w:name w:val="Hyperlink"/>
    <w:basedOn w:val="DefaultParagraphFont"/>
    <w:uiPriority w:val="99"/>
    <w:rsid w:val="001D3A50"/>
    <w:rPr>
      <w:color w:val="004C97"/>
      <w:u w:val="none"/>
    </w:rPr>
  </w:style>
  <w:style w:type="character" w:customStyle="1" w:styleId="Heading1Char">
    <w:name w:val="Heading 1 Char"/>
    <w:basedOn w:val="DefaultParagraphFont"/>
    <w:link w:val="Heading1"/>
    <w:rsid w:val="0027122F"/>
    <w:rPr>
      <w:rFonts w:asciiTheme="majorHAnsi" w:eastAsia="Times New Roman" w:hAnsiTheme="majorHAnsi" w:cstheme="majorBidi"/>
      <w:b/>
      <w:bCs/>
      <w:color w:val="3A3467" w:themeColor="text2"/>
      <w:sz w:val="36"/>
      <w:szCs w:val="28"/>
    </w:rPr>
  </w:style>
  <w:style w:type="character" w:customStyle="1" w:styleId="Heading2Char">
    <w:name w:val="Heading 2 Char"/>
    <w:basedOn w:val="DefaultParagraphFont"/>
    <w:link w:val="Heading2"/>
    <w:rsid w:val="0096774E"/>
    <w:rPr>
      <w:rFonts w:asciiTheme="majorHAnsi" w:eastAsiaTheme="majorEastAsia" w:hAnsiTheme="majorHAnsi" w:cstheme="majorBidi"/>
      <w:b/>
      <w:bCs/>
      <w:color w:val="3A3467" w:themeColor="text2"/>
      <w:sz w:val="28"/>
      <w:szCs w:val="26"/>
    </w:rPr>
  </w:style>
  <w:style w:type="paragraph" w:customStyle="1" w:styleId="Bullet1">
    <w:name w:val="Bullet 1"/>
    <w:uiPriority w:val="1"/>
    <w:qFormat/>
    <w:rsid w:val="006805B9"/>
    <w:pPr>
      <w:keepLines/>
      <w:numPr>
        <w:numId w:val="2"/>
      </w:numPr>
      <w:spacing w:before="100" w:after="100" w:line="252" w:lineRule="auto"/>
      <w:contextualSpacing/>
    </w:pPr>
    <w:rPr>
      <w:rFonts w:eastAsia="Times New Roman" w:cs="Calibri"/>
      <w:color w:val="232B39" w:themeColor="text1"/>
      <w:sz w:val="18"/>
    </w:rPr>
  </w:style>
  <w:style w:type="paragraph" w:customStyle="1" w:styleId="Bullet2">
    <w:name w:val="Bullet 2"/>
    <w:basedOn w:val="Bullet1"/>
    <w:uiPriority w:val="1"/>
    <w:qFormat/>
    <w:rsid w:val="00522F8A"/>
    <w:pPr>
      <w:numPr>
        <w:ilvl w:val="1"/>
      </w:numPr>
    </w:pPr>
  </w:style>
  <w:style w:type="paragraph" w:customStyle="1" w:styleId="Bulletindent">
    <w:name w:val="Bullet indent"/>
    <w:basedOn w:val="Bullet2"/>
    <w:uiPriority w:val="5"/>
    <w:qFormat/>
    <w:rsid w:val="00BB660E"/>
    <w:pPr>
      <w:numPr>
        <w:ilvl w:val="2"/>
      </w:numPr>
      <w:spacing w:line="264" w:lineRule="auto"/>
    </w:pPr>
  </w:style>
  <w:style w:type="paragraph" w:customStyle="1" w:styleId="Heading1numbered">
    <w:name w:val="Heading 1 numbered"/>
    <w:basedOn w:val="Heading1"/>
    <w:next w:val="NormalIndent"/>
    <w:uiPriority w:val="4"/>
    <w:semiHidden/>
    <w:qFormat/>
    <w:rsid w:val="00522F8A"/>
    <w:pPr>
      <w:numPr>
        <w:ilvl w:val="2"/>
        <w:numId w:val="4"/>
      </w:numPr>
      <w:tabs>
        <w:tab w:val="clear" w:pos="792"/>
        <w:tab w:val="num" w:pos="1134"/>
      </w:tabs>
      <w:ind w:left="1134" w:hanging="284"/>
    </w:pPr>
  </w:style>
  <w:style w:type="paragraph" w:customStyle="1" w:styleId="Heading2numbered">
    <w:name w:val="Heading 2 numbered"/>
    <w:basedOn w:val="Heading2"/>
    <w:next w:val="NormalIndent"/>
    <w:uiPriority w:val="4"/>
    <w:semiHidden/>
    <w:qFormat/>
    <w:rsid w:val="00522F8A"/>
    <w:pPr>
      <w:numPr>
        <w:ilvl w:val="3"/>
        <w:numId w:val="4"/>
      </w:numPr>
      <w:tabs>
        <w:tab w:val="clear" w:pos="792"/>
        <w:tab w:val="num" w:pos="1417"/>
      </w:tabs>
      <w:ind w:left="1417" w:hanging="283"/>
    </w:pPr>
  </w:style>
  <w:style w:type="paragraph" w:customStyle="1" w:styleId="Heading3numbered">
    <w:name w:val="Heading 3 numbered"/>
    <w:basedOn w:val="Heading3"/>
    <w:next w:val="NormalIndent"/>
    <w:uiPriority w:val="4"/>
    <w:semiHidden/>
    <w:qFormat/>
    <w:rsid w:val="00522F8A"/>
    <w:pPr>
      <w:numPr>
        <w:ilvl w:val="4"/>
        <w:numId w:val="4"/>
      </w:numPr>
      <w:tabs>
        <w:tab w:val="clear" w:pos="792"/>
        <w:tab w:val="num" w:pos="1701"/>
      </w:tabs>
      <w:ind w:left="1701" w:hanging="284"/>
    </w:pPr>
  </w:style>
  <w:style w:type="character" w:customStyle="1" w:styleId="Heading3Char">
    <w:name w:val="Heading 3 Char"/>
    <w:basedOn w:val="DefaultParagraphFont"/>
    <w:link w:val="Heading3"/>
    <w:rsid w:val="00001BF1"/>
    <w:rPr>
      <w:rFonts w:asciiTheme="majorHAnsi" w:eastAsiaTheme="majorEastAsia" w:hAnsiTheme="majorHAnsi" w:cstheme="majorBidi"/>
      <w:b/>
      <w:bCs/>
      <w:color w:val="232B39" w:themeColor="text1"/>
      <w:sz w:val="22"/>
      <w:szCs w:val="24"/>
    </w:rPr>
  </w:style>
  <w:style w:type="paragraph" w:customStyle="1" w:styleId="Heading4numbered">
    <w:name w:val="Heading 4 numbered"/>
    <w:basedOn w:val="Heading4"/>
    <w:next w:val="NormalIndent"/>
    <w:uiPriority w:val="4"/>
    <w:semiHidden/>
    <w:qFormat/>
    <w:rsid w:val="00522F8A"/>
    <w:pPr>
      <w:numPr>
        <w:ilvl w:val="5"/>
        <w:numId w:val="4"/>
      </w:numPr>
      <w:tabs>
        <w:tab w:val="clear" w:pos="792"/>
        <w:tab w:val="num" w:pos="1984"/>
      </w:tabs>
      <w:ind w:left="1984" w:hanging="283"/>
    </w:pPr>
  </w:style>
  <w:style w:type="character" w:customStyle="1" w:styleId="Heading4Char">
    <w:name w:val="Heading 4 Char"/>
    <w:basedOn w:val="DefaultParagraphFont"/>
    <w:link w:val="Heading4"/>
    <w:semiHidden/>
    <w:rsid w:val="00491C72"/>
    <w:rPr>
      <w:rFonts w:asciiTheme="majorHAnsi" w:eastAsiaTheme="majorEastAsia" w:hAnsiTheme="majorHAnsi" w:cstheme="majorBidi"/>
      <w:b/>
      <w:bCs/>
      <w:iCs/>
      <w:color w:val="3A3467" w:themeColor="text2"/>
      <w:sz w:val="21"/>
      <w:szCs w:val="21"/>
    </w:rPr>
  </w:style>
  <w:style w:type="paragraph" w:styleId="NormalIndent">
    <w:name w:val="Normal Indent"/>
    <w:basedOn w:val="Normal"/>
    <w:uiPriority w:val="9"/>
    <w:semiHidden/>
    <w:qFormat/>
    <w:rsid w:val="00BB660E"/>
    <w:pPr>
      <w:ind w:left="792"/>
    </w:pPr>
  </w:style>
  <w:style w:type="paragraph" w:customStyle="1" w:styleId="NoteNormal">
    <w:name w:val="Note Normal"/>
    <w:basedOn w:val="Normal"/>
    <w:qFormat/>
    <w:rsid w:val="00522F8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22F8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125514"/>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125514"/>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522F8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125514"/>
    <w:pPr>
      <w:shd w:val="clear" w:color="auto" w:fill="232B39" w:themeFill="text1"/>
      <w:spacing w:before="160" w:after="0" w:line="216" w:lineRule="auto"/>
      <w:ind w:left="446" w:right="4910"/>
      <w:jc w:val="right"/>
    </w:pPr>
    <w:rPr>
      <w:rFonts w:asciiTheme="majorHAnsi" w:eastAsia="Times New Roman" w:hAnsiTheme="majorHAnsi" w:cstheme="majorHAnsi"/>
      <w:b/>
      <w:color w:val="FFFFFF" w:themeColor="background1"/>
      <w:sz w:val="48"/>
      <w:szCs w:val="48"/>
    </w:rPr>
  </w:style>
  <w:style w:type="character" w:customStyle="1" w:styleId="TitleChar">
    <w:name w:val="Title Char"/>
    <w:basedOn w:val="DefaultParagraphFont"/>
    <w:link w:val="Title"/>
    <w:uiPriority w:val="44"/>
    <w:rsid w:val="00125514"/>
    <w:rPr>
      <w:rFonts w:asciiTheme="majorHAnsi" w:eastAsia="Times New Roman" w:hAnsiTheme="majorHAnsi" w:cstheme="majorHAnsi"/>
      <w:b/>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02C"/>
    <w:rPr>
      <w:rFonts w:ascii="Tahoma" w:hAnsi="Tahoma" w:cs="Tahoma"/>
      <w:spacing w:val="2"/>
      <w:sz w:val="16"/>
      <w:szCs w:val="16"/>
    </w:rPr>
  </w:style>
  <w:style w:type="paragraph" w:customStyle="1" w:styleId="Bulletindent2">
    <w:name w:val="Bullet indent 2"/>
    <w:basedOn w:val="Normal"/>
    <w:uiPriority w:val="5"/>
    <w:qFormat/>
    <w:rsid w:val="00BB660E"/>
    <w:pPr>
      <w:numPr>
        <w:ilvl w:val="3"/>
        <w:numId w:val="2"/>
      </w:numPr>
      <w:contextualSpacing/>
    </w:pPr>
  </w:style>
  <w:style w:type="paragraph" w:styleId="IndexHeading">
    <w:name w:val="index heading"/>
    <w:basedOn w:val="Normal"/>
    <w:next w:val="Index1"/>
    <w:uiPriority w:val="99"/>
    <w:semiHidden/>
    <w:rsid w:val="00522F8A"/>
    <w:rPr>
      <w:rFonts w:asciiTheme="majorHAnsi" w:eastAsiaTheme="majorEastAsia" w:hAnsiTheme="majorHAnsi" w:cstheme="majorBidi"/>
      <w:b/>
      <w:bCs/>
    </w:rPr>
  </w:style>
  <w:style w:type="paragraph" w:styleId="Header">
    <w:name w:val="header"/>
    <w:basedOn w:val="Normal"/>
    <w:link w:val="HeaderChar"/>
    <w:uiPriority w:val="99"/>
    <w:semiHidden/>
    <w:rsid w:val="00522F8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22F8A"/>
    <w:rPr>
      <w:color w:val="232B39" w:themeColor="text1"/>
    </w:rPr>
  </w:style>
  <w:style w:type="paragraph" w:styleId="Footer">
    <w:name w:val="footer"/>
    <w:basedOn w:val="Normal"/>
    <w:link w:val="FooterChar"/>
    <w:uiPriority w:val="99"/>
    <w:semiHidden/>
    <w:rsid w:val="008E49B3"/>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semiHidden/>
    <w:rsid w:val="00491C72"/>
    <w:rPr>
      <w:noProof/>
      <w:color w:val="232B39" w:themeColor="text1"/>
      <w:sz w:val="18"/>
      <w:szCs w:val="18"/>
    </w:rPr>
  </w:style>
  <w:style w:type="character" w:styleId="PageNumber">
    <w:name w:val="page number"/>
    <w:uiPriority w:val="49"/>
    <w:semiHidden/>
    <w:rsid w:val="00522F8A"/>
    <w:rPr>
      <w:rFonts w:asciiTheme="minorHAnsi" w:hAnsiTheme="minorHAnsi"/>
      <w:b w:val="0"/>
      <w:color w:val="232B39" w:themeColor="text1"/>
    </w:rPr>
  </w:style>
  <w:style w:type="paragraph" w:styleId="TOCHeading">
    <w:name w:val="TOC Heading"/>
    <w:basedOn w:val="Heading1"/>
    <w:next w:val="Normal"/>
    <w:uiPriority w:val="38"/>
    <w:semiHidden/>
    <w:rsid w:val="00522F8A"/>
    <w:pPr>
      <w:spacing w:before="480" w:after="720"/>
      <w:outlineLvl w:val="9"/>
    </w:pPr>
    <w:rPr>
      <w:spacing w:val="2"/>
    </w:rPr>
  </w:style>
  <w:style w:type="paragraph" w:customStyle="1" w:styleId="NormalTight">
    <w:name w:val="Normal Tight"/>
    <w:uiPriority w:val="99"/>
    <w:semiHidden/>
    <w:rsid w:val="00522F8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C171D"/>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73844"/>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22F8A"/>
    <w:pPr>
      <w:spacing w:before="3800"/>
      <w:ind w:right="1382"/>
    </w:pPr>
  </w:style>
  <w:style w:type="paragraph" w:styleId="TOC4">
    <w:name w:val="toc 4"/>
    <w:basedOn w:val="TOC1"/>
    <w:next w:val="Normal"/>
    <w:uiPriority w:val="39"/>
    <w:semiHidden/>
    <w:rsid w:val="00522F8A"/>
    <w:pPr>
      <w:spacing w:before="280"/>
      <w:ind w:left="446" w:hanging="446"/>
    </w:pPr>
    <w:rPr>
      <w:lang w:eastAsia="en-US"/>
    </w:rPr>
  </w:style>
  <w:style w:type="paragraph" w:styleId="TOC5">
    <w:name w:val="toc 5"/>
    <w:basedOn w:val="TOC2"/>
    <w:next w:val="Normal"/>
    <w:uiPriority w:val="39"/>
    <w:semiHidden/>
    <w:rsid w:val="00522F8A"/>
    <w:pPr>
      <w:ind w:left="1080" w:hanging="634"/>
    </w:pPr>
    <w:rPr>
      <w:lang w:eastAsia="en-US"/>
    </w:rPr>
  </w:style>
  <w:style w:type="paragraph" w:styleId="TOC6">
    <w:name w:val="toc 6"/>
    <w:basedOn w:val="TOC3"/>
    <w:next w:val="Normal"/>
    <w:uiPriority w:val="39"/>
    <w:semiHidden/>
    <w:rsid w:val="00522F8A"/>
    <w:pPr>
      <w:ind w:left="1800" w:hanging="720"/>
    </w:pPr>
    <w:rPr>
      <w:lang w:eastAsia="en-US"/>
    </w:rPr>
  </w:style>
  <w:style w:type="table" w:customStyle="1" w:styleId="DTFtexttable">
    <w:name w:val="DTF text table"/>
    <w:basedOn w:val="TableNormal"/>
    <w:uiPriority w:val="99"/>
    <w:rsid w:val="00030708"/>
    <w:pPr>
      <w:spacing w:before="30" w:after="30" w:line="264" w:lineRule="auto"/>
    </w:pPr>
    <w:rPr>
      <w:rFonts w:eastAsiaTheme="minorHAnsi"/>
      <w:spacing w:val="2"/>
      <w:sz w:val="17"/>
      <w:szCs w:val="21"/>
      <w:lang w:eastAsia="en-US"/>
    </w:rPr>
    <w:tblPr>
      <w:tblStyleRowBandSize w:val="1"/>
      <w:tblStyleColBandSize w:val="1"/>
      <w:tblBorders>
        <w:bottom w:val="single" w:sz="12" w:space="0" w:color="71D9E0"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A6E7EB" w:themeFill="background2"/>
      </w:tcPr>
    </w:tblStylePr>
    <w:tblStylePr w:type="lastRow">
      <w:rPr>
        <w:b/>
      </w:rPr>
      <w:tblPr/>
      <w:tcPr>
        <w:tcBorders>
          <w:top w:val="single" w:sz="6" w:space="0" w:color="71D9E0" w:themeColor="accent2"/>
          <w:left w:val="nil"/>
          <w:bottom w:val="single" w:sz="12" w:space="0" w:color="71D9E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030708"/>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1D9E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A6E7EB" w:themeFill="background2"/>
      </w:tcPr>
    </w:tblStylePr>
    <w:tblStylePr w:type="lastRow">
      <w:rPr>
        <w:b/>
      </w:rPr>
      <w:tblPr/>
      <w:tcPr>
        <w:tcBorders>
          <w:top w:val="single" w:sz="6" w:space="0" w:color="00BAC7" w:themeColor="accent1"/>
          <w:left w:val="nil"/>
          <w:bottom w:val="single" w:sz="12" w:space="0" w:color="00BAC7"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22F8A"/>
    <w:pPr>
      <w:spacing w:before="60" w:after="60"/>
    </w:pPr>
    <w:rPr>
      <w:sz w:val="17"/>
    </w:rPr>
  </w:style>
  <w:style w:type="paragraph" w:customStyle="1" w:styleId="Tabletextright">
    <w:name w:val="Table text right"/>
    <w:basedOn w:val="Tabletext"/>
    <w:uiPriority w:val="5"/>
    <w:qFormat/>
    <w:rsid w:val="00522F8A"/>
    <w:pPr>
      <w:jc w:val="right"/>
    </w:pPr>
  </w:style>
  <w:style w:type="paragraph" w:customStyle="1" w:styleId="Listnumindent2">
    <w:name w:val="List num indent 2"/>
    <w:basedOn w:val="Normal"/>
    <w:uiPriority w:val="5"/>
    <w:semiHidden/>
    <w:qFormat/>
    <w:rsid w:val="00522F8A"/>
    <w:pPr>
      <w:numPr>
        <w:ilvl w:val="7"/>
        <w:numId w:val="4"/>
      </w:numPr>
      <w:tabs>
        <w:tab w:val="clear" w:pos="1800"/>
        <w:tab w:val="num" w:pos="2551"/>
      </w:tabs>
      <w:spacing w:before="100"/>
      <w:ind w:left="2551" w:hanging="283"/>
      <w:contextualSpacing/>
    </w:pPr>
  </w:style>
  <w:style w:type="paragraph" w:customStyle="1" w:styleId="Listnumindent">
    <w:name w:val="List num indent"/>
    <w:basedOn w:val="Normal"/>
    <w:uiPriority w:val="5"/>
    <w:semiHidden/>
    <w:qFormat/>
    <w:rsid w:val="00522F8A"/>
    <w:pPr>
      <w:numPr>
        <w:ilvl w:val="6"/>
        <w:numId w:val="4"/>
      </w:numPr>
      <w:tabs>
        <w:tab w:val="clear" w:pos="1296"/>
        <w:tab w:val="num" w:pos="2268"/>
      </w:tabs>
      <w:spacing w:before="100"/>
      <w:ind w:left="2268" w:hanging="284"/>
    </w:pPr>
  </w:style>
  <w:style w:type="paragraph" w:customStyle="1" w:styleId="Listnum">
    <w:name w:val="List num"/>
    <w:basedOn w:val="Normal"/>
    <w:uiPriority w:val="1"/>
    <w:qFormat/>
    <w:rsid w:val="00522F8A"/>
    <w:pPr>
      <w:numPr>
        <w:numId w:val="4"/>
      </w:numPr>
    </w:pPr>
  </w:style>
  <w:style w:type="paragraph" w:customStyle="1" w:styleId="Listnum2">
    <w:name w:val="List num 2"/>
    <w:basedOn w:val="Normal"/>
    <w:uiPriority w:val="1"/>
    <w:qFormat/>
    <w:rsid w:val="00522F8A"/>
    <w:pPr>
      <w:numPr>
        <w:ilvl w:val="1"/>
        <w:numId w:val="4"/>
      </w:numPr>
    </w:pPr>
  </w:style>
  <w:style w:type="paragraph" w:customStyle="1" w:styleId="Tabletextcentred">
    <w:name w:val="Table text centred"/>
    <w:basedOn w:val="Tabletext"/>
    <w:uiPriority w:val="5"/>
    <w:qFormat/>
    <w:rsid w:val="00522F8A"/>
    <w:pPr>
      <w:jc w:val="center"/>
    </w:pPr>
  </w:style>
  <w:style w:type="paragraph" w:customStyle="1" w:styleId="Tableheader">
    <w:name w:val="Table header"/>
    <w:basedOn w:val="Tabletext"/>
    <w:uiPriority w:val="5"/>
    <w:qFormat/>
    <w:rsid w:val="00522F8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522F8A"/>
    <w:pPr>
      <w:numPr>
        <w:numId w:val="5"/>
      </w:numPr>
    </w:pPr>
  </w:style>
  <w:style w:type="paragraph" w:customStyle="1" w:styleId="Tabledash">
    <w:name w:val="Table dash"/>
    <w:basedOn w:val="Tablebullet"/>
    <w:uiPriority w:val="6"/>
    <w:rsid w:val="00522F8A"/>
    <w:pPr>
      <w:numPr>
        <w:ilvl w:val="1"/>
      </w:numPr>
    </w:pPr>
  </w:style>
  <w:style w:type="paragraph" w:customStyle="1" w:styleId="Numpara">
    <w:name w:val="Num para"/>
    <w:basedOn w:val="ListParagraph"/>
    <w:uiPriority w:val="2"/>
    <w:qFormat/>
    <w:rsid w:val="00522F8A"/>
    <w:pPr>
      <w:numPr>
        <w:numId w:val="3"/>
      </w:numPr>
      <w:tabs>
        <w:tab w:val="left" w:pos="540"/>
      </w:tabs>
    </w:pPr>
  </w:style>
  <w:style w:type="paragraph" w:styleId="ListParagraph">
    <w:name w:val="List Paragraph"/>
    <w:basedOn w:val="Normal"/>
    <w:uiPriority w:val="34"/>
    <w:qFormat/>
    <w:rsid w:val="00522F8A"/>
    <w:pPr>
      <w:ind w:left="720"/>
      <w:contextualSpacing/>
    </w:pPr>
  </w:style>
  <w:style w:type="paragraph" w:styleId="FootnoteText">
    <w:name w:val="footnote text"/>
    <w:basedOn w:val="Normal"/>
    <w:link w:val="FootnoteTextChar"/>
    <w:uiPriority w:val="99"/>
    <w:semiHidden/>
    <w:rsid w:val="00522F8A"/>
    <w:pPr>
      <w:spacing w:before="0" w:after="0" w:line="240" w:lineRule="auto"/>
    </w:pPr>
    <w:rPr>
      <w:sz w:val="17"/>
    </w:rPr>
  </w:style>
  <w:style w:type="character" w:customStyle="1" w:styleId="FootnoteTextChar">
    <w:name w:val="Footnote Text Char"/>
    <w:basedOn w:val="DefaultParagraphFont"/>
    <w:link w:val="FootnoteText"/>
    <w:uiPriority w:val="99"/>
    <w:semiHidden/>
    <w:rsid w:val="00522F8A"/>
    <w:rPr>
      <w:color w:val="232B39" w:themeColor="text1"/>
      <w:sz w:val="17"/>
    </w:rPr>
  </w:style>
  <w:style w:type="character" w:styleId="FootnoteReference">
    <w:name w:val="footnote reference"/>
    <w:basedOn w:val="DefaultParagraphFont"/>
    <w:uiPriority w:val="99"/>
    <w:semiHidden/>
    <w:rsid w:val="00522F8A"/>
    <w:rPr>
      <w:vertAlign w:val="superscript"/>
    </w:rPr>
  </w:style>
  <w:style w:type="paragraph" w:customStyle="1" w:styleId="Numparaindent">
    <w:name w:val="Num para indent"/>
    <w:basedOn w:val="Numpara"/>
    <w:uiPriority w:val="9"/>
    <w:semiHidden/>
    <w:qFormat/>
    <w:rsid w:val="00522F8A"/>
    <w:pPr>
      <w:numPr>
        <w:ilvl w:val="8"/>
        <w:numId w:val="4"/>
      </w:numPr>
      <w:tabs>
        <w:tab w:val="clear" w:pos="540"/>
      </w:tabs>
    </w:pPr>
  </w:style>
  <w:style w:type="paragraph" w:customStyle="1" w:styleId="Tablenum1">
    <w:name w:val="Table num 1"/>
    <w:basedOn w:val="Normal"/>
    <w:uiPriority w:val="6"/>
    <w:rsid w:val="00522F8A"/>
    <w:pPr>
      <w:numPr>
        <w:ilvl w:val="2"/>
        <w:numId w:val="5"/>
      </w:numPr>
      <w:spacing w:before="60" w:after="60"/>
    </w:pPr>
    <w:rPr>
      <w:sz w:val="17"/>
    </w:rPr>
  </w:style>
  <w:style w:type="paragraph" w:customStyle="1" w:styleId="Tablenum2">
    <w:name w:val="Table num 2"/>
    <w:basedOn w:val="Normal"/>
    <w:uiPriority w:val="6"/>
    <w:rsid w:val="00522F8A"/>
    <w:pPr>
      <w:numPr>
        <w:ilvl w:val="3"/>
        <w:numId w:val="5"/>
      </w:numPr>
      <w:spacing w:before="60" w:after="60"/>
    </w:pPr>
    <w:rPr>
      <w:sz w:val="17"/>
    </w:rPr>
  </w:style>
  <w:style w:type="paragraph" w:customStyle="1" w:styleId="NoteNormalindent">
    <w:name w:val="Note Normal indent"/>
    <w:basedOn w:val="NoteNormal"/>
    <w:uiPriority w:val="9"/>
    <w:semiHidden/>
    <w:rsid w:val="00522F8A"/>
    <w:pPr>
      <w:ind w:left="792"/>
    </w:pPr>
  </w:style>
  <w:style w:type="paragraph" w:styleId="Caption">
    <w:name w:val="caption"/>
    <w:basedOn w:val="Normal"/>
    <w:next w:val="Normal"/>
    <w:uiPriority w:val="5"/>
    <w:rsid w:val="00522F8A"/>
    <w:pPr>
      <w:spacing w:before="200" w:after="60" w:line="240" w:lineRule="auto"/>
    </w:pPr>
    <w:rPr>
      <w:b/>
      <w:bCs/>
      <w:color w:val="3A3467" w:themeColor="text2"/>
      <w:szCs w:val="18"/>
    </w:rPr>
  </w:style>
  <w:style w:type="paragraph" w:customStyle="1" w:styleId="CM">
    <w:name w:val="CM"/>
    <w:next w:val="Normal"/>
    <w:uiPriority w:val="79"/>
    <w:rsid w:val="005129A3"/>
    <w:pPr>
      <w:spacing w:after="2000" w:line="240" w:lineRule="auto"/>
      <w:ind w:right="4910"/>
      <w:jc w:val="right"/>
    </w:pPr>
    <w:rPr>
      <w:caps/>
      <w:color w:val="FFFFFF" w:themeColor="background1"/>
    </w:rPr>
  </w:style>
  <w:style w:type="paragraph" w:customStyle="1" w:styleId="CoverSpacer">
    <w:name w:val="CoverSpacer"/>
    <w:basedOn w:val="Normal"/>
    <w:semiHidden/>
    <w:qFormat/>
    <w:rsid w:val="00522F8A"/>
    <w:pPr>
      <w:spacing w:before="4600" w:after="0"/>
    </w:pPr>
  </w:style>
  <w:style w:type="character" w:styleId="FollowedHyperlink">
    <w:name w:val="FollowedHyperlink"/>
    <w:basedOn w:val="DefaultParagraphFont"/>
    <w:uiPriority w:val="99"/>
    <w:semiHidden/>
    <w:rsid w:val="00FE24E9"/>
    <w:rPr>
      <w:color w:val="808080" w:themeColor="background1" w:themeShade="80"/>
      <w:u w:val="none"/>
    </w:rPr>
  </w:style>
  <w:style w:type="character" w:customStyle="1" w:styleId="Heading5Char">
    <w:name w:val="Heading 5 Char"/>
    <w:basedOn w:val="DefaultParagraphFont"/>
    <w:link w:val="Heading5"/>
    <w:semiHidden/>
    <w:rsid w:val="00491C72"/>
    <w:rPr>
      <w:rFonts w:asciiTheme="majorHAnsi" w:eastAsiaTheme="majorEastAsia" w:hAnsiTheme="majorHAnsi" w:cstheme="majorBidi"/>
      <w:color w:val="3A3467" w:themeColor="text2"/>
      <w:sz w:val="18"/>
    </w:rPr>
  </w:style>
  <w:style w:type="character" w:styleId="PlaceholderText">
    <w:name w:val="Placeholder Text"/>
    <w:basedOn w:val="DefaultParagraphFont"/>
    <w:uiPriority w:val="99"/>
    <w:semiHidden/>
    <w:rsid w:val="00522F8A"/>
    <w:rPr>
      <w:color w:val="808080"/>
    </w:rPr>
  </w:style>
  <w:style w:type="table" w:styleId="PlainTable4">
    <w:name w:val="Plain Table 4"/>
    <w:basedOn w:val="TableNormal"/>
    <w:uiPriority w:val="44"/>
    <w:rsid w:val="00522F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6805B9"/>
    <w:pPr>
      <w:pBdr>
        <w:top w:val="single" w:sz="12" w:space="6" w:color="A6E7EB" w:themeColor="background2"/>
        <w:bottom w:val="single" w:sz="12" w:space="4" w:color="A6E7EB"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6805B9"/>
    <w:rPr>
      <w:i/>
      <w:iCs/>
      <w:color w:val="232B39" w:themeColor="text1"/>
      <w:sz w:val="18"/>
      <w:szCs w:val="18"/>
    </w:rPr>
  </w:style>
  <w:style w:type="paragraph" w:customStyle="1" w:styleId="ReportDate">
    <w:name w:val="ReportDate"/>
    <w:uiPriority w:val="79"/>
    <w:semiHidden/>
    <w:rsid w:val="00072A2A"/>
    <w:pPr>
      <w:spacing w:after="0" w:line="240" w:lineRule="auto"/>
      <w:ind w:right="2909"/>
    </w:pPr>
    <w:rPr>
      <w:b/>
      <w:bCs/>
      <w:caps/>
    </w:rPr>
  </w:style>
  <w:style w:type="character" w:styleId="UnresolvedMention">
    <w:name w:val="Unresolved Mention"/>
    <w:basedOn w:val="DefaultParagraphFont"/>
    <w:uiPriority w:val="99"/>
    <w:semiHidden/>
    <w:rsid w:val="00FE24E9"/>
    <w:rPr>
      <w:color w:val="605E5C"/>
      <w:shd w:val="clear" w:color="auto" w:fill="E1DFDD"/>
    </w:rPr>
  </w:style>
  <w:style w:type="character" w:styleId="CommentReference">
    <w:name w:val="annotation reference"/>
    <w:basedOn w:val="DefaultParagraphFont"/>
    <w:uiPriority w:val="99"/>
    <w:semiHidden/>
    <w:unhideWhenUsed/>
    <w:rsid w:val="00BF35E3"/>
    <w:rPr>
      <w:sz w:val="16"/>
      <w:szCs w:val="16"/>
    </w:rPr>
  </w:style>
  <w:style w:type="paragraph" w:styleId="CommentText">
    <w:name w:val="annotation text"/>
    <w:basedOn w:val="Normal"/>
    <w:link w:val="CommentTextChar"/>
    <w:uiPriority w:val="99"/>
    <w:semiHidden/>
    <w:unhideWhenUsed/>
    <w:rsid w:val="00BF35E3"/>
    <w:pPr>
      <w:spacing w:line="240" w:lineRule="auto"/>
    </w:pPr>
    <w:rPr>
      <w:sz w:val="20"/>
    </w:rPr>
  </w:style>
  <w:style w:type="character" w:customStyle="1" w:styleId="CommentTextChar">
    <w:name w:val="Comment Text Char"/>
    <w:basedOn w:val="DefaultParagraphFont"/>
    <w:link w:val="CommentText"/>
    <w:uiPriority w:val="99"/>
    <w:semiHidden/>
    <w:rsid w:val="00BF35E3"/>
    <w:rPr>
      <w:color w:val="232B39" w:themeColor="text1"/>
    </w:rPr>
  </w:style>
  <w:style w:type="paragraph" w:styleId="CommentSubject">
    <w:name w:val="annotation subject"/>
    <w:basedOn w:val="CommentText"/>
    <w:next w:val="CommentText"/>
    <w:link w:val="CommentSubjectChar"/>
    <w:uiPriority w:val="99"/>
    <w:semiHidden/>
    <w:unhideWhenUsed/>
    <w:rsid w:val="00BF35E3"/>
    <w:rPr>
      <w:b/>
      <w:bCs/>
    </w:rPr>
  </w:style>
  <w:style w:type="character" w:customStyle="1" w:styleId="CommentSubjectChar">
    <w:name w:val="Comment Subject Char"/>
    <w:basedOn w:val="CommentTextChar"/>
    <w:link w:val="CommentSubject"/>
    <w:uiPriority w:val="99"/>
    <w:semiHidden/>
    <w:rsid w:val="00BF35E3"/>
    <w:rPr>
      <w:b/>
      <w:bCs/>
      <w:color w:val="232B39" w:themeColor="text1"/>
    </w:rPr>
  </w:style>
  <w:style w:type="paragraph" w:styleId="Revision">
    <w:name w:val="Revision"/>
    <w:hidden/>
    <w:uiPriority w:val="99"/>
    <w:semiHidden/>
    <w:rsid w:val="00D67EFC"/>
    <w:pPr>
      <w:spacing w:after="0" w:line="240" w:lineRule="auto"/>
    </w:pPr>
    <w:rPr>
      <w:color w:val="232B39" w:themeColor="text1"/>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5806783">
      <w:bodyDiv w:val="1"/>
      <w:marLeft w:val="0"/>
      <w:marRight w:val="0"/>
      <w:marTop w:val="0"/>
      <w:marBottom w:val="0"/>
      <w:divBdr>
        <w:top w:val="none" w:sz="0" w:space="0" w:color="auto"/>
        <w:left w:val="none" w:sz="0" w:space="0" w:color="auto"/>
        <w:bottom w:val="none" w:sz="0" w:space="0" w:color="auto"/>
        <w:right w:val="none" w:sz="0" w:space="0" w:color="auto"/>
      </w:divBdr>
    </w:div>
    <w:div w:id="466356383">
      <w:bodyDiv w:val="1"/>
      <w:marLeft w:val="0"/>
      <w:marRight w:val="0"/>
      <w:marTop w:val="0"/>
      <w:marBottom w:val="0"/>
      <w:divBdr>
        <w:top w:val="none" w:sz="0" w:space="0" w:color="auto"/>
        <w:left w:val="none" w:sz="0" w:space="0" w:color="auto"/>
        <w:bottom w:val="none" w:sz="0" w:space="0" w:color="auto"/>
        <w:right w:val="none" w:sz="0" w:space="0" w:color="auto"/>
      </w:divBdr>
    </w:div>
    <w:div w:id="838616830">
      <w:bodyDiv w:val="1"/>
      <w:marLeft w:val="0"/>
      <w:marRight w:val="0"/>
      <w:marTop w:val="0"/>
      <w:marBottom w:val="0"/>
      <w:divBdr>
        <w:top w:val="none" w:sz="0" w:space="0" w:color="auto"/>
        <w:left w:val="none" w:sz="0" w:space="0" w:color="auto"/>
        <w:bottom w:val="none" w:sz="0" w:space="0" w:color="auto"/>
        <w:right w:val="none" w:sz="0" w:space="0" w:color="auto"/>
      </w:divBdr>
      <w:divsChild>
        <w:div w:id="222252401">
          <w:marLeft w:val="360"/>
          <w:marRight w:val="0"/>
          <w:marTop w:val="200"/>
          <w:marBottom w:val="0"/>
          <w:divBdr>
            <w:top w:val="none" w:sz="0" w:space="0" w:color="auto"/>
            <w:left w:val="none" w:sz="0" w:space="0" w:color="auto"/>
            <w:bottom w:val="none" w:sz="0" w:space="0" w:color="auto"/>
            <w:right w:val="none" w:sz="0" w:space="0" w:color="auto"/>
          </w:divBdr>
        </w:div>
        <w:div w:id="249626894">
          <w:marLeft w:val="360"/>
          <w:marRight w:val="0"/>
          <w:marTop w:val="200"/>
          <w:marBottom w:val="0"/>
          <w:divBdr>
            <w:top w:val="none" w:sz="0" w:space="0" w:color="auto"/>
            <w:left w:val="none" w:sz="0" w:space="0" w:color="auto"/>
            <w:bottom w:val="none" w:sz="0" w:space="0" w:color="auto"/>
            <w:right w:val="none" w:sz="0" w:space="0" w:color="auto"/>
          </w:divBdr>
        </w:div>
        <w:div w:id="1222252956">
          <w:marLeft w:val="360"/>
          <w:marRight w:val="0"/>
          <w:marTop w:val="200"/>
          <w:marBottom w:val="0"/>
          <w:divBdr>
            <w:top w:val="none" w:sz="0" w:space="0" w:color="auto"/>
            <w:left w:val="none" w:sz="0" w:space="0" w:color="auto"/>
            <w:bottom w:val="none" w:sz="0" w:space="0" w:color="auto"/>
            <w:right w:val="none" w:sz="0" w:space="0" w:color="auto"/>
          </w:divBdr>
        </w:div>
        <w:div w:id="1427456309">
          <w:marLeft w:val="360"/>
          <w:marRight w:val="0"/>
          <w:marTop w:val="200"/>
          <w:marBottom w:val="0"/>
          <w:divBdr>
            <w:top w:val="none" w:sz="0" w:space="0" w:color="auto"/>
            <w:left w:val="none" w:sz="0" w:space="0" w:color="auto"/>
            <w:bottom w:val="none" w:sz="0" w:space="0" w:color="auto"/>
            <w:right w:val="none" w:sz="0" w:space="0" w:color="auto"/>
          </w:divBdr>
        </w:div>
        <w:div w:id="1708218250">
          <w:marLeft w:val="360"/>
          <w:marRight w:val="0"/>
          <w:marTop w:val="200"/>
          <w:marBottom w:val="0"/>
          <w:divBdr>
            <w:top w:val="none" w:sz="0" w:space="0" w:color="auto"/>
            <w:left w:val="none" w:sz="0" w:space="0" w:color="auto"/>
            <w:bottom w:val="none" w:sz="0" w:space="0" w:color="auto"/>
            <w:right w:val="none" w:sz="0" w:space="0" w:color="auto"/>
          </w:divBdr>
        </w:div>
      </w:divsChild>
    </w:div>
    <w:div w:id="851919871">
      <w:bodyDiv w:val="1"/>
      <w:marLeft w:val="0"/>
      <w:marRight w:val="0"/>
      <w:marTop w:val="0"/>
      <w:marBottom w:val="0"/>
      <w:divBdr>
        <w:top w:val="none" w:sz="0" w:space="0" w:color="auto"/>
        <w:left w:val="none" w:sz="0" w:space="0" w:color="auto"/>
        <w:bottom w:val="none" w:sz="0" w:space="0" w:color="auto"/>
        <w:right w:val="none" w:sz="0" w:space="0" w:color="auto"/>
      </w:divBdr>
    </w:div>
    <w:div w:id="1322931381">
      <w:bodyDiv w:val="1"/>
      <w:marLeft w:val="0"/>
      <w:marRight w:val="0"/>
      <w:marTop w:val="0"/>
      <w:marBottom w:val="0"/>
      <w:divBdr>
        <w:top w:val="none" w:sz="0" w:space="0" w:color="auto"/>
        <w:left w:val="none" w:sz="0" w:space="0" w:color="auto"/>
        <w:bottom w:val="none" w:sz="0" w:space="0" w:color="auto"/>
        <w:right w:val="none" w:sz="0" w:space="0" w:color="auto"/>
      </w:divBdr>
    </w:div>
    <w:div w:id="1364819506">
      <w:bodyDiv w:val="1"/>
      <w:marLeft w:val="0"/>
      <w:marRight w:val="0"/>
      <w:marTop w:val="0"/>
      <w:marBottom w:val="0"/>
      <w:divBdr>
        <w:top w:val="none" w:sz="0" w:space="0" w:color="auto"/>
        <w:left w:val="none" w:sz="0" w:space="0" w:color="auto"/>
        <w:bottom w:val="none" w:sz="0" w:space="0" w:color="auto"/>
        <w:right w:val="none" w:sz="0" w:space="0" w:color="auto"/>
      </w:divBdr>
    </w:div>
    <w:div w:id="1690402258">
      <w:bodyDiv w:val="1"/>
      <w:marLeft w:val="0"/>
      <w:marRight w:val="0"/>
      <w:marTop w:val="0"/>
      <w:marBottom w:val="0"/>
      <w:divBdr>
        <w:top w:val="none" w:sz="0" w:space="0" w:color="auto"/>
        <w:left w:val="none" w:sz="0" w:space="0" w:color="auto"/>
        <w:bottom w:val="none" w:sz="0" w:space="0" w:color="auto"/>
        <w:right w:val="none" w:sz="0" w:space="0" w:color="auto"/>
      </w:divBdr>
    </w:div>
    <w:div w:id="179779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dtf.vic.gov.au/financial-reporting-policy/model-report" TargetMode="External"/><Relationship Id="rId26" Type="http://schemas.openxmlformats.org/officeDocument/2006/relationships/hyperlink" Target="http://www.dtf.vic.gov.au/Publications/Government-Financial-Management-publications/Financial-Reporting-Policy/Accounting-policy-update-newsletters" TargetMode="External"/><Relationship Id="rId39" Type="http://schemas.openxmlformats.org/officeDocument/2006/relationships/hyperlink" Target="http://www.dtf.vic.gov.au" TargetMode="External"/><Relationship Id="rId3" Type="http://schemas.openxmlformats.org/officeDocument/2006/relationships/customXml" Target="../customXml/item3.xml"/><Relationship Id="rId21" Type="http://schemas.openxmlformats.org/officeDocument/2006/relationships/hyperlink" Target="https://aasb.gov.au/media/byim0vv1/211-actionalert.pdf" TargetMode="External"/><Relationship Id="rId34" Type="http://schemas.openxmlformats.org/officeDocument/2006/relationships/header" Target="header4.xml"/><Relationship Id="rId42" Type="http://schemas.openxmlformats.org/officeDocument/2006/relationships/image" Target="media/image3.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dtf.vic.gov.au/financial-reporting-policy/valuer-general-land-indices" TargetMode="External"/><Relationship Id="rId33" Type="http://schemas.openxmlformats.org/officeDocument/2006/relationships/hyperlink" Target="https://www.audit.vic.gov.au/news/streamlining-public-sector-financial-statements-tips-and-tricks-20210127" TargetMode="External"/><Relationship Id="rId38" Type="http://schemas.openxmlformats.org/officeDocument/2006/relationships/hyperlink" Target="http://www.ipsasb.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29" Type="http://schemas.openxmlformats.org/officeDocument/2006/relationships/chart" Target="charts/chart1.xml"/><Relationship Id="rId41" Type="http://schemas.openxmlformats.org/officeDocument/2006/relationships/hyperlink" Target="http://creativecommons.org/licenses/by/3.0/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tf.vic.gov.au/financial-reporting-policy/financial-reporting-directions-and-guidance" TargetMode="External"/><Relationship Id="rId32" Type="http://schemas.openxmlformats.org/officeDocument/2006/relationships/hyperlink" Target="https://www.legislation.vic.gov.au/in-force/acts/financial-management-act-1994/065" TargetMode="External"/><Relationship Id="rId37" Type="http://schemas.openxmlformats.org/officeDocument/2006/relationships/hyperlink" Target="http://www.aasb.com.au" TargetMode="External"/><Relationship Id="rId40" Type="http://schemas.openxmlformats.org/officeDocument/2006/relationships/hyperlink" Target="mailto:dtfweb@dtf.vic.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dtf.vic.gov.au/financial-reporting-policy/aasb-124-related-party-disclosures" TargetMode="External"/><Relationship Id="rId28" Type="http://schemas.openxmlformats.org/officeDocument/2006/relationships/hyperlink" Target="mailto:standing.directions@dtf.vic.gov.au" TargetMode="External"/><Relationship Id="rId36" Type="http://schemas.openxmlformats.org/officeDocument/2006/relationships/hyperlink" Target="mailto:accpol@dtf.vic.gov.au" TargetMode="External"/><Relationship Id="rId10" Type="http://schemas.openxmlformats.org/officeDocument/2006/relationships/footnotes" Target="footnotes.xml"/><Relationship Id="rId19" Type="http://schemas.openxmlformats.org/officeDocument/2006/relationships/image" Target="media/image2.emf"/><Relationship Id="rId31" Type="http://schemas.openxmlformats.org/officeDocument/2006/relationships/hyperlink" Target="https://www.dtf.vic.gov.au/planning-budgeting-and-financial-reporting-frameworks/resource-management-framework" TargetMode="External"/><Relationship Id="rId44" Type="http://schemas.openxmlformats.org/officeDocument/2006/relationships/hyperlink" Target="mailto:IPpolicy@dtf.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ifrs.org/news-and-events/news/2021/11/ifrs-foundation-announces-issb-consolidation-with-cdsb-vrf-publication-of-prototypes/" TargetMode="External"/><Relationship Id="rId27" Type="http://schemas.openxmlformats.org/officeDocument/2006/relationships/hyperlink" Target="https://www.dtf.vic.gov.au/financial-management-government/standing-directions-2018-under-financial-management-act-1994" TargetMode="External"/><Relationship Id="rId30" Type="http://schemas.openxmlformats.org/officeDocument/2006/relationships/hyperlink" Target="https://www.dtf.vic.gov.au/financial-reporting-policy/wage-inflation-and-discount-rates" TargetMode="External"/><Relationship Id="rId35" Type="http://schemas.openxmlformats.org/officeDocument/2006/relationships/footer" Target="footer4.xml"/><Relationship Id="rId43"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DTF\Fact%20sheet.dotm"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vfdtf001\DTF_DATA02$\TRIM\Accounting%20Policy_BFM\STATE%20BUDGET%20(WoVG)\ACCOUNTING%20(WoVG)\Wage%20inflation%20and%20discount%20rates\Wage%20inflation%20model.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lgn="ctr">
              <a:defRPr sz="900">
                <a:latin typeface="VIC SemiBold" panose="00000700000000000000" pitchFamily="50" charset="0"/>
              </a:defRPr>
            </a:pPr>
            <a:r>
              <a:rPr lang="en-AU" sz="900">
                <a:latin typeface="VIC SemiBold" panose="00000700000000000000" pitchFamily="50" charset="0"/>
              </a:rPr>
              <a:t>Wage inflation and annual effective discount rate for </a:t>
            </a:r>
            <a:br>
              <a:rPr lang="en-AU" sz="900">
                <a:latin typeface="VIC SemiBold" panose="00000700000000000000" pitchFamily="50" charset="0"/>
              </a:rPr>
            </a:br>
            <a:r>
              <a:rPr lang="en-AU" sz="900">
                <a:latin typeface="VIC SemiBold" panose="00000700000000000000" pitchFamily="50" charset="0"/>
              </a:rPr>
              <a:t>employee benefits calculations</a:t>
            </a:r>
          </a:p>
        </c:rich>
      </c:tx>
      <c:overlay val="1"/>
    </c:title>
    <c:autoTitleDeleted val="0"/>
    <c:plotArea>
      <c:layout>
        <c:manualLayout>
          <c:layoutTarget val="inner"/>
          <c:xMode val="edge"/>
          <c:yMode val="edge"/>
          <c:x val="9.6820969617790173E-2"/>
          <c:y val="0.16682476973053764"/>
          <c:w val="0.84395679331589746"/>
          <c:h val="0.65655054010046654"/>
        </c:manualLayout>
      </c:layout>
      <c:lineChart>
        <c:grouping val="standard"/>
        <c:varyColors val="0"/>
        <c:ser>
          <c:idx val="0"/>
          <c:order val="0"/>
          <c:tx>
            <c:strRef>
              <c:f>Newsletter!$G$3</c:f>
              <c:strCache>
                <c:ptCount val="1"/>
                <c:pt idx="0">
                  <c:v>Annual discount rate</c:v>
                </c:pt>
              </c:strCache>
            </c:strRef>
          </c:tx>
          <c:marker>
            <c:spPr>
              <a:ln w="12700">
                <a:noFill/>
              </a:ln>
            </c:spPr>
          </c:marker>
          <c:dLbls>
            <c:delete val="1"/>
          </c:dLbls>
          <c:cat>
            <c:numRef>
              <c:f>Newsletter!$F$4:$F$21</c:f>
              <c:numCache>
                <c:formatCode>mmm\-yy</c:formatCode>
                <c:ptCount val="18"/>
                <c:pt idx="0">
                  <c:v>43465</c:v>
                </c:pt>
                <c:pt idx="1">
                  <c:v>43555</c:v>
                </c:pt>
                <c:pt idx="2">
                  <c:v>43585</c:v>
                </c:pt>
                <c:pt idx="3">
                  <c:v>43616</c:v>
                </c:pt>
                <c:pt idx="4">
                  <c:v>43646</c:v>
                </c:pt>
                <c:pt idx="5">
                  <c:v>43738</c:v>
                </c:pt>
                <c:pt idx="6">
                  <c:v>43830</c:v>
                </c:pt>
                <c:pt idx="7">
                  <c:v>43921</c:v>
                </c:pt>
                <c:pt idx="8">
                  <c:v>43951</c:v>
                </c:pt>
                <c:pt idx="9">
                  <c:v>43982</c:v>
                </c:pt>
                <c:pt idx="10">
                  <c:v>44012</c:v>
                </c:pt>
                <c:pt idx="11">
                  <c:v>44104</c:v>
                </c:pt>
                <c:pt idx="12">
                  <c:v>44196</c:v>
                </c:pt>
                <c:pt idx="13">
                  <c:v>44286</c:v>
                </c:pt>
                <c:pt idx="14">
                  <c:v>44316</c:v>
                </c:pt>
                <c:pt idx="15">
                  <c:v>44347</c:v>
                </c:pt>
                <c:pt idx="16">
                  <c:v>44377</c:v>
                </c:pt>
                <c:pt idx="17">
                  <c:v>44469</c:v>
                </c:pt>
              </c:numCache>
            </c:numRef>
          </c:cat>
          <c:val>
            <c:numRef>
              <c:f>Newsletter!$G$4:$G$21</c:f>
              <c:numCache>
                <c:formatCode>0.000</c:formatCode>
                <c:ptCount val="18"/>
                <c:pt idx="0">
                  <c:v>2.3330000000000002</c:v>
                </c:pt>
                <c:pt idx="1">
                  <c:v>1.7829999999999999</c:v>
                </c:pt>
                <c:pt idx="2">
                  <c:v>1.7929999999999999</c:v>
                </c:pt>
                <c:pt idx="3">
                  <c:v>1.46</c:v>
                </c:pt>
                <c:pt idx="4">
                  <c:v>1.3240000000000001</c:v>
                </c:pt>
                <c:pt idx="5">
                  <c:v>1.028</c:v>
                </c:pt>
                <c:pt idx="6">
                  <c:v>1.39</c:v>
                </c:pt>
                <c:pt idx="7">
                  <c:v>0.71099999999999997</c:v>
                </c:pt>
                <c:pt idx="8">
                  <c:v>0.89200000000000002</c:v>
                </c:pt>
                <c:pt idx="9">
                  <c:v>0.88700000000000001</c:v>
                </c:pt>
                <c:pt idx="10">
                  <c:v>0.872</c:v>
                </c:pt>
                <c:pt idx="11">
                  <c:v>0.86199999999999999</c:v>
                </c:pt>
                <c:pt idx="12">
                  <c:v>1.008</c:v>
                </c:pt>
                <c:pt idx="13">
                  <c:v>1.7929999999999999</c:v>
                </c:pt>
                <c:pt idx="14">
                  <c:v>1.6970000000000001</c:v>
                </c:pt>
                <c:pt idx="15">
                  <c:v>1.657</c:v>
                </c:pt>
                <c:pt idx="16">
                  <c:v>1.4910000000000001</c:v>
                </c:pt>
                <c:pt idx="17">
                  <c:v>1.526</c:v>
                </c:pt>
              </c:numCache>
            </c:numRef>
          </c:val>
          <c:smooth val="0"/>
          <c:extLst>
            <c:ext xmlns:c16="http://schemas.microsoft.com/office/drawing/2014/chart" uri="{C3380CC4-5D6E-409C-BE32-E72D297353CC}">
              <c16:uniqueId val="{00000000-9C64-463C-AE03-595447523398}"/>
            </c:ext>
          </c:extLst>
        </c:ser>
        <c:ser>
          <c:idx val="1"/>
          <c:order val="1"/>
          <c:tx>
            <c:strRef>
              <c:f>Newsletter!$H$3</c:f>
              <c:strCache>
                <c:ptCount val="1"/>
                <c:pt idx="0">
                  <c:v>Wage inflation rate</c:v>
                </c:pt>
              </c:strCache>
            </c:strRef>
          </c:tx>
          <c:marker>
            <c:spPr>
              <a:ln w="19050">
                <a:noFill/>
              </a:ln>
            </c:spPr>
          </c:marker>
          <c:dLbls>
            <c:delete val="1"/>
          </c:dLbls>
          <c:cat>
            <c:numRef>
              <c:f>Newsletter!$F$4:$F$21</c:f>
              <c:numCache>
                <c:formatCode>mmm\-yy</c:formatCode>
                <c:ptCount val="18"/>
                <c:pt idx="0">
                  <c:v>43465</c:v>
                </c:pt>
                <c:pt idx="1">
                  <c:v>43555</c:v>
                </c:pt>
                <c:pt idx="2">
                  <c:v>43585</c:v>
                </c:pt>
                <c:pt idx="3">
                  <c:v>43616</c:v>
                </c:pt>
                <c:pt idx="4">
                  <c:v>43646</c:v>
                </c:pt>
                <c:pt idx="5">
                  <c:v>43738</c:v>
                </c:pt>
                <c:pt idx="6">
                  <c:v>43830</c:v>
                </c:pt>
                <c:pt idx="7">
                  <c:v>43921</c:v>
                </c:pt>
                <c:pt idx="8">
                  <c:v>43951</c:v>
                </c:pt>
                <c:pt idx="9">
                  <c:v>43982</c:v>
                </c:pt>
                <c:pt idx="10">
                  <c:v>44012</c:v>
                </c:pt>
                <c:pt idx="11">
                  <c:v>44104</c:v>
                </c:pt>
                <c:pt idx="12">
                  <c:v>44196</c:v>
                </c:pt>
                <c:pt idx="13">
                  <c:v>44286</c:v>
                </c:pt>
                <c:pt idx="14">
                  <c:v>44316</c:v>
                </c:pt>
                <c:pt idx="15">
                  <c:v>44347</c:v>
                </c:pt>
                <c:pt idx="16">
                  <c:v>44377</c:v>
                </c:pt>
                <c:pt idx="17">
                  <c:v>44469</c:v>
                </c:pt>
              </c:numCache>
            </c:numRef>
          </c:cat>
          <c:val>
            <c:numRef>
              <c:f>Newsletter!$H$4:$H$21</c:f>
              <c:numCache>
                <c:formatCode>0.000</c:formatCode>
                <c:ptCount val="18"/>
                <c:pt idx="0">
                  <c:v>4.125</c:v>
                </c:pt>
                <c:pt idx="1">
                  <c:v>4.125</c:v>
                </c:pt>
                <c:pt idx="2">
                  <c:v>4.125</c:v>
                </c:pt>
                <c:pt idx="3">
                  <c:v>4.3129999999999997</c:v>
                </c:pt>
                <c:pt idx="4">
                  <c:v>4.3129999999999997</c:v>
                </c:pt>
                <c:pt idx="5">
                  <c:v>4.3129999999999997</c:v>
                </c:pt>
                <c:pt idx="6">
                  <c:v>4.25</c:v>
                </c:pt>
                <c:pt idx="7">
                  <c:v>4.25</c:v>
                </c:pt>
                <c:pt idx="8">
                  <c:v>4.25</c:v>
                </c:pt>
                <c:pt idx="9">
                  <c:v>4.25</c:v>
                </c:pt>
                <c:pt idx="10">
                  <c:v>4.25</c:v>
                </c:pt>
                <c:pt idx="11">
                  <c:v>4.25</c:v>
                </c:pt>
                <c:pt idx="12">
                  <c:v>2.88</c:v>
                </c:pt>
                <c:pt idx="13">
                  <c:v>2.88</c:v>
                </c:pt>
                <c:pt idx="14">
                  <c:v>2.88</c:v>
                </c:pt>
                <c:pt idx="15">
                  <c:v>2.95</c:v>
                </c:pt>
                <c:pt idx="16">
                  <c:v>2.95</c:v>
                </c:pt>
                <c:pt idx="17">
                  <c:v>2.95</c:v>
                </c:pt>
              </c:numCache>
            </c:numRef>
          </c:val>
          <c:smooth val="0"/>
          <c:extLst>
            <c:ext xmlns:c16="http://schemas.microsoft.com/office/drawing/2014/chart" uri="{C3380CC4-5D6E-409C-BE32-E72D297353CC}">
              <c16:uniqueId val="{00000001-9C64-463C-AE03-595447523398}"/>
            </c:ext>
          </c:extLst>
        </c:ser>
        <c:dLbls>
          <c:dLblPos val="t"/>
          <c:showLegendKey val="0"/>
          <c:showVal val="1"/>
          <c:showCatName val="0"/>
          <c:showSerName val="0"/>
          <c:showPercent val="0"/>
          <c:showBubbleSize val="0"/>
        </c:dLbls>
        <c:marker val="1"/>
        <c:smooth val="0"/>
        <c:axId val="80713600"/>
        <c:axId val="80719872"/>
      </c:lineChart>
      <c:dateAx>
        <c:axId val="80713600"/>
        <c:scaling>
          <c:orientation val="minMax"/>
        </c:scaling>
        <c:delete val="0"/>
        <c:axPos val="b"/>
        <c:numFmt formatCode="mmm\-yy" sourceLinked="1"/>
        <c:majorTickMark val="out"/>
        <c:minorTickMark val="none"/>
        <c:tickLblPos val="nextTo"/>
        <c:txPr>
          <a:bodyPr rot="0"/>
          <a:lstStyle/>
          <a:p>
            <a:pPr>
              <a:defRPr sz="800">
                <a:latin typeface="VIC" panose="00000500000000000000" pitchFamily="50" charset="0"/>
              </a:defRPr>
            </a:pPr>
            <a:endParaRPr lang="en-US"/>
          </a:p>
        </c:txPr>
        <c:crossAx val="80719872"/>
        <c:crosses val="autoZero"/>
        <c:auto val="0"/>
        <c:lblOffset val="100"/>
        <c:baseTimeUnit val="months"/>
        <c:majorUnit val="3"/>
        <c:majorTimeUnit val="months"/>
      </c:dateAx>
      <c:valAx>
        <c:axId val="80719872"/>
        <c:scaling>
          <c:orientation val="minMax"/>
        </c:scaling>
        <c:delete val="0"/>
        <c:axPos val="l"/>
        <c:majorGridlines>
          <c:spPr>
            <a:ln>
              <a:solidFill>
                <a:sysClr val="window" lastClr="FFFFFF">
                  <a:lumMod val="85000"/>
                </a:sysClr>
              </a:solidFill>
              <a:prstDash val="dash"/>
            </a:ln>
          </c:spPr>
        </c:majorGridlines>
        <c:numFmt formatCode="0.0" sourceLinked="0"/>
        <c:majorTickMark val="out"/>
        <c:minorTickMark val="none"/>
        <c:tickLblPos val="nextTo"/>
        <c:txPr>
          <a:bodyPr/>
          <a:lstStyle/>
          <a:p>
            <a:pPr>
              <a:defRPr sz="850">
                <a:latin typeface="VIC" panose="00000500000000000000" pitchFamily="50" charset="0"/>
              </a:defRPr>
            </a:pPr>
            <a:endParaRPr lang="en-US"/>
          </a:p>
        </c:txPr>
        <c:crossAx val="80713600"/>
        <c:crosses val="autoZero"/>
        <c:crossBetween val="between"/>
      </c:valAx>
    </c:plotArea>
    <c:legend>
      <c:legendPos val="b"/>
      <c:layout>
        <c:manualLayout>
          <c:xMode val="edge"/>
          <c:yMode val="edge"/>
          <c:x val="0.2442607055714788"/>
          <c:y val="0.91944377785257925"/>
          <c:w val="0.51147858885704245"/>
          <c:h val="5.6011325440527754E-2"/>
        </c:manualLayout>
      </c:layout>
      <c:overlay val="0"/>
      <c:txPr>
        <a:bodyPr/>
        <a:lstStyle/>
        <a:p>
          <a:pPr>
            <a:defRPr sz="800">
              <a:latin typeface="VIC" panose="00000500000000000000" pitchFamily="50" charset="0"/>
            </a:defRPr>
          </a:pPr>
          <a:endParaRPr lang="en-US"/>
        </a:p>
      </c:txPr>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0.01107</cdr:x>
      <cdr:y>0.35325</cdr:y>
    </cdr:from>
    <cdr:to>
      <cdr:x>0.04828</cdr:x>
      <cdr:y>0.59208</cdr:y>
    </cdr:to>
    <cdr:sp macro="" textlink="">
      <cdr:nvSpPr>
        <cdr:cNvPr id="2" name="TextBox 1"/>
        <cdr:cNvSpPr txBox="1"/>
      </cdr:nvSpPr>
      <cdr:spPr>
        <a:xfrm xmlns:a="http://schemas.openxmlformats.org/drawingml/2006/main" rot="16200000">
          <a:off x="-175044" y="1268169"/>
          <a:ext cx="695502" cy="216564"/>
        </a:xfrm>
        <a:prstGeom xmlns:a="http://schemas.openxmlformats.org/drawingml/2006/main" prst="rect">
          <a:avLst/>
        </a:prstGeom>
      </cdr:spPr>
      <cdr:txBody>
        <a:bodyPr xmlns:a="http://schemas.openxmlformats.org/drawingml/2006/main" vertOverflow="clip" wrap="square" rtlCol="0" anchor="b" anchorCtr="0"/>
        <a:lstStyle xmlns:a="http://schemas.openxmlformats.org/drawingml/2006/main"/>
        <a:p xmlns:a="http://schemas.openxmlformats.org/drawingml/2006/main">
          <a:r>
            <a:rPr lang="en-AU" sz="900" b="0" i="1">
              <a:latin typeface="VIC" panose="00000500000000000000" pitchFamily="50" charset="0"/>
            </a:rPr>
            <a:t>per cent</a:t>
          </a:r>
        </a:p>
      </cdr:txBody>
    </cdr:sp>
  </cdr:relSizeAnchor>
</c:userShapes>
</file>

<file path=word/theme/theme1.xml><?xml version="1.0" encoding="utf-8"?>
<a:theme xmlns:a="http://schemas.openxmlformats.org/drawingml/2006/main" name="Office Theme">
  <a:themeElements>
    <a:clrScheme name="DTF - Budget and Finance">
      <a:dk1>
        <a:srgbClr val="232B39"/>
      </a:dk1>
      <a:lt1>
        <a:sysClr val="window" lastClr="FFFFFF"/>
      </a:lt1>
      <a:dk2>
        <a:srgbClr val="3A3467"/>
      </a:dk2>
      <a:lt2>
        <a:srgbClr val="A6E7EB"/>
      </a:lt2>
      <a:accent1>
        <a:srgbClr val="00BAC7"/>
      </a:accent1>
      <a:accent2>
        <a:srgbClr val="71D9E0"/>
      </a:accent2>
      <a:accent3>
        <a:srgbClr val="009CA7"/>
      </a:accent3>
      <a:accent4>
        <a:srgbClr val="4C9E61"/>
      </a:accent4>
      <a:accent5>
        <a:srgbClr val="D3D5D7"/>
      </a:accent5>
      <a:accent6>
        <a:srgbClr val="F6884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2" ma:contentTypeDescription="Create a new document." ma:contentTypeScope="" ma:versionID="209b1d7326170acb4e114dc61f35a14d">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947f062f6fa18081d245688719f08fc1"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SharedWithUsers xmlns="15b0d6e9-e99b-40a9-aaa3-9b8d7d95b219">
      <UserInfo>
        <DisplayName>Thomas McGowan (DTF)</DisplayName>
        <AccountId>411</AccountId>
        <AccountType/>
      </UserInfo>
    </SharedWithUser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CB10085-AEF9-4CB1-B881-EC318FC0BA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BDAD3-6C26-4570-9B53-FA9DFE8FCDD7}">
  <ds:schemaRefs>
    <ds:schemaRef ds:uri="http://schemas.openxmlformats.org/officeDocument/2006/bibliography"/>
  </ds:schemaRefs>
</ds:datastoreItem>
</file>

<file path=customXml/itemProps3.xml><?xml version="1.0" encoding="utf-8"?>
<ds:datastoreItem xmlns:ds="http://schemas.openxmlformats.org/officeDocument/2006/customXml" ds:itemID="{615680BD-8D43-4ADA-A6D1-3A1D948D5738}">
  <ds:schemaRefs>
    <ds:schemaRef ds:uri="http://schemas.microsoft.com/sharepoint/v3/contenttype/forms"/>
  </ds:schemaRefs>
</ds:datastoreItem>
</file>

<file path=customXml/itemProps4.xml><?xml version="1.0" encoding="utf-8"?>
<ds:datastoreItem xmlns:ds="http://schemas.openxmlformats.org/officeDocument/2006/customXml" ds:itemID="{1C6DEEAB-E14C-4863-A13B-659EFACABB70}">
  <ds:schemaRefs>
    <ds:schemaRef ds:uri="http://schemas.microsoft.com/office/2006/metadata/properties"/>
    <ds:schemaRef ds:uri="http://schemas.microsoft.com/office/infopath/2007/PartnerControls"/>
    <ds:schemaRef ds:uri="51fffbad-fc14-48aa-b0d1-9be411fd36c8"/>
    <ds:schemaRef ds:uri="http://schemas.microsoft.com/sharepoint/v3"/>
    <ds:schemaRef ds:uri="http://schemas.microsoft.com/sharepoint/v4"/>
    <ds:schemaRef ds:uri="15b0d6e9-e99b-40a9-aaa3-9b8d7d95b219"/>
  </ds:schemaRefs>
</ds:datastoreItem>
</file>

<file path=customXml/itemProps5.xml><?xml version="1.0" encoding="utf-8"?>
<ds:datastoreItem xmlns:ds="http://schemas.openxmlformats.org/officeDocument/2006/customXml" ds:itemID="{5F02C02B-2BAF-438C-8A36-2BEB42D90A0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Fact sheet.dotm</Template>
  <TotalTime>1</TotalTime>
  <Pages>10</Pages>
  <Words>4055</Words>
  <Characters>23116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Accounting policy update</vt:lpstr>
    </vt:vector>
  </TitlesOfParts>
  <Company>Department of Treasury and Finance</Company>
  <LinksUpToDate>false</LinksUpToDate>
  <CharactersWithSpaces>27117</CharactersWithSpaces>
  <SharedDoc>false</SharedDoc>
  <HLinks>
    <vt:vector size="156" baseType="variant">
      <vt:variant>
        <vt:i4>1900578</vt:i4>
      </vt:variant>
      <vt:variant>
        <vt:i4>99</vt:i4>
      </vt:variant>
      <vt:variant>
        <vt:i4>0</vt:i4>
      </vt:variant>
      <vt:variant>
        <vt:i4>5</vt:i4>
      </vt:variant>
      <vt:variant>
        <vt:lpwstr>mailto:IPpolicy@dtf.vic.gov.au</vt:lpwstr>
      </vt:variant>
      <vt:variant>
        <vt:lpwstr/>
      </vt:variant>
      <vt:variant>
        <vt:i4>6488166</vt:i4>
      </vt:variant>
      <vt:variant>
        <vt:i4>96</vt:i4>
      </vt:variant>
      <vt:variant>
        <vt:i4>0</vt:i4>
      </vt:variant>
      <vt:variant>
        <vt:i4>5</vt:i4>
      </vt:variant>
      <vt:variant>
        <vt:lpwstr>http://creativecommons.org/licenses/by/4.0/</vt:lpwstr>
      </vt:variant>
      <vt:variant>
        <vt:lpwstr/>
      </vt:variant>
      <vt:variant>
        <vt:i4>7077964</vt:i4>
      </vt:variant>
      <vt:variant>
        <vt:i4>93</vt:i4>
      </vt:variant>
      <vt:variant>
        <vt:i4>0</vt:i4>
      </vt:variant>
      <vt:variant>
        <vt:i4>5</vt:i4>
      </vt:variant>
      <vt:variant>
        <vt:lpwstr>mailto:dtfweb@dtf.vic.gov.au</vt:lpwstr>
      </vt:variant>
      <vt:variant>
        <vt:lpwstr/>
      </vt:variant>
      <vt:variant>
        <vt:i4>6488185</vt:i4>
      </vt:variant>
      <vt:variant>
        <vt:i4>90</vt:i4>
      </vt:variant>
      <vt:variant>
        <vt:i4>0</vt:i4>
      </vt:variant>
      <vt:variant>
        <vt:i4>5</vt:i4>
      </vt:variant>
      <vt:variant>
        <vt:lpwstr>http://www.dtf.vic.gov.au/</vt:lpwstr>
      </vt:variant>
      <vt:variant>
        <vt:lpwstr/>
      </vt:variant>
      <vt:variant>
        <vt:i4>3211307</vt:i4>
      </vt:variant>
      <vt:variant>
        <vt:i4>87</vt:i4>
      </vt:variant>
      <vt:variant>
        <vt:i4>0</vt:i4>
      </vt:variant>
      <vt:variant>
        <vt:i4>5</vt:i4>
      </vt:variant>
      <vt:variant>
        <vt:lpwstr>http://www.ipsasb.org/</vt:lpwstr>
      </vt:variant>
      <vt:variant>
        <vt:lpwstr/>
      </vt:variant>
      <vt:variant>
        <vt:i4>2293820</vt:i4>
      </vt:variant>
      <vt:variant>
        <vt:i4>84</vt:i4>
      </vt:variant>
      <vt:variant>
        <vt:i4>0</vt:i4>
      </vt:variant>
      <vt:variant>
        <vt:i4>5</vt:i4>
      </vt:variant>
      <vt:variant>
        <vt:lpwstr>http://www.aasb.com.au/</vt:lpwstr>
      </vt:variant>
      <vt:variant>
        <vt:lpwstr/>
      </vt:variant>
      <vt:variant>
        <vt:i4>6684754</vt:i4>
      </vt:variant>
      <vt:variant>
        <vt:i4>81</vt:i4>
      </vt:variant>
      <vt:variant>
        <vt:i4>0</vt:i4>
      </vt:variant>
      <vt:variant>
        <vt:i4>5</vt:i4>
      </vt:variant>
      <vt:variant>
        <vt:lpwstr>mailto:accpol@dtf.vic.gov.au</vt:lpwstr>
      </vt:variant>
      <vt:variant>
        <vt:lpwstr/>
      </vt:variant>
      <vt:variant>
        <vt:i4>7995449</vt:i4>
      </vt:variant>
      <vt:variant>
        <vt:i4>78</vt:i4>
      </vt:variant>
      <vt:variant>
        <vt:i4>0</vt:i4>
      </vt:variant>
      <vt:variant>
        <vt:i4>5</vt:i4>
      </vt:variant>
      <vt:variant>
        <vt:lpwstr>https://www.audit.vic.gov.au/news/streamlining-public-sector-financial-statements-tips-and-tricks-20210127</vt:lpwstr>
      </vt:variant>
      <vt:variant>
        <vt:lpwstr/>
      </vt:variant>
      <vt:variant>
        <vt:i4>7733350</vt:i4>
      </vt:variant>
      <vt:variant>
        <vt:i4>75</vt:i4>
      </vt:variant>
      <vt:variant>
        <vt:i4>0</vt:i4>
      </vt:variant>
      <vt:variant>
        <vt:i4>5</vt:i4>
      </vt:variant>
      <vt:variant>
        <vt:lpwstr>https://www.legislation.vic.gov.au/in-force/acts/financial-management-act-1994/065</vt:lpwstr>
      </vt:variant>
      <vt:variant>
        <vt:lpwstr/>
      </vt:variant>
      <vt:variant>
        <vt:i4>6291573</vt:i4>
      </vt:variant>
      <vt:variant>
        <vt:i4>72</vt:i4>
      </vt:variant>
      <vt:variant>
        <vt:i4>0</vt:i4>
      </vt:variant>
      <vt:variant>
        <vt:i4>5</vt:i4>
      </vt:variant>
      <vt:variant>
        <vt:lpwstr>https://www.dtf.vic.gov.au/planning-budgeting-and-financial-reporting-frameworks/resource-management-framework</vt:lpwstr>
      </vt:variant>
      <vt:variant>
        <vt:lpwstr/>
      </vt:variant>
      <vt:variant>
        <vt:i4>8060970</vt:i4>
      </vt:variant>
      <vt:variant>
        <vt:i4>69</vt:i4>
      </vt:variant>
      <vt:variant>
        <vt:i4>0</vt:i4>
      </vt:variant>
      <vt:variant>
        <vt:i4>5</vt:i4>
      </vt:variant>
      <vt:variant>
        <vt:lpwstr>https://www.dtf.vic.gov.au/financial-reporting-policy/wage-inflation-and-discount-rates</vt:lpwstr>
      </vt:variant>
      <vt:variant>
        <vt:lpwstr/>
      </vt:variant>
      <vt:variant>
        <vt:i4>5701680</vt:i4>
      </vt:variant>
      <vt:variant>
        <vt:i4>66</vt:i4>
      </vt:variant>
      <vt:variant>
        <vt:i4>0</vt:i4>
      </vt:variant>
      <vt:variant>
        <vt:i4>5</vt:i4>
      </vt:variant>
      <vt:variant>
        <vt:lpwstr>mailto:standing.directions@dtf.vic.gov.au</vt:lpwstr>
      </vt:variant>
      <vt:variant>
        <vt:lpwstr/>
      </vt:variant>
      <vt:variant>
        <vt:i4>2752618</vt:i4>
      </vt:variant>
      <vt:variant>
        <vt:i4>63</vt:i4>
      </vt:variant>
      <vt:variant>
        <vt:i4>0</vt:i4>
      </vt:variant>
      <vt:variant>
        <vt:i4>5</vt:i4>
      </vt:variant>
      <vt:variant>
        <vt:lpwstr>https://www.dtf.vic.gov.au/financial-management-government/standing-directions-2018-under-financial-management-act-1994</vt:lpwstr>
      </vt:variant>
      <vt:variant>
        <vt:lpwstr/>
      </vt:variant>
      <vt:variant>
        <vt:i4>3801190</vt:i4>
      </vt:variant>
      <vt:variant>
        <vt:i4>60</vt:i4>
      </vt:variant>
      <vt:variant>
        <vt:i4>0</vt:i4>
      </vt:variant>
      <vt:variant>
        <vt:i4>5</vt:i4>
      </vt:variant>
      <vt:variant>
        <vt:lpwstr>http://www.dtf.vic.gov.au/Publications/Government-Financial-Management-publications/Financial-Reporting-Policy/Accounting-policy-update-newsletters</vt:lpwstr>
      </vt:variant>
      <vt:variant>
        <vt:lpwstr/>
      </vt:variant>
      <vt:variant>
        <vt:i4>1048600</vt:i4>
      </vt:variant>
      <vt:variant>
        <vt:i4>57</vt:i4>
      </vt:variant>
      <vt:variant>
        <vt:i4>0</vt:i4>
      </vt:variant>
      <vt:variant>
        <vt:i4>5</vt:i4>
      </vt:variant>
      <vt:variant>
        <vt:lpwstr>https://www.dtf.vic.gov.au/financial-reporting-policy/valuer-general-land-indices</vt:lpwstr>
      </vt:variant>
      <vt:variant>
        <vt:lpwstr/>
      </vt:variant>
      <vt:variant>
        <vt:i4>5963795</vt:i4>
      </vt:variant>
      <vt:variant>
        <vt:i4>54</vt:i4>
      </vt:variant>
      <vt:variant>
        <vt:i4>0</vt:i4>
      </vt:variant>
      <vt:variant>
        <vt:i4>5</vt:i4>
      </vt:variant>
      <vt:variant>
        <vt:lpwstr>https://www.dtf.vic.gov.au/financial-reporting-policy/financial-reporting-directions-and-guidance</vt:lpwstr>
      </vt:variant>
      <vt:variant>
        <vt:lpwstr/>
      </vt:variant>
      <vt:variant>
        <vt:i4>5636172</vt:i4>
      </vt:variant>
      <vt:variant>
        <vt:i4>51</vt:i4>
      </vt:variant>
      <vt:variant>
        <vt:i4>0</vt:i4>
      </vt:variant>
      <vt:variant>
        <vt:i4>5</vt:i4>
      </vt:variant>
      <vt:variant>
        <vt:lpwstr>https://www.dtf.vic.gov.au/financial-reporting-policy/aasb-124-related-party-disclosures</vt:lpwstr>
      </vt:variant>
      <vt:variant>
        <vt:lpwstr/>
      </vt:variant>
      <vt:variant>
        <vt:i4>7929955</vt:i4>
      </vt:variant>
      <vt:variant>
        <vt:i4>48</vt:i4>
      </vt:variant>
      <vt:variant>
        <vt:i4>0</vt:i4>
      </vt:variant>
      <vt:variant>
        <vt:i4>5</vt:i4>
      </vt:variant>
      <vt:variant>
        <vt:lpwstr>https://www.ifrs.org/news-and-events/news/2021/11/ifrs-foundation-announces-issb-consolidation-with-cdsb-vrf-publication-of-prototypes/</vt:lpwstr>
      </vt:variant>
      <vt:variant>
        <vt:lpwstr/>
      </vt:variant>
      <vt:variant>
        <vt:i4>2228334</vt:i4>
      </vt:variant>
      <vt:variant>
        <vt:i4>45</vt:i4>
      </vt:variant>
      <vt:variant>
        <vt:i4>0</vt:i4>
      </vt:variant>
      <vt:variant>
        <vt:i4>5</vt:i4>
      </vt:variant>
      <vt:variant>
        <vt:lpwstr>https://aasb.gov.au/media/byim0vv1/211-actionalert.pdf</vt:lpwstr>
      </vt:variant>
      <vt:variant>
        <vt:lpwstr/>
      </vt:variant>
      <vt:variant>
        <vt:i4>7667832</vt:i4>
      </vt:variant>
      <vt:variant>
        <vt:i4>39</vt:i4>
      </vt:variant>
      <vt:variant>
        <vt:i4>0</vt:i4>
      </vt:variant>
      <vt:variant>
        <vt:i4>5</vt:i4>
      </vt:variant>
      <vt:variant>
        <vt:lpwstr>https://www.dtf.vic.gov.au/financial-reporting-policy/model-report</vt:lpwstr>
      </vt:variant>
      <vt:variant>
        <vt:lpwstr/>
      </vt:variant>
      <vt:variant>
        <vt:i4>1179710</vt:i4>
      </vt:variant>
      <vt:variant>
        <vt:i4>32</vt:i4>
      </vt:variant>
      <vt:variant>
        <vt:i4>0</vt:i4>
      </vt:variant>
      <vt:variant>
        <vt:i4>5</vt:i4>
      </vt:variant>
      <vt:variant>
        <vt:lpwstr/>
      </vt:variant>
      <vt:variant>
        <vt:lpwstr>_Toc91074734</vt:lpwstr>
      </vt:variant>
      <vt:variant>
        <vt:i4>1376318</vt:i4>
      </vt:variant>
      <vt:variant>
        <vt:i4>26</vt:i4>
      </vt:variant>
      <vt:variant>
        <vt:i4>0</vt:i4>
      </vt:variant>
      <vt:variant>
        <vt:i4>5</vt:i4>
      </vt:variant>
      <vt:variant>
        <vt:lpwstr/>
      </vt:variant>
      <vt:variant>
        <vt:lpwstr>_Toc91074733</vt:lpwstr>
      </vt:variant>
      <vt:variant>
        <vt:i4>1310782</vt:i4>
      </vt:variant>
      <vt:variant>
        <vt:i4>20</vt:i4>
      </vt:variant>
      <vt:variant>
        <vt:i4>0</vt:i4>
      </vt:variant>
      <vt:variant>
        <vt:i4>5</vt:i4>
      </vt:variant>
      <vt:variant>
        <vt:lpwstr/>
      </vt:variant>
      <vt:variant>
        <vt:lpwstr>_Toc91074732</vt:lpwstr>
      </vt:variant>
      <vt:variant>
        <vt:i4>1507390</vt:i4>
      </vt:variant>
      <vt:variant>
        <vt:i4>14</vt:i4>
      </vt:variant>
      <vt:variant>
        <vt:i4>0</vt:i4>
      </vt:variant>
      <vt:variant>
        <vt:i4>5</vt:i4>
      </vt:variant>
      <vt:variant>
        <vt:lpwstr/>
      </vt:variant>
      <vt:variant>
        <vt:lpwstr>_Toc91074731</vt:lpwstr>
      </vt:variant>
      <vt:variant>
        <vt:i4>1441854</vt:i4>
      </vt:variant>
      <vt:variant>
        <vt:i4>8</vt:i4>
      </vt:variant>
      <vt:variant>
        <vt:i4>0</vt:i4>
      </vt:variant>
      <vt:variant>
        <vt:i4>5</vt:i4>
      </vt:variant>
      <vt:variant>
        <vt:lpwstr/>
      </vt:variant>
      <vt:variant>
        <vt:lpwstr>_Toc91074730</vt:lpwstr>
      </vt:variant>
      <vt:variant>
        <vt:i4>2031679</vt:i4>
      </vt:variant>
      <vt:variant>
        <vt:i4>2</vt:i4>
      </vt:variant>
      <vt:variant>
        <vt:i4>0</vt:i4>
      </vt:variant>
      <vt:variant>
        <vt:i4>5</vt:i4>
      </vt:variant>
      <vt:variant>
        <vt:lpwstr/>
      </vt:variant>
      <vt:variant>
        <vt:lpwstr>_Toc91074729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Accounting policy update</dc:title>
  <dc:subject/>
  <dc:creator>Deidre Steain (DTF)</dc:creator>
  <cp:keywords/>
  <cp:lastModifiedBy>Thomas McGowan (DTF)</cp:lastModifiedBy>
  <cp:revision>2</cp:revision>
  <cp:lastPrinted>2016-02-11T10:59:00Z</cp:lastPrinted>
  <dcterms:created xsi:type="dcterms:W3CDTF">2021-12-22T03:48:00Z</dcterms:created>
  <dcterms:modified xsi:type="dcterms:W3CDTF">2021-12-22T03:48:00Z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c6d27caa-cc7e-48c8-94fc-835ecd10064c</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SIP_Label_7158ebbd-6c5e-441f-bfc9-4eb8c11e3978_Enabled">
    <vt:lpwstr>true</vt:lpwstr>
  </property>
  <property fmtid="{D5CDD505-2E9C-101B-9397-08002B2CF9AE}" pid="6" name="MSIP_Label_7158ebbd-6c5e-441f-bfc9-4eb8c11e3978_SetDate">
    <vt:lpwstr>2021-12-22T03:47:56Z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
  </property>
  <property fmtid="{D5CDD505-2E9C-101B-9397-08002B2CF9AE}" pid="11" name="MSIP_Label_7158ebbd-6c5e-441f-bfc9-4eb8c11e3978_ContentBits">
    <vt:lpwstr>2</vt:lpwstr>
  </property>
</Properties>
</file>