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FE1A2" w14:textId="72348B13" w:rsidR="00923519" w:rsidRPr="00923519" w:rsidRDefault="00923519" w:rsidP="004F25BD">
      <w:pPr>
        <w:pStyle w:val="Title"/>
      </w:pPr>
      <w:bookmarkStart w:id="0" w:name="_Toc442780672"/>
      <w:bookmarkStart w:id="1" w:name="_GoBack"/>
      <w:bookmarkEnd w:id="1"/>
      <w:r w:rsidRPr="00923519">
        <w:t>Accounting policy update</w:t>
      </w:r>
    </w:p>
    <w:p w14:paraId="3B1FC2A4" w14:textId="12F6DDF6" w:rsidR="00923519" w:rsidRPr="00923519" w:rsidRDefault="00923519" w:rsidP="004F25BD">
      <w:pPr>
        <w:pStyle w:val="Subtitle"/>
      </w:pPr>
      <w:r w:rsidRPr="00923519">
        <w:t xml:space="preserve">Newsletter – Edition No. </w:t>
      </w:r>
      <w:r w:rsidR="00123F7E">
        <w:t>38</w:t>
      </w:r>
      <w:r w:rsidRPr="00923519">
        <w:t xml:space="preserve">, </w:t>
      </w:r>
      <w:r w:rsidR="00123F7E">
        <w:t>June 2020</w:t>
      </w:r>
    </w:p>
    <w:p w14:paraId="4C7AEFA9" w14:textId="77777777" w:rsidR="00923519" w:rsidRPr="00923519" w:rsidRDefault="00923519" w:rsidP="00923519">
      <w:pPr>
        <w:spacing w:after="0" w:line="120" w:lineRule="atLeast"/>
        <w:rPr>
          <w:rFonts w:ascii="Arial" w:eastAsia="Times New Roman" w:hAnsi="Arial" w:cs="Calibri"/>
          <w:sz w:val="10"/>
        </w:rPr>
      </w:pPr>
    </w:p>
    <w:p w14:paraId="2348F752" w14:textId="77777777" w:rsidR="00923519" w:rsidRPr="00923519" w:rsidRDefault="00923519" w:rsidP="00923519">
      <w:pPr>
        <w:spacing w:after="0" w:line="120" w:lineRule="atLeast"/>
        <w:rPr>
          <w:rFonts w:ascii="Arial" w:eastAsia="Times New Roman" w:hAnsi="Arial" w:cs="Calibri"/>
          <w:sz w:val="10"/>
        </w:rPr>
      </w:pPr>
    </w:p>
    <w:p w14:paraId="4144BEDC" w14:textId="77777777" w:rsidR="00923519" w:rsidRPr="00923519" w:rsidRDefault="00923519" w:rsidP="00923519">
      <w:pPr>
        <w:keepNext/>
        <w:spacing w:before="240"/>
        <w:outlineLvl w:val="0"/>
        <w:rPr>
          <w:rFonts w:ascii="Arial" w:eastAsia="Times New Roman" w:hAnsi="Arial" w:cs="Times New Roman"/>
          <w:b/>
          <w:bCs/>
          <w:color w:val="201547"/>
          <w:spacing w:val="-1"/>
          <w:sz w:val="28"/>
          <w:szCs w:val="28"/>
        </w:rPr>
        <w:sectPr w:rsidR="00923519" w:rsidRPr="00923519" w:rsidSect="00123F7E">
          <w:headerReference w:type="even" r:id="rId9"/>
          <w:headerReference w:type="default" r:id="rId10"/>
          <w:footerReference w:type="even" r:id="rId11"/>
          <w:footerReference w:type="default" r:id="rId12"/>
          <w:headerReference w:type="first" r:id="rId13"/>
          <w:footerReference w:type="first" r:id="rId14"/>
          <w:pgSz w:w="11906" w:h="16838" w:code="9"/>
          <w:pgMar w:top="2160" w:right="1440" w:bottom="1350" w:left="1440" w:header="706" w:footer="461" w:gutter="0"/>
          <w:cols w:space="708"/>
          <w:titlePg/>
          <w:docGrid w:linePitch="360"/>
        </w:sectPr>
      </w:pPr>
    </w:p>
    <w:p w14:paraId="055ACF00" w14:textId="77777777" w:rsidR="00923519" w:rsidRPr="00923519" w:rsidRDefault="00923519" w:rsidP="00923519">
      <w:pPr>
        <w:spacing w:after="0" w:line="120" w:lineRule="atLeast"/>
        <w:rPr>
          <w:rFonts w:ascii="Arial" w:eastAsia="Times New Roman" w:hAnsi="Arial" w:cs="Calibri"/>
          <w:sz w:val="10"/>
        </w:rPr>
      </w:pPr>
      <w:bookmarkStart w:id="2" w:name="_Toc442780674"/>
    </w:p>
    <w:p w14:paraId="07C3D4A6" w14:textId="3ADF2137" w:rsidR="00923519" w:rsidRPr="00923519" w:rsidRDefault="00923519" w:rsidP="00923519">
      <w:pPr>
        <w:keepNext/>
        <w:spacing w:before="60" w:after="0"/>
        <w:outlineLvl w:val="3"/>
        <w:rPr>
          <w:rFonts w:ascii="Arial" w:eastAsia="Times New Roman" w:hAnsi="Arial" w:cs="Times New Roman"/>
          <w:b/>
          <w:bCs/>
          <w:iCs/>
          <w:color w:val="53565A"/>
        </w:rPr>
      </w:pPr>
      <w:r w:rsidRPr="00923519">
        <w:rPr>
          <w:rFonts w:ascii="Arial" w:eastAsia="Times New Roman" w:hAnsi="Arial" w:cs="Times New Roman"/>
          <w:b/>
          <w:bCs/>
          <w:iCs/>
          <w:color w:val="53565A"/>
        </w:rPr>
        <w:t>Scope: This biannual newsletter outlines areas of importance in public sector financial reporting. Please distribute to both budget and financial reporting areas of Victorian public</w:t>
      </w:r>
      <w:r w:rsidR="00B872BE">
        <w:rPr>
          <w:rFonts w:ascii="Arial" w:eastAsia="Times New Roman" w:hAnsi="Arial" w:cs="Times New Roman"/>
          <w:b/>
          <w:bCs/>
          <w:iCs/>
          <w:color w:val="53565A"/>
        </w:rPr>
        <w:t xml:space="preserve"> </w:t>
      </w:r>
      <w:r w:rsidRPr="00923519">
        <w:rPr>
          <w:rFonts w:ascii="Arial" w:eastAsia="Times New Roman" w:hAnsi="Arial" w:cs="Times New Roman"/>
          <w:b/>
          <w:bCs/>
          <w:iCs/>
          <w:color w:val="53565A"/>
        </w:rPr>
        <w:t>sector entities.</w:t>
      </w:r>
    </w:p>
    <w:p w14:paraId="7EC186C5" w14:textId="129F0C2F" w:rsidR="00923519" w:rsidRDefault="00923519" w:rsidP="00923519">
      <w:pPr>
        <w:spacing w:before="120" w:after="120"/>
        <w:rPr>
          <w:rFonts w:ascii="Arial" w:eastAsia="Times New Roman" w:hAnsi="Arial" w:cs="Times New Roman"/>
        </w:rPr>
      </w:pPr>
    </w:p>
    <w:p w14:paraId="0F3E96CF" w14:textId="77777777" w:rsidR="004F25BD" w:rsidRDefault="004F25BD" w:rsidP="004F25BD"/>
    <w:tbl>
      <w:tblPr>
        <w:tblStyle w:val="TableGrid"/>
        <w:tblW w:w="0" w:type="auto"/>
        <w:tblBorders>
          <w:bottom w:val="none" w:sz="0" w:space="0" w:color="auto"/>
        </w:tblBorders>
        <w:tblLook w:val="0480" w:firstRow="0" w:lastRow="0" w:firstColumn="1" w:lastColumn="0" w:noHBand="0" w:noVBand="1"/>
      </w:tblPr>
      <w:tblGrid>
        <w:gridCol w:w="2833"/>
      </w:tblGrid>
      <w:tr w:rsidR="004F25BD" w14:paraId="4B94E6D2" w14:textId="77777777" w:rsidTr="00B872BE">
        <w:tc>
          <w:tcPr>
            <w:cnfStyle w:val="001000000000" w:firstRow="0" w:lastRow="0" w:firstColumn="1" w:lastColumn="0" w:oddVBand="0" w:evenVBand="0" w:oddHBand="0" w:evenHBand="0" w:firstRowFirstColumn="0" w:firstRowLastColumn="0" w:lastRowFirstColumn="0" w:lastRowLastColumn="0"/>
            <w:tcW w:w="2833" w:type="dxa"/>
          </w:tcPr>
          <w:p w14:paraId="6F2C3D1E" w14:textId="77777777" w:rsidR="004F25BD" w:rsidRDefault="004F25BD" w:rsidP="00B872BE">
            <w:pPr>
              <w:pStyle w:val="TOCHeading"/>
              <w:spacing w:before="200" w:after="100"/>
            </w:pPr>
            <w:r>
              <w:t>Inside this edition</w:t>
            </w:r>
          </w:p>
          <w:p w14:paraId="3F39F748" w14:textId="76250DEE" w:rsidR="00672EAC" w:rsidRDefault="004F25BD">
            <w:pPr>
              <w:pStyle w:val="TOC1"/>
              <w:rPr>
                <w:noProof/>
                <w:spacing w:val="0"/>
                <w:sz w:val="22"/>
                <w:szCs w:val="22"/>
              </w:rPr>
            </w:pPr>
            <w:r w:rsidRPr="00B90E28">
              <w:fldChar w:fldCharType="begin"/>
            </w:r>
            <w:r w:rsidRPr="00B90E28">
              <w:instrText xml:space="preserve"> TOC \h \z \t "Heading 1,1" </w:instrText>
            </w:r>
            <w:r w:rsidRPr="00B90E28">
              <w:fldChar w:fldCharType="separate"/>
            </w:r>
            <w:hyperlink w:anchor="_Toc48907915" w:history="1">
              <w:r w:rsidR="00672EAC" w:rsidRPr="0039045A">
                <w:rPr>
                  <w:rStyle w:val="Hyperlink"/>
                  <w:rFonts w:eastAsia="Times New Roman"/>
                  <w:noProof/>
                </w:rPr>
                <w:t>Overview</w:t>
              </w:r>
              <w:r w:rsidR="00672EAC">
                <w:rPr>
                  <w:noProof/>
                  <w:webHidden/>
                </w:rPr>
                <w:tab/>
              </w:r>
              <w:r w:rsidR="00672EAC">
                <w:rPr>
                  <w:noProof/>
                  <w:webHidden/>
                </w:rPr>
                <w:fldChar w:fldCharType="begin"/>
              </w:r>
              <w:r w:rsidR="00672EAC">
                <w:rPr>
                  <w:noProof/>
                  <w:webHidden/>
                </w:rPr>
                <w:instrText xml:space="preserve"> PAGEREF _Toc48907915 \h </w:instrText>
              </w:r>
              <w:r w:rsidR="00672EAC">
                <w:rPr>
                  <w:noProof/>
                  <w:webHidden/>
                </w:rPr>
              </w:r>
              <w:r w:rsidR="00672EAC">
                <w:rPr>
                  <w:noProof/>
                  <w:webHidden/>
                </w:rPr>
                <w:fldChar w:fldCharType="separate"/>
              </w:r>
              <w:r w:rsidR="00D05471">
                <w:rPr>
                  <w:noProof/>
                  <w:webHidden/>
                </w:rPr>
                <w:t>1</w:t>
              </w:r>
              <w:r w:rsidR="00672EAC">
                <w:rPr>
                  <w:noProof/>
                  <w:webHidden/>
                </w:rPr>
                <w:fldChar w:fldCharType="end"/>
              </w:r>
            </w:hyperlink>
          </w:p>
          <w:p w14:paraId="2DD05016" w14:textId="551688F5" w:rsidR="00672EAC" w:rsidRDefault="005E3C17">
            <w:pPr>
              <w:pStyle w:val="TOC1"/>
              <w:rPr>
                <w:noProof/>
                <w:spacing w:val="0"/>
                <w:sz w:val="22"/>
                <w:szCs w:val="22"/>
              </w:rPr>
            </w:pPr>
            <w:hyperlink w:anchor="_Toc48907916" w:history="1">
              <w:r w:rsidR="00672EAC" w:rsidRPr="0039045A">
                <w:rPr>
                  <w:rStyle w:val="Hyperlink"/>
                  <w:rFonts w:eastAsia="Times New Roman"/>
                  <w:noProof/>
                </w:rPr>
                <w:t>2019–20 reporting year</w:t>
              </w:r>
              <w:r w:rsidR="00672EAC">
                <w:rPr>
                  <w:noProof/>
                  <w:webHidden/>
                </w:rPr>
                <w:tab/>
              </w:r>
              <w:r w:rsidR="00672EAC">
                <w:rPr>
                  <w:noProof/>
                  <w:webHidden/>
                </w:rPr>
                <w:fldChar w:fldCharType="begin"/>
              </w:r>
              <w:r w:rsidR="00672EAC">
                <w:rPr>
                  <w:noProof/>
                  <w:webHidden/>
                </w:rPr>
                <w:instrText xml:space="preserve"> PAGEREF _Toc48907916 \h </w:instrText>
              </w:r>
              <w:r w:rsidR="00672EAC">
                <w:rPr>
                  <w:noProof/>
                  <w:webHidden/>
                </w:rPr>
              </w:r>
              <w:r w:rsidR="00672EAC">
                <w:rPr>
                  <w:noProof/>
                  <w:webHidden/>
                </w:rPr>
                <w:fldChar w:fldCharType="separate"/>
              </w:r>
              <w:r w:rsidR="00D05471">
                <w:rPr>
                  <w:noProof/>
                  <w:webHidden/>
                </w:rPr>
                <w:t>2</w:t>
              </w:r>
              <w:r w:rsidR="00672EAC">
                <w:rPr>
                  <w:noProof/>
                  <w:webHidden/>
                </w:rPr>
                <w:fldChar w:fldCharType="end"/>
              </w:r>
            </w:hyperlink>
          </w:p>
          <w:p w14:paraId="2B9D280C" w14:textId="40F7C485" w:rsidR="00672EAC" w:rsidRDefault="005E3C17">
            <w:pPr>
              <w:pStyle w:val="TOC1"/>
              <w:rPr>
                <w:noProof/>
                <w:spacing w:val="0"/>
                <w:sz w:val="22"/>
                <w:szCs w:val="22"/>
              </w:rPr>
            </w:pPr>
            <w:hyperlink w:anchor="_Toc48907917" w:history="1">
              <w:r w:rsidR="00672EAC" w:rsidRPr="0039045A">
                <w:rPr>
                  <w:rStyle w:val="Hyperlink"/>
                  <w:rFonts w:eastAsia="Times New Roman"/>
                  <w:noProof/>
                </w:rPr>
                <w:t>Financial reporting legislation</w:t>
              </w:r>
              <w:r w:rsidR="00672EAC">
                <w:rPr>
                  <w:noProof/>
                  <w:webHidden/>
                </w:rPr>
                <w:tab/>
              </w:r>
              <w:r w:rsidR="00672EAC">
                <w:rPr>
                  <w:noProof/>
                  <w:webHidden/>
                </w:rPr>
                <w:fldChar w:fldCharType="begin"/>
              </w:r>
              <w:r w:rsidR="00672EAC">
                <w:rPr>
                  <w:noProof/>
                  <w:webHidden/>
                </w:rPr>
                <w:instrText xml:space="preserve"> PAGEREF _Toc48907917 \h </w:instrText>
              </w:r>
              <w:r w:rsidR="00672EAC">
                <w:rPr>
                  <w:noProof/>
                  <w:webHidden/>
                </w:rPr>
              </w:r>
              <w:r w:rsidR="00672EAC">
                <w:rPr>
                  <w:noProof/>
                  <w:webHidden/>
                </w:rPr>
                <w:fldChar w:fldCharType="separate"/>
              </w:r>
              <w:r w:rsidR="00D05471">
                <w:rPr>
                  <w:noProof/>
                  <w:webHidden/>
                </w:rPr>
                <w:t>5</w:t>
              </w:r>
              <w:r w:rsidR="00672EAC">
                <w:rPr>
                  <w:noProof/>
                  <w:webHidden/>
                </w:rPr>
                <w:fldChar w:fldCharType="end"/>
              </w:r>
            </w:hyperlink>
          </w:p>
          <w:p w14:paraId="471615D9" w14:textId="7DCB9D7E" w:rsidR="00672EAC" w:rsidRDefault="005E3C17">
            <w:pPr>
              <w:pStyle w:val="TOC1"/>
              <w:rPr>
                <w:noProof/>
                <w:spacing w:val="0"/>
                <w:sz w:val="22"/>
                <w:szCs w:val="22"/>
              </w:rPr>
            </w:pPr>
            <w:hyperlink w:anchor="_Toc48907918" w:history="1">
              <w:r w:rsidR="00672EAC" w:rsidRPr="0039045A">
                <w:rPr>
                  <w:rStyle w:val="Hyperlink"/>
                  <w:rFonts w:eastAsia="Times New Roman"/>
                  <w:noProof/>
                </w:rPr>
                <w:t xml:space="preserve">Net debt </w:t>
              </w:r>
              <w:r w:rsidR="00672EAC" w:rsidRPr="0039045A">
                <w:rPr>
                  <w:rStyle w:val="Hyperlink"/>
                  <w:noProof/>
                </w:rPr>
                <w:t>impacts</w:t>
              </w:r>
              <w:r w:rsidR="00672EAC" w:rsidRPr="0039045A">
                <w:rPr>
                  <w:rStyle w:val="Hyperlink"/>
                  <w:rFonts w:eastAsia="Times New Roman"/>
                  <w:noProof/>
                </w:rPr>
                <w:t xml:space="preserve"> of new accounting standards</w:t>
              </w:r>
              <w:r w:rsidR="00672EAC">
                <w:rPr>
                  <w:noProof/>
                  <w:webHidden/>
                </w:rPr>
                <w:tab/>
              </w:r>
              <w:r w:rsidR="00672EAC">
                <w:rPr>
                  <w:noProof/>
                  <w:webHidden/>
                </w:rPr>
                <w:fldChar w:fldCharType="begin"/>
              </w:r>
              <w:r w:rsidR="00672EAC">
                <w:rPr>
                  <w:noProof/>
                  <w:webHidden/>
                </w:rPr>
                <w:instrText xml:space="preserve"> PAGEREF _Toc48907918 \h </w:instrText>
              </w:r>
              <w:r w:rsidR="00672EAC">
                <w:rPr>
                  <w:noProof/>
                  <w:webHidden/>
                </w:rPr>
              </w:r>
              <w:r w:rsidR="00672EAC">
                <w:rPr>
                  <w:noProof/>
                  <w:webHidden/>
                </w:rPr>
                <w:fldChar w:fldCharType="separate"/>
              </w:r>
              <w:r w:rsidR="00D05471">
                <w:rPr>
                  <w:noProof/>
                  <w:webHidden/>
                </w:rPr>
                <w:t>7</w:t>
              </w:r>
              <w:r w:rsidR="00672EAC">
                <w:rPr>
                  <w:noProof/>
                  <w:webHidden/>
                </w:rPr>
                <w:fldChar w:fldCharType="end"/>
              </w:r>
            </w:hyperlink>
          </w:p>
          <w:p w14:paraId="3550F63B" w14:textId="6C50466D" w:rsidR="00672EAC" w:rsidRDefault="005E3C17">
            <w:pPr>
              <w:pStyle w:val="TOC1"/>
              <w:rPr>
                <w:noProof/>
                <w:spacing w:val="0"/>
                <w:sz w:val="22"/>
                <w:szCs w:val="22"/>
              </w:rPr>
            </w:pPr>
            <w:hyperlink w:anchor="_Toc48907919" w:history="1">
              <w:r w:rsidR="00672EAC" w:rsidRPr="0039045A">
                <w:rPr>
                  <w:rStyle w:val="Hyperlink"/>
                  <w:rFonts w:eastAsia="Times New Roman"/>
                  <w:noProof/>
                </w:rPr>
                <w:t>AASB update</w:t>
              </w:r>
              <w:r w:rsidR="00672EAC">
                <w:rPr>
                  <w:noProof/>
                  <w:webHidden/>
                </w:rPr>
                <w:tab/>
              </w:r>
              <w:r w:rsidR="00672EAC">
                <w:rPr>
                  <w:noProof/>
                  <w:webHidden/>
                </w:rPr>
                <w:fldChar w:fldCharType="begin"/>
              </w:r>
              <w:r w:rsidR="00672EAC">
                <w:rPr>
                  <w:noProof/>
                  <w:webHidden/>
                </w:rPr>
                <w:instrText xml:space="preserve"> PAGEREF _Toc48907919 \h </w:instrText>
              </w:r>
              <w:r w:rsidR="00672EAC">
                <w:rPr>
                  <w:noProof/>
                  <w:webHidden/>
                </w:rPr>
              </w:r>
              <w:r w:rsidR="00672EAC">
                <w:rPr>
                  <w:noProof/>
                  <w:webHidden/>
                </w:rPr>
                <w:fldChar w:fldCharType="separate"/>
              </w:r>
              <w:r w:rsidR="00D05471">
                <w:rPr>
                  <w:noProof/>
                  <w:webHidden/>
                </w:rPr>
                <w:t>8</w:t>
              </w:r>
              <w:r w:rsidR="00672EAC">
                <w:rPr>
                  <w:noProof/>
                  <w:webHidden/>
                </w:rPr>
                <w:fldChar w:fldCharType="end"/>
              </w:r>
            </w:hyperlink>
          </w:p>
          <w:p w14:paraId="7E030B73" w14:textId="569C9303" w:rsidR="00672EAC" w:rsidRDefault="005E3C17">
            <w:pPr>
              <w:pStyle w:val="TOC1"/>
              <w:rPr>
                <w:noProof/>
                <w:spacing w:val="0"/>
                <w:sz w:val="22"/>
                <w:szCs w:val="22"/>
              </w:rPr>
            </w:pPr>
            <w:hyperlink w:anchor="_Toc48907920" w:history="1">
              <w:r w:rsidR="00672EAC" w:rsidRPr="0039045A">
                <w:rPr>
                  <w:rStyle w:val="Hyperlink"/>
                  <w:rFonts w:eastAsia="Times New Roman"/>
                  <w:noProof/>
                </w:rPr>
                <w:t xml:space="preserve">Other </w:t>
              </w:r>
              <w:r w:rsidR="00672EAC" w:rsidRPr="0039045A">
                <w:rPr>
                  <w:rStyle w:val="Hyperlink"/>
                  <w:noProof/>
                </w:rPr>
                <w:t>developments</w:t>
              </w:r>
              <w:r w:rsidR="00672EAC">
                <w:rPr>
                  <w:noProof/>
                  <w:webHidden/>
                </w:rPr>
                <w:tab/>
              </w:r>
              <w:r w:rsidR="00672EAC">
                <w:rPr>
                  <w:noProof/>
                  <w:webHidden/>
                </w:rPr>
                <w:fldChar w:fldCharType="begin"/>
              </w:r>
              <w:r w:rsidR="00672EAC">
                <w:rPr>
                  <w:noProof/>
                  <w:webHidden/>
                </w:rPr>
                <w:instrText xml:space="preserve"> PAGEREF _Toc48907920 \h </w:instrText>
              </w:r>
              <w:r w:rsidR="00672EAC">
                <w:rPr>
                  <w:noProof/>
                  <w:webHidden/>
                </w:rPr>
              </w:r>
              <w:r w:rsidR="00672EAC">
                <w:rPr>
                  <w:noProof/>
                  <w:webHidden/>
                </w:rPr>
                <w:fldChar w:fldCharType="separate"/>
              </w:r>
              <w:r w:rsidR="00D05471">
                <w:rPr>
                  <w:noProof/>
                  <w:webHidden/>
                </w:rPr>
                <w:t>11</w:t>
              </w:r>
              <w:r w:rsidR="00672EAC">
                <w:rPr>
                  <w:noProof/>
                  <w:webHidden/>
                </w:rPr>
                <w:fldChar w:fldCharType="end"/>
              </w:r>
            </w:hyperlink>
          </w:p>
          <w:p w14:paraId="55DB28B2" w14:textId="2F281E9C" w:rsidR="00672EAC" w:rsidRDefault="005E3C17">
            <w:pPr>
              <w:pStyle w:val="TOC1"/>
              <w:rPr>
                <w:noProof/>
                <w:spacing w:val="0"/>
                <w:sz w:val="22"/>
                <w:szCs w:val="22"/>
              </w:rPr>
            </w:pPr>
            <w:hyperlink w:anchor="_Toc48907921" w:history="1">
              <w:r w:rsidR="00672EAC" w:rsidRPr="0039045A">
                <w:rPr>
                  <w:rStyle w:val="Hyperlink"/>
                  <w:rFonts w:eastAsia="Times New Roman"/>
                  <w:noProof/>
                </w:rPr>
                <w:t>How to contact us</w:t>
              </w:r>
              <w:r w:rsidR="00672EAC">
                <w:rPr>
                  <w:noProof/>
                  <w:webHidden/>
                </w:rPr>
                <w:tab/>
              </w:r>
              <w:r w:rsidR="00672EAC">
                <w:rPr>
                  <w:noProof/>
                  <w:webHidden/>
                </w:rPr>
                <w:fldChar w:fldCharType="begin"/>
              </w:r>
              <w:r w:rsidR="00672EAC">
                <w:rPr>
                  <w:noProof/>
                  <w:webHidden/>
                </w:rPr>
                <w:instrText xml:space="preserve"> PAGEREF _Toc48907921 \h </w:instrText>
              </w:r>
              <w:r w:rsidR="00672EAC">
                <w:rPr>
                  <w:noProof/>
                  <w:webHidden/>
                </w:rPr>
              </w:r>
              <w:r w:rsidR="00672EAC">
                <w:rPr>
                  <w:noProof/>
                  <w:webHidden/>
                </w:rPr>
                <w:fldChar w:fldCharType="separate"/>
              </w:r>
              <w:r w:rsidR="00D05471">
                <w:rPr>
                  <w:noProof/>
                  <w:webHidden/>
                </w:rPr>
                <w:t>12</w:t>
              </w:r>
              <w:r w:rsidR="00672EAC">
                <w:rPr>
                  <w:noProof/>
                  <w:webHidden/>
                </w:rPr>
                <w:fldChar w:fldCharType="end"/>
              </w:r>
            </w:hyperlink>
          </w:p>
          <w:p w14:paraId="54FB666B" w14:textId="53B5207C" w:rsidR="004F25BD" w:rsidRPr="004F25BD" w:rsidRDefault="004F25BD" w:rsidP="00E41BB2">
            <w:pPr>
              <w:pStyle w:val="TOC1"/>
            </w:pPr>
            <w:r w:rsidRPr="00B90E28">
              <w:fldChar w:fldCharType="end"/>
            </w:r>
          </w:p>
        </w:tc>
      </w:tr>
    </w:tbl>
    <w:p w14:paraId="2A67D8DD" w14:textId="77777777" w:rsidR="004F25BD" w:rsidRDefault="004F25BD" w:rsidP="004F25BD"/>
    <w:p w14:paraId="1F376467" w14:textId="77777777" w:rsidR="00923519" w:rsidRPr="00923519" w:rsidRDefault="00923519" w:rsidP="00923519">
      <w:pPr>
        <w:spacing w:before="120" w:after="120"/>
        <w:rPr>
          <w:rFonts w:ascii="Arial" w:eastAsia="Times New Roman" w:hAnsi="Arial" w:cs="Times New Roman"/>
        </w:rPr>
      </w:pPr>
    </w:p>
    <w:p w14:paraId="2B138056" w14:textId="40A322D5" w:rsidR="00923519" w:rsidRPr="00923519" w:rsidRDefault="00923519" w:rsidP="004F25BD">
      <w:pPr>
        <w:pStyle w:val="Heading1"/>
        <w:rPr>
          <w:rFonts w:eastAsia="Times New Roman"/>
        </w:rPr>
      </w:pPr>
      <w:r w:rsidRPr="00923519">
        <w:rPr>
          <w:rFonts w:eastAsia="Times New Roman"/>
        </w:rPr>
        <w:br w:type="column"/>
      </w:r>
      <w:bookmarkStart w:id="3" w:name="_Toc33614830"/>
      <w:bookmarkStart w:id="4" w:name="_Toc48907915"/>
      <w:r w:rsidRPr="00923519">
        <w:rPr>
          <w:rFonts w:eastAsia="Times New Roman"/>
        </w:rPr>
        <w:t>Overview</w:t>
      </w:r>
      <w:bookmarkEnd w:id="3"/>
      <w:bookmarkEnd w:id="4"/>
      <w:r w:rsidRPr="00923519">
        <w:rPr>
          <w:rFonts w:eastAsia="Times New Roman"/>
        </w:rPr>
        <w:t xml:space="preserve"> </w:t>
      </w:r>
    </w:p>
    <w:p w14:paraId="2B84F975" w14:textId="6986D962" w:rsidR="00A92CB6" w:rsidRDefault="00A92CB6" w:rsidP="00FC6550">
      <w:pPr>
        <w:rPr>
          <w:rFonts w:eastAsia="Times New Roman"/>
        </w:rPr>
      </w:pPr>
      <w:r>
        <w:rPr>
          <w:rFonts w:eastAsia="Times New Roman"/>
        </w:rPr>
        <w:t>As most of our controlled public sector entities and departments prepare for their 30 June 2020 financial year end reporting requirements, we provide an update of the key changes that are relevant to the reporting period.</w:t>
      </w:r>
    </w:p>
    <w:p w14:paraId="4C6140B6" w14:textId="7C8EB474" w:rsidR="00A92CB6" w:rsidRDefault="00A92CB6" w:rsidP="00FC6550">
      <w:pPr>
        <w:rPr>
          <w:rFonts w:eastAsia="Times New Roman"/>
        </w:rPr>
      </w:pPr>
      <w:r w:rsidRPr="00A92CB6">
        <w:rPr>
          <w:rFonts w:eastAsia="Times New Roman"/>
        </w:rPr>
        <w:t xml:space="preserve">The </w:t>
      </w:r>
      <w:hyperlink r:id="rId15" w:history="1">
        <w:r w:rsidRPr="007269A0">
          <w:rPr>
            <w:rStyle w:val="Hyperlink"/>
            <w:rFonts w:ascii="Arial" w:eastAsia="Times New Roman" w:hAnsi="Arial" w:cs="Times New Roman"/>
            <w:i/>
            <w:iCs/>
          </w:rPr>
          <w:t>2019-20</w:t>
        </w:r>
        <w:r w:rsidRPr="00510249">
          <w:rPr>
            <w:rStyle w:val="Hyperlink"/>
            <w:rFonts w:ascii="Arial" w:eastAsia="Times New Roman" w:hAnsi="Arial" w:cs="Times New Roman"/>
          </w:rPr>
          <w:t xml:space="preserve"> </w:t>
        </w:r>
        <w:r w:rsidRPr="00510249">
          <w:rPr>
            <w:rStyle w:val="Hyperlink"/>
            <w:rFonts w:ascii="Arial" w:eastAsia="Times New Roman" w:hAnsi="Arial" w:cs="Times New Roman"/>
            <w:i/>
            <w:iCs/>
          </w:rPr>
          <w:t>Model Report for Victorian Government Departments</w:t>
        </w:r>
      </w:hyperlink>
      <w:r w:rsidRPr="00A92CB6">
        <w:rPr>
          <w:rFonts w:eastAsia="Times New Roman"/>
        </w:rPr>
        <w:t xml:space="preserve"> </w:t>
      </w:r>
      <w:r>
        <w:rPr>
          <w:rFonts w:eastAsia="Times New Roman"/>
        </w:rPr>
        <w:t xml:space="preserve">has been released and </w:t>
      </w:r>
      <w:r w:rsidRPr="00A92CB6">
        <w:rPr>
          <w:rFonts w:eastAsia="Times New Roman"/>
        </w:rPr>
        <w:t>is available from the DTF</w:t>
      </w:r>
      <w:r w:rsidR="00510249">
        <w:rPr>
          <w:rFonts w:eastAsia="Times New Roman"/>
        </w:rPr>
        <w:t xml:space="preserve"> </w:t>
      </w:r>
      <w:r w:rsidRPr="00A92CB6">
        <w:rPr>
          <w:rFonts w:eastAsia="Times New Roman"/>
        </w:rPr>
        <w:t>website.</w:t>
      </w:r>
      <w:r>
        <w:rPr>
          <w:rFonts w:eastAsia="Times New Roman"/>
        </w:rPr>
        <w:t xml:space="preserve"> The major change</w:t>
      </w:r>
      <w:r w:rsidR="00A17BA8">
        <w:rPr>
          <w:rFonts w:eastAsia="Times New Roman"/>
        </w:rPr>
        <w:t>s</w:t>
      </w:r>
      <w:r>
        <w:rPr>
          <w:rFonts w:eastAsia="Times New Roman"/>
        </w:rPr>
        <w:t xml:space="preserve"> made in this edition </w:t>
      </w:r>
      <w:r w:rsidR="00A17BA8">
        <w:rPr>
          <w:rFonts w:eastAsia="Times New Roman"/>
        </w:rPr>
        <w:t>are the changes</w:t>
      </w:r>
      <w:r>
        <w:rPr>
          <w:rFonts w:eastAsia="Times New Roman"/>
        </w:rPr>
        <w:t xml:space="preserve"> in the financial statements and accompanying notes relating to the adoption of the new accounting standards</w:t>
      </w:r>
      <w:r w:rsidR="0021091D">
        <w:rPr>
          <w:rFonts w:eastAsia="Times New Roman"/>
        </w:rPr>
        <w:t>,</w:t>
      </w:r>
      <w:r>
        <w:rPr>
          <w:rFonts w:eastAsia="Times New Roman"/>
        </w:rPr>
        <w:t xml:space="preserve"> effective this reporting </w:t>
      </w:r>
      <w:r w:rsidR="00A17BA8">
        <w:rPr>
          <w:rFonts w:eastAsia="Times New Roman"/>
        </w:rPr>
        <w:t>period</w:t>
      </w:r>
      <w:r>
        <w:rPr>
          <w:rFonts w:eastAsia="Times New Roman"/>
        </w:rPr>
        <w:t>.</w:t>
      </w:r>
      <w:r w:rsidR="00A17BA8">
        <w:rPr>
          <w:rFonts w:eastAsia="Times New Roman"/>
        </w:rPr>
        <w:t xml:space="preserve"> </w:t>
      </w:r>
    </w:p>
    <w:p w14:paraId="78F9BCB1" w14:textId="3F995068" w:rsidR="005B01E2" w:rsidRDefault="00A17BA8" w:rsidP="00FC6550">
      <w:pPr>
        <w:rPr>
          <w:rFonts w:eastAsia="Times New Roman"/>
        </w:rPr>
      </w:pPr>
      <w:r>
        <w:rPr>
          <w:rFonts w:eastAsia="Times New Roman"/>
        </w:rPr>
        <w:t xml:space="preserve">As </w:t>
      </w:r>
      <w:r w:rsidRPr="00EA0963">
        <w:rPr>
          <w:rFonts w:eastAsia="Times New Roman"/>
        </w:rPr>
        <w:t>a reminder</w:t>
      </w:r>
      <w:r w:rsidR="00EA0963">
        <w:rPr>
          <w:rFonts w:eastAsia="Times New Roman"/>
        </w:rPr>
        <w:t>,</w:t>
      </w:r>
      <w:r w:rsidRPr="00EA0963">
        <w:rPr>
          <w:rFonts w:eastAsia="Times New Roman"/>
        </w:rPr>
        <w:t xml:space="preserve"> a suite of new F</w:t>
      </w:r>
      <w:r w:rsidR="00EA0963">
        <w:rPr>
          <w:rFonts w:eastAsia="Times New Roman"/>
        </w:rPr>
        <w:t xml:space="preserve">inancial </w:t>
      </w:r>
      <w:r w:rsidRPr="00EA0963">
        <w:rPr>
          <w:rFonts w:eastAsia="Times New Roman"/>
        </w:rPr>
        <w:t>R</w:t>
      </w:r>
      <w:r w:rsidR="00EA0963">
        <w:rPr>
          <w:rFonts w:eastAsia="Times New Roman"/>
        </w:rPr>
        <w:t xml:space="preserve">eporting </w:t>
      </w:r>
      <w:r w:rsidRPr="00EA0963">
        <w:rPr>
          <w:rFonts w:eastAsia="Times New Roman"/>
        </w:rPr>
        <w:t>D</w:t>
      </w:r>
      <w:r w:rsidR="00EA0963">
        <w:rPr>
          <w:rFonts w:eastAsia="Times New Roman"/>
        </w:rPr>
        <w:t>irections (FRD)</w:t>
      </w:r>
      <w:r w:rsidRPr="00EA0963">
        <w:rPr>
          <w:rFonts w:eastAsia="Times New Roman"/>
        </w:rPr>
        <w:t xml:space="preserve"> </w:t>
      </w:r>
      <w:r w:rsidR="006B6758">
        <w:rPr>
          <w:rFonts w:eastAsia="Times New Roman"/>
        </w:rPr>
        <w:t>was</w:t>
      </w:r>
      <w:r w:rsidR="006B6758" w:rsidRPr="00EA0963">
        <w:rPr>
          <w:rFonts w:eastAsia="Times New Roman"/>
        </w:rPr>
        <w:t xml:space="preserve"> </w:t>
      </w:r>
      <w:r w:rsidRPr="00EA0963">
        <w:rPr>
          <w:rFonts w:eastAsia="Times New Roman"/>
        </w:rPr>
        <w:t>released in April</w:t>
      </w:r>
      <w:r w:rsidR="00923519" w:rsidRPr="00C82D6F">
        <w:rPr>
          <w:rFonts w:eastAsia="Times New Roman"/>
        </w:rPr>
        <w:t xml:space="preserve">, prescribing the transitional requirements for the new accounting standards. </w:t>
      </w:r>
      <w:r w:rsidR="00C51F5E">
        <w:rPr>
          <w:rFonts w:eastAsia="Times New Roman"/>
        </w:rPr>
        <w:t>Some e</w:t>
      </w:r>
      <w:r w:rsidR="00EA0963">
        <w:rPr>
          <w:rFonts w:eastAsia="Times New Roman"/>
        </w:rPr>
        <w:t xml:space="preserve">xisting FRDs have also been reviewed and updated. </w:t>
      </w:r>
    </w:p>
    <w:p w14:paraId="039E4871" w14:textId="76A6B281" w:rsidR="0085013A" w:rsidRPr="00123F7E" w:rsidRDefault="005B01E2" w:rsidP="00FC6550">
      <w:pPr>
        <w:rPr>
          <w:rFonts w:eastAsia="Times New Roman"/>
        </w:rPr>
      </w:pPr>
      <w:r>
        <w:rPr>
          <w:rFonts w:eastAsia="Times New Roman"/>
        </w:rPr>
        <w:t>V</w:t>
      </w:r>
      <w:r w:rsidR="0085013A" w:rsidRPr="00123F7E">
        <w:rPr>
          <w:rFonts w:eastAsia="Times New Roman"/>
        </w:rPr>
        <w:t>aluation assessments for 201</w:t>
      </w:r>
      <w:r w:rsidR="0085013A">
        <w:rPr>
          <w:rFonts w:eastAsia="Times New Roman"/>
        </w:rPr>
        <w:t>9</w:t>
      </w:r>
      <w:r w:rsidR="0085013A" w:rsidRPr="00123F7E">
        <w:rPr>
          <w:rFonts w:eastAsia="Times New Roman"/>
        </w:rPr>
        <w:t>-</w:t>
      </w:r>
      <w:r w:rsidR="0085013A">
        <w:rPr>
          <w:rFonts w:eastAsia="Times New Roman"/>
        </w:rPr>
        <w:t>20</w:t>
      </w:r>
      <w:r w:rsidR="0085013A" w:rsidRPr="00123F7E">
        <w:rPr>
          <w:rFonts w:eastAsia="Times New Roman"/>
        </w:rPr>
        <w:t xml:space="preserve"> need to be finalised using the April indices provided by the Valuer-General Victoria</w:t>
      </w:r>
      <w:r w:rsidR="0085013A">
        <w:rPr>
          <w:rFonts w:eastAsia="Times New Roman"/>
        </w:rPr>
        <w:t xml:space="preserve"> (VGV)</w:t>
      </w:r>
      <w:r w:rsidR="00510249">
        <w:rPr>
          <w:rFonts w:eastAsia="Times New Roman"/>
        </w:rPr>
        <w:t xml:space="preserve">. </w:t>
      </w:r>
    </w:p>
    <w:p w14:paraId="418C8792" w14:textId="566C2836" w:rsidR="001F2ADD" w:rsidRDefault="007F3279" w:rsidP="00FC6550">
      <w:pPr>
        <w:rPr>
          <w:rFonts w:eastAsia="Times New Roman"/>
        </w:rPr>
      </w:pPr>
      <w:r>
        <w:rPr>
          <w:rFonts w:eastAsia="Times New Roman"/>
        </w:rPr>
        <w:t>Coronavirus (</w:t>
      </w:r>
      <w:r w:rsidR="00510249">
        <w:rPr>
          <w:rFonts w:eastAsia="Times New Roman"/>
        </w:rPr>
        <w:t>COVID</w:t>
      </w:r>
      <w:r w:rsidR="001F2ADD">
        <w:rPr>
          <w:rFonts w:eastAsia="Times New Roman"/>
        </w:rPr>
        <w:t>-19</w:t>
      </w:r>
      <w:r>
        <w:rPr>
          <w:rFonts w:eastAsia="Times New Roman"/>
        </w:rPr>
        <w:t>)</w:t>
      </w:r>
      <w:r w:rsidR="001F2ADD">
        <w:rPr>
          <w:rFonts w:eastAsia="Times New Roman"/>
        </w:rPr>
        <w:t xml:space="preserve"> has or may have an impact on financial reporting in the following areas which are detailed in the newsletter:</w:t>
      </w:r>
    </w:p>
    <w:p w14:paraId="4FCD5C3A" w14:textId="4ED87FC6" w:rsidR="001F2ADD" w:rsidRDefault="001F2ADD" w:rsidP="001F2ADD">
      <w:pPr>
        <w:pStyle w:val="ListParagraph"/>
        <w:numPr>
          <w:ilvl w:val="0"/>
          <w:numId w:val="42"/>
        </w:numPr>
        <w:spacing w:before="120" w:after="120"/>
        <w:rPr>
          <w:rFonts w:ascii="Arial" w:eastAsia="Times New Roman" w:hAnsi="Arial" w:cs="Calibri"/>
        </w:rPr>
      </w:pPr>
      <w:r w:rsidRPr="00510249">
        <w:rPr>
          <w:rFonts w:ascii="Arial" w:eastAsia="Times New Roman" w:hAnsi="Arial" w:cs="Calibri"/>
          <w:b/>
          <w:bCs/>
        </w:rPr>
        <w:t>Annual report attestations</w:t>
      </w:r>
      <w:r>
        <w:rPr>
          <w:rFonts w:ascii="Arial" w:eastAsia="Times New Roman" w:hAnsi="Arial" w:cs="Calibri"/>
        </w:rPr>
        <w:t xml:space="preserve">. These should be </w:t>
      </w:r>
      <w:r w:rsidR="0085013A">
        <w:rPr>
          <w:rFonts w:ascii="Arial" w:eastAsia="Times New Roman" w:hAnsi="Arial" w:cs="Calibri"/>
        </w:rPr>
        <w:t>completed</w:t>
      </w:r>
      <w:r>
        <w:rPr>
          <w:rFonts w:ascii="Arial" w:eastAsia="Times New Roman" w:hAnsi="Arial" w:cs="Calibri"/>
        </w:rPr>
        <w:t xml:space="preserve"> as </w:t>
      </w:r>
      <w:r w:rsidR="0085013A">
        <w:rPr>
          <w:rFonts w:ascii="Arial" w:eastAsia="Times New Roman" w:hAnsi="Arial" w:cs="Calibri"/>
        </w:rPr>
        <w:t>usual for the 2019-20 financial reporting period in relation to all applicable Standing Directions</w:t>
      </w:r>
      <w:r w:rsidR="00310EC2">
        <w:rPr>
          <w:rFonts w:ascii="Arial" w:eastAsia="Times New Roman" w:hAnsi="Arial" w:cs="Calibri"/>
        </w:rPr>
        <w:t xml:space="preserve"> 2018</w:t>
      </w:r>
      <w:r w:rsidR="0085013A">
        <w:rPr>
          <w:rFonts w:ascii="Arial" w:eastAsia="Times New Roman" w:hAnsi="Arial" w:cs="Calibri"/>
        </w:rPr>
        <w:t xml:space="preserve"> and Instructions,</w:t>
      </w:r>
      <w:r>
        <w:rPr>
          <w:rFonts w:ascii="Arial" w:eastAsia="Times New Roman" w:hAnsi="Arial" w:cs="Calibri"/>
        </w:rPr>
        <w:t xml:space="preserve"> unless the timing is impacted by </w:t>
      </w:r>
      <w:r w:rsidR="00510249">
        <w:rPr>
          <w:rFonts w:ascii="Arial" w:eastAsia="Times New Roman" w:hAnsi="Arial" w:cs="Calibri"/>
        </w:rPr>
        <w:t>COVID</w:t>
      </w:r>
      <w:r>
        <w:rPr>
          <w:rFonts w:ascii="Arial" w:eastAsia="Times New Roman" w:hAnsi="Arial" w:cs="Calibri"/>
        </w:rPr>
        <w:t xml:space="preserve">-19. Entities will be specifically contacted by the DTF Financial Frameworks </w:t>
      </w:r>
      <w:r w:rsidR="00F45654">
        <w:rPr>
          <w:rFonts w:ascii="Arial" w:eastAsia="Times New Roman" w:hAnsi="Arial" w:cs="Calibri"/>
        </w:rPr>
        <w:t xml:space="preserve">team </w:t>
      </w:r>
      <w:r>
        <w:rPr>
          <w:rFonts w:ascii="Arial" w:eastAsia="Times New Roman" w:hAnsi="Arial" w:cs="Calibri"/>
        </w:rPr>
        <w:t xml:space="preserve">where </w:t>
      </w:r>
      <w:r w:rsidR="0085013A">
        <w:rPr>
          <w:rFonts w:ascii="Arial" w:eastAsia="Times New Roman" w:hAnsi="Arial" w:cs="Calibri"/>
        </w:rPr>
        <w:t>this is the case</w:t>
      </w:r>
      <w:r w:rsidR="004D457D">
        <w:rPr>
          <w:rFonts w:ascii="Arial" w:eastAsia="Times New Roman" w:hAnsi="Arial" w:cs="Calibri"/>
        </w:rPr>
        <w:t>.</w:t>
      </w:r>
    </w:p>
    <w:p w14:paraId="54EEE93D" w14:textId="6E9E5C3E" w:rsidR="002523F4" w:rsidRDefault="002523F4" w:rsidP="001F2ADD">
      <w:pPr>
        <w:pStyle w:val="ListParagraph"/>
        <w:numPr>
          <w:ilvl w:val="0"/>
          <w:numId w:val="42"/>
        </w:numPr>
        <w:spacing w:before="120" w:after="120"/>
        <w:rPr>
          <w:rFonts w:ascii="Arial" w:eastAsia="Times New Roman" w:hAnsi="Arial" w:cs="Calibri"/>
        </w:rPr>
      </w:pPr>
      <w:r>
        <w:rPr>
          <w:rFonts w:ascii="Arial" w:eastAsia="Times New Roman" w:hAnsi="Arial" w:cs="Times New Roman"/>
          <w:szCs w:val="18"/>
        </w:rPr>
        <w:t xml:space="preserve">Due to the delay of the 2020-21 Budget, the </w:t>
      </w:r>
      <w:r w:rsidR="00432791">
        <w:rPr>
          <w:rFonts w:ascii="Arial" w:eastAsia="Times New Roman" w:hAnsi="Arial" w:cs="Times New Roman"/>
          <w:szCs w:val="18"/>
        </w:rPr>
        <w:t xml:space="preserve">wage </w:t>
      </w:r>
      <w:r>
        <w:rPr>
          <w:rFonts w:ascii="Arial" w:eastAsia="Times New Roman" w:hAnsi="Arial" w:cs="Times New Roman"/>
          <w:szCs w:val="18"/>
        </w:rPr>
        <w:t xml:space="preserve">rate </w:t>
      </w:r>
      <w:r w:rsidR="00DE7169">
        <w:rPr>
          <w:rFonts w:ascii="Arial" w:eastAsia="Times New Roman" w:hAnsi="Arial" w:cs="Times New Roman"/>
          <w:szCs w:val="18"/>
        </w:rPr>
        <w:t xml:space="preserve">of </w:t>
      </w:r>
      <w:r w:rsidR="00DE7169" w:rsidRPr="00AF5906">
        <w:rPr>
          <w:rFonts w:ascii="Arial" w:hAnsi="Arial" w:cs="Arial"/>
          <w:color w:val="000000"/>
          <w:szCs w:val="18"/>
        </w:rPr>
        <w:t>4.25</w:t>
      </w:r>
      <w:r w:rsidR="00E41BB2">
        <w:rPr>
          <w:rFonts w:ascii="Arial" w:hAnsi="Arial" w:cs="Arial"/>
          <w:color w:val="000000"/>
          <w:szCs w:val="18"/>
        </w:rPr>
        <w:t> per cent</w:t>
      </w:r>
      <w:r w:rsidR="00DE7169">
        <w:rPr>
          <w:rFonts w:ascii="Arial" w:hAnsi="Arial" w:cs="Arial"/>
          <w:color w:val="000000"/>
          <w:szCs w:val="18"/>
        </w:rPr>
        <w:t xml:space="preserve"> </w:t>
      </w:r>
      <w:r>
        <w:rPr>
          <w:rFonts w:ascii="Arial" w:eastAsia="Times New Roman" w:hAnsi="Arial" w:cs="Times New Roman"/>
          <w:szCs w:val="18"/>
        </w:rPr>
        <w:t xml:space="preserve">has continued to </w:t>
      </w:r>
      <w:r>
        <w:rPr>
          <w:rFonts w:ascii="Arial" w:eastAsia="Times New Roman" w:hAnsi="Arial" w:cs="Arial"/>
          <w:szCs w:val="24"/>
        </w:rPr>
        <w:t xml:space="preserve">rely on </w:t>
      </w:r>
      <w:r w:rsidRPr="00923519">
        <w:rPr>
          <w:rFonts w:ascii="Arial" w:eastAsia="Times New Roman" w:hAnsi="Arial" w:cs="Arial"/>
          <w:szCs w:val="24"/>
        </w:rPr>
        <w:t>economic assumptions made</w:t>
      </w:r>
      <w:r>
        <w:rPr>
          <w:rFonts w:ascii="Arial" w:eastAsia="Times New Roman" w:hAnsi="Arial" w:cs="Arial"/>
          <w:szCs w:val="24"/>
        </w:rPr>
        <w:t xml:space="preserve"> for the </w:t>
      </w:r>
      <w:r w:rsidRPr="00510249">
        <w:rPr>
          <w:rFonts w:ascii="Arial" w:eastAsia="Times New Roman" w:hAnsi="Arial" w:cs="Arial"/>
          <w:i/>
          <w:iCs/>
          <w:szCs w:val="24"/>
        </w:rPr>
        <w:t>2019-20 Budget</w:t>
      </w:r>
      <w:r w:rsidRPr="00510249" w:rsidDel="004E26DD">
        <w:rPr>
          <w:rFonts w:ascii="Arial" w:eastAsia="Times New Roman" w:hAnsi="Arial" w:cs="Times New Roman"/>
          <w:i/>
          <w:iCs/>
          <w:szCs w:val="18"/>
        </w:rPr>
        <w:t xml:space="preserve"> </w:t>
      </w:r>
      <w:r w:rsidR="00DE7169" w:rsidRPr="00510249">
        <w:rPr>
          <w:rFonts w:ascii="Arial" w:eastAsia="Times New Roman" w:hAnsi="Arial" w:cs="Times New Roman"/>
          <w:i/>
          <w:iCs/>
          <w:szCs w:val="18"/>
        </w:rPr>
        <w:t>Update</w:t>
      </w:r>
      <w:r w:rsidR="00DE7169">
        <w:rPr>
          <w:rFonts w:ascii="Arial" w:eastAsia="Times New Roman" w:hAnsi="Arial" w:cs="Times New Roman"/>
          <w:szCs w:val="18"/>
        </w:rPr>
        <w:t xml:space="preserve"> and</w:t>
      </w:r>
      <w:r w:rsidR="00432791">
        <w:rPr>
          <w:rFonts w:ascii="Arial" w:eastAsia="Times New Roman" w:hAnsi="Arial" w:cs="Times New Roman"/>
          <w:szCs w:val="18"/>
        </w:rPr>
        <w:t xml:space="preserve"> continues to be appropriate</w:t>
      </w:r>
      <w:r w:rsidR="004D4C7C">
        <w:rPr>
          <w:rFonts w:ascii="Arial" w:eastAsia="Times New Roman" w:hAnsi="Arial" w:cs="Times New Roman"/>
          <w:szCs w:val="18"/>
        </w:rPr>
        <w:t xml:space="preserve"> at this time until </w:t>
      </w:r>
      <w:r w:rsidRPr="002C33C9">
        <w:rPr>
          <w:rFonts w:ascii="Arial" w:hAnsi="Arial" w:cs="Arial"/>
          <w:color w:val="000000"/>
          <w:szCs w:val="18"/>
        </w:rPr>
        <w:t>the</w:t>
      </w:r>
      <w:r>
        <w:rPr>
          <w:rFonts w:ascii="Arial" w:hAnsi="Arial" w:cs="Arial"/>
          <w:color w:val="000000"/>
          <w:szCs w:val="18"/>
        </w:rPr>
        <w:t xml:space="preserve"> 2020-21</w:t>
      </w:r>
      <w:r w:rsidRPr="002C33C9">
        <w:rPr>
          <w:rFonts w:ascii="Arial" w:hAnsi="Arial" w:cs="Arial"/>
          <w:color w:val="000000"/>
          <w:szCs w:val="18"/>
        </w:rPr>
        <w:t xml:space="preserve"> </w:t>
      </w:r>
      <w:r w:rsidR="000C5C73">
        <w:rPr>
          <w:rFonts w:ascii="Arial" w:hAnsi="Arial" w:cs="Arial"/>
          <w:color w:val="000000"/>
          <w:szCs w:val="18"/>
        </w:rPr>
        <w:t>B</w:t>
      </w:r>
      <w:r w:rsidR="003F0422" w:rsidRPr="002C33C9">
        <w:rPr>
          <w:rFonts w:ascii="Arial" w:hAnsi="Arial" w:cs="Arial"/>
          <w:color w:val="000000"/>
          <w:szCs w:val="18"/>
        </w:rPr>
        <w:t xml:space="preserve">udget </w:t>
      </w:r>
      <w:r w:rsidRPr="002C33C9">
        <w:rPr>
          <w:rFonts w:ascii="Arial" w:hAnsi="Arial" w:cs="Arial"/>
          <w:color w:val="000000"/>
          <w:szCs w:val="18"/>
        </w:rPr>
        <w:t>is released</w:t>
      </w:r>
      <w:r w:rsidR="004D457D">
        <w:rPr>
          <w:rFonts w:ascii="Arial" w:hAnsi="Arial" w:cs="Arial"/>
          <w:color w:val="000000"/>
          <w:szCs w:val="18"/>
        </w:rPr>
        <w:t>.</w:t>
      </w:r>
    </w:p>
    <w:p w14:paraId="5C8D67CF" w14:textId="0B9E60B0" w:rsidR="0085013A" w:rsidRDefault="0085013A" w:rsidP="001F2ADD">
      <w:pPr>
        <w:pStyle w:val="ListParagraph"/>
        <w:numPr>
          <w:ilvl w:val="0"/>
          <w:numId w:val="42"/>
        </w:numPr>
        <w:spacing w:before="120" w:after="120"/>
        <w:rPr>
          <w:rFonts w:ascii="Arial" w:eastAsia="Times New Roman" w:hAnsi="Arial" w:cs="Calibri"/>
        </w:rPr>
      </w:pPr>
      <w:r>
        <w:rPr>
          <w:rFonts w:ascii="Arial" w:eastAsia="Times New Roman" w:hAnsi="Arial" w:cs="Calibri"/>
        </w:rPr>
        <w:t>Key financial publication dates</w:t>
      </w:r>
      <w:r w:rsidR="001A3FA7">
        <w:rPr>
          <w:rFonts w:ascii="Arial" w:eastAsia="Times New Roman" w:hAnsi="Arial" w:cs="Calibri"/>
        </w:rPr>
        <w:t xml:space="preserve"> including changes to publication dates for non-material entities and the </w:t>
      </w:r>
      <w:r w:rsidR="00510249">
        <w:rPr>
          <w:rFonts w:ascii="Arial" w:eastAsia="Times New Roman" w:hAnsi="Arial" w:cs="Calibri"/>
        </w:rPr>
        <w:t>budget papers</w:t>
      </w:r>
      <w:r w:rsidR="004D457D">
        <w:rPr>
          <w:rFonts w:ascii="Arial" w:eastAsia="Times New Roman" w:hAnsi="Arial" w:cs="Calibri"/>
        </w:rPr>
        <w:t>.</w:t>
      </w:r>
    </w:p>
    <w:p w14:paraId="6B40421C" w14:textId="5B49DD45" w:rsidR="001A3FA7" w:rsidRDefault="001A3FA7" w:rsidP="001F2ADD">
      <w:pPr>
        <w:pStyle w:val="ListParagraph"/>
        <w:numPr>
          <w:ilvl w:val="0"/>
          <w:numId w:val="42"/>
        </w:numPr>
        <w:spacing w:before="120" w:after="120"/>
        <w:rPr>
          <w:rFonts w:ascii="Arial" w:eastAsia="Times New Roman" w:hAnsi="Arial" w:cs="Calibri"/>
        </w:rPr>
      </w:pPr>
      <w:r w:rsidRPr="00510249">
        <w:rPr>
          <w:rFonts w:ascii="Arial" w:eastAsia="Times New Roman" w:hAnsi="Arial" w:cs="Calibri"/>
          <w:b/>
          <w:bCs/>
        </w:rPr>
        <w:t>Financial statement disclosures</w:t>
      </w:r>
      <w:r>
        <w:rPr>
          <w:rFonts w:ascii="Arial" w:eastAsia="Times New Roman" w:hAnsi="Arial" w:cs="Calibri"/>
        </w:rPr>
        <w:t xml:space="preserve">. </w:t>
      </w:r>
      <w:r w:rsidR="000B7B8A">
        <w:rPr>
          <w:rFonts w:ascii="Arial" w:eastAsia="Times New Roman" w:hAnsi="Arial" w:cs="Calibri"/>
        </w:rPr>
        <w:t>Guidance has been developed to assists e</w:t>
      </w:r>
      <w:r>
        <w:rPr>
          <w:rFonts w:ascii="Arial" w:eastAsia="Times New Roman" w:hAnsi="Arial" w:cs="Calibri"/>
        </w:rPr>
        <w:t xml:space="preserve">ntities </w:t>
      </w:r>
      <w:r w:rsidR="000B7B8A">
        <w:rPr>
          <w:rFonts w:ascii="Arial" w:eastAsia="Times New Roman" w:hAnsi="Arial" w:cs="Calibri"/>
        </w:rPr>
        <w:t>t</w:t>
      </w:r>
      <w:r>
        <w:rPr>
          <w:rFonts w:ascii="Arial" w:eastAsia="Times New Roman" w:hAnsi="Arial" w:cs="Calibri"/>
        </w:rPr>
        <w:t xml:space="preserve">o consider the specific impact </w:t>
      </w:r>
      <w:r w:rsidR="00510249">
        <w:rPr>
          <w:rFonts w:ascii="Arial" w:eastAsia="Times New Roman" w:hAnsi="Arial" w:cs="Calibri"/>
        </w:rPr>
        <w:t>COVID</w:t>
      </w:r>
      <w:r>
        <w:rPr>
          <w:rFonts w:ascii="Arial" w:eastAsia="Times New Roman" w:hAnsi="Arial" w:cs="Calibri"/>
        </w:rPr>
        <w:t xml:space="preserve">-19 has or may have on </w:t>
      </w:r>
      <w:r w:rsidR="00F45654">
        <w:rPr>
          <w:rFonts w:ascii="Arial" w:eastAsia="Times New Roman" w:hAnsi="Arial" w:cs="Calibri"/>
        </w:rPr>
        <w:t>them</w:t>
      </w:r>
      <w:r>
        <w:rPr>
          <w:rFonts w:ascii="Arial" w:eastAsia="Times New Roman" w:hAnsi="Arial" w:cs="Calibri"/>
        </w:rPr>
        <w:t>, ensuring the impact and any significant judgements, assumptions and estimates are appropriately disclosed.</w:t>
      </w:r>
      <w:r w:rsidR="000B7B8A">
        <w:rPr>
          <w:rFonts w:ascii="Arial" w:eastAsia="Times New Roman" w:hAnsi="Arial" w:cs="Calibri"/>
        </w:rPr>
        <w:t xml:space="preserve"> </w:t>
      </w:r>
    </w:p>
    <w:p w14:paraId="5693E321" w14:textId="0417C691" w:rsidR="005B01E2" w:rsidRPr="00C82D6F" w:rsidRDefault="005B01E2" w:rsidP="00FC6550">
      <w:pPr>
        <w:rPr>
          <w:rFonts w:eastAsia="Times New Roman"/>
        </w:rPr>
      </w:pPr>
      <w:r>
        <w:rPr>
          <w:rFonts w:eastAsia="Times New Roman"/>
        </w:rPr>
        <w:t xml:space="preserve">The new </w:t>
      </w:r>
      <w:r w:rsidR="000E0DC0">
        <w:rPr>
          <w:rFonts w:eastAsia="Times New Roman"/>
        </w:rPr>
        <w:t>Resource</w:t>
      </w:r>
      <w:r>
        <w:rPr>
          <w:rFonts w:eastAsia="Times New Roman"/>
        </w:rPr>
        <w:t xml:space="preserve"> Management Framework takes effect from 1</w:t>
      </w:r>
      <w:r w:rsidR="00673B21">
        <w:rPr>
          <w:rFonts w:eastAsia="Times New Roman"/>
        </w:rPr>
        <w:t> </w:t>
      </w:r>
      <w:r>
        <w:rPr>
          <w:rFonts w:eastAsia="Times New Roman"/>
        </w:rPr>
        <w:t>Ju</w:t>
      </w:r>
      <w:r w:rsidR="002E0DE1">
        <w:rPr>
          <w:rFonts w:eastAsia="Times New Roman"/>
        </w:rPr>
        <w:t>ly</w:t>
      </w:r>
      <w:r w:rsidR="00673B21">
        <w:rPr>
          <w:rFonts w:eastAsia="Times New Roman"/>
        </w:rPr>
        <w:t> </w:t>
      </w:r>
      <w:r>
        <w:rPr>
          <w:rFonts w:eastAsia="Times New Roman"/>
        </w:rPr>
        <w:t>2020 with the old Financial Reporting Operation Framework retired at 30 June 2020.</w:t>
      </w:r>
    </w:p>
    <w:p w14:paraId="7A10FF20" w14:textId="77777777" w:rsidR="00923519" w:rsidRPr="00923519" w:rsidRDefault="00923519" w:rsidP="00923519">
      <w:pPr>
        <w:spacing w:before="120" w:after="120"/>
        <w:rPr>
          <w:rFonts w:ascii="Arial" w:eastAsia="Times New Roman" w:hAnsi="Arial" w:cs="Times New Roman"/>
        </w:rPr>
        <w:sectPr w:rsidR="00923519" w:rsidRPr="00923519" w:rsidSect="00123F7E">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2160" w:right="1440" w:bottom="1350" w:left="1440" w:header="706" w:footer="461" w:gutter="0"/>
          <w:pgNumType w:start="1"/>
          <w:cols w:num="2" w:space="706" w:equalWidth="0">
            <w:col w:w="2973" w:space="533"/>
            <w:col w:w="5520"/>
          </w:cols>
          <w:titlePg/>
          <w:docGrid w:linePitch="360"/>
        </w:sectPr>
      </w:pPr>
    </w:p>
    <w:p w14:paraId="7918672E" w14:textId="292E0552" w:rsidR="00923519" w:rsidRPr="00923519" w:rsidRDefault="00923519" w:rsidP="004F25BD">
      <w:pPr>
        <w:pStyle w:val="Heading1"/>
        <w:rPr>
          <w:rFonts w:eastAsia="Times New Roman"/>
        </w:rPr>
      </w:pPr>
      <w:bookmarkStart w:id="5" w:name="_Toc452724749"/>
      <w:bookmarkStart w:id="6" w:name="_Toc424822613"/>
      <w:bookmarkStart w:id="7" w:name="_Toc408567317"/>
      <w:bookmarkStart w:id="8" w:name="_Toc33614831"/>
      <w:bookmarkStart w:id="9" w:name="_Toc48907916"/>
      <w:bookmarkStart w:id="10" w:name="_Hlk531073932"/>
      <w:r w:rsidRPr="00923519">
        <w:rPr>
          <w:rFonts w:eastAsia="Times New Roman"/>
        </w:rPr>
        <w:lastRenderedPageBreak/>
        <w:t>2019</w:t>
      </w:r>
      <w:r w:rsidR="00A21B54">
        <w:rPr>
          <w:rFonts w:eastAsia="Times New Roman"/>
        </w:rPr>
        <w:t>–</w:t>
      </w:r>
      <w:r w:rsidRPr="00923519">
        <w:rPr>
          <w:rFonts w:eastAsia="Times New Roman"/>
        </w:rPr>
        <w:t>20 reporting year</w:t>
      </w:r>
      <w:bookmarkEnd w:id="5"/>
      <w:bookmarkEnd w:id="6"/>
      <w:bookmarkEnd w:id="7"/>
      <w:bookmarkEnd w:id="8"/>
      <w:bookmarkEnd w:id="9"/>
    </w:p>
    <w:p w14:paraId="383B59F4" w14:textId="7B3ADFE3" w:rsidR="00923519" w:rsidRPr="00923519" w:rsidRDefault="00923519" w:rsidP="00FC6550">
      <w:pPr>
        <w:pStyle w:val="Heading2"/>
        <w:rPr>
          <w:rFonts w:eastAsia="Times New Roman"/>
        </w:rPr>
      </w:pPr>
      <w:r w:rsidRPr="00923519">
        <w:rPr>
          <w:rFonts w:eastAsia="Times New Roman"/>
        </w:rPr>
        <w:t>Major updates/reminders</w:t>
      </w:r>
    </w:p>
    <w:p w14:paraId="57F6C46C" w14:textId="0445976E" w:rsidR="00923519" w:rsidRPr="00D253BD" w:rsidRDefault="00923519" w:rsidP="00923519">
      <w:pPr>
        <w:keepNext/>
        <w:spacing w:before="200" w:after="0"/>
        <w:outlineLvl w:val="3"/>
        <w:rPr>
          <w:rFonts w:ascii="Arial" w:eastAsia="Times New Roman" w:hAnsi="Arial" w:cs="Arial"/>
          <w:b/>
          <w:bCs/>
          <w:i/>
          <w:color w:val="53565A"/>
          <w:szCs w:val="18"/>
        </w:rPr>
      </w:pPr>
      <w:r w:rsidRPr="00D253BD">
        <w:rPr>
          <w:rFonts w:ascii="Arial" w:eastAsia="Times New Roman" w:hAnsi="Arial" w:cs="Arial"/>
          <w:b/>
          <w:bCs/>
          <w:i/>
          <w:color w:val="53565A"/>
          <w:szCs w:val="18"/>
        </w:rPr>
        <w:t>2019</w:t>
      </w:r>
      <w:r w:rsidRPr="00D253BD">
        <w:rPr>
          <w:rFonts w:ascii="Arial" w:eastAsia="Times New Roman" w:hAnsi="Arial" w:cs="Arial"/>
          <w:b/>
          <w:bCs/>
          <w:i/>
          <w:color w:val="53565A"/>
          <w:szCs w:val="18"/>
        </w:rPr>
        <w:noBreakHyphen/>
        <w:t>20 Model Report for Victorian Government Departments</w:t>
      </w:r>
    </w:p>
    <w:p w14:paraId="5C25FCB7" w14:textId="2D6F1B10" w:rsidR="00613F48" w:rsidRPr="00D253BD" w:rsidRDefault="00923519" w:rsidP="00FC6550">
      <w:pPr>
        <w:rPr>
          <w:rFonts w:eastAsia="Times New Roman"/>
          <w:szCs w:val="18"/>
        </w:rPr>
      </w:pPr>
      <w:r w:rsidRPr="00D253BD">
        <w:rPr>
          <w:rFonts w:eastAsia="Times New Roman"/>
          <w:szCs w:val="18"/>
        </w:rPr>
        <w:t>The Department of Treasury and Finance (DTF) has</w:t>
      </w:r>
      <w:r w:rsidR="00613F48" w:rsidRPr="00D253BD">
        <w:rPr>
          <w:rFonts w:eastAsia="Times New Roman"/>
          <w:szCs w:val="18"/>
        </w:rPr>
        <w:t xml:space="preserve"> released the </w:t>
      </w:r>
      <w:r w:rsidR="00613F48" w:rsidRPr="00D253BD">
        <w:rPr>
          <w:rFonts w:eastAsia="Times New Roman"/>
          <w:i/>
          <w:iCs/>
          <w:szCs w:val="18"/>
        </w:rPr>
        <w:t>2019-20 Model Report for Victorian Government Departments</w:t>
      </w:r>
      <w:r w:rsidR="00613F48" w:rsidRPr="00D253BD">
        <w:rPr>
          <w:rFonts w:eastAsia="Times New Roman"/>
          <w:szCs w:val="18"/>
        </w:rPr>
        <w:t xml:space="preserve"> (Model Report) and </w:t>
      </w:r>
      <w:r w:rsidR="00DC286B" w:rsidRPr="00D253BD">
        <w:rPr>
          <w:rFonts w:eastAsia="Times New Roman"/>
          <w:szCs w:val="18"/>
        </w:rPr>
        <w:t xml:space="preserve">made it </w:t>
      </w:r>
      <w:r w:rsidR="00613F48" w:rsidRPr="00D253BD">
        <w:rPr>
          <w:rFonts w:eastAsia="Times New Roman"/>
          <w:szCs w:val="18"/>
        </w:rPr>
        <w:t xml:space="preserve">available </w:t>
      </w:r>
      <w:r w:rsidR="00F45654">
        <w:rPr>
          <w:rFonts w:eastAsia="Times New Roman"/>
          <w:szCs w:val="18"/>
        </w:rPr>
        <w:t>on</w:t>
      </w:r>
      <w:r w:rsidR="00613F48" w:rsidRPr="00D253BD">
        <w:rPr>
          <w:rFonts w:eastAsia="Times New Roman"/>
          <w:szCs w:val="18"/>
        </w:rPr>
        <w:t xml:space="preserve"> the DTF website</w:t>
      </w:r>
      <w:r w:rsidR="00FC6550" w:rsidRPr="00D253BD">
        <w:rPr>
          <w:rFonts w:eastAsia="Times New Roman"/>
          <w:szCs w:val="18"/>
        </w:rPr>
        <w:t xml:space="preserve"> – </w:t>
      </w:r>
      <w:hyperlink r:id="rId22" w:history="1">
        <w:r w:rsidR="00D74613" w:rsidRPr="00D253BD">
          <w:rPr>
            <w:rFonts w:eastAsia="Times New Roman"/>
            <w:color w:val="53565A"/>
            <w:szCs w:val="18"/>
          </w:rPr>
          <w:t>https://www.dtf.vic.gov.au/model-report/2019-20-model-report</w:t>
        </w:r>
      </w:hyperlink>
      <w:r w:rsidR="00613F48" w:rsidRPr="00D253BD">
        <w:rPr>
          <w:rFonts w:eastAsia="Times New Roman"/>
          <w:szCs w:val="18"/>
        </w:rPr>
        <w:t>, including a list of the key changes from the previous year’s publication.</w:t>
      </w:r>
      <w:r w:rsidRPr="00D253BD">
        <w:rPr>
          <w:rFonts w:eastAsia="Times New Roman"/>
          <w:szCs w:val="18"/>
        </w:rPr>
        <w:t xml:space="preserve"> </w:t>
      </w:r>
    </w:p>
    <w:p w14:paraId="30DA5AD2" w14:textId="4465C715" w:rsidR="00923519" w:rsidRPr="00D253BD" w:rsidRDefault="00923519" w:rsidP="00FC6550">
      <w:pPr>
        <w:rPr>
          <w:rFonts w:eastAsia="Times New Roman"/>
          <w:szCs w:val="18"/>
        </w:rPr>
      </w:pPr>
      <w:r w:rsidRPr="00D253BD">
        <w:rPr>
          <w:rFonts w:eastAsia="Times New Roman"/>
          <w:szCs w:val="18"/>
        </w:rPr>
        <w:t>The key changes include:</w:t>
      </w:r>
    </w:p>
    <w:p w14:paraId="43186CAB" w14:textId="135E1F9F" w:rsidR="00D34DE9" w:rsidRPr="0075117E" w:rsidRDefault="00D34DE9" w:rsidP="00673B21">
      <w:pPr>
        <w:pStyle w:val="Bullet1"/>
        <w:rPr>
          <w:sz w:val="18"/>
          <w:szCs w:val="18"/>
        </w:rPr>
      </w:pPr>
      <w:r w:rsidRPr="0075117E">
        <w:rPr>
          <w:sz w:val="18"/>
          <w:szCs w:val="18"/>
        </w:rPr>
        <w:t xml:space="preserve">transitional disclosures in the financial statements and associated notes arising from the </w:t>
      </w:r>
      <w:r w:rsidR="00C24F9E" w:rsidRPr="0075117E">
        <w:rPr>
          <w:sz w:val="18"/>
          <w:szCs w:val="18"/>
        </w:rPr>
        <w:t>first-time</w:t>
      </w:r>
      <w:r w:rsidRPr="0075117E">
        <w:rPr>
          <w:sz w:val="18"/>
          <w:szCs w:val="18"/>
        </w:rPr>
        <w:t xml:space="preserve"> adoption of the following suite of Australian Accounting Standards becoming effective in the 2019-20 reporting year:</w:t>
      </w:r>
    </w:p>
    <w:p w14:paraId="1B0DAA93" w14:textId="77777777" w:rsidR="00D34DE9" w:rsidRPr="0075117E" w:rsidRDefault="00D34DE9" w:rsidP="00673B21">
      <w:pPr>
        <w:pStyle w:val="Bullet2"/>
        <w:rPr>
          <w:sz w:val="18"/>
          <w:szCs w:val="18"/>
        </w:rPr>
      </w:pPr>
      <w:r w:rsidRPr="0075117E">
        <w:rPr>
          <w:sz w:val="18"/>
          <w:szCs w:val="18"/>
        </w:rPr>
        <w:t xml:space="preserve">AASB 15 </w:t>
      </w:r>
      <w:r w:rsidRPr="0075117E">
        <w:rPr>
          <w:i/>
          <w:iCs/>
          <w:sz w:val="18"/>
          <w:szCs w:val="18"/>
        </w:rPr>
        <w:t>Revenue from Contracts with Customers</w:t>
      </w:r>
      <w:r w:rsidRPr="0075117E">
        <w:rPr>
          <w:sz w:val="18"/>
          <w:szCs w:val="18"/>
        </w:rPr>
        <w:t>;</w:t>
      </w:r>
    </w:p>
    <w:p w14:paraId="765583B2" w14:textId="77777777" w:rsidR="00D34DE9" w:rsidRPr="0075117E" w:rsidRDefault="00D34DE9" w:rsidP="00673B21">
      <w:pPr>
        <w:pStyle w:val="Bullet2"/>
        <w:rPr>
          <w:sz w:val="18"/>
          <w:szCs w:val="18"/>
        </w:rPr>
      </w:pPr>
      <w:r w:rsidRPr="0075117E">
        <w:rPr>
          <w:sz w:val="18"/>
          <w:szCs w:val="18"/>
        </w:rPr>
        <w:t xml:space="preserve">AASB 1058 </w:t>
      </w:r>
      <w:r w:rsidRPr="0075117E">
        <w:rPr>
          <w:i/>
          <w:iCs/>
          <w:sz w:val="18"/>
          <w:szCs w:val="18"/>
        </w:rPr>
        <w:t>Income of Not-for-Profit Entities</w:t>
      </w:r>
      <w:r w:rsidRPr="0075117E">
        <w:rPr>
          <w:sz w:val="18"/>
          <w:szCs w:val="18"/>
        </w:rPr>
        <w:t>;</w:t>
      </w:r>
    </w:p>
    <w:p w14:paraId="49AA29A4" w14:textId="77777777" w:rsidR="00D34DE9" w:rsidRPr="0075117E" w:rsidRDefault="00D34DE9" w:rsidP="00673B21">
      <w:pPr>
        <w:pStyle w:val="Bullet2"/>
        <w:rPr>
          <w:sz w:val="18"/>
          <w:szCs w:val="18"/>
        </w:rPr>
      </w:pPr>
      <w:r w:rsidRPr="0075117E">
        <w:rPr>
          <w:sz w:val="18"/>
          <w:szCs w:val="18"/>
        </w:rPr>
        <w:t xml:space="preserve">AASB 16 </w:t>
      </w:r>
      <w:r w:rsidRPr="0075117E">
        <w:rPr>
          <w:i/>
          <w:sz w:val="18"/>
          <w:szCs w:val="18"/>
        </w:rPr>
        <w:t>Leases</w:t>
      </w:r>
      <w:r w:rsidRPr="0075117E">
        <w:rPr>
          <w:sz w:val="18"/>
          <w:szCs w:val="18"/>
        </w:rPr>
        <w:t xml:space="preserve">; and </w:t>
      </w:r>
    </w:p>
    <w:p w14:paraId="2B90567F" w14:textId="0A65F609" w:rsidR="00D34DE9" w:rsidRPr="0075117E" w:rsidRDefault="00D34DE9" w:rsidP="00673B21">
      <w:pPr>
        <w:pStyle w:val="Bullet2"/>
        <w:rPr>
          <w:sz w:val="18"/>
          <w:szCs w:val="18"/>
        </w:rPr>
      </w:pPr>
      <w:r w:rsidRPr="0075117E">
        <w:rPr>
          <w:sz w:val="18"/>
          <w:szCs w:val="18"/>
        </w:rPr>
        <w:t xml:space="preserve">AASB 1059 </w:t>
      </w:r>
      <w:r w:rsidRPr="0075117E">
        <w:rPr>
          <w:i/>
          <w:iCs/>
          <w:sz w:val="18"/>
          <w:szCs w:val="18"/>
        </w:rPr>
        <w:t>Service Concession Arrangements</w:t>
      </w:r>
      <w:r w:rsidR="003F63F9" w:rsidRPr="0075117E">
        <w:rPr>
          <w:i/>
          <w:iCs/>
          <w:sz w:val="18"/>
          <w:szCs w:val="18"/>
        </w:rPr>
        <w:t>: Grantors</w:t>
      </w:r>
      <w:r w:rsidR="00C24F9E" w:rsidRPr="0075117E">
        <w:rPr>
          <w:sz w:val="18"/>
          <w:szCs w:val="18"/>
        </w:rPr>
        <w:t>,</w:t>
      </w:r>
    </w:p>
    <w:p w14:paraId="41FDCE96" w14:textId="2F3D9A38" w:rsidR="00D34DE9" w:rsidRPr="0075117E" w:rsidRDefault="00D34DE9" w:rsidP="00673B21">
      <w:pPr>
        <w:pStyle w:val="Bullet1"/>
        <w:rPr>
          <w:sz w:val="18"/>
          <w:szCs w:val="18"/>
        </w:rPr>
      </w:pPr>
      <w:r w:rsidRPr="0075117E">
        <w:rPr>
          <w:sz w:val="18"/>
          <w:szCs w:val="18"/>
        </w:rPr>
        <w:t>relocating appendices relating to accounting standard guidance, tools and associated checklists to the DTF website (</w:t>
      </w:r>
      <w:hyperlink r:id="rId23" w:history="1">
        <w:r w:rsidRPr="0075117E">
          <w:rPr>
            <w:color w:val="53565A"/>
            <w:sz w:val="18"/>
            <w:szCs w:val="18"/>
          </w:rPr>
          <w:t>https://www.dtf.vic.gov.au/financial-reporting-policy/accounting-standards-checklists</w:t>
        </w:r>
      </w:hyperlink>
      <w:r w:rsidRPr="0075117E">
        <w:rPr>
          <w:sz w:val="18"/>
          <w:szCs w:val="18"/>
        </w:rPr>
        <w:t>);</w:t>
      </w:r>
      <w:r w:rsidR="00C24F9E" w:rsidRPr="0075117E">
        <w:rPr>
          <w:sz w:val="18"/>
          <w:szCs w:val="18"/>
        </w:rPr>
        <w:t xml:space="preserve"> and</w:t>
      </w:r>
    </w:p>
    <w:p w14:paraId="689AD92C" w14:textId="6F4DB5D9" w:rsidR="00CC05B4" w:rsidRPr="0075117E" w:rsidRDefault="00D34DE9" w:rsidP="00673B21">
      <w:pPr>
        <w:pStyle w:val="Bullet1"/>
        <w:rPr>
          <w:sz w:val="18"/>
          <w:szCs w:val="18"/>
        </w:rPr>
      </w:pPr>
      <w:r w:rsidRPr="0075117E">
        <w:rPr>
          <w:sz w:val="18"/>
          <w:szCs w:val="18"/>
        </w:rPr>
        <w:t>editorial changes and enhancements.</w:t>
      </w:r>
    </w:p>
    <w:p w14:paraId="18E92EDF" w14:textId="4A1A6B46" w:rsidR="00D34DE9" w:rsidRPr="0075117E" w:rsidRDefault="005403A7" w:rsidP="00FC6550">
      <w:pPr>
        <w:pStyle w:val="NoteNormal"/>
        <w:rPr>
          <w:sz w:val="18"/>
          <w:szCs w:val="18"/>
        </w:rPr>
      </w:pPr>
      <w:r w:rsidRPr="0075117E">
        <w:rPr>
          <w:b/>
          <w:bCs/>
          <w:sz w:val="18"/>
          <w:szCs w:val="18"/>
        </w:rPr>
        <w:t>Note</w:t>
      </w:r>
      <w:r w:rsidRPr="0075117E">
        <w:rPr>
          <w:sz w:val="18"/>
          <w:szCs w:val="18"/>
        </w:rPr>
        <w:t xml:space="preserve">: Since the </w:t>
      </w:r>
      <w:r w:rsidR="006C542E" w:rsidRPr="0075117E">
        <w:rPr>
          <w:sz w:val="18"/>
          <w:szCs w:val="18"/>
        </w:rPr>
        <w:t>Model Report was released on the website</w:t>
      </w:r>
      <w:r w:rsidR="00CC05B4" w:rsidRPr="0075117E">
        <w:rPr>
          <w:sz w:val="18"/>
          <w:szCs w:val="18"/>
        </w:rPr>
        <w:t xml:space="preserve"> in late June</w:t>
      </w:r>
      <w:r w:rsidR="006C542E" w:rsidRPr="0075117E">
        <w:rPr>
          <w:sz w:val="18"/>
          <w:szCs w:val="18"/>
        </w:rPr>
        <w:t xml:space="preserve">, it has been identified the </w:t>
      </w:r>
      <w:r w:rsidR="006C542E" w:rsidRPr="0075117E">
        <w:rPr>
          <w:i/>
          <w:iCs/>
          <w:sz w:val="18"/>
          <w:szCs w:val="18"/>
        </w:rPr>
        <w:t>Protected Disclosures Act</w:t>
      </w:r>
      <w:r w:rsidR="00FC6550" w:rsidRPr="0075117E">
        <w:rPr>
          <w:i/>
          <w:iCs/>
          <w:sz w:val="18"/>
          <w:szCs w:val="18"/>
        </w:rPr>
        <w:t> </w:t>
      </w:r>
      <w:r w:rsidR="006C542E" w:rsidRPr="0075117E">
        <w:rPr>
          <w:i/>
          <w:iCs/>
          <w:sz w:val="18"/>
          <w:szCs w:val="18"/>
        </w:rPr>
        <w:t>2012</w:t>
      </w:r>
      <w:r w:rsidR="006C542E" w:rsidRPr="0075117E">
        <w:rPr>
          <w:sz w:val="18"/>
          <w:szCs w:val="18"/>
        </w:rPr>
        <w:t xml:space="preserve"> was renamed to the </w:t>
      </w:r>
      <w:r w:rsidR="006C542E" w:rsidRPr="0075117E">
        <w:rPr>
          <w:i/>
          <w:iCs/>
          <w:sz w:val="18"/>
          <w:szCs w:val="18"/>
        </w:rPr>
        <w:t>Public Interest Disclosure</w:t>
      </w:r>
      <w:r w:rsidR="00376A5C">
        <w:rPr>
          <w:i/>
          <w:iCs/>
          <w:sz w:val="18"/>
          <w:szCs w:val="18"/>
        </w:rPr>
        <w:t>s</w:t>
      </w:r>
      <w:r w:rsidR="006C542E" w:rsidRPr="0075117E">
        <w:rPr>
          <w:i/>
          <w:iCs/>
          <w:sz w:val="18"/>
          <w:szCs w:val="18"/>
        </w:rPr>
        <w:t xml:space="preserve"> Act 2012</w:t>
      </w:r>
      <w:r w:rsidR="006C542E" w:rsidRPr="0075117E">
        <w:rPr>
          <w:sz w:val="18"/>
          <w:szCs w:val="18"/>
        </w:rPr>
        <w:t xml:space="preserve"> on 1 January 2020. </w:t>
      </w:r>
      <w:r w:rsidR="00CC05B4" w:rsidRPr="0075117E">
        <w:rPr>
          <w:sz w:val="18"/>
          <w:szCs w:val="18"/>
        </w:rPr>
        <w:t xml:space="preserve">This </w:t>
      </w:r>
      <w:r w:rsidR="00301571">
        <w:rPr>
          <w:sz w:val="18"/>
          <w:szCs w:val="18"/>
        </w:rPr>
        <w:t xml:space="preserve">has now been </w:t>
      </w:r>
      <w:r w:rsidR="00CC05B4" w:rsidRPr="0075117E">
        <w:rPr>
          <w:sz w:val="18"/>
          <w:szCs w:val="18"/>
        </w:rPr>
        <w:t>updated in the Model Report to reflect the name change only</w:t>
      </w:r>
      <w:r w:rsidR="00D653CD" w:rsidRPr="0075117E">
        <w:rPr>
          <w:sz w:val="18"/>
          <w:szCs w:val="18"/>
        </w:rPr>
        <w:t>.</w:t>
      </w:r>
      <w:r w:rsidR="00CC05B4" w:rsidRPr="0075117E">
        <w:rPr>
          <w:sz w:val="18"/>
          <w:szCs w:val="18"/>
        </w:rPr>
        <w:t xml:space="preserve"> </w:t>
      </w:r>
      <w:r w:rsidR="00D653CD" w:rsidRPr="0075117E">
        <w:rPr>
          <w:sz w:val="18"/>
          <w:szCs w:val="18"/>
        </w:rPr>
        <w:t>T</w:t>
      </w:r>
      <w:r w:rsidR="00CC05B4" w:rsidRPr="0075117E">
        <w:rPr>
          <w:sz w:val="18"/>
          <w:szCs w:val="18"/>
        </w:rPr>
        <w:t>here are no changes in the disclosures required by the Act.</w:t>
      </w:r>
      <w:r w:rsidR="00745EE7" w:rsidRPr="0075117E">
        <w:rPr>
          <w:sz w:val="18"/>
          <w:szCs w:val="18"/>
        </w:rPr>
        <w:t xml:space="preserve"> FRD </w:t>
      </w:r>
      <w:r w:rsidR="007542B6" w:rsidRPr="0075117E">
        <w:rPr>
          <w:sz w:val="18"/>
          <w:szCs w:val="18"/>
        </w:rPr>
        <w:t>2</w:t>
      </w:r>
      <w:r w:rsidR="00745EE7" w:rsidRPr="0075117E">
        <w:rPr>
          <w:sz w:val="18"/>
          <w:szCs w:val="18"/>
        </w:rPr>
        <w:t>2H</w:t>
      </w:r>
      <w:r w:rsidR="007542B6" w:rsidRPr="0075117E">
        <w:rPr>
          <w:sz w:val="18"/>
          <w:szCs w:val="18"/>
        </w:rPr>
        <w:t xml:space="preserve"> </w:t>
      </w:r>
      <w:r w:rsidR="00745EE7" w:rsidRPr="0075117E">
        <w:rPr>
          <w:i/>
          <w:iCs/>
          <w:sz w:val="18"/>
          <w:szCs w:val="18"/>
        </w:rPr>
        <w:t>Standard disclosures in the report of operations</w:t>
      </w:r>
      <w:r w:rsidR="00745EE7" w:rsidRPr="0075117E">
        <w:rPr>
          <w:sz w:val="18"/>
          <w:szCs w:val="18"/>
        </w:rPr>
        <w:t xml:space="preserve"> </w:t>
      </w:r>
      <w:r w:rsidR="00301571">
        <w:rPr>
          <w:sz w:val="18"/>
          <w:szCs w:val="18"/>
        </w:rPr>
        <w:t xml:space="preserve">has also been </w:t>
      </w:r>
      <w:r w:rsidR="00745EE7" w:rsidRPr="0075117E">
        <w:rPr>
          <w:sz w:val="18"/>
          <w:szCs w:val="18"/>
        </w:rPr>
        <w:t>updated to reflect this change.</w:t>
      </w:r>
      <w:r w:rsidR="000F6B16">
        <w:rPr>
          <w:sz w:val="18"/>
          <w:szCs w:val="18"/>
        </w:rPr>
        <w:t xml:space="preserve"> </w:t>
      </w:r>
    </w:p>
    <w:p w14:paraId="3E6B66F9" w14:textId="033C0869" w:rsidR="00923519" w:rsidRPr="00D253BD" w:rsidRDefault="00745EE7" w:rsidP="00FC6550">
      <w:pPr>
        <w:rPr>
          <w:rFonts w:eastAsia="Times New Roman"/>
          <w:szCs w:val="18"/>
        </w:rPr>
      </w:pPr>
      <w:r w:rsidRPr="00D253BD">
        <w:rPr>
          <w:rFonts w:eastAsia="Times New Roman"/>
          <w:szCs w:val="18"/>
        </w:rPr>
        <w:t>The Accounting policy team held a model report workshop in mid</w:t>
      </w:r>
      <w:r w:rsidR="00DC286B" w:rsidRPr="00D253BD">
        <w:rPr>
          <w:rFonts w:eastAsia="Times New Roman"/>
          <w:szCs w:val="18"/>
        </w:rPr>
        <w:t>-</w:t>
      </w:r>
      <w:r w:rsidRPr="00D253BD">
        <w:rPr>
          <w:rFonts w:eastAsia="Times New Roman"/>
          <w:szCs w:val="18"/>
        </w:rPr>
        <w:t xml:space="preserve">July </w:t>
      </w:r>
      <w:r w:rsidR="00D653CD" w:rsidRPr="00D253BD">
        <w:rPr>
          <w:rFonts w:eastAsia="Times New Roman"/>
          <w:szCs w:val="18"/>
        </w:rPr>
        <w:t>for</w:t>
      </w:r>
      <w:r w:rsidRPr="00D253BD">
        <w:rPr>
          <w:rFonts w:eastAsia="Times New Roman"/>
          <w:szCs w:val="18"/>
        </w:rPr>
        <w:t xml:space="preserve"> departmental finance representatives</w:t>
      </w:r>
      <w:r w:rsidR="00D653CD" w:rsidRPr="00D253BD">
        <w:rPr>
          <w:rFonts w:eastAsia="Times New Roman"/>
          <w:szCs w:val="18"/>
        </w:rPr>
        <w:t>.</w:t>
      </w:r>
      <w:r w:rsidRPr="00D253BD">
        <w:rPr>
          <w:rFonts w:eastAsia="Times New Roman"/>
          <w:szCs w:val="18"/>
        </w:rPr>
        <w:t xml:space="preserve"> </w:t>
      </w:r>
      <w:r w:rsidR="00D653CD" w:rsidRPr="00D253BD">
        <w:rPr>
          <w:rFonts w:eastAsia="Times New Roman"/>
          <w:szCs w:val="18"/>
        </w:rPr>
        <w:t>A</w:t>
      </w:r>
      <w:r w:rsidRPr="00D253BD">
        <w:rPr>
          <w:rFonts w:eastAsia="Times New Roman"/>
          <w:szCs w:val="18"/>
        </w:rPr>
        <w:t xml:space="preserve">ttached are the slides which were discussed </w:t>
      </w:r>
      <w:r w:rsidR="00D653CD" w:rsidRPr="00D253BD">
        <w:rPr>
          <w:rFonts w:eastAsia="Times New Roman"/>
          <w:szCs w:val="18"/>
        </w:rPr>
        <w:t>that</w:t>
      </w:r>
      <w:r w:rsidRPr="00D253BD">
        <w:rPr>
          <w:rFonts w:eastAsia="Times New Roman"/>
          <w:szCs w:val="18"/>
        </w:rPr>
        <w:t xml:space="preserve"> focused on the new accounting standards disclosure notes.</w:t>
      </w:r>
    </w:p>
    <w:p w14:paraId="6EE15FD7" w14:textId="4FEED566" w:rsidR="00745EE7" w:rsidRDefault="00745EE7" w:rsidP="00923519">
      <w:pPr>
        <w:spacing w:before="120" w:after="120"/>
        <w:rPr>
          <w:rFonts w:ascii="Arial" w:eastAsia="Times New Roman" w:hAnsi="Arial" w:cs="Times New Roman"/>
        </w:rPr>
      </w:pPr>
      <w:r w:rsidRPr="00AF2694">
        <w:rPr>
          <w:rFonts w:ascii="Arial" w:eastAsia="Times New Roman" w:hAnsi="Arial" w:cs="Arial"/>
          <w:szCs w:val="18"/>
        </w:rPr>
        <w:object w:dxaOrig="1487" w:dyaOrig="993" w14:anchorId="187D7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24" o:title=""/>
          </v:shape>
          <o:OLEObject Type="Embed" ProgID="Acrobat.Document.DC" ShapeID="_x0000_i1025" DrawAspect="Icon" ObjectID="_1659769750" r:id="rId25"/>
        </w:object>
      </w:r>
    </w:p>
    <w:bookmarkEnd w:id="10"/>
    <w:p w14:paraId="02FC8796" w14:textId="7CE48350" w:rsidR="000701A6" w:rsidRDefault="001D1D49" w:rsidP="00FC6550">
      <w:pPr>
        <w:pStyle w:val="Heading2"/>
        <w:rPr>
          <w:rFonts w:eastAsia="Times New Roman"/>
        </w:rPr>
      </w:pPr>
      <w:r>
        <w:rPr>
          <w:rFonts w:eastAsia="Times New Roman"/>
        </w:rPr>
        <w:t xml:space="preserve">New Accounting Standards </w:t>
      </w:r>
      <w:r w:rsidR="004F25BD">
        <w:rPr>
          <w:rFonts w:eastAsia="Times New Roman"/>
        </w:rPr>
        <w:t>position papers</w:t>
      </w:r>
    </w:p>
    <w:p w14:paraId="773DBEC9" w14:textId="066E8F21" w:rsidR="004D4C7C" w:rsidRDefault="00A12FAC" w:rsidP="00FC6550">
      <w:r w:rsidRPr="00294732">
        <w:rPr>
          <w:rFonts w:eastAsia="Times New Roman"/>
        </w:rPr>
        <w:t xml:space="preserve">The position papers that were initially issued in the instruction pack to facilitate the preparation of the </w:t>
      </w:r>
      <w:r w:rsidRPr="00FC6550">
        <w:rPr>
          <w:rFonts w:eastAsia="Times New Roman"/>
          <w:i/>
          <w:iCs/>
        </w:rPr>
        <w:t>2019</w:t>
      </w:r>
      <w:r w:rsidR="00FC6550" w:rsidRPr="00FC6550">
        <w:rPr>
          <w:rFonts w:eastAsia="Times New Roman"/>
          <w:i/>
          <w:iCs/>
        </w:rPr>
        <w:noBreakHyphen/>
      </w:r>
      <w:r w:rsidRPr="00FC6550">
        <w:rPr>
          <w:rFonts w:eastAsia="Times New Roman"/>
          <w:i/>
          <w:iCs/>
        </w:rPr>
        <w:t>20</w:t>
      </w:r>
      <w:r w:rsidR="00FC6550" w:rsidRPr="00FC6550">
        <w:rPr>
          <w:rFonts w:eastAsia="Times New Roman"/>
          <w:i/>
          <w:iCs/>
        </w:rPr>
        <w:t> Budget</w:t>
      </w:r>
      <w:r w:rsidR="00FC6550" w:rsidRPr="00294732">
        <w:rPr>
          <w:rFonts w:eastAsia="Times New Roman"/>
        </w:rPr>
        <w:t xml:space="preserve"> </w:t>
      </w:r>
      <w:r w:rsidRPr="00294732">
        <w:rPr>
          <w:rFonts w:eastAsia="Times New Roman"/>
        </w:rPr>
        <w:t xml:space="preserve">have been updated following VAGO review and have been distributed to </w:t>
      </w:r>
      <w:r w:rsidR="00DC286B">
        <w:rPr>
          <w:rFonts w:eastAsia="Times New Roman"/>
        </w:rPr>
        <w:t>d</w:t>
      </w:r>
      <w:r w:rsidR="00DC286B" w:rsidRPr="00294732">
        <w:rPr>
          <w:rFonts w:eastAsia="Times New Roman"/>
        </w:rPr>
        <w:t xml:space="preserve">epartmental </w:t>
      </w:r>
      <w:r w:rsidRPr="00294732">
        <w:rPr>
          <w:rFonts w:eastAsia="Times New Roman"/>
        </w:rPr>
        <w:t xml:space="preserve">finance </w:t>
      </w:r>
      <w:r w:rsidR="00294732" w:rsidRPr="00294732">
        <w:rPr>
          <w:rFonts w:eastAsia="Times New Roman"/>
        </w:rPr>
        <w:t>representatives</w:t>
      </w:r>
      <w:r w:rsidRPr="00294732">
        <w:rPr>
          <w:rFonts w:eastAsia="Times New Roman"/>
        </w:rPr>
        <w:t>.</w:t>
      </w:r>
      <w:r w:rsidR="00294732" w:rsidRPr="00294732">
        <w:rPr>
          <w:rFonts w:eastAsia="Times New Roman"/>
        </w:rPr>
        <w:t xml:space="preserve"> The</w:t>
      </w:r>
      <w:r w:rsidR="00294732">
        <w:rPr>
          <w:rFonts w:eastAsia="Times New Roman"/>
        </w:rPr>
        <w:t xml:space="preserve"> documents are also published on the DTF’s website</w:t>
      </w:r>
      <w:r w:rsidR="004D4C7C">
        <w:rPr>
          <w:rFonts w:eastAsia="Times New Roman"/>
        </w:rPr>
        <w:t xml:space="preserve"> </w:t>
      </w:r>
      <w:r w:rsidR="004D4C7C" w:rsidRPr="00AF2694">
        <w:rPr>
          <w:rFonts w:eastAsia="Times New Roman"/>
        </w:rPr>
        <w:t>(</w:t>
      </w:r>
      <w:hyperlink r:id="rId26" w:history="1">
        <w:r w:rsidR="004D4C7C" w:rsidRPr="00AF2694">
          <w:rPr>
            <w:rFonts w:eastAsia="Times New Roman"/>
            <w:color w:val="53565A"/>
          </w:rPr>
          <w:t>https://www.dtf.vic.gov.au/financial-reporting-policy/accounting-standards-checklists</w:t>
        </w:r>
      </w:hyperlink>
      <w:r w:rsidR="004D4C7C" w:rsidRPr="00AF2694">
        <w:t>)</w:t>
      </w:r>
      <w:r w:rsidR="004D4C7C">
        <w:t>.</w:t>
      </w:r>
    </w:p>
    <w:p w14:paraId="0D45B74E" w14:textId="37F618F0" w:rsidR="00FA122A" w:rsidRDefault="00FA122A" w:rsidP="00FC6550">
      <w:r>
        <w:t xml:space="preserve">There has been an update to the </w:t>
      </w:r>
      <w:r w:rsidR="00FD4249" w:rsidRPr="007269A0">
        <w:t>incremental borrowing rate</w:t>
      </w:r>
      <w:r w:rsidR="00FD4249">
        <w:t xml:space="preserve"> </w:t>
      </w:r>
      <w:r>
        <w:t xml:space="preserve">calculator which now incorporates a </w:t>
      </w:r>
      <w:r w:rsidR="00380A7F">
        <w:t>w</w:t>
      </w:r>
      <w:r>
        <w:t xml:space="preserve">eighted </w:t>
      </w:r>
      <w:r w:rsidR="00380A7F">
        <w:t>a</w:t>
      </w:r>
      <w:r>
        <w:t xml:space="preserve">verage </w:t>
      </w:r>
      <w:r w:rsidR="00380A7F">
        <w:t>l</w:t>
      </w:r>
      <w:r>
        <w:t xml:space="preserve">ife matrix which provides the weighted average lives of amortising the loans based on quarterly payments and the length of the loan. The matrix now calculates the appropriate TCV bond yield rate based on the weighted average lease term of each respective lease. </w:t>
      </w:r>
      <w:r w:rsidR="008C1B73">
        <w:t>Calculations performed to date indicate that</w:t>
      </w:r>
      <w:r>
        <w:t xml:space="preserve"> the difference between this calculator and the previous calculator is not material, but entities are encouraged to validate this assumption as they see fit. </w:t>
      </w:r>
    </w:p>
    <w:p w14:paraId="0C256BE2" w14:textId="3ADCA42E" w:rsidR="00A54D19" w:rsidRDefault="008E5E10" w:rsidP="00FC6550">
      <w:r>
        <w:t>A new position paper has been added in relation to subsequent measurement of right-of-use assets</w:t>
      </w:r>
      <w:r w:rsidR="001D1D49">
        <w:t xml:space="preserve"> (RoU)</w:t>
      </w:r>
      <w:r>
        <w:t xml:space="preserve"> </w:t>
      </w:r>
      <w:r w:rsidR="001D1D49">
        <w:t>for 30</w:t>
      </w:r>
      <w:r w:rsidR="004F25BD">
        <w:t> </w:t>
      </w:r>
      <w:r w:rsidR="001D1D49">
        <w:t>June 2020. This paper is a practical expedient for 30 June 2020 to relie</w:t>
      </w:r>
      <w:r w:rsidR="00380A7F">
        <w:t>ve</w:t>
      </w:r>
      <w:r w:rsidR="001D1D49">
        <w:t xml:space="preserve"> the burden of having to revalue RoU assets if certain conditions are met</w:t>
      </w:r>
      <w:r w:rsidR="008C1B73">
        <w:t xml:space="preserve"> </w:t>
      </w:r>
      <w:r w:rsidR="001D1D49">
        <w:t>and also incorporates disclosure requirements.</w:t>
      </w:r>
    </w:p>
    <w:p w14:paraId="173A8E7D" w14:textId="2E137CBA" w:rsidR="000701A6" w:rsidRDefault="00A54D19" w:rsidP="00FC6550">
      <w:r>
        <w:t>Other than those noted above</w:t>
      </w:r>
      <w:r w:rsidR="00380A7F">
        <w:t>,</w:t>
      </w:r>
      <w:r>
        <w:t xml:space="preserve"> t</w:t>
      </w:r>
      <w:r w:rsidR="004D4C7C">
        <w:t xml:space="preserve">here </w:t>
      </w:r>
      <w:r w:rsidR="00F45654">
        <w:t xml:space="preserve">have </w:t>
      </w:r>
      <w:r w:rsidR="004D4C7C">
        <w:t xml:space="preserve">been no significant changes to </w:t>
      </w:r>
      <w:r w:rsidR="001D1D49">
        <w:t>the</w:t>
      </w:r>
      <w:r w:rsidR="004D4C7C">
        <w:t xml:space="preserve"> position paper</w:t>
      </w:r>
      <w:r w:rsidR="001D1D49">
        <w:t>s.</w:t>
      </w:r>
      <w:r w:rsidR="004D4C7C">
        <w:t xml:space="preserve"> </w:t>
      </w:r>
    </w:p>
    <w:p w14:paraId="395A449F" w14:textId="14B402AD" w:rsidR="00923519" w:rsidRPr="00923519" w:rsidRDefault="00923519" w:rsidP="00FC6550">
      <w:pPr>
        <w:pStyle w:val="Heading2"/>
        <w:rPr>
          <w:rFonts w:eastAsia="Times New Roman"/>
          <w:highlight w:val="yellow"/>
        </w:rPr>
      </w:pPr>
      <w:r w:rsidRPr="00923519">
        <w:rPr>
          <w:rFonts w:eastAsia="Times New Roman"/>
        </w:rPr>
        <w:lastRenderedPageBreak/>
        <w:t xml:space="preserve">AASB 124 </w:t>
      </w:r>
      <w:r w:rsidRPr="007269A0">
        <w:rPr>
          <w:rFonts w:eastAsia="Times New Roman"/>
          <w:i/>
          <w:iCs/>
        </w:rPr>
        <w:t xml:space="preserve">Related Party </w:t>
      </w:r>
      <w:r w:rsidR="00DE7169" w:rsidRPr="007269A0">
        <w:rPr>
          <w:rFonts w:eastAsia="Times New Roman"/>
          <w:i/>
          <w:iCs/>
        </w:rPr>
        <w:t>D</w:t>
      </w:r>
      <w:r w:rsidRPr="007269A0">
        <w:rPr>
          <w:rFonts w:eastAsia="Times New Roman"/>
          <w:i/>
          <w:iCs/>
        </w:rPr>
        <w:t>isclosures</w:t>
      </w:r>
      <w:r w:rsidRPr="00923519">
        <w:rPr>
          <w:rFonts w:eastAsia="Times New Roman"/>
        </w:rPr>
        <w:t xml:space="preserve"> project</w:t>
      </w:r>
    </w:p>
    <w:p w14:paraId="570767F8" w14:textId="467BE0BC" w:rsidR="00923519" w:rsidRPr="0075117E" w:rsidRDefault="00923519" w:rsidP="0075117E">
      <w:pPr>
        <w:keepNext/>
        <w:spacing w:before="200" w:after="0"/>
        <w:outlineLvl w:val="3"/>
        <w:rPr>
          <w:rFonts w:ascii="Arial" w:eastAsia="Times New Roman" w:hAnsi="Arial" w:cs="Arial"/>
          <w:i/>
          <w:color w:val="53565A"/>
          <w:szCs w:val="18"/>
        </w:rPr>
      </w:pPr>
      <w:r w:rsidRPr="0075117E">
        <w:rPr>
          <w:rFonts w:ascii="Arial" w:eastAsia="Times New Roman" w:hAnsi="Arial" w:cs="Arial"/>
          <w:b/>
          <w:bCs/>
          <w:i/>
          <w:color w:val="53565A"/>
          <w:szCs w:val="18"/>
        </w:rPr>
        <w:t>Ministerial declarations for the 2019</w:t>
      </w:r>
      <w:r w:rsidRPr="0075117E">
        <w:rPr>
          <w:rFonts w:ascii="Arial" w:eastAsia="Times New Roman" w:hAnsi="Arial" w:cs="Arial"/>
          <w:b/>
          <w:bCs/>
          <w:i/>
          <w:color w:val="53565A"/>
          <w:szCs w:val="18"/>
        </w:rPr>
        <w:noBreakHyphen/>
        <w:t>20 reporting period</w:t>
      </w:r>
    </w:p>
    <w:p w14:paraId="522C77A0" w14:textId="678F4BB2" w:rsidR="00923519" w:rsidRPr="00AF2694" w:rsidRDefault="00923519" w:rsidP="00FC6550">
      <w:pPr>
        <w:rPr>
          <w:rFonts w:eastAsia="Times New Roman"/>
        </w:rPr>
      </w:pPr>
      <w:r w:rsidRPr="00AF2694">
        <w:rPr>
          <w:rFonts w:eastAsia="Times New Roman"/>
        </w:rPr>
        <w:t>To support the compliance and preparation of financial reports by not</w:t>
      </w:r>
      <w:r w:rsidRPr="00AF2694">
        <w:rPr>
          <w:rFonts w:eastAsia="Times New Roman"/>
        </w:rPr>
        <w:noBreakHyphen/>
        <w:t>for</w:t>
      </w:r>
      <w:r w:rsidRPr="00AF2694">
        <w:rPr>
          <w:rFonts w:eastAsia="Times New Roman"/>
        </w:rPr>
        <w:noBreakHyphen/>
        <w:t xml:space="preserve">profit public sector entities, information consistent with the requirements of AASB 124 </w:t>
      </w:r>
      <w:r w:rsidRPr="00AF2694">
        <w:rPr>
          <w:rFonts w:eastAsia="Times New Roman"/>
          <w:i/>
        </w:rPr>
        <w:t>Related Party Disclosures</w:t>
      </w:r>
      <w:r w:rsidRPr="00AF2694">
        <w:rPr>
          <w:rFonts w:eastAsia="Times New Roman"/>
        </w:rPr>
        <w:t xml:space="preserve"> is collected twice in each financial year from Cabinet ministers, as not all Victorian public sector not-for-profit entities have a 30 June year-end. For example, the year-end for Alpine Resort entities, TAFEs and schools is 31 December.</w:t>
      </w:r>
    </w:p>
    <w:p w14:paraId="5982B865" w14:textId="3CA4AFD5" w:rsidR="000B7B8A" w:rsidRDefault="00F45654" w:rsidP="00FC6550">
      <w:pPr>
        <w:rPr>
          <w:rFonts w:eastAsia="Times New Roman"/>
        </w:rPr>
      </w:pPr>
      <w:r>
        <w:rPr>
          <w:rFonts w:eastAsia="Times New Roman"/>
        </w:rPr>
        <w:t>At the time of publication of this newsletter, a</w:t>
      </w:r>
      <w:r w:rsidR="000B7B8A">
        <w:rPr>
          <w:rFonts w:eastAsia="Times New Roman"/>
        </w:rPr>
        <w:t xml:space="preserve">ll but two Cabinet ministers have submitted their declarations for the period 1 January to 30 June 2020, with the majority having a nil return. </w:t>
      </w:r>
    </w:p>
    <w:p w14:paraId="0FD714D9" w14:textId="2BB28EB6" w:rsidR="00923519" w:rsidRPr="00AF2694" w:rsidRDefault="000B7B8A" w:rsidP="00FC6550">
      <w:pPr>
        <w:rPr>
          <w:rFonts w:eastAsia="Times New Roman"/>
        </w:rPr>
      </w:pPr>
      <w:r>
        <w:rPr>
          <w:rFonts w:eastAsia="Times New Roman"/>
        </w:rPr>
        <w:t xml:space="preserve">Where information was included in a Minister’s declaration, </w:t>
      </w:r>
      <w:r w:rsidR="00923519" w:rsidRPr="00AF2694">
        <w:rPr>
          <w:rFonts w:eastAsia="Times New Roman"/>
        </w:rPr>
        <w:t xml:space="preserve">DTF </w:t>
      </w:r>
      <w:r>
        <w:rPr>
          <w:rFonts w:eastAsia="Times New Roman"/>
        </w:rPr>
        <w:t>has</w:t>
      </w:r>
      <w:r w:rsidR="00923519" w:rsidRPr="00AF2694">
        <w:rPr>
          <w:rFonts w:eastAsia="Times New Roman"/>
        </w:rPr>
        <w:t xml:space="preserve"> provide</w:t>
      </w:r>
      <w:r>
        <w:rPr>
          <w:rFonts w:eastAsia="Times New Roman"/>
        </w:rPr>
        <w:t>d</w:t>
      </w:r>
      <w:r w:rsidR="00923519" w:rsidRPr="00AF2694">
        <w:rPr>
          <w:rFonts w:eastAsia="Times New Roman"/>
        </w:rPr>
        <w:t xml:space="preserve"> information extracted from declarations to the relevant portfolio entities to perform a ‘significance’ and a ‘materiality’ assessment of the nature and amount of the related party transactions for disclosure, where relevant, in the entities’ annual financial reports. </w:t>
      </w:r>
    </w:p>
    <w:p w14:paraId="494775CA" w14:textId="77777777" w:rsidR="00923519" w:rsidRPr="00AF2694" w:rsidRDefault="00923519" w:rsidP="00FC6550">
      <w:pPr>
        <w:rPr>
          <w:rFonts w:eastAsia="Times New Roman"/>
        </w:rPr>
      </w:pPr>
      <w:r w:rsidRPr="00AF2694">
        <w:rPr>
          <w:rFonts w:eastAsia="Times New Roman"/>
        </w:rPr>
        <w:t>Entities are reminded that, under the agreed protocols, consultation is required with the relevant Minister(s) and DTF, where disclosures are proposed.</w:t>
      </w:r>
    </w:p>
    <w:p w14:paraId="557E9F9F" w14:textId="1DB01258" w:rsidR="00123F7E" w:rsidRPr="0075117E" w:rsidRDefault="00123F7E" w:rsidP="0075117E">
      <w:pPr>
        <w:keepNext/>
        <w:spacing w:before="200" w:after="0"/>
        <w:outlineLvl w:val="3"/>
        <w:rPr>
          <w:rFonts w:ascii="Arial" w:eastAsia="Times New Roman" w:hAnsi="Arial" w:cs="Arial"/>
          <w:i/>
          <w:color w:val="53565A"/>
          <w:szCs w:val="18"/>
        </w:rPr>
      </w:pPr>
      <w:r w:rsidRPr="0075117E">
        <w:rPr>
          <w:rFonts w:ascii="Arial" w:eastAsia="Times New Roman" w:hAnsi="Arial" w:cs="Arial"/>
          <w:b/>
          <w:bCs/>
          <w:i/>
          <w:color w:val="53565A"/>
          <w:szCs w:val="18"/>
        </w:rPr>
        <w:t xml:space="preserve">Movements in key management personnel for departments and agencies </w:t>
      </w:r>
    </w:p>
    <w:p w14:paraId="4C9182F1" w14:textId="7EFAFB7C" w:rsidR="007C3CAC" w:rsidRPr="00AF2694" w:rsidRDefault="00123F7E" w:rsidP="00FC6550">
      <w:pPr>
        <w:rPr>
          <w:rFonts w:eastAsia="Times New Roman"/>
          <w:b/>
          <w:bCs/>
          <w:color w:val="53565A"/>
        </w:rPr>
      </w:pPr>
      <w:r w:rsidRPr="00AF2694">
        <w:rPr>
          <w:rFonts w:eastAsia="Times New Roman"/>
        </w:rPr>
        <w:t>Disclosure for the 20</w:t>
      </w:r>
      <w:r w:rsidR="00BF1D90" w:rsidRPr="00AF2694">
        <w:rPr>
          <w:rFonts w:eastAsia="Times New Roman"/>
        </w:rPr>
        <w:t>19</w:t>
      </w:r>
      <w:r w:rsidR="00380A7F">
        <w:rPr>
          <w:rFonts w:eastAsia="Times New Roman"/>
        </w:rPr>
        <w:t>-</w:t>
      </w:r>
      <w:r w:rsidR="00BF1D90" w:rsidRPr="00AF2694">
        <w:rPr>
          <w:rFonts w:eastAsia="Times New Roman"/>
        </w:rPr>
        <w:t>20</w:t>
      </w:r>
      <w:r w:rsidRPr="00AF2694">
        <w:rPr>
          <w:rFonts w:eastAsia="Times New Roman"/>
        </w:rPr>
        <w:t xml:space="preserve"> reporting period will need to include information relevant to all </w:t>
      </w:r>
      <w:r w:rsidR="00EF3E32" w:rsidRPr="00EF3E32">
        <w:rPr>
          <w:rFonts w:eastAsia="Times New Roman"/>
        </w:rPr>
        <w:t xml:space="preserve">key management personnel </w:t>
      </w:r>
      <w:r w:rsidRPr="00AF2694">
        <w:rPr>
          <w:rFonts w:eastAsia="Times New Roman"/>
        </w:rPr>
        <w:t>appointed during the period, including any recent executive appointments and departures during the relevant financial reporting period</w:t>
      </w:r>
      <w:r w:rsidRPr="00AF2694">
        <w:rPr>
          <w:rFonts w:eastAsia="Times New Roman"/>
          <w:b/>
          <w:bCs/>
        </w:rPr>
        <w:t>.</w:t>
      </w:r>
      <w:r w:rsidR="00D30130">
        <w:rPr>
          <w:rFonts w:eastAsia="Times New Roman"/>
          <w:b/>
          <w:bCs/>
        </w:rPr>
        <w:t xml:space="preserve"> </w:t>
      </w:r>
    </w:p>
    <w:p w14:paraId="0F6B632B" w14:textId="77777777" w:rsidR="00923519" w:rsidRPr="0075117E" w:rsidRDefault="00923519" w:rsidP="0075117E">
      <w:pPr>
        <w:keepNext/>
        <w:spacing w:before="200" w:after="0"/>
        <w:outlineLvl w:val="3"/>
        <w:rPr>
          <w:rFonts w:ascii="Arial" w:eastAsia="Times New Roman" w:hAnsi="Arial" w:cs="Arial"/>
          <w:i/>
          <w:color w:val="53565A"/>
          <w:szCs w:val="18"/>
        </w:rPr>
      </w:pPr>
      <w:r w:rsidRPr="0075117E">
        <w:rPr>
          <w:rFonts w:ascii="Arial" w:eastAsia="Times New Roman" w:hAnsi="Arial" w:cs="Arial"/>
          <w:b/>
          <w:bCs/>
          <w:i/>
          <w:color w:val="53565A"/>
          <w:szCs w:val="18"/>
        </w:rPr>
        <w:t>Guidance information</w:t>
      </w:r>
    </w:p>
    <w:p w14:paraId="1D6F6020" w14:textId="6A8DB40D" w:rsidR="001C3A7A" w:rsidRPr="00436ED6" w:rsidRDefault="00923519" w:rsidP="00E41BB2">
      <w:pPr>
        <w:rPr>
          <w:rFonts w:ascii="Arial" w:eastAsia="Times New Roman" w:hAnsi="Arial" w:cs="Arial"/>
          <w:color w:val="7F7F7F" w:themeColor="text1" w:themeTint="80"/>
          <w:szCs w:val="18"/>
        </w:rPr>
      </w:pPr>
      <w:r w:rsidRPr="00AF2694">
        <w:rPr>
          <w:rFonts w:eastAsia="Times New Roman"/>
        </w:rPr>
        <w:t xml:space="preserve">A declaration certificate, checklist and </w:t>
      </w:r>
      <w:r w:rsidR="00C62146" w:rsidRPr="00AF2694">
        <w:rPr>
          <w:rFonts w:eastAsia="Times New Roman"/>
        </w:rPr>
        <w:t xml:space="preserve">comprehensive guidance </w:t>
      </w:r>
      <w:r w:rsidRPr="00AF2694">
        <w:rPr>
          <w:rFonts w:eastAsia="Times New Roman"/>
        </w:rPr>
        <w:t>are included</w:t>
      </w:r>
      <w:r w:rsidR="00496FA8" w:rsidRPr="00AF2694">
        <w:rPr>
          <w:rFonts w:eastAsia="Times New Roman"/>
        </w:rPr>
        <w:t xml:space="preserve"> on DTF’s website </w:t>
      </w:r>
      <w:r w:rsidR="00C62146" w:rsidRPr="00AF2694">
        <w:rPr>
          <w:rFonts w:eastAsia="Times New Roman"/>
        </w:rPr>
        <w:t xml:space="preserve">to assist entities to comply with AASB 124 </w:t>
      </w:r>
      <w:r w:rsidR="00496FA8" w:rsidRPr="00AF2694">
        <w:rPr>
          <w:rFonts w:eastAsia="Times New Roman"/>
        </w:rPr>
        <w:t>at</w:t>
      </w:r>
      <w:r w:rsidR="001C3A7A" w:rsidRPr="00AF2694">
        <w:rPr>
          <w:rFonts w:eastAsia="Times New Roman"/>
        </w:rPr>
        <w:t>:</w:t>
      </w:r>
      <w:r w:rsidR="00E41BB2">
        <w:rPr>
          <w:rFonts w:eastAsia="Times New Roman"/>
        </w:rPr>
        <w:t xml:space="preserve"> </w:t>
      </w:r>
      <w:hyperlink r:id="rId27" w:history="1">
        <w:r w:rsidR="001C3A7A" w:rsidRPr="00436ED6">
          <w:rPr>
            <w:rStyle w:val="Hyperlink"/>
            <w:rFonts w:ascii="Arial" w:eastAsia="Times New Roman" w:hAnsi="Arial" w:cs="Arial"/>
            <w:color w:val="7F7F7F" w:themeColor="text1" w:themeTint="80"/>
            <w:szCs w:val="18"/>
          </w:rPr>
          <w:t>https://www.dtf.vic.gov.au/financial-reporting-policy/aasb-124-related-party-disclosures</w:t>
        </w:r>
      </w:hyperlink>
    </w:p>
    <w:p w14:paraId="679FF2B2" w14:textId="2129069D" w:rsidR="00DE7169" w:rsidRDefault="00C62146" w:rsidP="00FC6550">
      <w:pPr>
        <w:rPr>
          <w:rFonts w:eastAsia="Times New Roman" w:cs="Times New Roman"/>
        </w:rPr>
      </w:pPr>
      <w:r w:rsidRPr="00AF2694">
        <w:rPr>
          <w:rFonts w:eastAsia="Times New Roman"/>
        </w:rPr>
        <w:t>Some of these resources were</w:t>
      </w:r>
      <w:r w:rsidR="00496FA8" w:rsidRPr="00AF2694">
        <w:rPr>
          <w:rFonts w:eastAsia="Times New Roman"/>
        </w:rPr>
        <w:t xml:space="preserve"> </w:t>
      </w:r>
      <w:r w:rsidR="00F45654">
        <w:rPr>
          <w:rFonts w:eastAsia="Times New Roman"/>
        </w:rPr>
        <w:t xml:space="preserve">previously </w:t>
      </w:r>
      <w:r w:rsidR="001C3A7A" w:rsidRPr="00AF2694">
        <w:rPr>
          <w:rFonts w:eastAsia="Times New Roman"/>
        </w:rPr>
        <w:t>i</w:t>
      </w:r>
      <w:r w:rsidR="00496FA8" w:rsidRPr="00AF2694">
        <w:rPr>
          <w:rFonts w:eastAsia="Times New Roman"/>
        </w:rPr>
        <w:t xml:space="preserve">ncluded in </w:t>
      </w:r>
      <w:r w:rsidR="00923519" w:rsidRPr="00AF2694">
        <w:rPr>
          <w:rFonts w:eastAsia="Times New Roman"/>
        </w:rPr>
        <w:t xml:space="preserve">Appendices 9 and 10 of the </w:t>
      </w:r>
      <w:r w:rsidR="00923519" w:rsidRPr="00AF2694">
        <w:rPr>
          <w:rFonts w:eastAsia="Times New Roman"/>
          <w:i/>
        </w:rPr>
        <w:t>2018-19 Model Report</w:t>
      </w:r>
      <w:r w:rsidR="00496FA8" w:rsidRPr="00AF2694">
        <w:rPr>
          <w:rFonts w:eastAsia="Times New Roman"/>
          <w:iCs/>
        </w:rPr>
        <w:t xml:space="preserve">. </w:t>
      </w:r>
      <w:r w:rsidR="001C3A7A" w:rsidRPr="00AF2694">
        <w:rPr>
          <w:rFonts w:eastAsia="Times New Roman"/>
          <w:iCs/>
        </w:rPr>
        <w:t>They have been moved to the website to streamline the Model Report</w:t>
      </w:r>
      <w:r w:rsidR="001C3A7A">
        <w:rPr>
          <w:rFonts w:eastAsia="Times New Roman" w:cs="Times New Roman"/>
          <w:iCs/>
        </w:rPr>
        <w:t>.</w:t>
      </w:r>
      <w:bookmarkStart w:id="11" w:name="_Hlk534958407"/>
      <w:r w:rsidR="00923519" w:rsidRPr="00923519">
        <w:rPr>
          <w:rFonts w:eastAsia="Times New Roman" w:cs="Times New Roman"/>
        </w:rPr>
        <w:t xml:space="preserve"> </w:t>
      </w:r>
      <w:bookmarkEnd w:id="11"/>
    </w:p>
    <w:p w14:paraId="00846064" w14:textId="572BE122" w:rsidR="00DE7169" w:rsidRPr="00DE7169" w:rsidRDefault="00923519" w:rsidP="00FC6550">
      <w:pPr>
        <w:pStyle w:val="Heading2"/>
        <w:rPr>
          <w:rFonts w:eastAsia="Times New Roman"/>
          <w:sz w:val="18"/>
          <w:szCs w:val="20"/>
        </w:rPr>
      </w:pPr>
      <w:r w:rsidRPr="00DE7169">
        <w:t>Interim valuation assessments</w:t>
      </w:r>
    </w:p>
    <w:p w14:paraId="36748F25" w14:textId="77777777" w:rsidR="00DE7169" w:rsidRDefault="0091353D" w:rsidP="00FC6550">
      <w:pPr>
        <w:rPr>
          <w:rFonts w:eastAsia="Times New Roman" w:cs="Times New Roman"/>
        </w:rPr>
      </w:pPr>
      <w:r w:rsidRPr="00AF2694">
        <w:rPr>
          <w:rFonts w:eastAsia="Times New Roman"/>
        </w:rPr>
        <w:t xml:space="preserve">Entities are reminded to ensure they have conducted their interim valuation assessments in preparation for year-end. </w:t>
      </w:r>
    </w:p>
    <w:p w14:paraId="666A05A0" w14:textId="0CC09CB5" w:rsidR="00DE7169" w:rsidRDefault="0091353D" w:rsidP="00FC6550">
      <w:pPr>
        <w:rPr>
          <w:rFonts w:eastAsia="Times New Roman" w:cs="Times New Roman"/>
        </w:rPr>
      </w:pPr>
      <w:r w:rsidRPr="00AF2694">
        <w:rPr>
          <w:rFonts w:eastAsia="Times New Roman"/>
        </w:rPr>
        <w:t>You would have already conducted your 2019</w:t>
      </w:r>
      <w:r w:rsidR="00380A7F">
        <w:rPr>
          <w:rFonts w:eastAsia="Times New Roman"/>
        </w:rPr>
        <w:t>-</w:t>
      </w:r>
      <w:r w:rsidRPr="00AF2694">
        <w:rPr>
          <w:rFonts w:eastAsia="Times New Roman"/>
        </w:rPr>
        <w:t>20 interim valuation assessments using the October 2019 indices as a preliminary indicator to assess how the fair values for land have moved for the period, prior to finalising your valuation assessment using the April 2020 indices. In instances where the cumulative fair value movements have moved substantially</w:t>
      </w:r>
      <w:r w:rsidR="00380A7F">
        <w:rPr>
          <w:rFonts w:eastAsia="Times New Roman"/>
        </w:rPr>
        <w:t>,</w:t>
      </w:r>
      <w:r w:rsidRPr="00AF2694">
        <w:rPr>
          <w:rFonts w:eastAsia="Times New Roman"/>
        </w:rPr>
        <w:t xml:space="preserve"> and movements are greater than 30</w:t>
      </w:r>
      <w:r w:rsidR="00E41BB2">
        <w:rPr>
          <w:rFonts w:eastAsia="Times New Roman"/>
        </w:rPr>
        <w:t> per cent</w:t>
      </w:r>
      <w:r w:rsidRPr="00AF2694">
        <w:rPr>
          <w:rFonts w:eastAsia="Times New Roman"/>
        </w:rPr>
        <w:t xml:space="preserve"> but less than 40</w:t>
      </w:r>
      <w:r w:rsidR="00E41BB2">
        <w:rPr>
          <w:rFonts w:eastAsia="Times New Roman"/>
        </w:rPr>
        <w:t> per cent</w:t>
      </w:r>
      <w:r w:rsidRPr="00AF2694">
        <w:rPr>
          <w:rFonts w:eastAsia="Times New Roman"/>
        </w:rPr>
        <w:t xml:space="preserve">, we strongly recommend you alert </w:t>
      </w:r>
      <w:r w:rsidR="00B31BDA">
        <w:rPr>
          <w:rFonts w:eastAsia="Times New Roman"/>
        </w:rPr>
        <w:t xml:space="preserve">the </w:t>
      </w:r>
      <w:r w:rsidR="00380A7F">
        <w:rPr>
          <w:rFonts w:eastAsia="Times New Roman"/>
        </w:rPr>
        <w:t>Valuer</w:t>
      </w:r>
      <w:r w:rsidR="00B31BDA">
        <w:rPr>
          <w:rFonts w:eastAsia="Times New Roman"/>
        </w:rPr>
        <w:t>-</w:t>
      </w:r>
      <w:r w:rsidR="00380A7F">
        <w:rPr>
          <w:rFonts w:eastAsia="Times New Roman"/>
        </w:rPr>
        <w:t>General Victoria (</w:t>
      </w:r>
      <w:r w:rsidRPr="00AF2694">
        <w:rPr>
          <w:rFonts w:eastAsia="Times New Roman"/>
        </w:rPr>
        <w:t>VGV</w:t>
      </w:r>
      <w:r w:rsidR="00380A7F">
        <w:rPr>
          <w:rFonts w:eastAsia="Times New Roman"/>
        </w:rPr>
        <w:t>)</w:t>
      </w:r>
      <w:r w:rsidRPr="00AF2694">
        <w:rPr>
          <w:rFonts w:eastAsia="Times New Roman"/>
        </w:rPr>
        <w:t xml:space="preserve"> in anticipation that the 40</w:t>
      </w:r>
      <w:r w:rsidR="00E41BB2">
        <w:rPr>
          <w:rFonts w:eastAsia="Times New Roman"/>
        </w:rPr>
        <w:t> per cent</w:t>
      </w:r>
      <w:r w:rsidRPr="00AF2694">
        <w:rPr>
          <w:rFonts w:eastAsia="Times New Roman"/>
        </w:rPr>
        <w:t xml:space="preserve"> threshold may be triggered before the formal fifth valuation year, requiring a formal valuation for that class of assets for the 30 June 2020 reporting year. </w:t>
      </w:r>
    </w:p>
    <w:p w14:paraId="03FC6C96" w14:textId="77777777" w:rsidR="00DE7169" w:rsidRDefault="00923519" w:rsidP="00FC6550">
      <w:pPr>
        <w:rPr>
          <w:rFonts w:eastAsia="Times New Roman" w:cs="Times New Roman"/>
        </w:rPr>
      </w:pPr>
      <w:r w:rsidRPr="00AF2694">
        <w:rPr>
          <w:rFonts w:eastAsia="Times New Roman"/>
        </w:rPr>
        <w:t xml:space="preserve">The Valuer-General’s land indices can be found at: </w:t>
      </w:r>
      <w:hyperlink r:id="rId28" w:history="1">
        <w:r w:rsidRPr="00AF2694">
          <w:rPr>
            <w:rFonts w:eastAsia="Times New Roman"/>
            <w:color w:val="53565A"/>
          </w:rPr>
          <w:t>https://www.dtf.vic.gov.au/financial-reporting-policy/valuer-general-land-indices</w:t>
        </w:r>
      </w:hyperlink>
      <w:r w:rsidR="00B71467">
        <w:rPr>
          <w:rFonts w:eastAsia="Times New Roman"/>
          <w:color w:val="53565A"/>
        </w:rPr>
        <w:t>.</w:t>
      </w:r>
    </w:p>
    <w:p w14:paraId="7CEE103F" w14:textId="5B9F2933" w:rsidR="003F63F9" w:rsidRPr="00DE7169" w:rsidRDefault="003F63F9" w:rsidP="00FC6550">
      <w:pPr>
        <w:rPr>
          <w:rFonts w:eastAsia="Times New Roman" w:cs="Times New Roman"/>
        </w:rPr>
      </w:pPr>
      <w:r w:rsidRPr="00AF2694">
        <w:rPr>
          <w:rFonts w:eastAsia="Times New Roman"/>
        </w:rPr>
        <w:t xml:space="preserve">Victorian Government departments, agencies and entities should contact their portfolio department in the first instance for the login details to access the land indices. Our December 2016 Newsletter, Edition No. 31 contains information on interim valuation assessments, including an example of how to assess fair value movements on a cumulative basis. The publication can be found at </w:t>
      </w:r>
      <w:hyperlink r:id="rId29" w:history="1">
        <w:r w:rsidRPr="00AF2694">
          <w:rPr>
            <w:rFonts w:eastAsia="Times New Roman"/>
            <w:color w:val="53565A"/>
          </w:rPr>
          <w:t>www.dtf.vic.gov.au/Accounting-policy-newsletters</w:t>
        </w:r>
      </w:hyperlink>
      <w:r w:rsidRPr="00AF2694">
        <w:rPr>
          <w:rFonts w:eastAsia="Times New Roman"/>
        </w:rPr>
        <w:t>.</w:t>
      </w:r>
    </w:p>
    <w:p w14:paraId="6229FF48" w14:textId="5A27ED47" w:rsidR="00B655EF" w:rsidRPr="00287C2E" w:rsidRDefault="00510249" w:rsidP="00EF3E32">
      <w:pPr>
        <w:pStyle w:val="Heading3"/>
        <w:rPr>
          <w:rFonts w:eastAsia="Times New Roman"/>
        </w:rPr>
      </w:pPr>
      <w:r>
        <w:rPr>
          <w:rFonts w:eastAsia="Times New Roman"/>
        </w:rPr>
        <w:lastRenderedPageBreak/>
        <w:t>COVID</w:t>
      </w:r>
      <w:r w:rsidR="00B655EF" w:rsidRPr="00287C2E">
        <w:rPr>
          <w:rFonts w:eastAsia="Times New Roman"/>
        </w:rPr>
        <w:t xml:space="preserve">-19 </w:t>
      </w:r>
      <w:r w:rsidR="00EF3E32" w:rsidRPr="00287C2E">
        <w:rPr>
          <w:rFonts w:eastAsia="Times New Roman"/>
        </w:rPr>
        <w:t>impacts on land indices</w:t>
      </w:r>
    </w:p>
    <w:p w14:paraId="3AB4CC75" w14:textId="277412C7" w:rsidR="007542B6" w:rsidRPr="00AF2694" w:rsidRDefault="00311E55" w:rsidP="00E41BB2">
      <w:pPr>
        <w:keepNext/>
        <w:rPr>
          <w:rFonts w:eastAsia="Times New Roman"/>
        </w:rPr>
      </w:pPr>
      <w:r w:rsidRPr="00AF2694">
        <w:rPr>
          <w:rFonts w:eastAsia="Times New Roman"/>
        </w:rPr>
        <w:t xml:space="preserve">The financial year indices that were released in April 2020 are based on market data that was available up to the first week of March, which is prior to any effect of </w:t>
      </w:r>
      <w:r w:rsidR="00510249">
        <w:rPr>
          <w:rFonts w:eastAsia="Times New Roman"/>
        </w:rPr>
        <w:t>COVID</w:t>
      </w:r>
      <w:r w:rsidR="007542B6">
        <w:rPr>
          <w:rFonts w:eastAsia="Times New Roman"/>
        </w:rPr>
        <w:t>-19</w:t>
      </w:r>
      <w:r w:rsidRPr="00AF2694">
        <w:rPr>
          <w:rFonts w:eastAsia="Times New Roman"/>
        </w:rPr>
        <w:t xml:space="preserve">. </w:t>
      </w:r>
    </w:p>
    <w:p w14:paraId="38561193" w14:textId="4D3B429D" w:rsidR="00925D11" w:rsidRDefault="00925D11" w:rsidP="00FC6550">
      <w:pPr>
        <w:rPr>
          <w:rFonts w:eastAsia="Times New Roman"/>
        </w:rPr>
      </w:pPr>
      <w:r>
        <w:rPr>
          <w:rFonts w:eastAsia="Times New Roman"/>
        </w:rPr>
        <w:t xml:space="preserve">VGV </w:t>
      </w:r>
      <w:r w:rsidR="00D54F29" w:rsidRPr="00AF2694">
        <w:rPr>
          <w:rFonts w:eastAsia="Times New Roman"/>
        </w:rPr>
        <w:t>only release</w:t>
      </w:r>
      <w:r w:rsidR="00380A7F">
        <w:rPr>
          <w:rFonts w:eastAsia="Times New Roman"/>
        </w:rPr>
        <w:t>s</w:t>
      </w:r>
      <w:r w:rsidR="00D54F29" w:rsidRPr="00AF2694">
        <w:rPr>
          <w:rFonts w:eastAsia="Times New Roman"/>
        </w:rPr>
        <w:t xml:space="preserve"> postcode indices twice a </w:t>
      </w:r>
      <w:r w:rsidR="0094239A" w:rsidRPr="00AF2694">
        <w:rPr>
          <w:rFonts w:eastAsia="Times New Roman"/>
        </w:rPr>
        <w:t>year</w:t>
      </w:r>
      <w:r w:rsidR="0094239A">
        <w:rPr>
          <w:rFonts w:eastAsia="Times New Roman"/>
        </w:rPr>
        <w:t>:</w:t>
      </w:r>
      <w:r w:rsidR="0094239A" w:rsidRPr="00AF2694">
        <w:rPr>
          <w:rFonts w:eastAsia="Times New Roman"/>
        </w:rPr>
        <w:t xml:space="preserve"> in</w:t>
      </w:r>
      <w:r w:rsidR="00D54F29" w:rsidRPr="00AF2694">
        <w:rPr>
          <w:rFonts w:eastAsia="Times New Roman"/>
        </w:rPr>
        <w:t xml:space="preserve"> April and Calendar in October</w:t>
      </w:r>
      <w:r w:rsidR="008C1B73">
        <w:rPr>
          <w:rFonts w:eastAsia="Times New Roman"/>
        </w:rPr>
        <w:t>.</w:t>
      </w:r>
    </w:p>
    <w:p w14:paraId="4FD8A2EB" w14:textId="65187E98" w:rsidR="00B71467" w:rsidRDefault="00925D11" w:rsidP="00FC6550">
      <w:pPr>
        <w:rPr>
          <w:rFonts w:eastAsia="Times New Roman"/>
        </w:rPr>
      </w:pPr>
      <w:r w:rsidRPr="00AF2694">
        <w:rPr>
          <w:rFonts w:eastAsia="Times New Roman"/>
        </w:rPr>
        <w:t xml:space="preserve">It is </w:t>
      </w:r>
      <w:r>
        <w:rPr>
          <w:rFonts w:eastAsia="Times New Roman"/>
        </w:rPr>
        <w:t xml:space="preserve">the VGV’s </w:t>
      </w:r>
      <w:r w:rsidRPr="00AF2694">
        <w:rPr>
          <w:rFonts w:eastAsia="Times New Roman"/>
        </w:rPr>
        <w:t>view that the effects</w:t>
      </w:r>
      <w:r w:rsidR="00F45654">
        <w:rPr>
          <w:rFonts w:eastAsia="Times New Roman"/>
        </w:rPr>
        <w:t xml:space="preserve"> of COVID-19</w:t>
      </w:r>
      <w:r w:rsidRPr="00AF2694">
        <w:rPr>
          <w:rFonts w:eastAsia="Times New Roman"/>
        </w:rPr>
        <w:t xml:space="preserve">, if any, </w:t>
      </w:r>
      <w:r>
        <w:rPr>
          <w:rFonts w:eastAsia="Times New Roman"/>
        </w:rPr>
        <w:t>will</w:t>
      </w:r>
      <w:r w:rsidRPr="00AF2694">
        <w:rPr>
          <w:rFonts w:eastAsia="Times New Roman"/>
        </w:rPr>
        <w:t xml:space="preserve"> take over three months to flow th</w:t>
      </w:r>
      <w:r>
        <w:rPr>
          <w:rFonts w:eastAsia="Times New Roman"/>
        </w:rPr>
        <w:t>r</w:t>
      </w:r>
      <w:r w:rsidRPr="00AF2694">
        <w:rPr>
          <w:rFonts w:eastAsia="Times New Roman"/>
        </w:rPr>
        <w:t>ough into the internal property databases from the sale contract date</w:t>
      </w:r>
      <w:r>
        <w:rPr>
          <w:rFonts w:eastAsia="Times New Roman"/>
        </w:rPr>
        <w:t xml:space="preserve">. This means that VGV will not see any </w:t>
      </w:r>
      <w:r w:rsidRPr="00925D11">
        <w:rPr>
          <w:rFonts w:eastAsia="Times New Roman"/>
        </w:rPr>
        <w:t>significant sales numbers for the April</w:t>
      </w:r>
      <w:r w:rsidR="00D30130">
        <w:rPr>
          <w:rFonts w:eastAsia="Times New Roman"/>
        </w:rPr>
        <w:t>-</w:t>
      </w:r>
      <w:r w:rsidRPr="00925D11">
        <w:rPr>
          <w:rFonts w:eastAsia="Times New Roman"/>
        </w:rPr>
        <w:t>June 2020 period until September.</w:t>
      </w:r>
      <w:r>
        <w:rPr>
          <w:rFonts w:eastAsia="Times New Roman"/>
        </w:rPr>
        <w:t xml:space="preserve"> </w:t>
      </w:r>
      <w:r w:rsidR="00D54F29" w:rsidRPr="00AF2694">
        <w:rPr>
          <w:rFonts w:eastAsia="Times New Roman"/>
        </w:rPr>
        <w:t>The next release in October should reflect any market fluctuations throughout the year, if any, and adjust for the current figures.</w:t>
      </w:r>
    </w:p>
    <w:p w14:paraId="3846BB3E" w14:textId="2CAB0FAC" w:rsidR="00432791" w:rsidRPr="00AF2694" w:rsidRDefault="008C1B73" w:rsidP="00FC6550">
      <w:pPr>
        <w:rPr>
          <w:rFonts w:eastAsia="Times New Roman"/>
        </w:rPr>
      </w:pPr>
      <w:r>
        <w:rPr>
          <w:rFonts w:eastAsia="Times New Roman"/>
        </w:rPr>
        <w:t xml:space="preserve">As agreed with the Victorian Auditor General’s Office, </w:t>
      </w:r>
      <w:r w:rsidR="00432791">
        <w:rPr>
          <w:rFonts w:eastAsia="Times New Roman"/>
        </w:rPr>
        <w:t xml:space="preserve">entities </w:t>
      </w:r>
      <w:r>
        <w:rPr>
          <w:rFonts w:eastAsia="Times New Roman"/>
        </w:rPr>
        <w:t xml:space="preserve">should </w:t>
      </w:r>
      <w:r w:rsidR="00432791">
        <w:rPr>
          <w:rFonts w:eastAsia="Times New Roman"/>
        </w:rPr>
        <w:t>continue to use the April 2020 indices as published</w:t>
      </w:r>
      <w:r w:rsidR="00380A7F">
        <w:rPr>
          <w:rFonts w:eastAsia="Times New Roman"/>
        </w:rPr>
        <w:t>.</w:t>
      </w:r>
      <w:r w:rsidR="00432791">
        <w:rPr>
          <w:rFonts w:eastAsia="Times New Roman"/>
        </w:rPr>
        <w:t xml:space="preserve"> </w:t>
      </w:r>
      <w:r w:rsidR="00380A7F">
        <w:rPr>
          <w:rFonts w:eastAsia="Times New Roman"/>
        </w:rPr>
        <w:t>H</w:t>
      </w:r>
      <w:r w:rsidR="00432791">
        <w:rPr>
          <w:rFonts w:eastAsia="Times New Roman"/>
        </w:rPr>
        <w:t>owever</w:t>
      </w:r>
      <w:r w:rsidR="00ED5018">
        <w:rPr>
          <w:rFonts w:eastAsia="Times New Roman"/>
        </w:rPr>
        <w:t>,</w:t>
      </w:r>
      <w:r w:rsidR="00432791">
        <w:rPr>
          <w:rFonts w:eastAsia="Times New Roman"/>
        </w:rPr>
        <w:t xml:space="preserve"> if management </w:t>
      </w:r>
      <w:r w:rsidR="00D30130">
        <w:rPr>
          <w:rFonts w:eastAsia="Times New Roman"/>
        </w:rPr>
        <w:t xml:space="preserve">is </w:t>
      </w:r>
      <w:r w:rsidR="00432791">
        <w:rPr>
          <w:rFonts w:eastAsia="Times New Roman"/>
        </w:rPr>
        <w:t xml:space="preserve">able to present other evidence to justify why the particular index is not an appropriate measurement basis, </w:t>
      </w:r>
      <w:r w:rsidR="00380A7F">
        <w:rPr>
          <w:rFonts w:eastAsia="Times New Roman"/>
        </w:rPr>
        <w:t xml:space="preserve">then </w:t>
      </w:r>
      <w:r w:rsidR="00432791">
        <w:rPr>
          <w:rFonts w:eastAsia="Times New Roman"/>
        </w:rPr>
        <w:t xml:space="preserve">that is acceptable, </w:t>
      </w:r>
      <w:r w:rsidR="007253E4">
        <w:rPr>
          <w:rFonts w:eastAsia="Times New Roman"/>
        </w:rPr>
        <w:t xml:space="preserve">but </w:t>
      </w:r>
      <w:r w:rsidR="00432791">
        <w:rPr>
          <w:rFonts w:eastAsia="Times New Roman"/>
        </w:rPr>
        <w:t>the evidence will need to be agreed with your audit team.</w:t>
      </w:r>
    </w:p>
    <w:p w14:paraId="2A2DB4CC" w14:textId="77777777" w:rsidR="00923519" w:rsidRPr="00141BD5" w:rsidRDefault="00923519" w:rsidP="00FC6550">
      <w:pPr>
        <w:pStyle w:val="Heading2"/>
        <w:rPr>
          <w:rFonts w:eastAsia="Times New Roman"/>
        </w:rPr>
      </w:pPr>
      <w:r w:rsidRPr="00923519">
        <w:rPr>
          <w:rFonts w:eastAsia="Times New Roman"/>
        </w:rPr>
        <w:t>Machinery of government manual</w:t>
      </w:r>
      <w:r w:rsidR="00100CDC">
        <w:rPr>
          <w:rFonts w:eastAsia="Times New Roman"/>
        </w:rPr>
        <w:t xml:space="preserve"> </w:t>
      </w:r>
    </w:p>
    <w:p w14:paraId="25C70BD6" w14:textId="594838AC" w:rsidR="00B71467" w:rsidRPr="00B31BDA" w:rsidRDefault="00923519" w:rsidP="00EF3E32">
      <w:pPr>
        <w:rPr>
          <w:rFonts w:eastAsia="Times New Roman"/>
        </w:rPr>
      </w:pPr>
      <w:r w:rsidRPr="00AF2694">
        <w:rPr>
          <w:rFonts w:eastAsia="Times New Roman"/>
        </w:rPr>
        <w:t xml:space="preserve">The revised </w:t>
      </w:r>
      <w:r w:rsidRPr="00AF2694">
        <w:rPr>
          <w:rFonts w:eastAsia="Times New Roman"/>
          <w:i/>
        </w:rPr>
        <w:t xml:space="preserve">Victorian public sector operating manual on machinery of government changes </w:t>
      </w:r>
      <w:r w:rsidRPr="00AF2694">
        <w:rPr>
          <w:rFonts w:eastAsia="Times New Roman"/>
        </w:rPr>
        <w:t>(M</w:t>
      </w:r>
      <w:r w:rsidR="006D035F">
        <w:rPr>
          <w:rFonts w:eastAsia="Times New Roman"/>
        </w:rPr>
        <w:t>o</w:t>
      </w:r>
      <w:r w:rsidRPr="00AF2694">
        <w:rPr>
          <w:rFonts w:eastAsia="Times New Roman"/>
        </w:rPr>
        <w:t xml:space="preserve">G Manual) </w:t>
      </w:r>
      <w:r w:rsidR="000C3365">
        <w:rPr>
          <w:rFonts w:eastAsia="Times New Roman"/>
        </w:rPr>
        <w:t>was</w:t>
      </w:r>
      <w:r w:rsidRPr="00AF2694">
        <w:rPr>
          <w:rFonts w:eastAsia="Times New Roman"/>
        </w:rPr>
        <w:t xml:space="preserve"> release</w:t>
      </w:r>
      <w:r w:rsidR="000C3365">
        <w:rPr>
          <w:rFonts w:eastAsia="Times New Roman"/>
        </w:rPr>
        <w:t>d</w:t>
      </w:r>
      <w:r w:rsidRPr="00AF2694">
        <w:rPr>
          <w:rFonts w:eastAsia="Times New Roman"/>
        </w:rPr>
        <w:t xml:space="preserve"> in January 2020</w:t>
      </w:r>
      <w:r w:rsidR="000C3365">
        <w:rPr>
          <w:rFonts w:eastAsia="Times New Roman"/>
        </w:rPr>
        <w:t>.</w:t>
      </w:r>
      <w:r w:rsidRPr="00AF2694">
        <w:rPr>
          <w:rFonts w:eastAsia="Times New Roman"/>
        </w:rPr>
        <w:t xml:space="preserve"> </w:t>
      </w:r>
      <w:r w:rsidR="000C3365">
        <w:rPr>
          <w:rFonts w:eastAsia="Times New Roman"/>
        </w:rPr>
        <w:t>I</w:t>
      </w:r>
      <w:r w:rsidRPr="00AF2694">
        <w:rPr>
          <w:rFonts w:eastAsia="Times New Roman"/>
        </w:rPr>
        <w:t>t outlines the agreed framework and protocols for working through M</w:t>
      </w:r>
      <w:r w:rsidR="006D035F">
        <w:rPr>
          <w:rFonts w:eastAsia="Times New Roman"/>
        </w:rPr>
        <w:t>o</w:t>
      </w:r>
      <w:r w:rsidRPr="00AF2694">
        <w:rPr>
          <w:rFonts w:eastAsia="Times New Roman"/>
        </w:rPr>
        <w:t xml:space="preserve">G changes across government. </w:t>
      </w:r>
      <w:r w:rsidR="00C933FA" w:rsidRPr="00AF2694">
        <w:t xml:space="preserve">The updated version is available on the DTF website </w:t>
      </w:r>
      <w:hyperlink r:id="rId30" w:history="1">
        <w:r w:rsidR="00C933FA" w:rsidRPr="007269A0">
          <w:rPr>
            <w:rStyle w:val="Hyperlink"/>
          </w:rPr>
          <w:t>https://www.dtf.vic.gov.au/financial-management-government/machinery-government-changes-vps-operating-manual</w:t>
        </w:r>
      </w:hyperlink>
    </w:p>
    <w:p w14:paraId="11F60218" w14:textId="7607B6EA" w:rsidR="003F11DA" w:rsidRPr="00B71467" w:rsidRDefault="003F11DA" w:rsidP="00EF3E32">
      <w:pPr>
        <w:rPr>
          <w:rFonts w:eastAsia="Times New Roman"/>
        </w:rPr>
      </w:pPr>
      <w:r w:rsidRPr="00AF2694">
        <w:t xml:space="preserve">The </w:t>
      </w:r>
      <w:r w:rsidR="00EF3E32">
        <w:t>M</w:t>
      </w:r>
      <w:r w:rsidR="00D30130">
        <w:t>o</w:t>
      </w:r>
      <w:r w:rsidR="00EF3E32">
        <w:t xml:space="preserve">G Manual </w:t>
      </w:r>
      <w:r w:rsidRPr="00AF2694">
        <w:t>provides a comprehensive source of guidance to assist departments in planning and implementing machinery of government (</w:t>
      </w:r>
      <w:r w:rsidR="00D30130" w:rsidRPr="00AF2694">
        <w:t>M</w:t>
      </w:r>
      <w:r w:rsidR="00D30130">
        <w:t>o</w:t>
      </w:r>
      <w:r w:rsidR="00D30130" w:rsidRPr="00AF2694">
        <w:t>G</w:t>
      </w:r>
      <w:r w:rsidRPr="00AF2694">
        <w:t xml:space="preserve">) changes. The guide was updated to include departmental and central agency feedback following the implementation of the </w:t>
      </w:r>
      <w:r w:rsidR="00EF3E32" w:rsidRPr="00AF2694">
        <w:t xml:space="preserve">machinery of government </w:t>
      </w:r>
      <w:r w:rsidRPr="00AF2694">
        <w:t xml:space="preserve">changes announced by the Premier in November 2018. </w:t>
      </w:r>
    </w:p>
    <w:p w14:paraId="25BB01DA" w14:textId="57FD8BBD" w:rsidR="003F11DA" w:rsidRPr="0075117E" w:rsidRDefault="003F11DA" w:rsidP="0075117E">
      <w:pPr>
        <w:keepNext/>
        <w:spacing w:before="200" w:after="0"/>
        <w:outlineLvl w:val="3"/>
        <w:rPr>
          <w:rFonts w:ascii="Arial" w:eastAsia="Times New Roman" w:hAnsi="Arial" w:cs="Arial"/>
          <w:i/>
          <w:color w:val="53565A"/>
          <w:szCs w:val="18"/>
        </w:rPr>
      </w:pPr>
      <w:r w:rsidRPr="0075117E">
        <w:rPr>
          <w:rFonts w:ascii="Arial" w:eastAsia="Times New Roman" w:hAnsi="Arial" w:cs="Arial"/>
          <w:b/>
          <w:bCs/>
          <w:i/>
          <w:color w:val="53565A"/>
          <w:szCs w:val="18"/>
        </w:rPr>
        <w:t xml:space="preserve">Key updates to the </w:t>
      </w:r>
      <w:r w:rsidR="00D30130" w:rsidRPr="0075117E">
        <w:rPr>
          <w:rFonts w:ascii="Arial" w:eastAsia="Times New Roman" w:hAnsi="Arial" w:cs="Arial"/>
          <w:b/>
          <w:bCs/>
          <w:i/>
          <w:color w:val="53565A"/>
          <w:szCs w:val="18"/>
        </w:rPr>
        <w:t xml:space="preserve">MoG </w:t>
      </w:r>
      <w:r w:rsidRPr="0075117E">
        <w:rPr>
          <w:rFonts w:ascii="Arial" w:eastAsia="Times New Roman" w:hAnsi="Arial" w:cs="Arial"/>
          <w:b/>
          <w:bCs/>
          <w:i/>
          <w:color w:val="53565A"/>
          <w:szCs w:val="18"/>
        </w:rPr>
        <w:t>Manual</w:t>
      </w:r>
    </w:p>
    <w:p w14:paraId="1242C557" w14:textId="14FA4411"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 xml:space="preserve">Update </w:t>
      </w:r>
      <w:r w:rsidR="00F45654">
        <w:rPr>
          <w:rFonts w:ascii="Arial" w:hAnsi="Arial" w:cs="Arial"/>
          <w:szCs w:val="18"/>
        </w:rPr>
        <w:t>of</w:t>
      </w:r>
      <w:r w:rsidR="00F45654" w:rsidRPr="000C3365">
        <w:rPr>
          <w:rFonts w:ascii="Arial" w:hAnsi="Arial" w:cs="Arial"/>
          <w:szCs w:val="18"/>
        </w:rPr>
        <w:t xml:space="preserve"> </w:t>
      </w:r>
      <w:r w:rsidRPr="000C3365">
        <w:rPr>
          <w:rFonts w:ascii="Arial" w:hAnsi="Arial" w:cs="Arial"/>
          <w:szCs w:val="18"/>
        </w:rPr>
        <w:t xml:space="preserve">references to last round of </w:t>
      </w:r>
      <w:r w:rsidR="00D30130" w:rsidRPr="000C3365">
        <w:rPr>
          <w:rFonts w:ascii="Arial" w:hAnsi="Arial" w:cs="Arial"/>
          <w:szCs w:val="18"/>
        </w:rPr>
        <w:t>M</w:t>
      </w:r>
      <w:r w:rsidR="00D30130">
        <w:rPr>
          <w:rFonts w:ascii="Arial" w:hAnsi="Arial" w:cs="Arial"/>
          <w:szCs w:val="18"/>
        </w:rPr>
        <w:t>o</w:t>
      </w:r>
      <w:r w:rsidR="00D30130" w:rsidRPr="000C3365">
        <w:rPr>
          <w:rFonts w:ascii="Arial" w:hAnsi="Arial" w:cs="Arial"/>
          <w:szCs w:val="18"/>
        </w:rPr>
        <w:t xml:space="preserve">G </w:t>
      </w:r>
      <w:r w:rsidRPr="000C3365">
        <w:rPr>
          <w:rFonts w:ascii="Arial" w:hAnsi="Arial" w:cs="Arial"/>
          <w:szCs w:val="18"/>
        </w:rPr>
        <w:t>w</w:t>
      </w:r>
      <w:r w:rsidR="00287C2E" w:rsidRPr="000C3365">
        <w:rPr>
          <w:rFonts w:ascii="Arial" w:hAnsi="Arial" w:cs="Arial"/>
          <w:szCs w:val="18"/>
        </w:rPr>
        <w:t>h</w:t>
      </w:r>
      <w:r w:rsidRPr="000C3365">
        <w:rPr>
          <w:rFonts w:ascii="Arial" w:hAnsi="Arial" w:cs="Arial"/>
          <w:szCs w:val="18"/>
        </w:rPr>
        <w:t>ere relevant e.g. PAA Orders, AAA Orders, Appropriation</w:t>
      </w:r>
      <w:r w:rsidR="004F25BD">
        <w:rPr>
          <w:rFonts w:ascii="Arial" w:hAnsi="Arial" w:cs="Arial"/>
          <w:szCs w:val="18"/>
        </w:rPr>
        <w:t> </w:t>
      </w:r>
      <w:r w:rsidRPr="000C3365">
        <w:rPr>
          <w:rFonts w:ascii="Arial" w:hAnsi="Arial" w:cs="Arial"/>
          <w:szCs w:val="18"/>
        </w:rPr>
        <w:t>Bill, et</w:t>
      </w:r>
      <w:r w:rsidR="00B71467" w:rsidRPr="000C3365">
        <w:rPr>
          <w:rFonts w:ascii="Arial" w:hAnsi="Arial" w:cs="Arial"/>
          <w:szCs w:val="18"/>
        </w:rPr>
        <w:t>c.</w:t>
      </w:r>
    </w:p>
    <w:p w14:paraId="2699567A" w14:textId="3A7D76D5"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Include</w:t>
      </w:r>
      <w:r w:rsidR="000C3365" w:rsidRPr="000C3365">
        <w:rPr>
          <w:rFonts w:ascii="Arial" w:hAnsi="Arial" w:cs="Arial"/>
          <w:szCs w:val="18"/>
        </w:rPr>
        <w:t>s</w:t>
      </w:r>
      <w:r w:rsidRPr="000C3365">
        <w:rPr>
          <w:rFonts w:ascii="Arial" w:hAnsi="Arial" w:cs="Arial"/>
          <w:szCs w:val="18"/>
        </w:rPr>
        <w:t xml:space="preserve"> requirement for departments to provide DPC with a copy of any Section 28 Transfers made</w:t>
      </w:r>
      <w:r w:rsidR="004F25BD">
        <w:rPr>
          <w:rFonts w:ascii="Arial" w:hAnsi="Arial" w:cs="Arial"/>
          <w:szCs w:val="18"/>
        </w:rPr>
        <w:t>.</w:t>
      </w:r>
    </w:p>
    <w:p w14:paraId="63973ED0" w14:textId="1DE93603"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Include</w:t>
      </w:r>
      <w:r w:rsidR="000C3365" w:rsidRPr="000C3365">
        <w:rPr>
          <w:rFonts w:ascii="Arial" w:hAnsi="Arial" w:cs="Arial"/>
          <w:szCs w:val="18"/>
        </w:rPr>
        <w:t>s</w:t>
      </w:r>
      <w:r w:rsidRPr="000C3365">
        <w:rPr>
          <w:rFonts w:ascii="Arial" w:hAnsi="Arial" w:cs="Arial"/>
          <w:szCs w:val="18"/>
        </w:rPr>
        <w:t xml:space="preserve"> a requirement for DTF to consult with departments to discuss impacts including resourcing, timelines and other issues that could affect the delivery of the </w:t>
      </w:r>
      <w:r w:rsidR="00D30130" w:rsidRPr="000C3365">
        <w:rPr>
          <w:rFonts w:ascii="Arial" w:hAnsi="Arial" w:cs="Arial"/>
          <w:szCs w:val="18"/>
        </w:rPr>
        <w:t>M</w:t>
      </w:r>
      <w:r w:rsidR="00D30130">
        <w:rPr>
          <w:rFonts w:ascii="Arial" w:hAnsi="Arial" w:cs="Arial"/>
          <w:szCs w:val="18"/>
        </w:rPr>
        <w:t>o</w:t>
      </w:r>
      <w:r w:rsidR="00D30130" w:rsidRPr="000C3365">
        <w:rPr>
          <w:rFonts w:ascii="Arial" w:hAnsi="Arial" w:cs="Arial"/>
          <w:szCs w:val="18"/>
        </w:rPr>
        <w:t xml:space="preserve">G </w:t>
      </w:r>
      <w:r w:rsidRPr="000C3365">
        <w:rPr>
          <w:rFonts w:ascii="Arial" w:hAnsi="Arial" w:cs="Arial"/>
          <w:szCs w:val="18"/>
        </w:rPr>
        <w:t>prior to issuing timelines.</w:t>
      </w:r>
    </w:p>
    <w:p w14:paraId="3C51B01E" w14:textId="77777777"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Departments to consider appointing an independent third party to be a sounding board as part of negotiations. DTF/DPC may nominate someone to assist with the negotiation process if there are delays.</w:t>
      </w:r>
    </w:p>
    <w:p w14:paraId="24DE40B9" w14:textId="2B4FE441"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 xml:space="preserve">If one of the central agencies is a party to </w:t>
      </w:r>
      <w:r w:rsidR="000C3365" w:rsidRPr="000C3365">
        <w:rPr>
          <w:rFonts w:ascii="Arial" w:hAnsi="Arial" w:cs="Arial"/>
          <w:szCs w:val="18"/>
        </w:rPr>
        <w:t xml:space="preserve">an </w:t>
      </w:r>
      <w:r w:rsidRPr="000C3365">
        <w:rPr>
          <w:rFonts w:ascii="Arial" w:hAnsi="Arial" w:cs="Arial"/>
          <w:szCs w:val="18"/>
        </w:rPr>
        <w:t>arbitration, the other</w:t>
      </w:r>
      <w:r w:rsidR="000C3365" w:rsidRPr="000C3365">
        <w:rPr>
          <w:rFonts w:ascii="Arial" w:hAnsi="Arial" w:cs="Arial"/>
          <w:szCs w:val="18"/>
        </w:rPr>
        <w:t xml:space="preserve"> </w:t>
      </w:r>
      <w:r w:rsidR="00F45654">
        <w:rPr>
          <w:rFonts w:ascii="Arial" w:hAnsi="Arial" w:cs="Arial"/>
          <w:szCs w:val="18"/>
        </w:rPr>
        <w:t>central agency</w:t>
      </w:r>
      <w:r w:rsidR="00F45654" w:rsidRPr="000C3365">
        <w:rPr>
          <w:rFonts w:ascii="Arial" w:hAnsi="Arial" w:cs="Arial"/>
          <w:szCs w:val="18"/>
        </w:rPr>
        <w:t xml:space="preserve"> </w:t>
      </w:r>
      <w:r w:rsidRPr="000C3365">
        <w:rPr>
          <w:rFonts w:ascii="Arial" w:hAnsi="Arial" w:cs="Arial"/>
          <w:szCs w:val="18"/>
        </w:rPr>
        <w:t>would drive the arbitration process.</w:t>
      </w:r>
    </w:p>
    <w:p w14:paraId="7D65BA2B" w14:textId="77777777"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Secretaries to trigger arbitration in writing.</w:t>
      </w:r>
    </w:p>
    <w:p w14:paraId="42A3EFF8" w14:textId="32F46E27"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A separate Sample</w:t>
      </w:r>
      <w:r w:rsidR="000C3365" w:rsidRPr="000C3365">
        <w:rPr>
          <w:rFonts w:ascii="Arial" w:hAnsi="Arial" w:cs="Arial"/>
          <w:szCs w:val="18"/>
        </w:rPr>
        <w:t xml:space="preserve"> </w:t>
      </w:r>
      <w:r w:rsidRPr="000C3365">
        <w:rPr>
          <w:rFonts w:ascii="Arial" w:hAnsi="Arial" w:cs="Arial"/>
          <w:szCs w:val="18"/>
        </w:rPr>
        <w:t xml:space="preserve">MOU will be uploaded on the DTF website based on what </w:t>
      </w:r>
      <w:r w:rsidR="00F45654">
        <w:rPr>
          <w:rFonts w:ascii="Arial" w:hAnsi="Arial" w:cs="Arial"/>
          <w:szCs w:val="18"/>
        </w:rPr>
        <w:t>is</w:t>
      </w:r>
      <w:r w:rsidR="00F45654" w:rsidRPr="000C3365">
        <w:rPr>
          <w:rFonts w:ascii="Arial" w:hAnsi="Arial" w:cs="Arial"/>
          <w:szCs w:val="18"/>
        </w:rPr>
        <w:t xml:space="preserve"> </w:t>
      </w:r>
      <w:r w:rsidRPr="000C3365">
        <w:rPr>
          <w:rFonts w:ascii="Arial" w:hAnsi="Arial" w:cs="Arial"/>
          <w:szCs w:val="18"/>
        </w:rPr>
        <w:t>considered to be the best example from the recent round.</w:t>
      </w:r>
    </w:p>
    <w:p w14:paraId="2639C9BF" w14:textId="639DC594"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Include</w:t>
      </w:r>
      <w:r w:rsidR="000C3365" w:rsidRPr="000C3365">
        <w:rPr>
          <w:rFonts w:ascii="Arial" w:hAnsi="Arial" w:cs="Arial"/>
          <w:szCs w:val="18"/>
        </w:rPr>
        <w:t xml:space="preserve">s </w:t>
      </w:r>
      <w:r w:rsidRPr="000C3365">
        <w:rPr>
          <w:rFonts w:ascii="Arial" w:hAnsi="Arial" w:cs="Arial"/>
          <w:szCs w:val="18"/>
        </w:rPr>
        <w:t>specific guidance on year</w:t>
      </w:r>
      <w:r w:rsidR="00A57DA8">
        <w:rPr>
          <w:rFonts w:ascii="Arial" w:hAnsi="Arial" w:cs="Arial"/>
          <w:szCs w:val="18"/>
        </w:rPr>
        <w:t>-</w:t>
      </w:r>
      <w:r w:rsidRPr="000C3365">
        <w:rPr>
          <w:rFonts w:ascii="Arial" w:hAnsi="Arial" w:cs="Arial"/>
          <w:szCs w:val="18"/>
        </w:rPr>
        <w:t>end processes when part</w:t>
      </w:r>
      <w:r w:rsidR="00A57DA8">
        <w:rPr>
          <w:rFonts w:ascii="Arial" w:hAnsi="Arial" w:cs="Arial"/>
          <w:szCs w:val="18"/>
        </w:rPr>
        <w:t>-</w:t>
      </w:r>
      <w:r w:rsidRPr="000C3365">
        <w:rPr>
          <w:rFonts w:ascii="Arial" w:hAnsi="Arial" w:cs="Arial"/>
          <w:szCs w:val="18"/>
        </w:rPr>
        <w:t>year M</w:t>
      </w:r>
      <w:r w:rsidR="00A57DA8">
        <w:rPr>
          <w:rFonts w:ascii="Arial" w:hAnsi="Arial" w:cs="Arial"/>
          <w:szCs w:val="18"/>
        </w:rPr>
        <w:t>o</w:t>
      </w:r>
      <w:r w:rsidRPr="000C3365">
        <w:rPr>
          <w:rFonts w:ascii="Arial" w:hAnsi="Arial" w:cs="Arial"/>
          <w:szCs w:val="18"/>
        </w:rPr>
        <w:t>Gs have occurred, based on experience to date.</w:t>
      </w:r>
    </w:p>
    <w:p w14:paraId="43D4F4C5" w14:textId="6091953E" w:rsidR="003F11DA" w:rsidRPr="000C3365" w:rsidRDefault="003F11DA" w:rsidP="000C3365">
      <w:pPr>
        <w:pStyle w:val="ListParagraph"/>
        <w:numPr>
          <w:ilvl w:val="0"/>
          <w:numId w:val="41"/>
        </w:numPr>
        <w:rPr>
          <w:rFonts w:ascii="Arial" w:hAnsi="Arial" w:cs="Arial"/>
          <w:szCs w:val="18"/>
        </w:rPr>
      </w:pPr>
      <w:r w:rsidRPr="000C3365">
        <w:rPr>
          <w:rFonts w:ascii="Arial" w:hAnsi="Arial" w:cs="Arial"/>
          <w:szCs w:val="18"/>
        </w:rPr>
        <w:t>The miscellaneous reference checklist updated for some practical suggestions from departments e.g.</w:t>
      </w:r>
      <w:r w:rsidR="00E41BB2">
        <w:rPr>
          <w:rFonts w:ascii="Arial" w:hAnsi="Arial" w:cs="Arial"/>
          <w:szCs w:val="18"/>
        </w:rPr>
        <w:t> </w:t>
      </w:r>
      <w:r w:rsidRPr="000C3365">
        <w:rPr>
          <w:rFonts w:ascii="Arial" w:hAnsi="Arial" w:cs="Arial"/>
          <w:szCs w:val="18"/>
        </w:rPr>
        <w:t>collect cab charges from department areas, cancel subscription services</w:t>
      </w:r>
      <w:r w:rsidR="000C3365" w:rsidRPr="000C3365">
        <w:rPr>
          <w:rFonts w:ascii="Arial" w:hAnsi="Arial" w:cs="Arial"/>
          <w:szCs w:val="18"/>
        </w:rPr>
        <w:t>.</w:t>
      </w:r>
    </w:p>
    <w:p w14:paraId="5BBF0294" w14:textId="7360B1AD" w:rsidR="00923519" w:rsidRPr="00923519" w:rsidRDefault="00923519" w:rsidP="00EF3E32">
      <w:pPr>
        <w:pStyle w:val="Heading2"/>
        <w:pageBreakBefore/>
        <w:rPr>
          <w:rFonts w:eastAsia="Times New Roman"/>
        </w:rPr>
      </w:pPr>
      <w:bookmarkStart w:id="12" w:name="_Toc424822614"/>
      <w:bookmarkStart w:id="13" w:name="_Toc452724750"/>
      <w:r w:rsidRPr="00923519">
        <w:rPr>
          <w:rFonts w:eastAsia="Times New Roman"/>
        </w:rPr>
        <w:lastRenderedPageBreak/>
        <w:t xml:space="preserve">Financial reporting directions and guidance notes </w:t>
      </w:r>
    </w:p>
    <w:p w14:paraId="49D2DFE0" w14:textId="6D66B412" w:rsidR="00923519" w:rsidRPr="00AF2694" w:rsidRDefault="00923519" w:rsidP="00EF3E32">
      <w:pPr>
        <w:rPr>
          <w:rFonts w:eastAsia="Times New Roman"/>
        </w:rPr>
      </w:pPr>
      <w:r w:rsidRPr="00AF2694">
        <w:rPr>
          <w:rFonts w:eastAsia="Times New Roman"/>
        </w:rPr>
        <w:t xml:space="preserve">The following new FRDs </w:t>
      </w:r>
      <w:r w:rsidR="00203F27" w:rsidRPr="00AF2694">
        <w:rPr>
          <w:rFonts w:eastAsia="Times New Roman"/>
        </w:rPr>
        <w:t>were</w:t>
      </w:r>
      <w:r w:rsidRPr="00AF2694">
        <w:rPr>
          <w:rFonts w:eastAsia="Times New Roman"/>
        </w:rPr>
        <w:t xml:space="preserve"> issued in </w:t>
      </w:r>
      <w:r w:rsidR="00203F27" w:rsidRPr="00AF2694">
        <w:rPr>
          <w:rFonts w:eastAsia="Times New Roman"/>
        </w:rPr>
        <w:t>April</w:t>
      </w:r>
      <w:r w:rsidRPr="00AF2694">
        <w:rPr>
          <w:rFonts w:eastAsia="Times New Roman"/>
        </w:rPr>
        <w:t xml:space="preserve"> prescribing the transition</w:t>
      </w:r>
      <w:r w:rsidR="00287C2E">
        <w:rPr>
          <w:rFonts w:eastAsia="Times New Roman"/>
        </w:rPr>
        <w:t>al</w:t>
      </w:r>
      <w:r w:rsidRPr="00AF2694">
        <w:rPr>
          <w:rFonts w:eastAsia="Times New Roman"/>
        </w:rPr>
        <w:t xml:space="preserve"> requirements on the application of the new accounting standards:</w:t>
      </w:r>
    </w:p>
    <w:p w14:paraId="39E374BC" w14:textId="77777777" w:rsidR="00923519" w:rsidRPr="00AF2694" w:rsidRDefault="00923519" w:rsidP="00B77C43">
      <w:pPr>
        <w:pStyle w:val="ListParagraph"/>
        <w:numPr>
          <w:ilvl w:val="0"/>
          <w:numId w:val="29"/>
        </w:numPr>
        <w:spacing w:before="100" w:line="252" w:lineRule="auto"/>
        <w:rPr>
          <w:rFonts w:ascii="Arial" w:eastAsia="Times New Roman" w:hAnsi="Arial" w:cs="Arial"/>
          <w:szCs w:val="18"/>
        </w:rPr>
      </w:pPr>
      <w:r w:rsidRPr="00AF2694">
        <w:rPr>
          <w:rFonts w:ascii="Arial" w:eastAsia="Times New Roman" w:hAnsi="Arial" w:cs="Arial"/>
          <w:szCs w:val="18"/>
        </w:rPr>
        <w:t xml:space="preserve">FRD 121 </w:t>
      </w:r>
      <w:r w:rsidRPr="00AF2694">
        <w:rPr>
          <w:rFonts w:ascii="Arial" w:eastAsia="Times New Roman" w:hAnsi="Arial" w:cs="Arial"/>
          <w:i/>
          <w:iCs/>
          <w:szCs w:val="18"/>
        </w:rPr>
        <w:t>Transitional requirements on the application of AASB 15 Revenue from Contracts with Customers</w:t>
      </w:r>
      <w:r w:rsidRPr="00AF2694">
        <w:rPr>
          <w:rFonts w:ascii="Arial" w:eastAsia="Times New Roman" w:hAnsi="Arial" w:cs="Arial"/>
          <w:szCs w:val="18"/>
        </w:rPr>
        <w:t>;</w:t>
      </w:r>
    </w:p>
    <w:p w14:paraId="66021A66" w14:textId="77777777" w:rsidR="00923519" w:rsidRPr="00AF2694" w:rsidRDefault="00923519" w:rsidP="00B77C43">
      <w:pPr>
        <w:pStyle w:val="ListParagraph"/>
        <w:numPr>
          <w:ilvl w:val="0"/>
          <w:numId w:val="29"/>
        </w:numPr>
        <w:spacing w:before="100" w:line="252" w:lineRule="auto"/>
        <w:rPr>
          <w:rFonts w:ascii="Arial" w:eastAsia="Times New Roman" w:hAnsi="Arial" w:cs="Arial"/>
          <w:szCs w:val="18"/>
        </w:rPr>
      </w:pPr>
      <w:r w:rsidRPr="00AF2694">
        <w:rPr>
          <w:rFonts w:ascii="Arial" w:eastAsia="Times New Roman" w:hAnsi="Arial" w:cs="Arial"/>
          <w:szCs w:val="18"/>
        </w:rPr>
        <w:t xml:space="preserve">FRD 122 </w:t>
      </w:r>
      <w:r w:rsidRPr="00AF2694">
        <w:rPr>
          <w:rFonts w:ascii="Arial" w:eastAsia="Times New Roman" w:hAnsi="Arial" w:cs="Arial"/>
          <w:i/>
          <w:iCs/>
          <w:szCs w:val="18"/>
        </w:rPr>
        <w:t>Transitional requirements on the application of AASB 1058 Income of Not-for-Profit Entities</w:t>
      </w:r>
      <w:r w:rsidRPr="00AF2694">
        <w:rPr>
          <w:rFonts w:ascii="Arial" w:eastAsia="Times New Roman" w:hAnsi="Arial" w:cs="Arial"/>
          <w:szCs w:val="18"/>
        </w:rPr>
        <w:t>;</w:t>
      </w:r>
    </w:p>
    <w:p w14:paraId="79BBAD8B" w14:textId="77777777" w:rsidR="00923519" w:rsidRPr="00AF2694" w:rsidRDefault="00923519" w:rsidP="00B77C43">
      <w:pPr>
        <w:pStyle w:val="ListParagraph"/>
        <w:numPr>
          <w:ilvl w:val="0"/>
          <w:numId w:val="29"/>
        </w:numPr>
        <w:spacing w:before="100" w:line="252" w:lineRule="auto"/>
        <w:rPr>
          <w:rFonts w:ascii="Arial" w:eastAsia="Times New Roman" w:hAnsi="Arial" w:cs="Arial"/>
          <w:szCs w:val="18"/>
        </w:rPr>
      </w:pPr>
      <w:r w:rsidRPr="00AF2694">
        <w:rPr>
          <w:rFonts w:ascii="Arial" w:eastAsia="Times New Roman" w:hAnsi="Arial" w:cs="Arial"/>
          <w:szCs w:val="18"/>
        </w:rPr>
        <w:t xml:space="preserve">FRD 123 </w:t>
      </w:r>
      <w:r w:rsidRPr="00AF2694">
        <w:rPr>
          <w:rFonts w:ascii="Arial" w:eastAsia="Times New Roman" w:hAnsi="Arial" w:cs="Arial"/>
          <w:i/>
          <w:iCs/>
          <w:szCs w:val="18"/>
        </w:rPr>
        <w:t>Transitional requirements on the application of AASB 16 Leases</w:t>
      </w:r>
      <w:r w:rsidRPr="00AF2694">
        <w:rPr>
          <w:rFonts w:ascii="Arial" w:eastAsia="Times New Roman" w:hAnsi="Arial" w:cs="Arial"/>
          <w:szCs w:val="18"/>
        </w:rPr>
        <w:t xml:space="preserve">; and </w:t>
      </w:r>
    </w:p>
    <w:p w14:paraId="2FFD9C51" w14:textId="7BCC3A0F" w:rsidR="00923519" w:rsidRPr="00AF2694" w:rsidRDefault="00923519" w:rsidP="00B77C43">
      <w:pPr>
        <w:pStyle w:val="ListParagraph"/>
        <w:numPr>
          <w:ilvl w:val="0"/>
          <w:numId w:val="29"/>
        </w:numPr>
        <w:spacing w:before="100" w:line="252" w:lineRule="auto"/>
        <w:rPr>
          <w:rFonts w:ascii="Arial" w:eastAsia="Times New Roman" w:hAnsi="Arial" w:cs="Arial"/>
          <w:szCs w:val="18"/>
        </w:rPr>
      </w:pPr>
      <w:r w:rsidRPr="00AF2694">
        <w:rPr>
          <w:rFonts w:ascii="Arial" w:eastAsia="Times New Roman" w:hAnsi="Arial" w:cs="Arial"/>
          <w:szCs w:val="18"/>
        </w:rPr>
        <w:t xml:space="preserve">FRD 124 </w:t>
      </w:r>
      <w:r w:rsidRPr="00AF2694">
        <w:rPr>
          <w:rFonts w:ascii="Arial" w:eastAsia="Times New Roman" w:hAnsi="Arial" w:cs="Arial"/>
          <w:i/>
          <w:iCs/>
          <w:szCs w:val="18"/>
        </w:rPr>
        <w:t>Transitional requirements on the application of AASB 1059 Service Concession Arrangements: Grantors</w:t>
      </w:r>
      <w:r w:rsidRPr="00AF2694">
        <w:rPr>
          <w:rFonts w:ascii="Arial" w:eastAsia="Times New Roman" w:hAnsi="Arial" w:cs="Arial"/>
          <w:szCs w:val="18"/>
        </w:rPr>
        <w:t>.</w:t>
      </w:r>
      <w:r w:rsidR="0020509D" w:rsidRPr="00AF2694">
        <w:rPr>
          <w:rFonts w:ascii="Arial" w:eastAsia="Times New Roman" w:hAnsi="Arial" w:cs="Arial"/>
          <w:szCs w:val="18"/>
        </w:rPr>
        <w:t xml:space="preserve"> This was </w:t>
      </w:r>
      <w:r w:rsidR="001C3A7A" w:rsidRPr="00AF2694">
        <w:rPr>
          <w:rFonts w:ascii="Arial" w:eastAsia="Times New Roman" w:hAnsi="Arial" w:cs="Arial"/>
          <w:szCs w:val="18"/>
        </w:rPr>
        <w:t>reissued</w:t>
      </w:r>
      <w:r w:rsidR="0020509D" w:rsidRPr="00AF2694">
        <w:rPr>
          <w:rFonts w:ascii="Arial" w:eastAsia="Times New Roman" w:hAnsi="Arial" w:cs="Arial"/>
          <w:szCs w:val="18"/>
        </w:rPr>
        <w:t xml:space="preserve"> in June to clarify that service concession intangible assets shall be subsequently measured applying the revaluation model. FRD 109A </w:t>
      </w:r>
      <w:r w:rsidR="0020509D" w:rsidRPr="00AF2694">
        <w:rPr>
          <w:rFonts w:ascii="Arial" w:eastAsia="Times New Roman" w:hAnsi="Arial" w:cs="Arial"/>
          <w:i/>
          <w:iCs/>
          <w:szCs w:val="18"/>
        </w:rPr>
        <w:t xml:space="preserve">Intangible Assets </w:t>
      </w:r>
      <w:r w:rsidR="00540065" w:rsidRPr="00AF2694">
        <w:rPr>
          <w:rFonts w:ascii="Arial" w:eastAsia="Times New Roman" w:hAnsi="Arial" w:cs="Arial"/>
          <w:szCs w:val="18"/>
        </w:rPr>
        <w:t>was also</w:t>
      </w:r>
      <w:r w:rsidR="0020509D" w:rsidRPr="00AF2694">
        <w:rPr>
          <w:rFonts w:ascii="Arial" w:eastAsia="Times New Roman" w:hAnsi="Arial" w:cs="Arial"/>
          <w:szCs w:val="18"/>
        </w:rPr>
        <w:t xml:space="preserve"> </w:t>
      </w:r>
      <w:r w:rsidR="001C3A7A" w:rsidRPr="00AF2694">
        <w:rPr>
          <w:rFonts w:ascii="Arial" w:eastAsia="Times New Roman" w:hAnsi="Arial" w:cs="Arial"/>
          <w:szCs w:val="18"/>
        </w:rPr>
        <w:t>reissued</w:t>
      </w:r>
      <w:r w:rsidR="00540065" w:rsidRPr="00AF2694">
        <w:rPr>
          <w:rFonts w:ascii="Arial" w:eastAsia="Times New Roman" w:hAnsi="Arial" w:cs="Arial"/>
          <w:szCs w:val="18"/>
        </w:rPr>
        <w:t xml:space="preserve"> in June</w:t>
      </w:r>
      <w:r w:rsidR="001C3A7A" w:rsidRPr="00AF2694">
        <w:rPr>
          <w:rFonts w:ascii="Arial" w:eastAsia="Times New Roman" w:hAnsi="Arial" w:cs="Arial"/>
          <w:szCs w:val="18"/>
        </w:rPr>
        <w:t xml:space="preserve"> to clarify this</w:t>
      </w:r>
      <w:r w:rsidR="0020509D" w:rsidRPr="00AF2694">
        <w:rPr>
          <w:rFonts w:ascii="Arial" w:eastAsia="Times New Roman" w:hAnsi="Arial" w:cs="Arial"/>
          <w:szCs w:val="18"/>
        </w:rPr>
        <w:t>.</w:t>
      </w:r>
    </w:p>
    <w:p w14:paraId="0B7206BA" w14:textId="2BF37B93" w:rsidR="00203F27" w:rsidRPr="00AF2694" w:rsidRDefault="00923519" w:rsidP="00672EAC">
      <w:pPr>
        <w:rPr>
          <w:rFonts w:eastAsia="Times New Roman"/>
        </w:rPr>
      </w:pPr>
      <w:r w:rsidRPr="00AF2694">
        <w:rPr>
          <w:rFonts w:eastAsia="Times New Roman"/>
        </w:rPr>
        <w:t>The transitional elections are all consistent with the elections communicated as part of the</w:t>
      </w:r>
      <w:r w:rsidR="004E3247">
        <w:rPr>
          <w:rFonts w:eastAsia="Times New Roman"/>
        </w:rPr>
        <w:t xml:space="preserve"> 2019</w:t>
      </w:r>
      <w:r w:rsidR="00672EAC">
        <w:rPr>
          <w:rFonts w:eastAsia="Times New Roman"/>
        </w:rPr>
        <w:t>-</w:t>
      </w:r>
      <w:r w:rsidR="004E3247">
        <w:rPr>
          <w:rFonts w:eastAsia="Times New Roman"/>
        </w:rPr>
        <w:t>20</w:t>
      </w:r>
      <w:r w:rsidRPr="00EF3E32">
        <w:rPr>
          <w:rFonts w:eastAsia="Times New Roman"/>
          <w:i/>
          <w:iCs/>
        </w:rPr>
        <w:t xml:space="preserve"> </w:t>
      </w:r>
      <w:r w:rsidR="00672EAC" w:rsidRPr="007269A0">
        <w:rPr>
          <w:rFonts w:eastAsia="Times New Roman"/>
        </w:rPr>
        <w:t>budget</w:t>
      </w:r>
      <w:r w:rsidR="00672EAC" w:rsidRPr="00AF2694">
        <w:rPr>
          <w:rFonts w:eastAsia="Times New Roman"/>
        </w:rPr>
        <w:t xml:space="preserve"> </w:t>
      </w:r>
      <w:r w:rsidRPr="00AF2694">
        <w:rPr>
          <w:rFonts w:eastAsia="Times New Roman"/>
        </w:rPr>
        <w:t xml:space="preserve">process. </w:t>
      </w:r>
    </w:p>
    <w:p w14:paraId="2F629BC7" w14:textId="2ACC4CEC" w:rsidR="00923519" w:rsidRPr="00AF2694" w:rsidRDefault="00923519" w:rsidP="00672EAC">
      <w:pPr>
        <w:rPr>
          <w:rFonts w:eastAsia="Times New Roman"/>
        </w:rPr>
      </w:pPr>
      <w:r w:rsidRPr="00AF2694">
        <w:rPr>
          <w:rFonts w:eastAsia="Times New Roman"/>
        </w:rPr>
        <w:t>The Accounting Standards Checklists</w:t>
      </w:r>
      <w:r w:rsidR="00203F27" w:rsidRPr="00AF2694">
        <w:rPr>
          <w:rFonts w:eastAsia="Times New Roman"/>
        </w:rPr>
        <w:t xml:space="preserve"> for the</w:t>
      </w:r>
      <w:r w:rsidR="001C3A7A" w:rsidRPr="00AF2694">
        <w:rPr>
          <w:rFonts w:eastAsia="Times New Roman"/>
        </w:rPr>
        <w:t>se standards</w:t>
      </w:r>
      <w:r w:rsidR="00B77C43" w:rsidRPr="00AF2694">
        <w:rPr>
          <w:rFonts w:eastAsia="Times New Roman"/>
        </w:rPr>
        <w:t xml:space="preserve"> </w:t>
      </w:r>
      <w:r w:rsidRPr="00AF2694">
        <w:rPr>
          <w:rFonts w:eastAsia="Times New Roman"/>
        </w:rPr>
        <w:t xml:space="preserve">are available on the DTF website at: </w:t>
      </w:r>
      <w:hyperlink r:id="rId31" w:history="1">
        <w:r w:rsidRPr="00AF2694">
          <w:rPr>
            <w:rFonts w:eastAsia="Times New Roman"/>
            <w:color w:val="53565A"/>
          </w:rPr>
          <w:t>https://www.dtf.vic.gov.au/financial-reporting-policy/accounting-standards-checklists</w:t>
        </w:r>
      </w:hyperlink>
      <w:r w:rsidRPr="00AF2694">
        <w:rPr>
          <w:rFonts w:eastAsia="Times New Roman"/>
        </w:rPr>
        <w:t>.</w:t>
      </w:r>
    </w:p>
    <w:p w14:paraId="74FEFEA7" w14:textId="0E486429" w:rsidR="00923519" w:rsidRPr="0075117E" w:rsidRDefault="00923519" w:rsidP="0075117E">
      <w:pPr>
        <w:keepNext/>
        <w:spacing w:before="200" w:after="0"/>
        <w:outlineLvl w:val="3"/>
        <w:rPr>
          <w:rFonts w:ascii="Arial" w:eastAsia="Times New Roman" w:hAnsi="Arial" w:cs="Arial"/>
          <w:i/>
          <w:color w:val="53565A"/>
          <w:szCs w:val="18"/>
        </w:rPr>
      </w:pPr>
      <w:r w:rsidRPr="0075117E">
        <w:rPr>
          <w:rFonts w:ascii="Arial" w:eastAsia="Times New Roman" w:hAnsi="Arial" w:cs="Arial"/>
          <w:b/>
          <w:bCs/>
          <w:i/>
          <w:color w:val="53565A"/>
          <w:szCs w:val="18"/>
        </w:rPr>
        <w:t>FRD 103H Non-financial physical assets</w:t>
      </w:r>
      <w:r w:rsidR="00F109E1" w:rsidRPr="0075117E">
        <w:rPr>
          <w:rFonts w:ascii="Arial" w:eastAsia="Times New Roman" w:hAnsi="Arial" w:cs="Arial"/>
          <w:b/>
          <w:bCs/>
          <w:i/>
          <w:color w:val="53565A"/>
          <w:szCs w:val="18"/>
        </w:rPr>
        <w:t xml:space="preserve"> </w:t>
      </w:r>
    </w:p>
    <w:p w14:paraId="757C32F1" w14:textId="77777777" w:rsidR="00923519" w:rsidRPr="00AF2694" w:rsidRDefault="00923519" w:rsidP="00923519">
      <w:pPr>
        <w:spacing w:before="120" w:after="120"/>
        <w:rPr>
          <w:rFonts w:ascii="Arial" w:eastAsia="Times New Roman" w:hAnsi="Arial" w:cs="Arial"/>
          <w:szCs w:val="18"/>
        </w:rPr>
      </w:pPr>
      <w:r w:rsidRPr="00AF2694">
        <w:rPr>
          <w:rFonts w:ascii="Arial" w:eastAsia="Times New Roman" w:hAnsi="Arial" w:cs="Arial"/>
          <w:szCs w:val="18"/>
        </w:rPr>
        <w:t>Minor editorial amendments have been made to FRD 103H. These include:</w:t>
      </w:r>
    </w:p>
    <w:p w14:paraId="38BB4582" w14:textId="3985101A" w:rsidR="00923519" w:rsidRPr="00AF2694" w:rsidRDefault="00923519" w:rsidP="00B77C43">
      <w:pPr>
        <w:pStyle w:val="ListParagraph"/>
        <w:numPr>
          <w:ilvl w:val="0"/>
          <w:numId w:val="30"/>
        </w:numPr>
        <w:spacing w:before="100" w:line="252" w:lineRule="auto"/>
        <w:rPr>
          <w:rFonts w:ascii="Arial" w:eastAsia="Times New Roman" w:hAnsi="Arial" w:cs="Arial"/>
          <w:szCs w:val="18"/>
        </w:rPr>
      </w:pPr>
      <w:bookmarkStart w:id="14" w:name="_Toc29545248"/>
      <w:r w:rsidRPr="00AF2694">
        <w:rPr>
          <w:rFonts w:ascii="Arial" w:eastAsia="Times New Roman" w:hAnsi="Arial" w:cs="Arial"/>
          <w:szCs w:val="18"/>
        </w:rPr>
        <w:t>entities being referenced by their new classifications</w:t>
      </w:r>
      <w:r w:rsidR="004E3247">
        <w:rPr>
          <w:rFonts w:ascii="Arial" w:eastAsia="Times New Roman" w:hAnsi="Arial" w:cs="Arial"/>
          <w:szCs w:val="18"/>
        </w:rPr>
        <w:t>; e</w:t>
      </w:r>
      <w:r w:rsidRPr="00AF2694">
        <w:rPr>
          <w:rFonts w:ascii="Arial" w:eastAsia="Times New Roman" w:hAnsi="Arial" w:cs="Arial"/>
          <w:szCs w:val="18"/>
        </w:rPr>
        <w:t>ntities are now classified by functions of government (COFOG) which have been issued by the ABS;</w:t>
      </w:r>
    </w:p>
    <w:p w14:paraId="03664CBE" w14:textId="55F9CAA4" w:rsidR="00923519" w:rsidRPr="00AF2694" w:rsidRDefault="00923519" w:rsidP="00B77C43">
      <w:pPr>
        <w:pStyle w:val="ListParagraph"/>
        <w:numPr>
          <w:ilvl w:val="0"/>
          <w:numId w:val="30"/>
        </w:numPr>
        <w:spacing w:before="100" w:line="252" w:lineRule="auto"/>
        <w:rPr>
          <w:rFonts w:ascii="Arial" w:eastAsia="Times New Roman" w:hAnsi="Arial" w:cs="Arial"/>
          <w:szCs w:val="18"/>
        </w:rPr>
      </w:pPr>
      <w:r w:rsidRPr="00AF2694">
        <w:rPr>
          <w:rFonts w:ascii="Arial" w:eastAsia="Times New Roman" w:hAnsi="Arial" w:cs="Arial"/>
          <w:szCs w:val="18"/>
        </w:rPr>
        <w:t>an updated schedule of asset revaluations (as from 2019</w:t>
      </w:r>
      <w:r w:rsidR="00C933FA">
        <w:rPr>
          <w:rFonts w:eastAsia="Times New Roman"/>
        </w:rPr>
        <w:t>-</w:t>
      </w:r>
      <w:r w:rsidRPr="00AF2694">
        <w:rPr>
          <w:rFonts w:ascii="Arial" w:eastAsia="Times New Roman" w:hAnsi="Arial" w:cs="Arial"/>
          <w:szCs w:val="18"/>
        </w:rPr>
        <w:t xml:space="preserve">20) following the last machinery of government changes and for consistency with the new COFOG classifications. The schedule has been included in the guidance paper ‘Guidance on the application of FRD 103H </w:t>
      </w:r>
      <w:r w:rsidRPr="00AF2694">
        <w:rPr>
          <w:rFonts w:ascii="Arial" w:eastAsia="Times New Roman" w:hAnsi="Arial" w:cs="Arial"/>
          <w:i/>
          <w:iCs/>
          <w:szCs w:val="18"/>
        </w:rPr>
        <w:t>Non-financial physical assets’</w:t>
      </w:r>
      <w:r w:rsidRPr="00AF2694">
        <w:rPr>
          <w:rFonts w:ascii="Arial" w:eastAsia="Times New Roman" w:hAnsi="Arial" w:cs="Arial"/>
          <w:szCs w:val="18"/>
        </w:rPr>
        <w:t xml:space="preserve">, to provide a reference point on entities revaluation years, and is available on the DTF website </w:t>
      </w:r>
      <w:hyperlink r:id="rId32" w:history="1">
        <w:r w:rsidR="00672EAC" w:rsidRPr="007204AC">
          <w:rPr>
            <w:rStyle w:val="Hyperlink"/>
            <w:rFonts w:ascii="Arial" w:eastAsia="Times New Roman" w:hAnsi="Arial" w:cs="Arial"/>
            <w:szCs w:val="18"/>
          </w:rPr>
          <w:t>https://www.dtf.vic.gov.au/financial-reporting-policy/financial-reporting-directions-and-guidance</w:t>
        </w:r>
      </w:hyperlink>
      <w:r w:rsidRPr="00AF2694">
        <w:rPr>
          <w:rFonts w:ascii="Arial" w:eastAsia="Times New Roman" w:hAnsi="Arial" w:cs="Arial"/>
          <w:szCs w:val="18"/>
        </w:rPr>
        <w:t>; and</w:t>
      </w:r>
    </w:p>
    <w:p w14:paraId="069AD790" w14:textId="2F77AD0E" w:rsidR="00923519" w:rsidRPr="00AF2694" w:rsidRDefault="0020509D" w:rsidP="0020509D">
      <w:pPr>
        <w:pStyle w:val="ListParagraph"/>
        <w:numPr>
          <w:ilvl w:val="0"/>
          <w:numId w:val="30"/>
        </w:numPr>
        <w:spacing w:before="100" w:line="252" w:lineRule="auto"/>
        <w:rPr>
          <w:rFonts w:ascii="Arial" w:eastAsia="Times New Roman" w:hAnsi="Arial" w:cs="Arial"/>
          <w:szCs w:val="18"/>
        </w:rPr>
      </w:pPr>
      <w:r w:rsidRPr="00AF2694">
        <w:rPr>
          <w:rFonts w:ascii="Arial" w:eastAsia="Times New Roman" w:hAnsi="Arial" w:cs="Arial"/>
          <w:szCs w:val="18"/>
        </w:rPr>
        <w:t>clarifying that service concession assets under construction/development shall be measure at fair value (current replacement cost).</w:t>
      </w:r>
    </w:p>
    <w:p w14:paraId="4D6F62DB" w14:textId="595CBEBA" w:rsidR="0020509D" w:rsidRPr="0075117E" w:rsidRDefault="0020509D" w:rsidP="0075117E">
      <w:pPr>
        <w:keepNext/>
        <w:spacing w:before="200" w:after="0"/>
        <w:outlineLvl w:val="3"/>
        <w:rPr>
          <w:rFonts w:ascii="Arial" w:eastAsia="Times New Roman" w:hAnsi="Arial" w:cs="Arial"/>
          <w:i/>
          <w:color w:val="53565A"/>
          <w:szCs w:val="18"/>
        </w:rPr>
      </w:pPr>
      <w:r w:rsidRPr="0075117E">
        <w:rPr>
          <w:rFonts w:ascii="Arial" w:eastAsia="Times New Roman" w:hAnsi="Arial" w:cs="Arial"/>
          <w:b/>
          <w:bCs/>
          <w:i/>
          <w:color w:val="53565A"/>
          <w:szCs w:val="18"/>
        </w:rPr>
        <w:t xml:space="preserve">FRD 120N Accounting and Reporting pronouncements </w:t>
      </w:r>
    </w:p>
    <w:p w14:paraId="5B4F8FED" w14:textId="4F02C43B" w:rsidR="00F109E1" w:rsidRDefault="0044391D" w:rsidP="00EF3E32">
      <w:pPr>
        <w:rPr>
          <w:rFonts w:eastAsia="Times New Roman"/>
        </w:rPr>
      </w:pPr>
      <w:r>
        <w:rPr>
          <w:rFonts w:eastAsia="Times New Roman"/>
        </w:rPr>
        <w:t xml:space="preserve">FRD 120N includes the accounting and reporting pronouncements applicable </w:t>
      </w:r>
      <w:r w:rsidR="00F109E1">
        <w:rPr>
          <w:rFonts w:eastAsia="Times New Roman"/>
        </w:rPr>
        <w:t xml:space="preserve">to departments and public bodies </w:t>
      </w:r>
      <w:r>
        <w:rPr>
          <w:rFonts w:eastAsia="Times New Roman"/>
        </w:rPr>
        <w:t>for the 2019</w:t>
      </w:r>
      <w:r w:rsidR="003F6630">
        <w:rPr>
          <w:rFonts w:eastAsia="Times New Roman"/>
        </w:rPr>
        <w:t>-</w:t>
      </w:r>
      <w:r>
        <w:rPr>
          <w:rFonts w:eastAsia="Times New Roman"/>
        </w:rPr>
        <w:t>20 reporting period. This includes the newly issued FRDs and amendments outlined above</w:t>
      </w:r>
      <w:r w:rsidR="00F109E1">
        <w:rPr>
          <w:rFonts w:eastAsia="Times New Roman"/>
        </w:rPr>
        <w:t>, as well as the Accounting Standards and Standing Directions</w:t>
      </w:r>
      <w:r>
        <w:rPr>
          <w:rFonts w:eastAsia="Times New Roman"/>
        </w:rPr>
        <w:t xml:space="preserve">. </w:t>
      </w:r>
      <w:r w:rsidR="00F109E1">
        <w:rPr>
          <w:rFonts w:eastAsia="Times New Roman"/>
        </w:rPr>
        <w:t xml:space="preserve">It also includes details of new and amending standards that will apply in future reporting periods. </w:t>
      </w:r>
    </w:p>
    <w:p w14:paraId="08B8468E" w14:textId="6B2814B5" w:rsidR="00F109E1" w:rsidRPr="00B77C43" w:rsidRDefault="0044391D" w:rsidP="00EF3E32">
      <w:pPr>
        <w:rPr>
          <w:rFonts w:eastAsia="Times New Roman"/>
        </w:rPr>
      </w:pPr>
      <w:r>
        <w:rPr>
          <w:rFonts w:eastAsia="Times New Roman"/>
        </w:rPr>
        <w:t>A guidance document</w:t>
      </w:r>
      <w:r w:rsidR="00F109E1">
        <w:rPr>
          <w:rFonts w:eastAsia="Times New Roman"/>
        </w:rPr>
        <w:t xml:space="preserve"> has been added to the FRD, </w:t>
      </w:r>
      <w:r w:rsidR="00C8794A">
        <w:rPr>
          <w:rFonts w:eastAsia="Times New Roman"/>
        </w:rPr>
        <w:t>which</w:t>
      </w:r>
      <w:r w:rsidR="00F109E1">
        <w:rPr>
          <w:rFonts w:eastAsia="Times New Roman"/>
        </w:rPr>
        <w:t xml:space="preserve"> outlines the Australian Accounting Standard reporting requirements for </w:t>
      </w:r>
      <w:r w:rsidR="00E41BB2">
        <w:rPr>
          <w:rFonts w:eastAsia="Times New Roman"/>
        </w:rPr>
        <w:t xml:space="preserve">for-profit </w:t>
      </w:r>
      <w:r w:rsidR="00F109E1">
        <w:rPr>
          <w:rFonts w:eastAsia="Times New Roman"/>
        </w:rPr>
        <w:t xml:space="preserve">and </w:t>
      </w:r>
      <w:r w:rsidR="00E41BB2">
        <w:rPr>
          <w:rFonts w:eastAsia="Times New Roman"/>
        </w:rPr>
        <w:t xml:space="preserve">not-for-profit </w:t>
      </w:r>
      <w:r w:rsidR="00F109E1">
        <w:rPr>
          <w:rFonts w:eastAsia="Times New Roman"/>
        </w:rPr>
        <w:t xml:space="preserve">entities in the Victorian </w:t>
      </w:r>
      <w:r w:rsidR="004F25BD">
        <w:rPr>
          <w:rFonts w:eastAsia="Times New Roman"/>
        </w:rPr>
        <w:t>public sector</w:t>
      </w:r>
      <w:r w:rsidR="00F109E1">
        <w:rPr>
          <w:rFonts w:eastAsia="Times New Roman"/>
        </w:rPr>
        <w:t>.</w:t>
      </w:r>
    </w:p>
    <w:p w14:paraId="7D4C6E2D" w14:textId="21F57163" w:rsidR="00923519" w:rsidRPr="00923519" w:rsidRDefault="00923519" w:rsidP="004F25BD">
      <w:pPr>
        <w:pStyle w:val="Heading1"/>
        <w:rPr>
          <w:rFonts w:eastAsia="Times New Roman"/>
        </w:rPr>
      </w:pPr>
      <w:bookmarkStart w:id="15" w:name="_Toc33614832"/>
      <w:bookmarkStart w:id="16" w:name="_Toc48907917"/>
      <w:bookmarkEnd w:id="14"/>
      <w:r w:rsidRPr="00923519">
        <w:rPr>
          <w:rFonts w:eastAsia="Times New Roman"/>
        </w:rPr>
        <w:t>Financial reporting legislation</w:t>
      </w:r>
      <w:bookmarkEnd w:id="12"/>
      <w:bookmarkEnd w:id="13"/>
      <w:bookmarkEnd w:id="15"/>
      <w:bookmarkEnd w:id="16"/>
      <w:r w:rsidRPr="00923519">
        <w:rPr>
          <w:rFonts w:eastAsia="Times New Roman"/>
        </w:rPr>
        <w:t xml:space="preserve"> </w:t>
      </w:r>
    </w:p>
    <w:p w14:paraId="782B9D65" w14:textId="53D8EECA" w:rsidR="00923519" w:rsidRPr="00BE58A4" w:rsidRDefault="00923519" w:rsidP="00FC6550">
      <w:pPr>
        <w:pStyle w:val="Heading2"/>
        <w:rPr>
          <w:rFonts w:eastAsia="Times New Roman"/>
        </w:rPr>
      </w:pPr>
      <w:r w:rsidRPr="00BE58A4">
        <w:rPr>
          <w:rFonts w:eastAsia="Times New Roman"/>
        </w:rPr>
        <w:t xml:space="preserve">Standing Directions – annual report attestation </w:t>
      </w:r>
    </w:p>
    <w:p w14:paraId="1459AECF" w14:textId="77777777" w:rsidR="00493C95" w:rsidRPr="00DE4A51" w:rsidRDefault="00493C95" w:rsidP="00EF3E32">
      <w:r w:rsidRPr="00DE4A51">
        <w:t xml:space="preserve">The Standing Directions 2018 under the </w:t>
      </w:r>
      <w:r w:rsidRPr="00DE4A51">
        <w:rPr>
          <w:i/>
          <w:iCs/>
        </w:rPr>
        <w:t>Financial Management Act 1994</w:t>
      </w:r>
      <w:r w:rsidRPr="00DE4A51">
        <w:t xml:space="preserve"> (2018 Standing Directions) require a formal attestation statement in your annual reports. All agencies with a 30 June reporting date must complete an attestation statement for the period</w:t>
      </w:r>
      <w:r w:rsidRPr="00DE4A51">
        <w:rPr>
          <w:b/>
          <w:bCs/>
        </w:rPr>
        <w:t xml:space="preserve"> 1 July 2019 </w:t>
      </w:r>
      <w:r w:rsidRPr="00DE4A51">
        <w:rPr>
          <w:bCs/>
        </w:rPr>
        <w:t>to</w:t>
      </w:r>
      <w:r w:rsidRPr="00DE4A51">
        <w:rPr>
          <w:b/>
          <w:bCs/>
        </w:rPr>
        <w:t xml:space="preserve"> 30 June 2020, </w:t>
      </w:r>
      <w:r w:rsidRPr="00DE4A51">
        <w:t>covering</w:t>
      </w:r>
      <w:r w:rsidRPr="00DE4A51">
        <w:rPr>
          <w:b/>
          <w:bCs/>
        </w:rPr>
        <w:t xml:space="preserve"> all </w:t>
      </w:r>
      <w:r w:rsidRPr="00DE4A51">
        <w:t xml:space="preserve">applicable 2018 Standing Directions and Instructions as required and in a form prescribed by </w:t>
      </w:r>
      <w:hyperlink r:id="rId33" w:history="1">
        <w:r w:rsidRPr="004F25BD">
          <w:rPr>
            <w:rStyle w:val="Hyperlink"/>
            <w:rFonts w:ascii="Arial" w:hAnsi="Arial" w:cs="Arial"/>
            <w:b/>
            <w:bCs/>
            <w:color w:val="000000" w:themeColor="text1"/>
            <w:szCs w:val="18"/>
          </w:rPr>
          <w:t>Instruction 5.1, clause 2</w:t>
        </w:r>
      </w:hyperlink>
      <w:r w:rsidRPr="004F25BD">
        <w:rPr>
          <w:b/>
          <w:bCs/>
          <w:color w:val="000000" w:themeColor="text1"/>
        </w:rPr>
        <w:t>.2</w:t>
      </w:r>
      <w:r w:rsidRPr="00AF2694">
        <w:rPr>
          <w:color w:val="000000" w:themeColor="text1"/>
        </w:rPr>
        <w:t>.</w:t>
      </w:r>
    </w:p>
    <w:p w14:paraId="4F93F3FF" w14:textId="362A8921" w:rsidR="00493C95" w:rsidRPr="00DE4A51" w:rsidRDefault="00493C95" w:rsidP="00EF3E32">
      <w:r w:rsidRPr="00DE4A51">
        <w:t xml:space="preserve">However, please note that in light of the </w:t>
      </w:r>
      <w:r w:rsidR="00510249">
        <w:t>COVID</w:t>
      </w:r>
      <w:r w:rsidRPr="00DE4A51">
        <w:t>-19 pandemic and its impacts on the operations of agencies, specific advice on the 2019</w:t>
      </w:r>
      <w:r w:rsidR="00C933FA">
        <w:rPr>
          <w:rFonts w:eastAsia="Times New Roman"/>
        </w:rPr>
        <w:t>-</w:t>
      </w:r>
      <w:r w:rsidRPr="00DE4A51">
        <w:t>20 timing and other requirements for attestation is being provided to agencies by the DTF Financial Frameworks team.</w:t>
      </w:r>
    </w:p>
    <w:p w14:paraId="7A044B56" w14:textId="77777777" w:rsidR="00493C95" w:rsidRPr="00DE4A51" w:rsidRDefault="00493C95" w:rsidP="00EF3E32">
      <w:r w:rsidRPr="00DE4A51">
        <w:t xml:space="preserve">If you have any further queries on the Standing Directions, please direct your queries to the DTF Financial Frameworks team mailbox: </w:t>
      </w:r>
      <w:hyperlink r:id="rId34" w:history="1">
        <w:r w:rsidRPr="00DE4A51">
          <w:rPr>
            <w:rStyle w:val="Hyperlink"/>
            <w:rFonts w:ascii="Arial" w:hAnsi="Arial" w:cs="Arial"/>
            <w:szCs w:val="18"/>
          </w:rPr>
          <w:t>standing.directions@dtf.vic.gov.au</w:t>
        </w:r>
      </w:hyperlink>
      <w:r w:rsidRPr="00DE4A51">
        <w:t>.</w:t>
      </w:r>
    </w:p>
    <w:p w14:paraId="21BFCF5A" w14:textId="715F467C" w:rsidR="00923519" w:rsidRPr="00923519" w:rsidRDefault="00923519" w:rsidP="00FC6550">
      <w:pPr>
        <w:pStyle w:val="Heading2"/>
        <w:rPr>
          <w:rFonts w:eastAsia="Times New Roman"/>
        </w:rPr>
      </w:pPr>
      <w:r w:rsidRPr="00923519">
        <w:rPr>
          <w:rFonts w:eastAsia="Times New Roman"/>
        </w:rPr>
        <w:lastRenderedPageBreak/>
        <w:t xml:space="preserve">Superannuation Guarantee Levy </w:t>
      </w:r>
    </w:p>
    <w:p w14:paraId="56828616" w14:textId="6B6D3ED5" w:rsidR="00923519" w:rsidRPr="00923519" w:rsidRDefault="00923519" w:rsidP="00EF3E32">
      <w:pPr>
        <w:rPr>
          <w:rFonts w:eastAsia="Times New Roman"/>
        </w:rPr>
      </w:pPr>
      <w:r w:rsidRPr="00923519">
        <w:rPr>
          <w:rFonts w:eastAsia="Times New Roman"/>
        </w:rPr>
        <w:t xml:space="preserve">There has been no change to the Superannuation Guarantee Levy (SGL) schedule since the last update on the SGL in the December 2017 newsletter edition. Consistent with the </w:t>
      </w:r>
      <w:r w:rsidRPr="00923519">
        <w:rPr>
          <w:rFonts w:eastAsia="Times New Roman"/>
          <w:i/>
        </w:rPr>
        <w:t>Minerals Resource Rent Tax Repeal and Other Measures Act 2014</w:t>
      </w:r>
      <w:r w:rsidRPr="00923519">
        <w:rPr>
          <w:rFonts w:eastAsia="Times New Roman"/>
        </w:rPr>
        <w:t xml:space="preserve"> passed in September 2014, the future SGL rates will remain at 9.5</w:t>
      </w:r>
      <w:r w:rsidR="00E41BB2">
        <w:rPr>
          <w:rFonts w:eastAsia="Times New Roman"/>
        </w:rPr>
        <w:t> per cent</w:t>
      </w:r>
      <w:r w:rsidRPr="00923519">
        <w:rPr>
          <w:rFonts w:eastAsia="Times New Roman"/>
        </w:rPr>
        <w:t xml:space="preserve"> until</w:t>
      </w:r>
      <w:r w:rsidR="004F25BD">
        <w:rPr>
          <w:rFonts w:eastAsia="Times New Roman"/>
        </w:rPr>
        <w:t> </w:t>
      </w:r>
      <w:r w:rsidRPr="00923519">
        <w:rPr>
          <w:rFonts w:eastAsia="Times New Roman"/>
        </w:rPr>
        <w:t>2021, before increasing by 0.5</w:t>
      </w:r>
      <w:r w:rsidR="00E41BB2">
        <w:rPr>
          <w:rFonts w:eastAsia="Times New Roman"/>
        </w:rPr>
        <w:t> per cent</w:t>
      </w:r>
      <w:r w:rsidRPr="00923519">
        <w:rPr>
          <w:rFonts w:eastAsia="Times New Roman"/>
        </w:rPr>
        <w:t xml:space="preserve"> annually between 2021 and 2025. </w:t>
      </w:r>
    </w:p>
    <w:p w14:paraId="685EE463" w14:textId="652D4688" w:rsidR="00923519" w:rsidRPr="00923519" w:rsidRDefault="00923519" w:rsidP="00EF3E32">
      <w:pPr>
        <w:rPr>
          <w:rFonts w:eastAsia="Times New Roman"/>
        </w:rPr>
      </w:pPr>
      <w:r w:rsidRPr="00923519">
        <w:rPr>
          <w:rFonts w:eastAsia="Times New Roman"/>
        </w:rPr>
        <w:t>The next SGL rate change for departments and agencies will be effective from 1 July 2021 when the rate will increase to 10</w:t>
      </w:r>
      <w:r w:rsidR="00E41BB2">
        <w:rPr>
          <w:rFonts w:eastAsia="Times New Roman"/>
        </w:rPr>
        <w:t> per cent</w:t>
      </w:r>
      <w:r w:rsidRPr="00923519">
        <w:rPr>
          <w:rFonts w:eastAsia="Times New Roman"/>
        </w:rPr>
        <w:t xml:space="preserve">. </w:t>
      </w:r>
    </w:p>
    <w:p w14:paraId="1B6CA779" w14:textId="210CE345" w:rsidR="00923519" w:rsidRPr="00923519" w:rsidRDefault="00923519" w:rsidP="00FC6550">
      <w:pPr>
        <w:pStyle w:val="Heading2"/>
        <w:rPr>
          <w:rFonts w:eastAsia="Times New Roman"/>
        </w:rPr>
      </w:pPr>
      <w:r w:rsidRPr="00923519">
        <w:rPr>
          <w:rFonts w:eastAsia="Times New Roman"/>
        </w:rPr>
        <w:t>Wage inflation and discount rates</w:t>
      </w:r>
    </w:p>
    <w:p w14:paraId="326189F3" w14:textId="38AF1972" w:rsidR="00923519" w:rsidRPr="00923519" w:rsidRDefault="00923519" w:rsidP="00EF3E32">
      <w:pPr>
        <w:rPr>
          <w:rFonts w:eastAsia="Times New Roman"/>
        </w:rPr>
      </w:pPr>
      <w:r w:rsidRPr="00923519">
        <w:rPr>
          <w:rFonts w:eastAsia="Times New Roman"/>
        </w:rPr>
        <w:t xml:space="preserve">DTF publishes the wage inflation and discount rates quarterly for the September, December and March quarters. </w:t>
      </w:r>
      <w:r w:rsidR="001F7713" w:rsidRPr="001F7713">
        <w:rPr>
          <w:rFonts w:eastAsia="Times New Roman"/>
        </w:rPr>
        <w:t>Rates are released monthly for the June quarter of each financial year.</w:t>
      </w:r>
      <w:r w:rsidR="00690F69">
        <w:rPr>
          <w:rFonts w:eastAsia="Times New Roman"/>
        </w:rPr>
        <w:t xml:space="preserve"> The current rates should be used by entities to remeasure their employee benefit provisions for the 2019</w:t>
      </w:r>
      <w:r w:rsidR="003F6630">
        <w:rPr>
          <w:rFonts w:eastAsia="Times New Roman"/>
        </w:rPr>
        <w:t>-</w:t>
      </w:r>
      <w:r w:rsidR="00690F69">
        <w:rPr>
          <w:rFonts w:eastAsia="Times New Roman"/>
        </w:rPr>
        <w:t>20 reporting period.</w:t>
      </w:r>
    </w:p>
    <w:p w14:paraId="62F60392" w14:textId="4CC8F359" w:rsidR="00923519" w:rsidRDefault="00923519" w:rsidP="00EF3E32">
      <w:pPr>
        <w:rPr>
          <w:rFonts w:eastAsia="Times New Roman" w:cs="Times New Roman"/>
          <w:noProof/>
        </w:rPr>
      </w:pPr>
      <w:r w:rsidRPr="00923519">
        <w:rPr>
          <w:rFonts w:eastAsia="Times New Roman"/>
        </w:rPr>
        <w:t xml:space="preserve">The wage inflation and discount rates are published for both the 2004 and 2008 Long Service Leave Models. Wage inflation rates reflect current economic assumptions made in the preparation of the Budget. The discount rates are representative of the yield of Commonwealth Treasury bonds, </w:t>
      </w:r>
      <w:r w:rsidR="0008061F">
        <w:rPr>
          <w:rFonts w:eastAsia="Times New Roman"/>
        </w:rPr>
        <w:t>p</w:t>
      </w:r>
      <w:r w:rsidRPr="00923519">
        <w:rPr>
          <w:rFonts w:eastAsia="Times New Roman"/>
        </w:rPr>
        <w:t>ublished by the Reserve Bank of Australia.</w:t>
      </w:r>
      <w:r w:rsidRPr="00923519">
        <w:rPr>
          <w:rFonts w:eastAsia="Times New Roman" w:cs="Times New Roman"/>
          <w:noProof/>
        </w:rPr>
        <w:t xml:space="preserve"> </w:t>
      </w:r>
    </w:p>
    <w:p w14:paraId="1CBC78F2" w14:textId="133C57EF" w:rsidR="00600C1E" w:rsidRDefault="00600C1E" w:rsidP="00923519">
      <w:pPr>
        <w:spacing w:before="120" w:after="120"/>
        <w:rPr>
          <w:rFonts w:ascii="Arial" w:eastAsia="Times New Roman" w:hAnsi="Arial" w:cs="Times New Roman"/>
          <w:noProof/>
        </w:rPr>
      </w:pPr>
      <w:r>
        <w:rPr>
          <w:noProof/>
        </w:rPr>
        <w:drawing>
          <wp:inline distT="0" distB="0" distL="0" distR="0" wp14:anchorId="0D0636FB" wp14:editId="5FF980FC">
            <wp:extent cx="5731510" cy="2695433"/>
            <wp:effectExtent l="0" t="0" r="2540" b="0"/>
            <wp:docPr id="11" name="Chart 11">
              <a:extLst xmlns:a="http://schemas.openxmlformats.org/drawingml/2006/main">
                <a:ext uri="{FF2B5EF4-FFF2-40B4-BE49-F238E27FC236}">
                  <a16:creationId xmlns:a16="http://schemas.microsoft.com/office/drawing/2014/main" id="{08F2480A-9BF5-4FC2-ADC1-6B6914172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C43F85" w14:textId="674317C0" w:rsidR="00A062EE" w:rsidRPr="00923519" w:rsidRDefault="00923519" w:rsidP="00EF3E32">
      <w:pPr>
        <w:rPr>
          <w:rFonts w:eastAsia="Times New Roman"/>
        </w:rPr>
      </w:pPr>
      <w:r w:rsidRPr="00923519">
        <w:rPr>
          <w:rFonts w:eastAsia="Times New Roman"/>
        </w:rPr>
        <w:t xml:space="preserve">The graph above </w:t>
      </w:r>
      <w:r w:rsidR="007821E8">
        <w:rPr>
          <w:rFonts w:eastAsia="Times New Roman"/>
        </w:rPr>
        <w:t xml:space="preserve">illustrates the </w:t>
      </w:r>
      <w:r w:rsidRPr="00923519">
        <w:rPr>
          <w:rFonts w:eastAsia="Times New Roman"/>
        </w:rPr>
        <w:t xml:space="preserve">downward trend </w:t>
      </w:r>
      <w:r w:rsidR="007821E8">
        <w:rPr>
          <w:rFonts w:eastAsia="Times New Roman"/>
        </w:rPr>
        <w:t xml:space="preserve">of the annual discount rate </w:t>
      </w:r>
      <w:r w:rsidR="00EC6C89">
        <w:rPr>
          <w:rFonts w:eastAsia="Times New Roman"/>
        </w:rPr>
        <w:t>during</w:t>
      </w:r>
      <w:r w:rsidR="007821E8">
        <w:rPr>
          <w:rFonts w:eastAsia="Times New Roman"/>
        </w:rPr>
        <w:t xml:space="preserve"> </w:t>
      </w:r>
      <w:r w:rsidRPr="00923519">
        <w:rPr>
          <w:rFonts w:eastAsia="Times New Roman"/>
        </w:rPr>
        <w:t>20</w:t>
      </w:r>
      <w:r w:rsidR="00600C1E">
        <w:rPr>
          <w:rFonts w:eastAsia="Times New Roman"/>
        </w:rPr>
        <w:t>19</w:t>
      </w:r>
      <w:r w:rsidR="000A2009">
        <w:rPr>
          <w:rFonts w:eastAsia="Times New Roman"/>
        </w:rPr>
        <w:t>-</w:t>
      </w:r>
      <w:r w:rsidR="007C7E1E">
        <w:rPr>
          <w:rFonts w:eastAsia="Times New Roman"/>
        </w:rPr>
        <w:t>20</w:t>
      </w:r>
      <w:r w:rsidRPr="00923519">
        <w:rPr>
          <w:rFonts w:eastAsia="Times New Roman"/>
        </w:rPr>
        <w:t xml:space="preserve"> (</w:t>
      </w:r>
      <w:r w:rsidR="007821E8">
        <w:rPr>
          <w:rFonts w:eastAsia="Times New Roman"/>
        </w:rPr>
        <w:t xml:space="preserve">a </w:t>
      </w:r>
      <w:r w:rsidRPr="00923519">
        <w:rPr>
          <w:rFonts w:eastAsia="Times New Roman"/>
        </w:rPr>
        <w:t xml:space="preserve">considerable decrease of </w:t>
      </w:r>
      <w:r w:rsidR="00A062EE" w:rsidRPr="00A062EE">
        <w:rPr>
          <w:rFonts w:eastAsia="Times New Roman"/>
        </w:rPr>
        <w:t>4</w:t>
      </w:r>
      <w:r w:rsidR="00600C1E">
        <w:rPr>
          <w:rFonts w:eastAsia="Times New Roman"/>
        </w:rPr>
        <w:t>5</w:t>
      </w:r>
      <w:r w:rsidR="00A062EE" w:rsidRPr="00A062EE">
        <w:rPr>
          <w:rFonts w:eastAsia="Times New Roman"/>
        </w:rPr>
        <w:t>.</w:t>
      </w:r>
      <w:r w:rsidR="00600C1E">
        <w:rPr>
          <w:rFonts w:eastAsia="Times New Roman"/>
        </w:rPr>
        <w:t>2</w:t>
      </w:r>
      <w:r w:rsidR="00A062EE" w:rsidRPr="00A062EE">
        <w:rPr>
          <w:rFonts w:eastAsia="Times New Roman"/>
        </w:rPr>
        <w:t xml:space="preserve"> basis points since 30 June 2019</w:t>
      </w:r>
      <w:r w:rsidRPr="00923519">
        <w:rPr>
          <w:rFonts w:eastAsia="Times New Roman"/>
        </w:rPr>
        <w:t>) which</w:t>
      </w:r>
      <w:r w:rsidR="00EC6C89">
        <w:rPr>
          <w:rFonts w:eastAsia="Times New Roman"/>
        </w:rPr>
        <w:t xml:space="preserve">, all else being equal, will </w:t>
      </w:r>
      <w:r w:rsidRPr="00923519">
        <w:rPr>
          <w:rFonts w:eastAsia="Times New Roman"/>
        </w:rPr>
        <w:t>increase</w:t>
      </w:r>
      <w:r w:rsidR="00EC6C89">
        <w:rPr>
          <w:rFonts w:eastAsia="Times New Roman"/>
        </w:rPr>
        <w:t xml:space="preserve"> </w:t>
      </w:r>
      <w:r w:rsidRPr="00923519">
        <w:rPr>
          <w:rFonts w:eastAsia="Times New Roman"/>
        </w:rPr>
        <w:t>the present value of the annual and long service leave liabilities.</w:t>
      </w:r>
    </w:p>
    <w:p w14:paraId="184878F6" w14:textId="21D0424C" w:rsidR="00600C1E" w:rsidRPr="00CD4657" w:rsidRDefault="00600C1E" w:rsidP="00EF3E32">
      <w:pPr>
        <w:rPr>
          <w:rFonts w:eastAsia="Times New Roman"/>
        </w:rPr>
      </w:pPr>
      <w:r>
        <w:rPr>
          <w:rFonts w:eastAsia="Times New Roman"/>
        </w:rPr>
        <w:t xml:space="preserve">The wage inflation rate has </w:t>
      </w:r>
      <w:r w:rsidR="00EC6C89">
        <w:rPr>
          <w:rFonts w:eastAsia="Times New Roman"/>
        </w:rPr>
        <w:t xml:space="preserve">remained stable </w:t>
      </w:r>
      <w:r>
        <w:rPr>
          <w:rFonts w:eastAsia="Times New Roman"/>
        </w:rPr>
        <w:t xml:space="preserve">and currently </w:t>
      </w:r>
      <w:r w:rsidRPr="00AF5906">
        <w:rPr>
          <w:rFonts w:cs="Arial"/>
          <w:color w:val="000000"/>
        </w:rPr>
        <w:t>sit</w:t>
      </w:r>
      <w:r>
        <w:rPr>
          <w:rFonts w:cs="Arial"/>
          <w:color w:val="000000"/>
        </w:rPr>
        <w:t>s</w:t>
      </w:r>
      <w:r w:rsidRPr="00AF5906">
        <w:rPr>
          <w:rFonts w:cs="Arial"/>
          <w:color w:val="000000"/>
        </w:rPr>
        <w:t xml:space="preserve"> at 4.25</w:t>
      </w:r>
      <w:r w:rsidR="00E41BB2">
        <w:rPr>
          <w:rFonts w:cs="Arial"/>
          <w:color w:val="000000"/>
        </w:rPr>
        <w:t> per cent</w:t>
      </w:r>
      <w:r>
        <w:rPr>
          <w:rFonts w:cs="Arial"/>
          <w:color w:val="000000"/>
        </w:rPr>
        <w:t xml:space="preserve">. </w:t>
      </w:r>
      <w:r>
        <w:rPr>
          <w:rFonts w:eastAsia="Times New Roman"/>
        </w:rPr>
        <w:t xml:space="preserve">Due to the </w:t>
      </w:r>
      <w:r w:rsidR="004E3247">
        <w:rPr>
          <w:rFonts w:eastAsia="Times New Roman"/>
        </w:rPr>
        <w:t xml:space="preserve">deferral </w:t>
      </w:r>
      <w:r>
        <w:rPr>
          <w:rFonts w:eastAsia="Times New Roman"/>
        </w:rPr>
        <w:t>of the 2020</w:t>
      </w:r>
      <w:r w:rsidR="00E41BB2">
        <w:rPr>
          <w:rFonts w:eastAsia="Times New Roman"/>
        </w:rPr>
        <w:noBreakHyphen/>
      </w:r>
      <w:r>
        <w:rPr>
          <w:rFonts w:eastAsia="Times New Roman"/>
        </w:rPr>
        <w:t xml:space="preserve">21 Budget, the rate has continued to </w:t>
      </w:r>
      <w:r>
        <w:rPr>
          <w:rFonts w:eastAsia="Times New Roman" w:cs="Arial"/>
          <w:szCs w:val="24"/>
        </w:rPr>
        <w:t xml:space="preserve">rely on </w:t>
      </w:r>
      <w:r w:rsidRPr="00923519">
        <w:rPr>
          <w:rFonts w:eastAsia="Times New Roman" w:cs="Arial"/>
          <w:szCs w:val="24"/>
        </w:rPr>
        <w:t>economic assumptions made</w:t>
      </w:r>
      <w:r>
        <w:rPr>
          <w:rFonts w:eastAsia="Times New Roman" w:cs="Arial"/>
          <w:szCs w:val="24"/>
        </w:rPr>
        <w:t xml:space="preserve"> for the </w:t>
      </w:r>
      <w:r w:rsidRPr="00E41BB2">
        <w:rPr>
          <w:rFonts w:eastAsia="Times New Roman" w:cs="Arial"/>
          <w:i/>
          <w:iCs/>
          <w:szCs w:val="24"/>
        </w:rPr>
        <w:t>2019-20 Budget</w:t>
      </w:r>
      <w:r w:rsidRPr="00E41BB2" w:rsidDel="004E26DD">
        <w:rPr>
          <w:rFonts w:eastAsia="Times New Roman"/>
          <w:i/>
          <w:iCs/>
        </w:rPr>
        <w:t xml:space="preserve"> </w:t>
      </w:r>
      <w:r w:rsidRPr="00E41BB2">
        <w:rPr>
          <w:rFonts w:eastAsia="Times New Roman"/>
          <w:i/>
          <w:iCs/>
        </w:rPr>
        <w:t>Update</w:t>
      </w:r>
      <w:r>
        <w:rPr>
          <w:rFonts w:eastAsia="Times New Roman"/>
        </w:rPr>
        <w:t>. At this time, the</w:t>
      </w:r>
      <w:r w:rsidRPr="002C33C9">
        <w:rPr>
          <w:rFonts w:cs="Arial"/>
          <w:color w:val="000000"/>
        </w:rPr>
        <w:t xml:space="preserve"> wage rate is still appropriate and will be reviewed when the</w:t>
      </w:r>
      <w:r w:rsidR="00690F69">
        <w:rPr>
          <w:rFonts w:cs="Arial"/>
          <w:color w:val="000000"/>
        </w:rPr>
        <w:t xml:space="preserve"> 2020</w:t>
      </w:r>
      <w:r w:rsidR="000A2009">
        <w:rPr>
          <w:rFonts w:eastAsia="Times New Roman"/>
        </w:rPr>
        <w:t>-</w:t>
      </w:r>
      <w:r w:rsidR="00690F69">
        <w:rPr>
          <w:rFonts w:cs="Arial"/>
          <w:color w:val="000000"/>
        </w:rPr>
        <w:t>21</w:t>
      </w:r>
      <w:r w:rsidRPr="002C33C9">
        <w:rPr>
          <w:rFonts w:cs="Arial"/>
          <w:color w:val="000000"/>
        </w:rPr>
        <w:t xml:space="preserve"> </w:t>
      </w:r>
      <w:r w:rsidR="005429ED">
        <w:rPr>
          <w:rFonts w:cs="Arial"/>
          <w:color w:val="000000"/>
        </w:rPr>
        <w:t>B</w:t>
      </w:r>
      <w:r w:rsidR="005429ED" w:rsidRPr="002C33C9">
        <w:rPr>
          <w:rFonts w:cs="Arial"/>
          <w:color w:val="000000"/>
        </w:rPr>
        <w:t xml:space="preserve">udget </w:t>
      </w:r>
      <w:r w:rsidRPr="002C33C9">
        <w:rPr>
          <w:rFonts w:cs="Arial"/>
          <w:color w:val="000000"/>
        </w:rPr>
        <w:t>is released</w:t>
      </w:r>
      <w:r>
        <w:rPr>
          <w:rFonts w:cs="Arial"/>
          <w:color w:val="000000"/>
        </w:rPr>
        <w:t>.</w:t>
      </w:r>
    </w:p>
    <w:p w14:paraId="4DDBA09E" w14:textId="224B3298" w:rsidR="00923519" w:rsidRPr="00923519" w:rsidRDefault="00923519" w:rsidP="00FC6550">
      <w:pPr>
        <w:pStyle w:val="Heading2"/>
        <w:rPr>
          <w:rFonts w:eastAsia="Times New Roman"/>
        </w:rPr>
      </w:pPr>
      <w:r w:rsidRPr="00923519">
        <w:rPr>
          <w:rFonts w:eastAsia="Times New Roman"/>
        </w:rPr>
        <w:t>Proposed amendments to financial management legislation</w:t>
      </w:r>
      <w:r w:rsidR="00B55AB3">
        <w:rPr>
          <w:rFonts w:eastAsia="Times New Roman"/>
        </w:rPr>
        <w:t xml:space="preserve"> </w:t>
      </w:r>
      <w:r w:rsidR="008E241F" w:rsidRPr="00A41806">
        <w:rPr>
          <w:rFonts w:eastAsia="Times New Roman"/>
        </w:rPr>
        <w:t>financial framework</w:t>
      </w:r>
    </w:p>
    <w:p w14:paraId="7DADA7F2" w14:textId="77777777" w:rsidR="00923519" w:rsidRPr="00923519" w:rsidRDefault="00923519" w:rsidP="00EF3E32">
      <w:pPr>
        <w:rPr>
          <w:rFonts w:eastAsia="Times New Roman" w:cs="Arial"/>
          <w:szCs w:val="24"/>
        </w:rPr>
      </w:pPr>
      <w:r w:rsidRPr="00923519">
        <w:rPr>
          <w:rFonts w:eastAsia="Times New Roman"/>
        </w:rPr>
        <w:t>The Financial Management and Constitution Acts Amendment Bill 2017 lapsed when the previous Parliament expired on 30 October 2018. The Government is currently analysing and assessing various options for financial management reform, which may result in proposals for legislative change. Departments will be consulted on any such proposals as applicable.</w:t>
      </w:r>
    </w:p>
    <w:p w14:paraId="0A10EFA5" w14:textId="4B8FB95C" w:rsidR="00923519" w:rsidRPr="004F25BD" w:rsidRDefault="00923519" w:rsidP="00FC6550">
      <w:pPr>
        <w:pStyle w:val="Heading2"/>
      </w:pPr>
      <w:r w:rsidRPr="004F25BD">
        <w:lastRenderedPageBreak/>
        <w:t>Resource Management Framework</w:t>
      </w:r>
      <w:r w:rsidR="00626936" w:rsidRPr="004F25BD">
        <w:t xml:space="preserve"> </w:t>
      </w:r>
    </w:p>
    <w:p w14:paraId="4090FBFA" w14:textId="5E3B7FBC" w:rsidR="003624B0" w:rsidRPr="003624B0" w:rsidRDefault="003624B0" w:rsidP="00EF3E32">
      <w:pPr>
        <w:rPr>
          <w:rFonts w:eastAsia="Times New Roman"/>
        </w:rPr>
      </w:pPr>
      <w:r w:rsidRPr="003624B0">
        <w:rPr>
          <w:rFonts w:eastAsia="Times New Roman"/>
        </w:rPr>
        <w:t>The Resource Management Framework (RMF) assists Victorian Government departments in understanding the legislative and policies for the State’s financial management framework</w:t>
      </w:r>
      <w:r w:rsidR="00F45654">
        <w:rPr>
          <w:rFonts w:eastAsia="Times New Roman"/>
        </w:rPr>
        <w:t>,</w:t>
      </w:r>
      <w:r w:rsidRPr="003624B0">
        <w:rPr>
          <w:rFonts w:eastAsia="Times New Roman"/>
        </w:rPr>
        <w:t xml:space="preserve"> encompassing the areas of goal setting, public sector planning, budgeting, service delivery, accountability and review. </w:t>
      </w:r>
    </w:p>
    <w:p w14:paraId="151F8701" w14:textId="5E3D2170" w:rsidR="003624B0" w:rsidRPr="003624B0" w:rsidRDefault="003624B0" w:rsidP="00E41BB2">
      <w:pPr>
        <w:rPr>
          <w:rFonts w:eastAsia="Times New Roman"/>
        </w:rPr>
      </w:pPr>
      <w:r w:rsidRPr="003624B0">
        <w:rPr>
          <w:rFonts w:eastAsia="Times New Roman"/>
        </w:rPr>
        <w:t>The RMF was recently updated and the new version is available on the DTF website, taking effect from 1</w:t>
      </w:r>
      <w:r w:rsidR="00E41BB2">
        <w:rPr>
          <w:rFonts w:eastAsia="Times New Roman"/>
        </w:rPr>
        <w:t> </w:t>
      </w:r>
      <w:r w:rsidRPr="003624B0">
        <w:rPr>
          <w:rFonts w:eastAsia="Times New Roman"/>
        </w:rPr>
        <w:t>July</w:t>
      </w:r>
      <w:r w:rsidR="00E41BB2">
        <w:rPr>
          <w:rFonts w:eastAsia="Times New Roman"/>
        </w:rPr>
        <w:t> </w:t>
      </w:r>
      <w:r w:rsidRPr="003624B0">
        <w:rPr>
          <w:rFonts w:eastAsia="Times New Roman"/>
        </w:rPr>
        <w:t>2020. The former Financial Reporting Operations Framework (FROF) was also retired as at 30</w:t>
      </w:r>
      <w:r w:rsidR="00E41BB2">
        <w:rPr>
          <w:rFonts w:eastAsia="Times New Roman"/>
        </w:rPr>
        <w:t> </w:t>
      </w:r>
      <w:r w:rsidRPr="003624B0">
        <w:rPr>
          <w:rFonts w:eastAsia="Times New Roman"/>
        </w:rPr>
        <w:t>June</w:t>
      </w:r>
      <w:r w:rsidR="00E41BB2">
        <w:rPr>
          <w:rFonts w:eastAsia="Times New Roman"/>
        </w:rPr>
        <w:t> </w:t>
      </w:r>
      <w:r w:rsidRPr="003624B0">
        <w:rPr>
          <w:rFonts w:eastAsia="Times New Roman"/>
        </w:rPr>
        <w:t xml:space="preserve">2020. Some of the topics in the FROF were incorporated into existing Financial Reporting Directions, while other topics were merged into the updated RMF. </w:t>
      </w:r>
    </w:p>
    <w:p w14:paraId="2DD6FB07" w14:textId="1A6C78E5" w:rsidR="00131F3F" w:rsidRPr="009F35B5" w:rsidRDefault="003624B0" w:rsidP="00EF3E32">
      <w:r w:rsidRPr="009F35B5">
        <w:t xml:space="preserve">A complete list of the changes in the RMF since the last edition can be found on pages 4 and </w:t>
      </w:r>
      <w:r w:rsidR="000A2009">
        <w:t>5</w:t>
      </w:r>
      <w:r w:rsidRPr="009F35B5">
        <w:t xml:space="preserve"> of the updated</w:t>
      </w:r>
      <w:r w:rsidR="00E41BB2">
        <w:t> </w:t>
      </w:r>
      <w:r w:rsidRPr="009F35B5">
        <w:t>RMF.</w:t>
      </w:r>
    </w:p>
    <w:p w14:paraId="34AE5C63" w14:textId="41B93EEF" w:rsidR="00923519" w:rsidRPr="00FC6550" w:rsidRDefault="00923519" w:rsidP="00FC6550">
      <w:pPr>
        <w:pStyle w:val="Heading2"/>
      </w:pPr>
      <w:r w:rsidRPr="00AF2694">
        <w:t>Key financial publication dates for the State of Victoria in 2019</w:t>
      </w:r>
      <w:r w:rsidRPr="00AF2694">
        <w:noBreakHyphen/>
        <w:t>20</w:t>
      </w:r>
    </w:p>
    <w:p w14:paraId="6CF6C16F" w14:textId="5EF4EF9E" w:rsidR="000308A7" w:rsidRDefault="00923519" w:rsidP="00923519">
      <w:pPr>
        <w:spacing w:before="120" w:after="120"/>
        <w:rPr>
          <w:rFonts w:ascii="Arial" w:eastAsia="Times New Roman" w:hAnsi="Arial" w:cs="Times New Roman"/>
        </w:rPr>
      </w:pPr>
      <w:r w:rsidRPr="00923519">
        <w:rPr>
          <w:rFonts w:ascii="Arial" w:eastAsia="Times New Roman" w:hAnsi="Arial" w:cs="Times New Roman"/>
        </w:rPr>
        <w:t xml:space="preserve">The following table shows the indicative key publication tabling dates for some of the State’s upcoming financial publications. </w:t>
      </w:r>
    </w:p>
    <w:tbl>
      <w:tblPr>
        <w:tblStyle w:val="DTFtexttable"/>
        <w:tblW w:w="9000" w:type="dxa"/>
        <w:tblLook w:val="06A0" w:firstRow="1" w:lastRow="0" w:firstColumn="1" w:lastColumn="0" w:noHBand="1" w:noVBand="1"/>
      </w:tblPr>
      <w:tblGrid>
        <w:gridCol w:w="1170"/>
        <w:gridCol w:w="3240"/>
        <w:gridCol w:w="4590"/>
      </w:tblGrid>
      <w:tr w:rsidR="00923519" w:rsidRPr="00EF3E32" w14:paraId="108A18CD" w14:textId="77777777" w:rsidTr="00672E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0" w:type="dxa"/>
          </w:tcPr>
          <w:p w14:paraId="4B14DEDC" w14:textId="77777777" w:rsidR="00923519" w:rsidRPr="00EF3E32" w:rsidRDefault="00923519" w:rsidP="00EF3E32">
            <w:pPr>
              <w:pStyle w:val="Tableheader"/>
              <w:rPr>
                <w:noProof/>
                <w:sz w:val="18"/>
                <w:szCs w:val="18"/>
              </w:rPr>
            </w:pPr>
            <w:r w:rsidRPr="00EF3E32">
              <w:rPr>
                <w:noProof/>
                <w:sz w:val="18"/>
                <w:szCs w:val="18"/>
              </w:rPr>
              <w:t>Reporting year</w:t>
            </w:r>
          </w:p>
        </w:tc>
        <w:tc>
          <w:tcPr>
            <w:tcW w:w="3240" w:type="dxa"/>
          </w:tcPr>
          <w:p w14:paraId="7AB68911" w14:textId="77777777" w:rsidR="00923519" w:rsidRPr="00EF3E32" w:rsidRDefault="00923519" w:rsidP="00EF3E32">
            <w:pPr>
              <w:pStyle w:val="Tableheader"/>
              <w:cnfStyle w:val="100000000000" w:firstRow="1" w:lastRow="0" w:firstColumn="0" w:lastColumn="0" w:oddVBand="0" w:evenVBand="0" w:oddHBand="0" w:evenHBand="0" w:firstRowFirstColumn="0" w:firstRowLastColumn="0" w:lastRowFirstColumn="0" w:lastRowLastColumn="0"/>
              <w:rPr>
                <w:noProof/>
                <w:sz w:val="18"/>
                <w:szCs w:val="18"/>
              </w:rPr>
            </w:pPr>
            <w:r w:rsidRPr="00EF3E32">
              <w:rPr>
                <w:noProof/>
                <w:sz w:val="18"/>
                <w:szCs w:val="18"/>
              </w:rPr>
              <w:t>Publication</w:t>
            </w:r>
          </w:p>
        </w:tc>
        <w:tc>
          <w:tcPr>
            <w:tcW w:w="4590" w:type="dxa"/>
          </w:tcPr>
          <w:p w14:paraId="47B547A3" w14:textId="3EA77F7A" w:rsidR="00923519" w:rsidRPr="00EF3E32" w:rsidRDefault="00923519" w:rsidP="00EF3E32">
            <w:pPr>
              <w:pStyle w:val="Tableheader"/>
              <w:cnfStyle w:val="100000000000" w:firstRow="1" w:lastRow="0" w:firstColumn="0" w:lastColumn="0" w:oddVBand="0" w:evenVBand="0" w:oddHBand="0" w:evenHBand="0" w:firstRowFirstColumn="0" w:firstRowLastColumn="0" w:lastRowFirstColumn="0" w:lastRowLastColumn="0"/>
              <w:rPr>
                <w:noProof/>
                <w:sz w:val="18"/>
                <w:szCs w:val="18"/>
              </w:rPr>
            </w:pPr>
            <w:r w:rsidRPr="00EF3E32">
              <w:rPr>
                <w:noProof/>
                <w:sz w:val="18"/>
                <w:szCs w:val="18"/>
              </w:rPr>
              <w:t>Anticipated release dates – actual dates to be confirmed</w:t>
            </w:r>
          </w:p>
        </w:tc>
      </w:tr>
      <w:tr w:rsidR="007B068E" w:rsidRPr="00092F57" w14:paraId="1B9C6557" w14:textId="77777777" w:rsidTr="00672EAC">
        <w:tc>
          <w:tcPr>
            <w:cnfStyle w:val="001000000000" w:firstRow="0" w:lastRow="0" w:firstColumn="1" w:lastColumn="0" w:oddVBand="0" w:evenVBand="0" w:oddHBand="0" w:evenHBand="0" w:firstRowFirstColumn="0" w:firstRowLastColumn="0" w:lastRowFirstColumn="0" w:lastRowLastColumn="0"/>
            <w:tcW w:w="1170" w:type="dxa"/>
          </w:tcPr>
          <w:p w14:paraId="1CE6291F" w14:textId="433F8AC9" w:rsidR="007B068E" w:rsidRPr="00EF3E32" w:rsidRDefault="007B068E" w:rsidP="00EF3E32">
            <w:pPr>
              <w:pStyle w:val="Tabletext"/>
              <w:rPr>
                <w:rFonts w:eastAsia="Times New Roman"/>
                <w:b/>
                <w:bCs/>
                <w:noProof/>
              </w:rPr>
            </w:pPr>
            <w:r w:rsidRPr="00EF3E32">
              <w:rPr>
                <w:b/>
                <w:bCs/>
              </w:rPr>
              <w:t>2020</w:t>
            </w:r>
            <w:r w:rsidR="008E241F">
              <w:rPr>
                <w:b/>
                <w:bCs/>
              </w:rPr>
              <w:t>-</w:t>
            </w:r>
            <w:r w:rsidRPr="00EF3E32">
              <w:rPr>
                <w:b/>
                <w:bCs/>
              </w:rPr>
              <w:t>21</w:t>
            </w:r>
          </w:p>
        </w:tc>
        <w:tc>
          <w:tcPr>
            <w:tcW w:w="3240" w:type="dxa"/>
          </w:tcPr>
          <w:p w14:paraId="44C44A07" w14:textId="4299920C"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Interim Appropriation (Supply)</w:t>
            </w:r>
            <w:r w:rsidR="00EF3E32">
              <w:t xml:space="preserve"> </w:t>
            </w:r>
            <w:r w:rsidRPr="00092F57">
              <w:t>Bills, for the period 1 July</w:t>
            </w:r>
            <w:r w:rsidR="00021458">
              <w:t>-</w:t>
            </w:r>
            <w:r w:rsidRPr="00092F57">
              <w:t>31</w:t>
            </w:r>
            <w:r w:rsidR="00EF3E32">
              <w:t xml:space="preserve"> </w:t>
            </w:r>
            <w:r w:rsidRPr="00092F57">
              <w:t>December 2020</w:t>
            </w:r>
          </w:p>
        </w:tc>
        <w:tc>
          <w:tcPr>
            <w:tcW w:w="4590" w:type="dxa"/>
          </w:tcPr>
          <w:p w14:paraId="3958B820" w14:textId="5C8FC9E6"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Introduced and passed by</w:t>
            </w:r>
            <w:r w:rsidR="00EF3E32">
              <w:t xml:space="preserve"> </w:t>
            </w:r>
            <w:r w:rsidRPr="00092F57">
              <w:t>Parliament 23 April 2020.</w:t>
            </w:r>
          </w:p>
        </w:tc>
      </w:tr>
      <w:tr w:rsidR="007B068E" w:rsidRPr="00092F57" w14:paraId="5DA2B908" w14:textId="77777777" w:rsidTr="00672EAC">
        <w:tc>
          <w:tcPr>
            <w:cnfStyle w:val="001000000000" w:firstRow="0" w:lastRow="0" w:firstColumn="1" w:lastColumn="0" w:oddVBand="0" w:evenVBand="0" w:oddHBand="0" w:evenHBand="0" w:firstRowFirstColumn="0" w:firstRowLastColumn="0" w:lastRowFirstColumn="0" w:lastRowLastColumn="0"/>
            <w:tcW w:w="1170" w:type="dxa"/>
          </w:tcPr>
          <w:p w14:paraId="59E8798B" w14:textId="09EF2FD8" w:rsidR="007B068E" w:rsidRPr="00EF3E32" w:rsidRDefault="007B068E" w:rsidP="00EF3E32">
            <w:pPr>
              <w:pStyle w:val="Tabletext"/>
              <w:rPr>
                <w:rFonts w:eastAsia="Times New Roman"/>
                <w:b/>
                <w:bCs/>
                <w:noProof/>
              </w:rPr>
            </w:pPr>
            <w:r w:rsidRPr="00EF3E32">
              <w:rPr>
                <w:b/>
                <w:bCs/>
              </w:rPr>
              <w:t>2019</w:t>
            </w:r>
            <w:r w:rsidR="000A2009">
              <w:rPr>
                <w:rFonts w:eastAsia="Times New Roman"/>
              </w:rPr>
              <w:t>-</w:t>
            </w:r>
            <w:r w:rsidRPr="00EF3E32">
              <w:rPr>
                <w:b/>
                <w:bCs/>
              </w:rPr>
              <w:t>20</w:t>
            </w:r>
          </w:p>
        </w:tc>
        <w:tc>
          <w:tcPr>
            <w:tcW w:w="3240" w:type="dxa"/>
          </w:tcPr>
          <w:p w14:paraId="468BB984" w14:textId="7741DAB1"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Annual Financial Report</w:t>
            </w:r>
          </w:p>
        </w:tc>
        <w:tc>
          <w:tcPr>
            <w:tcW w:w="4590" w:type="dxa"/>
          </w:tcPr>
          <w:p w14:paraId="7958C5A1" w14:textId="36C9E9F3"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Legislative due date</w:t>
            </w:r>
            <w:r w:rsidRPr="00092F57">
              <w:t>:</w:t>
            </w:r>
            <w:r w:rsidR="00F16A6C">
              <w:t xml:space="preserve"> </w:t>
            </w:r>
            <w:r w:rsidRPr="00092F57">
              <w:t>15</w:t>
            </w:r>
            <w:r w:rsidR="00EF3E32">
              <w:t xml:space="preserve"> </w:t>
            </w:r>
            <w:r w:rsidRPr="00092F57">
              <w:t>October 2020</w:t>
            </w:r>
          </w:p>
        </w:tc>
      </w:tr>
      <w:tr w:rsidR="007B068E" w:rsidRPr="00092F57" w14:paraId="3B245991" w14:textId="77777777" w:rsidTr="00672EAC">
        <w:tc>
          <w:tcPr>
            <w:cnfStyle w:val="001000000000" w:firstRow="0" w:lastRow="0" w:firstColumn="1" w:lastColumn="0" w:oddVBand="0" w:evenVBand="0" w:oddHBand="0" w:evenHBand="0" w:firstRowFirstColumn="0" w:firstRowLastColumn="0" w:lastRowFirstColumn="0" w:lastRowLastColumn="0"/>
            <w:tcW w:w="1170" w:type="dxa"/>
          </w:tcPr>
          <w:p w14:paraId="46A15860" w14:textId="11562D17" w:rsidR="007B068E" w:rsidRPr="00EF3E32" w:rsidRDefault="007B068E" w:rsidP="00EF3E32">
            <w:pPr>
              <w:pStyle w:val="Tabletext"/>
              <w:rPr>
                <w:rFonts w:eastAsia="Times New Roman"/>
                <w:b/>
                <w:bCs/>
                <w:noProof/>
              </w:rPr>
            </w:pPr>
            <w:r w:rsidRPr="00EF3E32">
              <w:rPr>
                <w:b/>
                <w:bCs/>
              </w:rPr>
              <w:t>2019</w:t>
            </w:r>
            <w:r w:rsidR="000A2009">
              <w:rPr>
                <w:b/>
                <w:bCs/>
              </w:rPr>
              <w:t>-</w:t>
            </w:r>
            <w:r w:rsidRPr="00EF3E32">
              <w:rPr>
                <w:b/>
                <w:bCs/>
              </w:rPr>
              <w:t xml:space="preserve">20 </w:t>
            </w:r>
          </w:p>
        </w:tc>
        <w:tc>
          <w:tcPr>
            <w:tcW w:w="3240" w:type="dxa"/>
          </w:tcPr>
          <w:p w14:paraId="36C82701" w14:textId="5BF76121"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Department and entity</w:t>
            </w:r>
            <w:r w:rsidR="00EF3E32">
              <w:t xml:space="preserve"> </w:t>
            </w:r>
            <w:r w:rsidRPr="00092F57">
              <w:t>reporting (for</w:t>
            </w:r>
            <w:r w:rsidR="00EF3E32">
              <w:t> </w:t>
            </w:r>
            <w:r w:rsidRPr="00092F57">
              <w:t>entities with a 1</w:t>
            </w:r>
            <w:r w:rsidR="00EF3E32">
              <w:t xml:space="preserve"> </w:t>
            </w:r>
            <w:r w:rsidRPr="00092F57">
              <w:t>July</w:t>
            </w:r>
            <w:r w:rsidR="00021458">
              <w:t>-</w:t>
            </w:r>
            <w:r w:rsidRPr="00092F57">
              <w:t>30 June reporting period)</w:t>
            </w:r>
          </w:p>
        </w:tc>
        <w:tc>
          <w:tcPr>
            <w:tcW w:w="4590" w:type="dxa"/>
          </w:tcPr>
          <w:p w14:paraId="378D19D2" w14:textId="15C4FA38"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w:t>
            </w:r>
            <w:r w:rsidR="00EF3E32">
              <w:rPr>
                <w:b/>
                <w:bCs/>
              </w:rPr>
              <w:t>ive</w:t>
            </w:r>
            <w:r w:rsidRPr="00EF3E32">
              <w:rPr>
                <w:b/>
                <w:bCs/>
              </w:rPr>
              <w:t xml:space="preserve"> due date</w:t>
            </w:r>
            <w:r w:rsidRPr="00092F57">
              <w:t>: 31</w:t>
            </w:r>
            <w:r w:rsidR="00EF3E32">
              <w:t xml:space="preserve"> </w:t>
            </w:r>
            <w:r w:rsidRPr="00092F57">
              <w:t>October 2020, and this will</w:t>
            </w:r>
            <w:r w:rsidR="00EF3E32">
              <w:t xml:space="preserve"> </w:t>
            </w:r>
            <w:r w:rsidRPr="00092F57">
              <w:t>apply for material entities. For</w:t>
            </w:r>
            <w:r w:rsidR="00EF3E32">
              <w:t xml:space="preserve"> </w:t>
            </w:r>
            <w:r w:rsidRPr="00092F57">
              <w:t>non-material entities release</w:t>
            </w:r>
            <w:r w:rsidR="00EF3E32">
              <w:t xml:space="preserve"> </w:t>
            </w:r>
            <w:r w:rsidRPr="00092F57">
              <w:t>will depend on audit timing as</w:t>
            </w:r>
            <w:r w:rsidR="00EF3E32">
              <w:t xml:space="preserve"> </w:t>
            </w:r>
            <w:r w:rsidRPr="00092F57">
              <w:t>determined by the Auditor</w:t>
            </w:r>
            <w:r w:rsidR="00672EAC">
              <w:noBreakHyphen/>
            </w:r>
            <w:r w:rsidRPr="00092F57">
              <w:t>General. The Assistant</w:t>
            </w:r>
            <w:r w:rsidR="00EF3E32">
              <w:t xml:space="preserve"> </w:t>
            </w:r>
            <w:r w:rsidRPr="00092F57">
              <w:t>Treasurer has extended by six</w:t>
            </w:r>
            <w:r w:rsidR="00EF3E32">
              <w:t xml:space="preserve"> </w:t>
            </w:r>
            <w:r w:rsidRPr="00092F57">
              <w:t>weeks the period</w:t>
            </w:r>
            <w:r w:rsidR="00EF3E32">
              <w:t xml:space="preserve"> </w:t>
            </w:r>
            <w:r w:rsidRPr="00092F57">
              <w:t>within which non</w:t>
            </w:r>
            <w:r w:rsidR="00EF3E32">
              <w:noBreakHyphen/>
            </w:r>
            <w:r w:rsidRPr="00092F57">
              <w:t>material agencies must submit their financial statements to the Auditor</w:t>
            </w:r>
            <w:r w:rsidR="00672EAC">
              <w:noBreakHyphen/>
            </w:r>
            <w:r w:rsidRPr="00092F57">
              <w:t>General.</w:t>
            </w:r>
          </w:p>
        </w:tc>
      </w:tr>
      <w:tr w:rsidR="007B068E" w:rsidRPr="00092F57" w14:paraId="6B7281D9" w14:textId="77777777" w:rsidTr="00672EAC">
        <w:tc>
          <w:tcPr>
            <w:cnfStyle w:val="001000000000" w:firstRow="0" w:lastRow="0" w:firstColumn="1" w:lastColumn="0" w:oddVBand="0" w:evenVBand="0" w:oddHBand="0" w:evenHBand="0" w:firstRowFirstColumn="0" w:firstRowLastColumn="0" w:lastRowFirstColumn="0" w:lastRowLastColumn="0"/>
            <w:tcW w:w="1170" w:type="dxa"/>
          </w:tcPr>
          <w:p w14:paraId="7C8CE611" w14:textId="32D04547" w:rsidR="007B068E" w:rsidRPr="00EF3E32" w:rsidRDefault="007B068E" w:rsidP="00EF3E32">
            <w:pPr>
              <w:pStyle w:val="Tabletext"/>
              <w:rPr>
                <w:rFonts w:eastAsia="Times New Roman"/>
                <w:b/>
                <w:bCs/>
                <w:noProof/>
              </w:rPr>
            </w:pPr>
            <w:r w:rsidRPr="00EF3E32">
              <w:rPr>
                <w:b/>
                <w:bCs/>
              </w:rPr>
              <w:t>2020</w:t>
            </w:r>
            <w:r w:rsidR="000A2009">
              <w:rPr>
                <w:b/>
                <w:bCs/>
              </w:rPr>
              <w:t>-</w:t>
            </w:r>
            <w:r w:rsidRPr="00EF3E32">
              <w:rPr>
                <w:b/>
                <w:bCs/>
              </w:rPr>
              <w:t xml:space="preserve">21 </w:t>
            </w:r>
          </w:p>
        </w:tc>
        <w:tc>
          <w:tcPr>
            <w:tcW w:w="3240" w:type="dxa"/>
          </w:tcPr>
          <w:p w14:paraId="44630493" w14:textId="346FC252"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Budget papers</w:t>
            </w:r>
          </w:p>
        </w:tc>
        <w:tc>
          <w:tcPr>
            <w:tcW w:w="4590" w:type="dxa"/>
          </w:tcPr>
          <w:p w14:paraId="25B3528C" w14:textId="71668BD8" w:rsidR="007B068E" w:rsidRPr="00092F57" w:rsidRDefault="004E3247"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Pr>
                <w:b/>
                <w:bCs/>
              </w:rPr>
              <w:t>TBD</w:t>
            </w:r>
          </w:p>
        </w:tc>
      </w:tr>
      <w:tr w:rsidR="007B068E" w:rsidRPr="00092F57" w14:paraId="650468A9" w14:textId="77777777" w:rsidTr="00672EAC">
        <w:tc>
          <w:tcPr>
            <w:cnfStyle w:val="001000000000" w:firstRow="0" w:lastRow="0" w:firstColumn="1" w:lastColumn="0" w:oddVBand="0" w:evenVBand="0" w:oddHBand="0" w:evenHBand="0" w:firstRowFirstColumn="0" w:firstRowLastColumn="0" w:lastRowFirstColumn="0" w:lastRowLastColumn="0"/>
            <w:tcW w:w="1170" w:type="dxa"/>
          </w:tcPr>
          <w:p w14:paraId="22EC5C7E" w14:textId="146DE2AD" w:rsidR="007B068E" w:rsidRPr="00EF3E32" w:rsidDel="00E55793" w:rsidRDefault="007B068E" w:rsidP="00EF3E32">
            <w:pPr>
              <w:pStyle w:val="Tabletext"/>
              <w:rPr>
                <w:rFonts w:eastAsia="Times New Roman"/>
                <w:b/>
                <w:bCs/>
                <w:noProof/>
              </w:rPr>
            </w:pPr>
            <w:r w:rsidRPr="00EF3E32">
              <w:rPr>
                <w:b/>
                <w:bCs/>
              </w:rPr>
              <w:t>2020</w:t>
            </w:r>
            <w:r w:rsidR="000A2009">
              <w:rPr>
                <w:b/>
                <w:bCs/>
              </w:rPr>
              <w:t>-</w:t>
            </w:r>
            <w:r w:rsidRPr="00EF3E32">
              <w:rPr>
                <w:b/>
                <w:bCs/>
              </w:rPr>
              <w:t>21</w:t>
            </w:r>
          </w:p>
        </w:tc>
        <w:tc>
          <w:tcPr>
            <w:tcW w:w="3240" w:type="dxa"/>
          </w:tcPr>
          <w:p w14:paraId="60A50E96" w14:textId="48B5E6EE"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pPr>
            <w:r w:rsidRPr="00092F57">
              <w:t>September Quarterly Financial Report</w:t>
            </w:r>
          </w:p>
        </w:tc>
        <w:tc>
          <w:tcPr>
            <w:tcW w:w="4590" w:type="dxa"/>
          </w:tcPr>
          <w:p w14:paraId="372D6EE7" w14:textId="4EFE0866"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Legislative due date</w:t>
            </w:r>
            <w:r w:rsidRPr="00092F57">
              <w:t>:</w:t>
            </w:r>
            <w:r w:rsidR="00F16A6C">
              <w:t xml:space="preserve"> </w:t>
            </w:r>
            <w:r w:rsidRPr="00092F57">
              <w:t>15</w:t>
            </w:r>
            <w:r w:rsidR="00EF3E32">
              <w:t xml:space="preserve"> </w:t>
            </w:r>
            <w:r w:rsidRPr="00092F57">
              <w:t>November 2020</w:t>
            </w:r>
          </w:p>
        </w:tc>
      </w:tr>
      <w:tr w:rsidR="007B068E" w:rsidRPr="00092F57" w14:paraId="67A4A2DC" w14:textId="77777777" w:rsidTr="00672EAC">
        <w:tc>
          <w:tcPr>
            <w:cnfStyle w:val="001000000000" w:firstRow="0" w:lastRow="0" w:firstColumn="1" w:lastColumn="0" w:oddVBand="0" w:evenVBand="0" w:oddHBand="0" w:evenHBand="0" w:firstRowFirstColumn="0" w:firstRowLastColumn="0" w:lastRowFirstColumn="0" w:lastRowLastColumn="0"/>
            <w:tcW w:w="1170" w:type="dxa"/>
          </w:tcPr>
          <w:p w14:paraId="753005F1" w14:textId="4339B9B9" w:rsidR="007B068E" w:rsidRPr="00EF3E32" w:rsidRDefault="007B068E" w:rsidP="00EF3E32">
            <w:pPr>
              <w:pStyle w:val="Tabletext"/>
              <w:rPr>
                <w:rFonts w:eastAsia="Times New Roman"/>
                <w:b/>
                <w:bCs/>
                <w:noProof/>
              </w:rPr>
            </w:pPr>
            <w:r w:rsidRPr="00EF3E32">
              <w:rPr>
                <w:b/>
                <w:bCs/>
              </w:rPr>
              <w:t>2020</w:t>
            </w:r>
            <w:r w:rsidR="000A2009">
              <w:rPr>
                <w:b/>
                <w:bCs/>
              </w:rPr>
              <w:t>-</w:t>
            </w:r>
            <w:r w:rsidRPr="00EF3E32">
              <w:rPr>
                <w:b/>
                <w:bCs/>
              </w:rPr>
              <w:t>21</w:t>
            </w:r>
          </w:p>
        </w:tc>
        <w:tc>
          <w:tcPr>
            <w:tcW w:w="3240" w:type="dxa"/>
          </w:tcPr>
          <w:p w14:paraId="4E60D3A1" w14:textId="3E7E8DBE"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Budget Update</w:t>
            </w:r>
          </w:p>
        </w:tc>
        <w:tc>
          <w:tcPr>
            <w:tcW w:w="4590" w:type="dxa"/>
          </w:tcPr>
          <w:p w14:paraId="73A3A2AC" w14:textId="46E01003"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Legislative due date</w:t>
            </w:r>
            <w:r w:rsidRPr="00092F57">
              <w:t>:</w:t>
            </w:r>
            <w:r w:rsidR="00F16A6C">
              <w:t xml:space="preserve"> </w:t>
            </w:r>
            <w:r w:rsidRPr="00092F57">
              <w:t>15</w:t>
            </w:r>
            <w:r w:rsidR="00EF3E32">
              <w:t xml:space="preserve"> </w:t>
            </w:r>
            <w:r w:rsidRPr="00092F57">
              <w:t>December 2020</w:t>
            </w:r>
          </w:p>
        </w:tc>
      </w:tr>
      <w:tr w:rsidR="007B068E" w:rsidRPr="00092F57" w14:paraId="289AB417" w14:textId="77777777" w:rsidTr="00672EAC">
        <w:tc>
          <w:tcPr>
            <w:cnfStyle w:val="001000000000" w:firstRow="0" w:lastRow="0" w:firstColumn="1" w:lastColumn="0" w:oddVBand="0" w:evenVBand="0" w:oddHBand="0" w:evenHBand="0" w:firstRowFirstColumn="0" w:firstRowLastColumn="0" w:lastRowFirstColumn="0" w:lastRowLastColumn="0"/>
            <w:tcW w:w="1170" w:type="dxa"/>
          </w:tcPr>
          <w:p w14:paraId="3208ADDC" w14:textId="5B58DB3F" w:rsidR="007B068E" w:rsidRPr="00EF3E32" w:rsidDel="00E55793" w:rsidRDefault="007B068E" w:rsidP="00EF3E32">
            <w:pPr>
              <w:pStyle w:val="Tabletext"/>
              <w:rPr>
                <w:rFonts w:eastAsia="Times New Roman"/>
                <w:b/>
                <w:bCs/>
                <w:noProof/>
              </w:rPr>
            </w:pPr>
            <w:r w:rsidRPr="00EF3E32">
              <w:rPr>
                <w:b/>
                <w:bCs/>
              </w:rPr>
              <w:t>2020</w:t>
            </w:r>
            <w:r w:rsidR="000A2009">
              <w:rPr>
                <w:b/>
                <w:bCs/>
              </w:rPr>
              <w:t>-</w:t>
            </w:r>
            <w:r w:rsidRPr="00EF3E32">
              <w:rPr>
                <w:b/>
                <w:bCs/>
              </w:rPr>
              <w:t>21</w:t>
            </w:r>
          </w:p>
        </w:tc>
        <w:tc>
          <w:tcPr>
            <w:tcW w:w="3240" w:type="dxa"/>
          </w:tcPr>
          <w:p w14:paraId="1202A5E5" w14:textId="18109694"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Mid-Year Financial Report</w:t>
            </w:r>
          </w:p>
        </w:tc>
        <w:tc>
          <w:tcPr>
            <w:tcW w:w="4590" w:type="dxa"/>
          </w:tcPr>
          <w:p w14:paraId="0AA2F4EC" w14:textId="66EC386B" w:rsidR="007B068E" w:rsidRPr="00092F57" w:rsidRDefault="007B068E" w:rsidP="00EF3E32">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Legislative due date</w:t>
            </w:r>
            <w:r w:rsidRPr="00092F57">
              <w:t>: 15</w:t>
            </w:r>
            <w:r w:rsidR="00EF3E32">
              <w:t xml:space="preserve"> </w:t>
            </w:r>
            <w:r w:rsidRPr="00092F57">
              <w:t>March 2021</w:t>
            </w:r>
          </w:p>
        </w:tc>
      </w:tr>
    </w:tbl>
    <w:p w14:paraId="3A3F7DEA" w14:textId="645359C1" w:rsidR="00923519" w:rsidRPr="00923519" w:rsidRDefault="00923519" w:rsidP="00E41BB2">
      <w:pPr>
        <w:pStyle w:val="Heading1"/>
        <w:rPr>
          <w:rFonts w:eastAsia="Times New Roman"/>
        </w:rPr>
      </w:pPr>
      <w:bookmarkStart w:id="17" w:name="_Toc33614833"/>
      <w:bookmarkStart w:id="18" w:name="_Toc48907918"/>
      <w:bookmarkStart w:id="19" w:name="_Toc424822616"/>
      <w:bookmarkStart w:id="20" w:name="_Toc452724752"/>
      <w:r w:rsidRPr="00923519">
        <w:rPr>
          <w:rFonts w:eastAsia="Times New Roman"/>
        </w:rPr>
        <w:t xml:space="preserve">Net debt </w:t>
      </w:r>
      <w:r w:rsidRPr="00E41BB2">
        <w:t>impacts</w:t>
      </w:r>
      <w:r w:rsidRPr="00923519">
        <w:rPr>
          <w:rFonts w:eastAsia="Times New Roman"/>
        </w:rPr>
        <w:t xml:space="preserve"> of new accounting standards</w:t>
      </w:r>
      <w:bookmarkEnd w:id="17"/>
      <w:bookmarkEnd w:id="18"/>
      <w:r w:rsidRPr="00923519">
        <w:rPr>
          <w:rFonts w:eastAsia="Times New Roman"/>
        </w:rPr>
        <w:t xml:space="preserve"> </w:t>
      </w:r>
    </w:p>
    <w:p w14:paraId="30CE429D" w14:textId="77777777" w:rsidR="00923519" w:rsidRPr="00923519" w:rsidRDefault="00923519" w:rsidP="00FC6550">
      <w:pPr>
        <w:pStyle w:val="Heading2"/>
        <w:rPr>
          <w:rFonts w:eastAsia="Times New Roman"/>
        </w:rPr>
      </w:pPr>
      <w:r w:rsidRPr="00923519">
        <w:rPr>
          <w:rFonts w:eastAsia="Times New Roman"/>
        </w:rPr>
        <w:t>Lease liabilities</w:t>
      </w:r>
    </w:p>
    <w:p w14:paraId="73DE5B3F" w14:textId="6DFE5A25" w:rsidR="00923519" w:rsidRPr="00923519" w:rsidRDefault="00923519" w:rsidP="00E41BB2">
      <w:pPr>
        <w:rPr>
          <w:rFonts w:eastAsia="Times New Roman"/>
        </w:rPr>
      </w:pPr>
      <w:r w:rsidRPr="00923519">
        <w:rPr>
          <w:rFonts w:eastAsia="Times New Roman"/>
        </w:rPr>
        <w:t xml:space="preserve">The introduction of AASB 16 </w:t>
      </w:r>
      <w:r w:rsidRPr="00923519">
        <w:rPr>
          <w:rFonts w:eastAsia="Times New Roman"/>
          <w:i/>
          <w:iCs/>
        </w:rPr>
        <w:t>Leases</w:t>
      </w:r>
      <w:r w:rsidRPr="00923519">
        <w:rPr>
          <w:rFonts w:eastAsia="Times New Roman"/>
        </w:rPr>
        <w:t xml:space="preserve"> resulted in most operating leases being recognised as borrowings on the State’s balance sheet, in turn impacting net debt. Net debt is a crucial key fiscal aggregate for the State. Due to this</w:t>
      </w:r>
      <w:r w:rsidR="00F45654">
        <w:rPr>
          <w:rFonts w:eastAsia="Times New Roman"/>
        </w:rPr>
        <w:t>,</w:t>
      </w:r>
      <w:r w:rsidRPr="00923519">
        <w:rPr>
          <w:rFonts w:eastAsia="Times New Roman"/>
        </w:rPr>
        <w:t xml:space="preserve"> borrowing lease limits have been imposed to ensure monitoring and control in relation to key fiscal targets. These limits were set based on the </w:t>
      </w:r>
      <w:r w:rsidRPr="00923519">
        <w:rPr>
          <w:rFonts w:eastAsia="Times New Roman"/>
          <w:i/>
          <w:iCs/>
        </w:rPr>
        <w:t>2019-20 Budget</w:t>
      </w:r>
      <w:r w:rsidRPr="00923519">
        <w:rPr>
          <w:rFonts w:eastAsia="Times New Roman"/>
        </w:rPr>
        <w:t xml:space="preserve"> and will be reviewed as part of the annual borrowing approval process.</w:t>
      </w:r>
      <w:r w:rsidR="00E66D73" w:rsidRPr="00E66D73">
        <w:t xml:space="preserve"> </w:t>
      </w:r>
      <w:r w:rsidR="00E66D73" w:rsidRPr="00E66D73">
        <w:rPr>
          <w:rFonts w:eastAsia="Times New Roman"/>
        </w:rPr>
        <w:t xml:space="preserve">Due to the </w:t>
      </w:r>
      <w:r w:rsidR="004E3247">
        <w:rPr>
          <w:rFonts w:eastAsia="Times New Roman"/>
        </w:rPr>
        <w:t>deferral</w:t>
      </w:r>
      <w:r w:rsidR="00E66D73" w:rsidRPr="00E66D73">
        <w:rPr>
          <w:rFonts w:eastAsia="Times New Roman"/>
        </w:rPr>
        <w:t xml:space="preserve"> of the 2020-21 Budget</w:t>
      </w:r>
      <w:r w:rsidR="000A2009">
        <w:rPr>
          <w:rFonts w:eastAsia="Times New Roman"/>
        </w:rPr>
        <w:t>,</w:t>
      </w:r>
      <w:r w:rsidR="00E66D73" w:rsidRPr="00E66D73">
        <w:rPr>
          <w:rFonts w:eastAsia="Times New Roman"/>
        </w:rPr>
        <w:t xml:space="preserve"> the annual borrowing approval review will be undertaken in two parts. An initial </w:t>
      </w:r>
      <w:r w:rsidR="0089206E">
        <w:rPr>
          <w:rFonts w:eastAsia="Times New Roman"/>
        </w:rPr>
        <w:t>six</w:t>
      </w:r>
      <w:r w:rsidR="00E66D73" w:rsidRPr="00E66D73">
        <w:rPr>
          <w:rFonts w:eastAsia="Times New Roman"/>
        </w:rPr>
        <w:t xml:space="preserve">-month approval is based on </w:t>
      </w:r>
      <w:r w:rsidR="00E66D73" w:rsidRPr="00EF3E32">
        <w:rPr>
          <w:rFonts w:eastAsia="Times New Roman"/>
          <w:i/>
          <w:iCs/>
        </w:rPr>
        <w:t>2019-20 Budget Update</w:t>
      </w:r>
      <w:r w:rsidR="00E66D73" w:rsidRPr="00E66D73">
        <w:rPr>
          <w:rFonts w:eastAsia="Times New Roman"/>
        </w:rPr>
        <w:t>, and an additional review will be undertaken following 2020-21 Budget.</w:t>
      </w:r>
    </w:p>
    <w:p w14:paraId="345F7467" w14:textId="3A11DFE8" w:rsidR="00923519" w:rsidRPr="00923519" w:rsidRDefault="00923519" w:rsidP="00E41BB2">
      <w:pPr>
        <w:rPr>
          <w:rFonts w:eastAsia="Times New Roman"/>
        </w:rPr>
      </w:pPr>
      <w:r w:rsidRPr="00923519">
        <w:rPr>
          <w:rFonts w:eastAsia="Times New Roman"/>
        </w:rPr>
        <w:t xml:space="preserve">Entities need to closely monitor the value of their lease portfolio to ensure that borrowings are maintained within their total limit. </w:t>
      </w:r>
    </w:p>
    <w:p w14:paraId="4D015847" w14:textId="469350AF" w:rsidR="00923519" w:rsidRPr="00923519" w:rsidRDefault="00923519" w:rsidP="00EF3E32">
      <w:pPr>
        <w:rPr>
          <w:rFonts w:eastAsia="Times New Roman"/>
        </w:rPr>
      </w:pPr>
      <w:r w:rsidRPr="00923519">
        <w:rPr>
          <w:rFonts w:eastAsia="Times New Roman"/>
        </w:rPr>
        <w:t xml:space="preserve">Any queries regarding the lease liability limit policy should be directed to Stephanie Braun in </w:t>
      </w:r>
      <w:r w:rsidR="00F45654">
        <w:rPr>
          <w:rFonts w:eastAsia="Times New Roman"/>
        </w:rPr>
        <w:t xml:space="preserve">DTF </w:t>
      </w:r>
      <w:r w:rsidRPr="00923519">
        <w:rPr>
          <w:rFonts w:eastAsia="Times New Roman"/>
        </w:rPr>
        <w:t>Balance Sheet Management on 7005 9266 or via email (</w:t>
      </w:r>
      <w:hyperlink r:id="rId36" w:history="1">
        <w:r w:rsidRPr="00EF3E32">
          <w:rPr>
            <w:rStyle w:val="Hyperlink"/>
          </w:rPr>
          <w:t>stephanie.braun@dtf.vic.gov.au</w:t>
        </w:r>
      </w:hyperlink>
      <w:r w:rsidRPr="00923519">
        <w:rPr>
          <w:rFonts w:eastAsia="Times New Roman"/>
        </w:rPr>
        <w:t xml:space="preserve">) and any queries on the estimates update process should be directed to the relevant </w:t>
      </w:r>
      <w:r w:rsidR="00F45654">
        <w:rPr>
          <w:rFonts w:eastAsia="Times New Roman"/>
        </w:rPr>
        <w:t xml:space="preserve">DTF </w:t>
      </w:r>
      <w:r w:rsidRPr="00923519">
        <w:rPr>
          <w:rFonts w:eastAsia="Times New Roman"/>
        </w:rPr>
        <w:t>Portfolio Analysis Relationship Manager.</w:t>
      </w:r>
    </w:p>
    <w:p w14:paraId="16570851" w14:textId="449A10A6" w:rsidR="00923519" w:rsidRPr="00436ED6" w:rsidRDefault="00923519" w:rsidP="00FC6550">
      <w:pPr>
        <w:pStyle w:val="Heading2"/>
        <w:rPr>
          <w:rFonts w:eastAsia="Times New Roman"/>
        </w:rPr>
      </w:pPr>
      <w:bookmarkStart w:id="21" w:name="_Hlk28868802"/>
      <w:bookmarkStart w:id="22" w:name="_Hlk33428736"/>
      <w:r w:rsidRPr="00436ED6">
        <w:rPr>
          <w:rFonts w:eastAsia="Times New Roman"/>
        </w:rPr>
        <w:lastRenderedPageBreak/>
        <w:t>Centralised Accommodation Management</w:t>
      </w:r>
      <w:bookmarkEnd w:id="19"/>
      <w:bookmarkEnd w:id="20"/>
      <w:r w:rsidR="00CE6445" w:rsidRPr="00436ED6">
        <w:rPr>
          <w:rFonts w:eastAsia="Times New Roman"/>
        </w:rPr>
        <w:t xml:space="preserve"> </w:t>
      </w:r>
    </w:p>
    <w:p w14:paraId="23E6C93E" w14:textId="7FBF4078" w:rsidR="00923519" w:rsidRPr="00D253BD" w:rsidRDefault="00923519" w:rsidP="00EF3E32">
      <w:pPr>
        <w:rPr>
          <w:rFonts w:eastAsia="Times New Roman"/>
          <w:szCs w:val="18"/>
        </w:rPr>
      </w:pPr>
      <w:r w:rsidRPr="00D253BD">
        <w:rPr>
          <w:rFonts w:eastAsia="Times New Roman"/>
          <w:szCs w:val="18"/>
        </w:rPr>
        <w:t>In October 2019, DTF’s Shared Service Provider (SSP) commenced a phased transition to the Centralised Accommodation Management (CAM) model. From this date all SSP clients are mandated to use SSP office accommodation management services (including real estate, facilities, projects and security) in all locations (CBD, metropolitan and regional areas).</w:t>
      </w:r>
    </w:p>
    <w:p w14:paraId="67C323BE" w14:textId="2BCB5B1B" w:rsidR="00923519" w:rsidRPr="00D253BD" w:rsidRDefault="00923519" w:rsidP="00EF3E32">
      <w:pPr>
        <w:rPr>
          <w:rFonts w:eastAsia="Times New Roman"/>
          <w:szCs w:val="18"/>
        </w:rPr>
      </w:pPr>
      <w:r w:rsidRPr="00D253BD">
        <w:rPr>
          <w:rFonts w:eastAsia="Times New Roman"/>
          <w:szCs w:val="18"/>
        </w:rPr>
        <w:t xml:space="preserve">Since 1 July 2019, property leases have been recorded as both right of use asset (ROU) and an associated ROU liability by each CAM department or agency. With the transfer of control of these under CAM to DTF, these </w:t>
      </w:r>
      <w:r w:rsidR="00AC6AEE" w:rsidRPr="00D253BD">
        <w:rPr>
          <w:rFonts w:eastAsia="Times New Roman"/>
          <w:szCs w:val="18"/>
        </w:rPr>
        <w:t>were</w:t>
      </w:r>
      <w:r w:rsidRPr="00D253BD">
        <w:rPr>
          <w:rFonts w:eastAsia="Times New Roman"/>
          <w:szCs w:val="18"/>
        </w:rPr>
        <w:t xml:space="preserve"> derecognised by departments and recognised by DTF as at 1 November 2019. The transfer of these leased assets and associated liabilities </w:t>
      </w:r>
      <w:r w:rsidR="00AC6AEE" w:rsidRPr="00D253BD">
        <w:rPr>
          <w:rFonts w:eastAsia="Times New Roman"/>
          <w:szCs w:val="18"/>
        </w:rPr>
        <w:t>was</w:t>
      </w:r>
      <w:r w:rsidRPr="00D253BD">
        <w:rPr>
          <w:rFonts w:eastAsia="Times New Roman"/>
          <w:szCs w:val="18"/>
        </w:rPr>
        <w:t xml:space="preserve"> approved to be designated as a transfer of capital contribution from 1 November 2019 under FRD 119 5(d).</w:t>
      </w:r>
      <w:r w:rsidR="00870D7B" w:rsidRPr="00D253BD">
        <w:rPr>
          <w:rFonts w:eastAsia="Times New Roman"/>
          <w:szCs w:val="18"/>
        </w:rPr>
        <w:t xml:space="preserve"> In addition, SSP has engaged with departments to transition office accommodation and relaxed budgets. Departments have actively engaged with SSP to work through the funding complexities and seek agreement on the quantum of their lease profile over the budget and forward estimates.</w:t>
      </w:r>
    </w:p>
    <w:p w14:paraId="0CB63522" w14:textId="3214876A" w:rsidR="000B3DAB" w:rsidRPr="00D253BD" w:rsidRDefault="00287130" w:rsidP="00EF3E32">
      <w:pPr>
        <w:rPr>
          <w:rFonts w:eastAsia="Times New Roman"/>
          <w:szCs w:val="18"/>
        </w:rPr>
      </w:pPr>
      <w:r w:rsidRPr="00D253BD">
        <w:rPr>
          <w:rFonts w:eastAsia="Times New Roman"/>
          <w:szCs w:val="18"/>
        </w:rPr>
        <w:t xml:space="preserve">In </w:t>
      </w:r>
      <w:r w:rsidR="001A3FBE" w:rsidRPr="00D253BD">
        <w:rPr>
          <w:rFonts w:eastAsia="Times New Roman"/>
          <w:szCs w:val="18"/>
        </w:rPr>
        <w:t>June 2020, the Assistant Treasurer endorsed the funding model for CAM, including documenting and recording a two-year short-term arrangement between SSP and departments from 1 November 2019 to 31</w:t>
      </w:r>
      <w:r w:rsidR="00E41BB2" w:rsidRPr="00D253BD">
        <w:rPr>
          <w:rFonts w:eastAsia="Times New Roman"/>
          <w:szCs w:val="18"/>
        </w:rPr>
        <w:t> </w:t>
      </w:r>
      <w:r w:rsidR="001A3FBE" w:rsidRPr="00D253BD">
        <w:rPr>
          <w:rFonts w:eastAsia="Times New Roman"/>
          <w:szCs w:val="18"/>
        </w:rPr>
        <w:t>October 2021.</w:t>
      </w:r>
      <w:r w:rsidR="00C22D7F" w:rsidRPr="00D253BD">
        <w:rPr>
          <w:rFonts w:eastAsia="Times New Roman"/>
          <w:szCs w:val="18"/>
        </w:rPr>
        <w:t xml:space="preserve"> DTF met with all affected client departments during June to discuss the new arrangements and ensured the new short</w:t>
      </w:r>
      <w:r w:rsidR="00531F14" w:rsidRPr="00D253BD">
        <w:rPr>
          <w:rFonts w:eastAsia="Times New Roman"/>
          <w:szCs w:val="18"/>
        </w:rPr>
        <w:t>-</w:t>
      </w:r>
      <w:r w:rsidR="00C22D7F" w:rsidRPr="00D253BD">
        <w:rPr>
          <w:rFonts w:eastAsia="Times New Roman"/>
          <w:szCs w:val="18"/>
        </w:rPr>
        <w:t xml:space="preserve">term agreements were signed by 30 June 2020. </w:t>
      </w:r>
    </w:p>
    <w:p w14:paraId="00B580B2" w14:textId="66328E28" w:rsidR="00C22D7F" w:rsidRPr="00D253BD" w:rsidRDefault="001E15F2" w:rsidP="00EF3E32">
      <w:pPr>
        <w:rPr>
          <w:rFonts w:eastAsia="Times New Roman"/>
          <w:szCs w:val="18"/>
        </w:rPr>
      </w:pPr>
      <w:r w:rsidRPr="00D253BD">
        <w:rPr>
          <w:rFonts w:eastAsia="Times New Roman"/>
          <w:szCs w:val="18"/>
        </w:rPr>
        <w:t>I</w:t>
      </w:r>
      <w:r w:rsidR="00642590" w:rsidRPr="00D253BD">
        <w:rPr>
          <w:rFonts w:eastAsia="Times New Roman"/>
          <w:szCs w:val="18"/>
        </w:rPr>
        <w:t>t was agreed</w:t>
      </w:r>
      <w:r w:rsidRPr="00D253BD">
        <w:rPr>
          <w:rFonts w:eastAsia="Times New Roman"/>
          <w:szCs w:val="18"/>
        </w:rPr>
        <w:t xml:space="preserve"> in collaboration with VAGO</w:t>
      </w:r>
      <w:r w:rsidR="00F45654">
        <w:rPr>
          <w:rFonts w:eastAsia="Times New Roman"/>
          <w:szCs w:val="18"/>
        </w:rPr>
        <w:t xml:space="preserve"> that</w:t>
      </w:r>
      <w:r w:rsidRPr="00D253BD">
        <w:rPr>
          <w:rFonts w:eastAsia="Times New Roman"/>
          <w:szCs w:val="18"/>
        </w:rPr>
        <w:t xml:space="preserve"> </w:t>
      </w:r>
      <w:r w:rsidR="00642590" w:rsidRPr="00D253BD">
        <w:rPr>
          <w:rFonts w:eastAsia="Times New Roman"/>
          <w:szCs w:val="18"/>
        </w:rPr>
        <w:t xml:space="preserve">the </w:t>
      </w:r>
      <w:r w:rsidRPr="00D253BD">
        <w:rPr>
          <w:rFonts w:eastAsia="Times New Roman"/>
          <w:szCs w:val="18"/>
        </w:rPr>
        <w:t>two</w:t>
      </w:r>
      <w:r w:rsidR="00531F14" w:rsidRPr="00D253BD">
        <w:rPr>
          <w:rFonts w:eastAsia="Times New Roman"/>
          <w:szCs w:val="18"/>
        </w:rPr>
        <w:t>-</w:t>
      </w:r>
      <w:r w:rsidR="00642590" w:rsidRPr="00D253BD">
        <w:rPr>
          <w:rFonts w:eastAsia="Times New Roman"/>
          <w:szCs w:val="18"/>
        </w:rPr>
        <w:t>year short</w:t>
      </w:r>
      <w:r w:rsidR="00531F14" w:rsidRPr="00D253BD">
        <w:rPr>
          <w:rFonts w:eastAsia="Times New Roman"/>
          <w:szCs w:val="18"/>
        </w:rPr>
        <w:t>-</w:t>
      </w:r>
      <w:r w:rsidR="00642590" w:rsidRPr="00D253BD">
        <w:rPr>
          <w:rFonts w:eastAsia="Times New Roman"/>
          <w:szCs w:val="18"/>
        </w:rPr>
        <w:t>term arrangement is to be treated as a service contract</w:t>
      </w:r>
      <w:r w:rsidRPr="00D253BD">
        <w:rPr>
          <w:rFonts w:eastAsia="Times New Roman"/>
          <w:szCs w:val="18"/>
        </w:rPr>
        <w:t xml:space="preserve">, where </w:t>
      </w:r>
      <w:r w:rsidR="00531F14" w:rsidRPr="00D253BD">
        <w:rPr>
          <w:rFonts w:eastAsia="Times New Roman"/>
          <w:szCs w:val="18"/>
        </w:rPr>
        <w:t xml:space="preserve">departments </w:t>
      </w:r>
      <w:r w:rsidRPr="00D253BD">
        <w:rPr>
          <w:rFonts w:eastAsia="Times New Roman"/>
          <w:szCs w:val="18"/>
        </w:rPr>
        <w:t>need to record the payments as service expenses and not leases and disclose in the commitments note of the financial statements the following:</w:t>
      </w:r>
    </w:p>
    <w:p w14:paraId="30DF42D2" w14:textId="7DDEC36D" w:rsidR="001E15F2" w:rsidRPr="0075117E" w:rsidRDefault="001E15F2" w:rsidP="00EF3E32">
      <w:pPr>
        <w:pStyle w:val="Bullet1"/>
        <w:rPr>
          <w:sz w:val="18"/>
          <w:szCs w:val="18"/>
        </w:rPr>
      </w:pPr>
      <w:r w:rsidRPr="0075117E">
        <w:rPr>
          <w:sz w:val="18"/>
          <w:szCs w:val="18"/>
        </w:rPr>
        <w:t>the existence of the occupancy service agreement with SSP, including the fact that a significant judgement was made that it is not a lease</w:t>
      </w:r>
      <w:r w:rsidR="00CF6980" w:rsidRPr="0075117E">
        <w:rPr>
          <w:sz w:val="18"/>
          <w:szCs w:val="18"/>
        </w:rPr>
        <w:t>;</w:t>
      </w:r>
      <w:r w:rsidRPr="0075117E">
        <w:rPr>
          <w:sz w:val="18"/>
          <w:szCs w:val="18"/>
        </w:rPr>
        <w:t xml:space="preserve"> and</w:t>
      </w:r>
    </w:p>
    <w:p w14:paraId="18EC0EC0" w14:textId="05848ABF" w:rsidR="002233EB" w:rsidRPr="002233EB" w:rsidRDefault="001E15F2" w:rsidP="002233EB">
      <w:pPr>
        <w:pStyle w:val="Bullet1"/>
        <w:rPr>
          <w:sz w:val="18"/>
          <w:szCs w:val="18"/>
        </w:rPr>
      </w:pPr>
      <w:r w:rsidRPr="0075117E">
        <w:rPr>
          <w:sz w:val="18"/>
          <w:szCs w:val="18"/>
        </w:rPr>
        <w:t>disclose the remaining cash commitments under the arrangement.</w:t>
      </w:r>
    </w:p>
    <w:p w14:paraId="0509A5F6" w14:textId="59F0C63A" w:rsidR="002233EB" w:rsidRPr="00D253BD" w:rsidRDefault="001A3FBE" w:rsidP="00EF3E32">
      <w:pPr>
        <w:rPr>
          <w:rFonts w:eastAsia="Times New Roman"/>
          <w:szCs w:val="18"/>
        </w:rPr>
      </w:pPr>
      <w:r w:rsidRPr="00D253BD">
        <w:rPr>
          <w:rFonts w:eastAsia="Times New Roman"/>
          <w:szCs w:val="18"/>
        </w:rPr>
        <w:t xml:space="preserve">After this transition the finalised CAM </w:t>
      </w:r>
      <w:r w:rsidR="00E41BB2" w:rsidRPr="00D253BD">
        <w:rPr>
          <w:rFonts w:eastAsia="Times New Roman"/>
          <w:szCs w:val="18"/>
        </w:rPr>
        <w:t xml:space="preserve">occupancy principles </w:t>
      </w:r>
      <w:r w:rsidRPr="00D253BD">
        <w:rPr>
          <w:rFonts w:eastAsia="Times New Roman"/>
          <w:szCs w:val="18"/>
        </w:rPr>
        <w:t>are expected to replace this arrangement.</w:t>
      </w:r>
    </w:p>
    <w:p w14:paraId="07085911" w14:textId="30A34494" w:rsidR="001A3FBE" w:rsidRPr="00D253BD" w:rsidRDefault="001A3FBE" w:rsidP="00EF3E32">
      <w:pPr>
        <w:rPr>
          <w:rFonts w:eastAsia="Times New Roman"/>
          <w:szCs w:val="18"/>
        </w:rPr>
      </w:pPr>
      <w:r w:rsidRPr="00D253BD">
        <w:rPr>
          <w:rFonts w:eastAsia="Times New Roman"/>
          <w:szCs w:val="18"/>
        </w:rPr>
        <w:t xml:space="preserve">The external lease arrangements will continue to be reflected within SSP as they have been since CAM </w:t>
      </w:r>
      <w:r w:rsidR="00870D7B" w:rsidRPr="00D253BD">
        <w:rPr>
          <w:rFonts w:eastAsia="Times New Roman"/>
          <w:szCs w:val="18"/>
        </w:rPr>
        <w:t>became operational on 1 November 2019.</w:t>
      </w:r>
      <w:r w:rsidRPr="00D253BD">
        <w:rPr>
          <w:rFonts w:eastAsia="Times New Roman"/>
          <w:szCs w:val="18"/>
        </w:rPr>
        <w:t xml:space="preserve"> </w:t>
      </w:r>
    </w:p>
    <w:p w14:paraId="4802960D" w14:textId="05964DDE" w:rsidR="00287130" w:rsidRDefault="000B3DAB" w:rsidP="00EF3E32">
      <w:pPr>
        <w:rPr>
          <w:rFonts w:eastAsia="Times New Roman"/>
          <w:szCs w:val="18"/>
        </w:rPr>
      </w:pPr>
      <w:r w:rsidRPr="00D253BD">
        <w:rPr>
          <w:rFonts w:eastAsia="Times New Roman"/>
          <w:szCs w:val="18"/>
        </w:rPr>
        <w:t>Any queries regarding CAM should be directed to your DTF relationship manager.</w:t>
      </w:r>
    </w:p>
    <w:p w14:paraId="0FF9CBB6" w14:textId="77777777" w:rsidR="002233EB" w:rsidRPr="008E0019" w:rsidRDefault="002233EB" w:rsidP="002233EB">
      <w:r w:rsidRPr="002233EB">
        <w:t>DTF h</w:t>
      </w:r>
      <w:r w:rsidRPr="008E0019">
        <w:t>as developed suggested disclosures for the two-year short-term arrangement for entities to consider for 30 June 2020 financial reporting. These disclosures are not mandatory:</w:t>
      </w:r>
    </w:p>
    <w:bookmarkStart w:id="23" w:name="_MON_1659441708"/>
    <w:bookmarkEnd w:id="23"/>
    <w:p w14:paraId="7235E68E" w14:textId="7D08AED9" w:rsidR="002233EB" w:rsidRPr="00D253BD" w:rsidRDefault="002233EB" w:rsidP="00672EAC">
      <w:pPr>
        <w:spacing w:after="0"/>
        <w:rPr>
          <w:rFonts w:eastAsia="Times New Roman"/>
          <w:szCs w:val="18"/>
        </w:rPr>
      </w:pPr>
      <w:r>
        <w:rPr>
          <w:rFonts w:eastAsia="Times New Roman"/>
          <w:szCs w:val="18"/>
        </w:rPr>
        <w:object w:dxaOrig="1487" w:dyaOrig="993" w14:anchorId="7C136AEC">
          <v:shape id="_x0000_i1026" type="#_x0000_t75" style="width:74.25pt;height:49.5pt" o:ole="">
            <v:imagedata r:id="rId37" o:title=""/>
          </v:shape>
          <o:OLEObject Type="Embed" ProgID="Word.Document.12" ShapeID="_x0000_i1026" DrawAspect="Icon" ObjectID="_1659769751" r:id="rId38">
            <o:FieldCodes>\s</o:FieldCodes>
          </o:OLEObject>
        </w:object>
      </w:r>
    </w:p>
    <w:p w14:paraId="2CA17BAD" w14:textId="03530DD1" w:rsidR="00923519" w:rsidRPr="00923519" w:rsidRDefault="00923519" w:rsidP="004F25BD">
      <w:pPr>
        <w:pStyle w:val="Heading1"/>
        <w:rPr>
          <w:rFonts w:eastAsia="Times New Roman"/>
        </w:rPr>
      </w:pPr>
      <w:bookmarkStart w:id="24" w:name="_Toc33614834"/>
      <w:bookmarkStart w:id="25" w:name="_Toc48907919"/>
      <w:bookmarkEnd w:id="21"/>
      <w:bookmarkEnd w:id="22"/>
      <w:r w:rsidRPr="00923519">
        <w:rPr>
          <w:rFonts w:eastAsia="Times New Roman"/>
        </w:rPr>
        <w:t>AASB update</w:t>
      </w:r>
      <w:bookmarkEnd w:id="24"/>
      <w:bookmarkEnd w:id="25"/>
      <w:r w:rsidR="00B55AB3">
        <w:rPr>
          <w:rFonts w:eastAsia="Times New Roman"/>
        </w:rPr>
        <w:t xml:space="preserve"> </w:t>
      </w:r>
    </w:p>
    <w:p w14:paraId="4A1256F7" w14:textId="6480FDE9" w:rsidR="00923519" w:rsidRPr="00923519" w:rsidRDefault="00923519" w:rsidP="00FC6550">
      <w:pPr>
        <w:pStyle w:val="Heading2"/>
        <w:rPr>
          <w:rFonts w:eastAsia="Times New Roman"/>
        </w:rPr>
      </w:pPr>
      <w:r w:rsidRPr="00923519">
        <w:rPr>
          <w:rFonts w:eastAsia="Times New Roman"/>
        </w:rPr>
        <w:t>Key AASB standards effective for 2019</w:t>
      </w:r>
      <w:r w:rsidR="00021458">
        <w:rPr>
          <w:rFonts w:eastAsia="Times New Roman"/>
        </w:rPr>
        <w:t>-</w:t>
      </w:r>
      <w:r w:rsidRPr="00923519">
        <w:rPr>
          <w:rFonts w:eastAsia="Times New Roman"/>
        </w:rPr>
        <w:t xml:space="preserve">20 </w:t>
      </w:r>
    </w:p>
    <w:p w14:paraId="3C9F27A2" w14:textId="702C9AB9" w:rsidR="00923519" w:rsidRPr="00923519" w:rsidRDefault="00923519" w:rsidP="00672EAC">
      <w:pPr>
        <w:pStyle w:val="Heading3"/>
        <w:spacing w:before="120"/>
        <w:rPr>
          <w:rFonts w:eastAsia="Times New Roman"/>
        </w:rPr>
      </w:pPr>
      <w:r w:rsidRPr="00923519">
        <w:rPr>
          <w:rFonts w:eastAsia="Times New Roman"/>
        </w:rPr>
        <w:t xml:space="preserve">AASB 15, AASB 1058 and </w:t>
      </w:r>
      <w:r w:rsidRPr="00672EAC">
        <w:t>AASB</w:t>
      </w:r>
      <w:r w:rsidRPr="00923519">
        <w:rPr>
          <w:rFonts w:eastAsia="Times New Roman"/>
        </w:rPr>
        <w:t> 16</w:t>
      </w:r>
    </w:p>
    <w:p w14:paraId="40C04CE4" w14:textId="77777777" w:rsidR="00923519" w:rsidRPr="00923519" w:rsidRDefault="00923519" w:rsidP="00923519">
      <w:pPr>
        <w:spacing w:before="120" w:after="120"/>
        <w:rPr>
          <w:rFonts w:ascii="Arial" w:eastAsia="Times New Roman" w:hAnsi="Arial" w:cs="Times New Roman"/>
        </w:rPr>
      </w:pPr>
      <w:r w:rsidRPr="00923519">
        <w:rPr>
          <w:rFonts w:ascii="Arial" w:eastAsia="Times New Roman" w:hAnsi="Arial" w:cs="Times New Roman"/>
        </w:rPr>
        <w:t>For not-for-profit entities, the following accounting standards apply to reporting periods beginning on or after 1 January 2019:</w:t>
      </w:r>
    </w:p>
    <w:p w14:paraId="2C5294E8" w14:textId="77777777" w:rsidR="00923519" w:rsidRPr="00B77C43" w:rsidRDefault="00923519" w:rsidP="00B77C43">
      <w:pPr>
        <w:pStyle w:val="ListParagraph"/>
        <w:numPr>
          <w:ilvl w:val="0"/>
          <w:numId w:val="34"/>
        </w:numPr>
        <w:spacing w:before="100" w:line="252" w:lineRule="auto"/>
        <w:rPr>
          <w:rFonts w:ascii="Arial" w:eastAsia="Times New Roman" w:hAnsi="Arial" w:cs="Calibri"/>
        </w:rPr>
      </w:pPr>
      <w:r w:rsidRPr="00B77C43">
        <w:rPr>
          <w:rFonts w:ascii="Arial" w:eastAsia="Times New Roman" w:hAnsi="Arial" w:cs="Calibri"/>
        </w:rPr>
        <w:t xml:space="preserve">AASB 15 </w:t>
      </w:r>
      <w:r w:rsidRPr="00B77C43">
        <w:rPr>
          <w:rFonts w:ascii="Arial" w:eastAsia="Times New Roman" w:hAnsi="Arial" w:cs="Calibri"/>
          <w:i/>
          <w:iCs/>
        </w:rPr>
        <w:t>Revenue from Contracts with Customers</w:t>
      </w:r>
      <w:r w:rsidRPr="00B77C43">
        <w:rPr>
          <w:rFonts w:ascii="Arial" w:eastAsia="Times New Roman" w:hAnsi="Arial" w:cs="Calibri"/>
        </w:rPr>
        <w:t>;</w:t>
      </w:r>
    </w:p>
    <w:p w14:paraId="77274618" w14:textId="77777777" w:rsidR="00923519" w:rsidRPr="00B77C43" w:rsidRDefault="00923519" w:rsidP="00B77C43">
      <w:pPr>
        <w:pStyle w:val="ListParagraph"/>
        <w:numPr>
          <w:ilvl w:val="0"/>
          <w:numId w:val="34"/>
        </w:numPr>
        <w:spacing w:before="100" w:line="252" w:lineRule="auto"/>
        <w:rPr>
          <w:rFonts w:ascii="Arial" w:eastAsia="Times New Roman" w:hAnsi="Arial" w:cs="Calibri"/>
        </w:rPr>
      </w:pPr>
      <w:r w:rsidRPr="00B77C43">
        <w:rPr>
          <w:rFonts w:ascii="Arial" w:eastAsia="Times New Roman" w:hAnsi="Arial" w:cs="Calibri"/>
        </w:rPr>
        <w:t xml:space="preserve">AASB 1058 </w:t>
      </w:r>
      <w:r w:rsidRPr="00B77C43">
        <w:rPr>
          <w:rFonts w:ascii="Arial" w:eastAsia="Times New Roman" w:hAnsi="Arial" w:cs="Calibri"/>
          <w:i/>
          <w:iCs/>
        </w:rPr>
        <w:t>Income of Not-for-Profit Entities</w:t>
      </w:r>
      <w:r w:rsidRPr="00B77C43">
        <w:rPr>
          <w:rFonts w:ascii="Arial" w:eastAsia="Times New Roman" w:hAnsi="Arial" w:cs="Calibri"/>
        </w:rPr>
        <w:t>; and</w:t>
      </w:r>
    </w:p>
    <w:p w14:paraId="38B9014D" w14:textId="77777777" w:rsidR="00923519" w:rsidRPr="00B77C43" w:rsidRDefault="00923519" w:rsidP="00B77C43">
      <w:pPr>
        <w:pStyle w:val="ListParagraph"/>
        <w:numPr>
          <w:ilvl w:val="0"/>
          <w:numId w:val="34"/>
        </w:numPr>
        <w:spacing w:before="100" w:line="252" w:lineRule="auto"/>
        <w:rPr>
          <w:rFonts w:ascii="Arial" w:eastAsia="Times New Roman" w:hAnsi="Arial" w:cs="Calibri"/>
        </w:rPr>
      </w:pPr>
      <w:r w:rsidRPr="00B77C43">
        <w:rPr>
          <w:rFonts w:ascii="Arial" w:eastAsia="Times New Roman" w:hAnsi="Arial" w:cs="Calibri"/>
        </w:rPr>
        <w:t xml:space="preserve">AASB 16 </w:t>
      </w:r>
      <w:r w:rsidRPr="00B77C43">
        <w:rPr>
          <w:rFonts w:ascii="Arial" w:eastAsia="Times New Roman" w:hAnsi="Arial" w:cs="Calibri"/>
          <w:i/>
        </w:rPr>
        <w:t>Leases</w:t>
      </w:r>
      <w:r w:rsidRPr="00B77C43">
        <w:rPr>
          <w:rFonts w:ascii="Arial" w:eastAsia="Times New Roman" w:hAnsi="Arial" w:cs="Calibri"/>
        </w:rPr>
        <w:t>.</w:t>
      </w:r>
    </w:p>
    <w:p w14:paraId="2C73C71B" w14:textId="77777777" w:rsidR="00923519" w:rsidRPr="00923519" w:rsidRDefault="00923519" w:rsidP="00923519">
      <w:pPr>
        <w:spacing w:before="120" w:after="120"/>
        <w:rPr>
          <w:rFonts w:ascii="Arial" w:eastAsia="Times New Roman" w:hAnsi="Arial" w:cs="Times New Roman"/>
        </w:rPr>
      </w:pPr>
      <w:r w:rsidRPr="00923519">
        <w:rPr>
          <w:rFonts w:ascii="Arial" w:eastAsia="Times New Roman" w:hAnsi="Arial" w:cs="Times New Roman"/>
        </w:rPr>
        <w:t xml:space="preserve">For Victorian Government entities with a 30 June year end, the initial application date was 1 July 2019. </w:t>
      </w:r>
    </w:p>
    <w:p w14:paraId="4C5B3F00" w14:textId="7A5E8D99" w:rsidR="00923519" w:rsidRDefault="00923519" w:rsidP="00672EAC">
      <w:pPr>
        <w:keepNext/>
        <w:spacing w:before="120" w:after="120"/>
        <w:rPr>
          <w:rFonts w:ascii="Arial" w:eastAsia="Times New Roman" w:hAnsi="Arial" w:cs="Times New Roman"/>
        </w:rPr>
      </w:pPr>
      <w:r w:rsidRPr="00923519">
        <w:rPr>
          <w:rFonts w:ascii="Arial" w:eastAsia="Times New Roman" w:hAnsi="Arial" w:cs="Times New Roman"/>
        </w:rPr>
        <w:lastRenderedPageBreak/>
        <w:t xml:space="preserve">Amending standards </w:t>
      </w:r>
      <w:r w:rsidR="00F44B91">
        <w:rPr>
          <w:rFonts w:ascii="Arial" w:eastAsia="Times New Roman" w:hAnsi="Arial" w:cs="Times New Roman"/>
        </w:rPr>
        <w:t xml:space="preserve">that have been issued between 1 January and 30 June 2020 to amend the application of </w:t>
      </w:r>
      <w:r w:rsidR="00724D1D">
        <w:rPr>
          <w:rFonts w:ascii="Arial" w:eastAsia="Times New Roman" w:hAnsi="Arial" w:cs="Times New Roman"/>
        </w:rPr>
        <w:t>AASB 16 include</w:t>
      </w:r>
      <w:r w:rsidR="00F44B91">
        <w:rPr>
          <w:rFonts w:ascii="Arial" w:eastAsia="Times New Roman" w:hAnsi="Arial" w:cs="Times New Roman"/>
        </w:rPr>
        <w:t>:</w:t>
      </w:r>
    </w:p>
    <w:p w14:paraId="468FF16D" w14:textId="63029B03" w:rsidR="002A4F4A" w:rsidRDefault="003440D8" w:rsidP="00EF3E32">
      <w:pPr>
        <w:pStyle w:val="Heading3"/>
        <w:rPr>
          <w:rFonts w:eastAsia="Times New Roman"/>
        </w:rPr>
      </w:pPr>
      <w:r>
        <w:rPr>
          <w:rFonts w:eastAsia="Times New Roman"/>
        </w:rPr>
        <w:t xml:space="preserve">AASB 2020-4 </w:t>
      </w:r>
      <w:r w:rsidRPr="00E41BB2">
        <w:rPr>
          <w:rFonts w:eastAsia="Times New Roman"/>
          <w:i/>
          <w:iCs/>
        </w:rPr>
        <w:t xml:space="preserve">Amendments to Australian Accounting Standards – </w:t>
      </w:r>
      <w:r w:rsidR="00510249" w:rsidRPr="00E41BB2">
        <w:rPr>
          <w:rFonts w:eastAsia="Times New Roman"/>
          <w:i/>
          <w:iCs/>
        </w:rPr>
        <w:t>COVID</w:t>
      </w:r>
      <w:r w:rsidRPr="00E41BB2">
        <w:rPr>
          <w:rFonts w:eastAsia="Times New Roman"/>
          <w:i/>
          <w:iCs/>
        </w:rPr>
        <w:t>-19-Related Rent Concessions</w:t>
      </w:r>
    </w:p>
    <w:p w14:paraId="01BEE0E7" w14:textId="091D34A4" w:rsidR="003440D8" w:rsidRDefault="003440D8" w:rsidP="00923519">
      <w:pPr>
        <w:spacing w:before="120" w:after="120"/>
        <w:rPr>
          <w:rFonts w:ascii="Arial" w:eastAsia="Times New Roman" w:hAnsi="Arial" w:cs="Times New Roman"/>
        </w:rPr>
      </w:pPr>
      <w:r>
        <w:rPr>
          <w:rFonts w:ascii="Arial" w:eastAsia="Times New Roman" w:hAnsi="Arial" w:cs="Times New Roman"/>
        </w:rPr>
        <w:t xml:space="preserve">This Standard amends AASB 16 to provide a practical expedient that permits lessees not to assess whether rent concessions that occur as a direct consequence of the </w:t>
      </w:r>
      <w:r w:rsidR="00510249">
        <w:rPr>
          <w:rFonts w:ascii="Arial" w:eastAsia="Times New Roman" w:hAnsi="Arial" w:cs="Times New Roman"/>
        </w:rPr>
        <w:t>COVID</w:t>
      </w:r>
      <w:r>
        <w:rPr>
          <w:rFonts w:ascii="Arial" w:eastAsia="Times New Roman" w:hAnsi="Arial" w:cs="Times New Roman"/>
        </w:rPr>
        <w:t xml:space="preserve">-19 pandemic and meet specified conditions are lease modifications and, instead, to account for those rent concessions as if they were not lease modifications (e.g. account for as variable lease payment instead). </w:t>
      </w:r>
    </w:p>
    <w:p w14:paraId="7BA3280D" w14:textId="526D92FF" w:rsidR="003440D8" w:rsidRDefault="003440D8" w:rsidP="00923519">
      <w:pPr>
        <w:spacing w:before="120" w:after="120"/>
        <w:rPr>
          <w:rFonts w:ascii="Arial" w:eastAsia="Times New Roman" w:hAnsi="Arial" w:cs="Times New Roman"/>
        </w:rPr>
      </w:pPr>
      <w:r>
        <w:rPr>
          <w:rFonts w:ascii="Arial" w:eastAsia="Times New Roman" w:hAnsi="Arial" w:cs="Times New Roman"/>
        </w:rPr>
        <w:t xml:space="preserve">The Standard applies to annual periods beginning on or after 1 June 2020 with earlier application permitted. </w:t>
      </w:r>
    </w:p>
    <w:p w14:paraId="50AD10F6" w14:textId="335B0397" w:rsidR="003440D8" w:rsidRDefault="003440D8" w:rsidP="00923519">
      <w:pPr>
        <w:spacing w:before="120" w:after="120"/>
        <w:rPr>
          <w:rFonts w:ascii="Arial" w:eastAsia="Times New Roman" w:hAnsi="Arial" w:cs="Times New Roman"/>
        </w:rPr>
      </w:pPr>
      <w:r w:rsidRPr="00FC0A90">
        <w:rPr>
          <w:rFonts w:ascii="Arial" w:eastAsia="Times New Roman" w:hAnsi="Arial" w:cs="Times New Roman"/>
        </w:rPr>
        <w:t>No similar relief is provided to lessors</w:t>
      </w:r>
      <w:r w:rsidR="000A2009">
        <w:rPr>
          <w:rFonts w:ascii="Arial" w:eastAsia="Times New Roman" w:hAnsi="Arial" w:cs="Times New Roman"/>
        </w:rPr>
        <w:t>,</w:t>
      </w:r>
      <w:r w:rsidRPr="00FC0A90">
        <w:rPr>
          <w:rFonts w:ascii="Arial" w:eastAsia="Times New Roman" w:hAnsi="Arial" w:cs="Times New Roman"/>
        </w:rPr>
        <w:t xml:space="preserve"> and therefore the </w:t>
      </w:r>
      <w:r w:rsidR="00747658" w:rsidRPr="00FC0A90">
        <w:rPr>
          <w:rFonts w:ascii="Arial" w:eastAsia="Times New Roman" w:hAnsi="Arial" w:cs="Times New Roman"/>
        </w:rPr>
        <w:t>lease modification requirements of AASB</w:t>
      </w:r>
      <w:r w:rsidR="00E41BB2">
        <w:rPr>
          <w:rFonts w:ascii="Arial" w:eastAsia="Times New Roman" w:hAnsi="Arial" w:cs="Times New Roman"/>
        </w:rPr>
        <w:t> </w:t>
      </w:r>
      <w:r w:rsidR="00747658" w:rsidRPr="00FC0A90">
        <w:rPr>
          <w:rFonts w:ascii="Arial" w:eastAsia="Times New Roman" w:hAnsi="Arial" w:cs="Times New Roman"/>
        </w:rPr>
        <w:t xml:space="preserve">16 </w:t>
      </w:r>
      <w:r w:rsidRPr="00FC0A90">
        <w:rPr>
          <w:rFonts w:ascii="Arial" w:eastAsia="Times New Roman" w:hAnsi="Arial" w:cs="Times New Roman"/>
        </w:rPr>
        <w:t xml:space="preserve">will need to be applied </w:t>
      </w:r>
      <w:r w:rsidR="00747658" w:rsidRPr="00FC0A90">
        <w:rPr>
          <w:rFonts w:ascii="Arial" w:eastAsia="Times New Roman" w:hAnsi="Arial" w:cs="Times New Roman"/>
        </w:rPr>
        <w:t xml:space="preserve">where rent concessions have been provided to lessees in response to </w:t>
      </w:r>
      <w:r w:rsidR="00510249">
        <w:rPr>
          <w:rFonts w:ascii="Arial" w:eastAsia="Times New Roman" w:hAnsi="Arial" w:cs="Times New Roman"/>
        </w:rPr>
        <w:t>COVID</w:t>
      </w:r>
      <w:r w:rsidR="00747658" w:rsidRPr="00FC0A90">
        <w:rPr>
          <w:rFonts w:ascii="Arial" w:eastAsia="Times New Roman" w:hAnsi="Arial" w:cs="Times New Roman"/>
        </w:rPr>
        <w:t>-19</w:t>
      </w:r>
      <w:r w:rsidRPr="00FC0A90">
        <w:rPr>
          <w:rFonts w:ascii="Arial" w:eastAsia="Times New Roman" w:hAnsi="Arial" w:cs="Times New Roman"/>
        </w:rPr>
        <w:t>.</w:t>
      </w:r>
    </w:p>
    <w:p w14:paraId="7D0B1F49" w14:textId="439B2A45" w:rsidR="003A631E" w:rsidRDefault="003A631E" w:rsidP="003A631E">
      <w:pPr>
        <w:spacing w:before="120" w:after="120"/>
        <w:rPr>
          <w:rFonts w:ascii="Arial" w:eastAsia="Times New Roman" w:hAnsi="Arial" w:cs="Times New Roman"/>
        </w:rPr>
      </w:pPr>
      <w:r>
        <w:rPr>
          <w:rFonts w:ascii="Arial" w:eastAsia="Times New Roman" w:hAnsi="Arial" w:cs="Times New Roman"/>
        </w:rPr>
        <w:t>A number of amending standards affecting AASB 15, AASB 16 and AASB 1058  were issued between 1 July to 31 December 2019 and entities should refer to the December 2019 newsletter for specific details of these, as well as other information included in previous newsletters. Information about the application of these standards have also been included in previous newsletters and entities should refer to these for guidance.</w:t>
      </w:r>
    </w:p>
    <w:p w14:paraId="2EBC2F14" w14:textId="7A0E5136" w:rsidR="003A631E" w:rsidRPr="00923519" w:rsidRDefault="003A631E" w:rsidP="003A631E">
      <w:pPr>
        <w:spacing w:before="120" w:after="120"/>
        <w:rPr>
          <w:rFonts w:ascii="Arial" w:eastAsia="Times New Roman" w:hAnsi="Arial" w:cs="Times New Roman"/>
        </w:rPr>
      </w:pPr>
      <w:r w:rsidRPr="00923519">
        <w:rPr>
          <w:rFonts w:ascii="Arial" w:eastAsia="Times New Roman" w:hAnsi="Arial" w:cs="Times New Roman"/>
        </w:rPr>
        <w:t xml:space="preserve">Entities can </w:t>
      </w:r>
      <w:r>
        <w:rPr>
          <w:rFonts w:ascii="Arial" w:eastAsia="Times New Roman" w:hAnsi="Arial" w:cs="Times New Roman"/>
        </w:rPr>
        <w:t xml:space="preserve">also </w:t>
      </w:r>
      <w:r w:rsidRPr="00923519">
        <w:rPr>
          <w:rFonts w:ascii="Arial" w:eastAsia="Times New Roman" w:hAnsi="Arial" w:cs="Times New Roman"/>
        </w:rPr>
        <w:t>refer to FRD</w:t>
      </w:r>
      <w:r w:rsidR="00672EAC">
        <w:rPr>
          <w:rFonts w:ascii="Arial" w:eastAsia="Times New Roman" w:hAnsi="Arial" w:cs="Times New Roman"/>
        </w:rPr>
        <w:t>s</w:t>
      </w:r>
      <w:r w:rsidRPr="00923519">
        <w:rPr>
          <w:rFonts w:ascii="Arial" w:eastAsia="Times New Roman" w:hAnsi="Arial" w:cs="Times New Roman"/>
        </w:rPr>
        <w:t xml:space="preserve"> 121, 122 and 123 which prescribe the transition requirements on the application of the new standards. </w:t>
      </w:r>
    </w:p>
    <w:p w14:paraId="28AD5923" w14:textId="63F774D9" w:rsidR="00923519" w:rsidRPr="00923519" w:rsidRDefault="00923519" w:rsidP="00672EAC">
      <w:pPr>
        <w:pStyle w:val="Heading3"/>
        <w:spacing w:before="180"/>
        <w:rPr>
          <w:rFonts w:eastAsia="Times New Roman"/>
        </w:rPr>
      </w:pPr>
      <w:r w:rsidRPr="00923519">
        <w:rPr>
          <w:rFonts w:eastAsia="Times New Roman"/>
        </w:rPr>
        <w:t xml:space="preserve">AASB 1059 </w:t>
      </w:r>
      <w:r w:rsidRPr="00E41BB2">
        <w:rPr>
          <w:rFonts w:eastAsia="Times New Roman"/>
          <w:i/>
          <w:iCs/>
        </w:rPr>
        <w:t>Service Concession Arrangements: Grantors</w:t>
      </w:r>
      <w:r w:rsidR="00FC6550">
        <w:rPr>
          <w:rFonts w:eastAsia="Times New Roman"/>
        </w:rPr>
        <w:t xml:space="preserve"> </w:t>
      </w:r>
    </w:p>
    <w:p w14:paraId="1D4163BE" w14:textId="7532632B" w:rsidR="00923519" w:rsidRPr="00923519" w:rsidRDefault="00923519" w:rsidP="00923519">
      <w:pPr>
        <w:spacing w:before="120" w:after="120"/>
        <w:rPr>
          <w:rFonts w:ascii="Arial" w:eastAsia="Times New Roman" w:hAnsi="Arial" w:cs="Times New Roman"/>
        </w:rPr>
      </w:pPr>
      <w:r w:rsidRPr="00923519">
        <w:rPr>
          <w:rFonts w:ascii="Arial" w:eastAsia="Times New Roman" w:hAnsi="Arial" w:cs="Times New Roman"/>
        </w:rPr>
        <w:t xml:space="preserve">AASB 1059 </w:t>
      </w:r>
      <w:r w:rsidRPr="00923519">
        <w:rPr>
          <w:rFonts w:ascii="Arial" w:eastAsia="Times New Roman" w:hAnsi="Arial" w:cs="Times New Roman"/>
          <w:i/>
        </w:rPr>
        <w:t>Service Concession Arrangements: Grantors</w:t>
      </w:r>
      <w:r w:rsidRPr="00923519">
        <w:rPr>
          <w:rFonts w:ascii="Arial" w:eastAsia="Times New Roman" w:hAnsi="Arial" w:cs="Times New Roman"/>
        </w:rPr>
        <w:t xml:space="preserve"> applies to reporting periods beginning on or after 1 January 2020</w:t>
      </w:r>
      <w:r w:rsidR="00ED5018">
        <w:rPr>
          <w:rFonts w:ascii="Arial" w:eastAsia="Times New Roman" w:hAnsi="Arial" w:cs="Times New Roman"/>
        </w:rPr>
        <w:t>,</w:t>
      </w:r>
      <w:r w:rsidRPr="00923519">
        <w:rPr>
          <w:rFonts w:ascii="Arial" w:eastAsia="Times New Roman" w:hAnsi="Arial" w:cs="Times New Roman"/>
        </w:rPr>
        <w:t xml:space="preserve"> however</w:t>
      </w:r>
      <w:r w:rsidR="00ED5018">
        <w:rPr>
          <w:rFonts w:ascii="Arial" w:eastAsia="Times New Roman" w:hAnsi="Arial" w:cs="Times New Roman"/>
        </w:rPr>
        <w:t>,</w:t>
      </w:r>
      <w:r w:rsidRPr="00923519">
        <w:rPr>
          <w:rFonts w:ascii="Arial" w:eastAsia="Times New Roman" w:hAnsi="Arial" w:cs="Times New Roman"/>
        </w:rPr>
        <w:t xml:space="preserve"> the State has adopted it one year earlier. This means that for entities with a 30 June year end, the initial application date was 1 July 2019.</w:t>
      </w:r>
    </w:p>
    <w:p w14:paraId="709C2332" w14:textId="43846B4B" w:rsidR="00923519" w:rsidRDefault="00923519" w:rsidP="00923519">
      <w:pPr>
        <w:spacing w:before="120" w:after="120"/>
        <w:rPr>
          <w:rFonts w:ascii="Arial" w:eastAsia="Times New Roman" w:hAnsi="Arial" w:cs="Times New Roman"/>
        </w:rPr>
      </w:pPr>
      <w:r w:rsidRPr="00923519">
        <w:rPr>
          <w:rFonts w:ascii="Arial" w:eastAsia="Times New Roman" w:hAnsi="Arial" w:cs="Times New Roman"/>
        </w:rPr>
        <w:t>Information about AASB 1059 has been included in previous newsletters and entities should refer to these for guidance</w:t>
      </w:r>
      <w:r w:rsidR="0089545D">
        <w:rPr>
          <w:rFonts w:ascii="Arial" w:eastAsia="Times New Roman" w:hAnsi="Arial" w:cs="Times New Roman"/>
        </w:rPr>
        <w:t>, including information about amending standards issued from 1 July to 31 December 2019 in the December 2019 newsletter</w:t>
      </w:r>
      <w:r w:rsidRPr="00923519">
        <w:rPr>
          <w:rFonts w:ascii="Arial" w:eastAsia="Times New Roman" w:hAnsi="Arial" w:cs="Times New Roman"/>
        </w:rPr>
        <w:t>.</w:t>
      </w:r>
      <w:r w:rsidR="0089545D">
        <w:rPr>
          <w:rFonts w:ascii="Arial" w:eastAsia="Times New Roman" w:hAnsi="Arial" w:cs="Times New Roman"/>
        </w:rPr>
        <w:t xml:space="preserve"> </w:t>
      </w:r>
    </w:p>
    <w:p w14:paraId="7055CC03" w14:textId="0278A966" w:rsidR="00B77C43" w:rsidRPr="00923519" w:rsidRDefault="0089545D" w:rsidP="00923519">
      <w:pPr>
        <w:spacing w:before="120" w:after="120"/>
        <w:rPr>
          <w:rFonts w:ascii="Arial" w:eastAsia="Times New Roman" w:hAnsi="Arial" w:cs="Times New Roman"/>
        </w:rPr>
      </w:pPr>
      <w:r>
        <w:rPr>
          <w:rFonts w:ascii="Arial" w:eastAsia="Times New Roman" w:hAnsi="Arial" w:cs="Times New Roman"/>
        </w:rPr>
        <w:t xml:space="preserve">No amending standards have been issued from 1 January to 30 June 2020 that impact AASB 1059. </w:t>
      </w:r>
    </w:p>
    <w:p w14:paraId="7B71BD1A" w14:textId="70FD8BDE" w:rsidR="00923519" w:rsidRPr="00923519" w:rsidRDefault="00923519" w:rsidP="00672EAC">
      <w:pPr>
        <w:pStyle w:val="Heading2"/>
        <w:spacing w:before="240"/>
        <w:rPr>
          <w:rFonts w:eastAsia="Times New Roman"/>
        </w:rPr>
      </w:pPr>
      <w:r w:rsidRPr="00672EAC">
        <w:t>Key</w:t>
      </w:r>
      <w:r w:rsidRPr="00923519">
        <w:rPr>
          <w:rFonts w:eastAsia="Times New Roman"/>
        </w:rPr>
        <w:t xml:space="preserve"> AASB</w:t>
      </w:r>
      <w:r w:rsidR="00E41BB2">
        <w:rPr>
          <w:rFonts w:eastAsia="Times New Roman"/>
        </w:rPr>
        <w:t xml:space="preserve"> </w:t>
      </w:r>
      <w:r w:rsidRPr="00923519">
        <w:rPr>
          <w:rFonts w:eastAsia="Times New Roman"/>
        </w:rPr>
        <w:t>Standards issued but not effective for 2019</w:t>
      </w:r>
      <w:r w:rsidRPr="00923519">
        <w:rPr>
          <w:rFonts w:eastAsia="Times New Roman"/>
        </w:rPr>
        <w:noBreakHyphen/>
        <w:t>20</w:t>
      </w:r>
      <w:r w:rsidR="002A499A">
        <w:rPr>
          <w:rFonts w:eastAsia="Times New Roman"/>
        </w:rPr>
        <w:t xml:space="preserve"> issued </w:t>
      </w:r>
      <w:r w:rsidR="0041627A">
        <w:rPr>
          <w:rFonts w:eastAsia="Times New Roman"/>
        </w:rPr>
        <w:t>since 1</w:t>
      </w:r>
      <w:r w:rsidR="00E41BB2">
        <w:rPr>
          <w:rFonts w:eastAsia="Times New Roman"/>
        </w:rPr>
        <w:t> </w:t>
      </w:r>
      <w:r w:rsidR="002A499A">
        <w:rPr>
          <w:rFonts w:eastAsia="Times New Roman"/>
        </w:rPr>
        <w:t>January</w:t>
      </w:r>
      <w:r w:rsidR="00E41BB2">
        <w:rPr>
          <w:rFonts w:eastAsia="Times New Roman"/>
        </w:rPr>
        <w:t> </w:t>
      </w:r>
      <w:r w:rsidR="002A499A">
        <w:rPr>
          <w:rFonts w:eastAsia="Times New Roman"/>
        </w:rPr>
        <w:t xml:space="preserve">2020 </w:t>
      </w:r>
    </w:p>
    <w:p w14:paraId="2FF132C5" w14:textId="0D91844A" w:rsidR="00BC73C0" w:rsidRPr="00CC7ECB" w:rsidRDefault="00BC73C0" w:rsidP="00923519">
      <w:pPr>
        <w:keepNext/>
        <w:spacing w:before="200" w:after="0"/>
        <w:outlineLvl w:val="3"/>
        <w:rPr>
          <w:rFonts w:ascii="Arial" w:eastAsia="Times New Roman" w:hAnsi="Arial" w:cs="Times New Roman"/>
          <w:iCs/>
          <w:color w:val="000000" w:themeColor="text1"/>
        </w:rPr>
      </w:pPr>
      <w:r w:rsidRPr="00CC7ECB">
        <w:rPr>
          <w:rFonts w:ascii="Arial" w:eastAsia="Times New Roman" w:hAnsi="Arial" w:cs="Times New Roman"/>
          <w:iCs/>
          <w:color w:val="000000" w:themeColor="text1"/>
        </w:rPr>
        <w:t>There ha</w:t>
      </w:r>
      <w:r w:rsidR="0041627A" w:rsidRPr="00CC7ECB">
        <w:rPr>
          <w:rFonts w:ascii="Arial" w:eastAsia="Times New Roman" w:hAnsi="Arial" w:cs="Times New Roman"/>
          <w:iCs/>
          <w:color w:val="000000" w:themeColor="text1"/>
        </w:rPr>
        <w:t>ve</w:t>
      </w:r>
      <w:r w:rsidRPr="00CC7ECB">
        <w:rPr>
          <w:rFonts w:ascii="Arial" w:eastAsia="Times New Roman" w:hAnsi="Arial" w:cs="Times New Roman"/>
          <w:iCs/>
          <w:color w:val="000000" w:themeColor="text1"/>
        </w:rPr>
        <w:t xml:space="preserve"> been no key AASB Standards issued from 1 January 2020 that will affect Victorian public sector reporting. </w:t>
      </w:r>
    </w:p>
    <w:p w14:paraId="1D1ECF43" w14:textId="5AF3FB59" w:rsidR="00923519" w:rsidRPr="00436ED6" w:rsidRDefault="00923519" w:rsidP="00FC6550">
      <w:pPr>
        <w:pStyle w:val="Heading2"/>
        <w:rPr>
          <w:rFonts w:eastAsia="Times New Roman"/>
        </w:rPr>
      </w:pPr>
      <w:r w:rsidRPr="00923519">
        <w:rPr>
          <w:rFonts w:eastAsia="Times New Roman"/>
        </w:rPr>
        <w:t>Other new standards issued since 1 J</w:t>
      </w:r>
      <w:r w:rsidR="002A1F3A">
        <w:rPr>
          <w:rFonts w:eastAsia="Times New Roman"/>
        </w:rPr>
        <w:t>anuary</w:t>
      </w:r>
      <w:r w:rsidRPr="00923519">
        <w:rPr>
          <w:rFonts w:eastAsia="Times New Roman"/>
        </w:rPr>
        <w:t xml:space="preserve"> 20</w:t>
      </w:r>
      <w:r w:rsidR="002A1F3A">
        <w:rPr>
          <w:rFonts w:eastAsia="Times New Roman"/>
        </w:rPr>
        <w:t>20</w:t>
      </w:r>
      <w:r w:rsidRPr="00923519">
        <w:rPr>
          <w:rFonts w:eastAsia="Times New Roman"/>
        </w:rPr>
        <w:t xml:space="preserve"> </w:t>
      </w:r>
    </w:p>
    <w:p w14:paraId="42020246" w14:textId="1B88A46D" w:rsidR="00923519" w:rsidRDefault="00923519" w:rsidP="00E41BB2">
      <w:pPr>
        <w:keepNext/>
        <w:spacing w:before="120" w:after="120"/>
        <w:rPr>
          <w:rFonts w:ascii="Arial" w:eastAsia="Times New Roman" w:hAnsi="Arial" w:cs="Times New Roman"/>
        </w:rPr>
      </w:pPr>
      <w:r w:rsidRPr="00923519">
        <w:rPr>
          <w:rFonts w:ascii="Arial" w:eastAsia="Times New Roman" w:hAnsi="Arial" w:cs="Times New Roman"/>
        </w:rPr>
        <w:t>We have only included amending standards below that may have an impact on Victorian public sector reporting. There have been other amending standards issued by the AASB</w:t>
      </w:r>
      <w:r w:rsidR="00ED5018">
        <w:rPr>
          <w:rFonts w:ascii="Arial" w:eastAsia="Times New Roman" w:hAnsi="Arial" w:cs="Times New Roman"/>
        </w:rPr>
        <w:t>,</w:t>
      </w:r>
      <w:r w:rsidRPr="00923519">
        <w:rPr>
          <w:rFonts w:ascii="Arial" w:eastAsia="Times New Roman" w:hAnsi="Arial" w:cs="Times New Roman"/>
        </w:rPr>
        <w:t> however</w:t>
      </w:r>
      <w:r w:rsidR="00ED5018">
        <w:rPr>
          <w:rFonts w:ascii="Arial" w:eastAsia="Times New Roman" w:hAnsi="Arial" w:cs="Times New Roman"/>
        </w:rPr>
        <w:t>,</w:t>
      </w:r>
      <w:r w:rsidRPr="00923519">
        <w:rPr>
          <w:rFonts w:ascii="Arial" w:eastAsia="Times New Roman" w:hAnsi="Arial" w:cs="Times New Roman"/>
        </w:rPr>
        <w:t xml:space="preserve"> information has not been included below because we deem them to have no impact. </w:t>
      </w:r>
    </w:p>
    <w:p w14:paraId="761FA957" w14:textId="55BB5853" w:rsidR="00BC73C0" w:rsidRDefault="00BC73C0" w:rsidP="00EF3E32">
      <w:pPr>
        <w:pStyle w:val="Heading3"/>
        <w:rPr>
          <w:rFonts w:eastAsia="Times New Roman"/>
        </w:rPr>
      </w:pPr>
      <w:r>
        <w:rPr>
          <w:rFonts w:eastAsia="Times New Roman"/>
        </w:rPr>
        <w:t xml:space="preserve">AASB 2020-1 </w:t>
      </w:r>
      <w:r w:rsidRPr="00E41BB2">
        <w:rPr>
          <w:rFonts w:eastAsia="Times New Roman"/>
          <w:i/>
          <w:iCs/>
        </w:rPr>
        <w:t xml:space="preserve">Amendments to Australian Accounting Standards </w:t>
      </w:r>
      <w:bookmarkStart w:id="26" w:name="_Hlk47703854"/>
      <w:r w:rsidRPr="00E41BB2">
        <w:rPr>
          <w:rFonts w:eastAsia="Times New Roman"/>
          <w:i/>
          <w:iCs/>
        </w:rPr>
        <w:t>–</w:t>
      </w:r>
      <w:bookmarkEnd w:id="26"/>
      <w:r w:rsidRPr="00E41BB2">
        <w:rPr>
          <w:rFonts w:eastAsia="Times New Roman"/>
          <w:i/>
          <w:iCs/>
        </w:rPr>
        <w:t xml:space="preserve"> Classification of Liabilities as Current or Non-Current</w:t>
      </w:r>
    </w:p>
    <w:p w14:paraId="0F3839C1" w14:textId="7CC6DBD2" w:rsidR="002A1F3A" w:rsidRDefault="002A1F3A" w:rsidP="00923519">
      <w:pPr>
        <w:spacing w:before="120" w:after="120"/>
        <w:rPr>
          <w:rFonts w:ascii="Arial" w:eastAsia="Times New Roman" w:hAnsi="Arial" w:cs="Times New Roman"/>
        </w:rPr>
      </w:pPr>
      <w:r>
        <w:rPr>
          <w:rFonts w:ascii="Arial" w:eastAsia="Times New Roman" w:hAnsi="Arial" w:cs="Times New Roman"/>
        </w:rPr>
        <w:t>This Standard amends AASB 101 to clarify requirements for the presentation of liabilities in the statement of financial position as current or non-current. A liability is classified as non-current if an entity has the right at the end of the reporting period to defer settlement of the liability for at least 12 months after the reporting period. The meaning of settlement of a liability is also clarified.</w:t>
      </w:r>
    </w:p>
    <w:p w14:paraId="73EC0EAF" w14:textId="22CD5FDC" w:rsidR="002A1F3A" w:rsidRDefault="00AE0FD5" w:rsidP="00923519">
      <w:pPr>
        <w:spacing w:before="120" w:after="120"/>
        <w:rPr>
          <w:rFonts w:ascii="Arial" w:eastAsia="Times New Roman" w:hAnsi="Arial" w:cs="Times New Roman"/>
        </w:rPr>
      </w:pPr>
      <w:r>
        <w:rPr>
          <w:rFonts w:ascii="Arial" w:eastAsia="Times New Roman" w:hAnsi="Arial" w:cs="Times New Roman"/>
        </w:rPr>
        <w:t xml:space="preserve">The standard was issued to apply to annual reporting periods beginning on or after 1 January 2022 with earlier application permitted. ED 301 </w:t>
      </w:r>
      <w:r>
        <w:rPr>
          <w:rFonts w:ascii="Arial" w:eastAsia="Times New Roman" w:hAnsi="Arial" w:cs="Times New Roman"/>
          <w:i/>
          <w:iCs/>
        </w:rPr>
        <w:t>Classification of Liabilities as Current or Non-current</w:t>
      </w:r>
      <w:r w:rsidR="00FC6550">
        <w:rPr>
          <w:rFonts w:ascii="Arial" w:eastAsia="Times New Roman" w:hAnsi="Arial" w:cs="Times New Roman"/>
          <w:i/>
          <w:iCs/>
        </w:rPr>
        <w:t xml:space="preserve"> – </w:t>
      </w:r>
      <w:r>
        <w:rPr>
          <w:rFonts w:ascii="Arial" w:eastAsia="Times New Roman" w:hAnsi="Arial" w:cs="Times New Roman"/>
          <w:i/>
          <w:iCs/>
        </w:rPr>
        <w:t xml:space="preserve">Deferral of Effective Date </w:t>
      </w:r>
      <w:r>
        <w:rPr>
          <w:rFonts w:ascii="Arial" w:eastAsia="Times New Roman" w:hAnsi="Arial" w:cs="Times New Roman"/>
        </w:rPr>
        <w:t xml:space="preserve">was issued, with comments closing in May 2020, which proposed deferring the effective date of the amendments </w:t>
      </w:r>
      <w:r w:rsidR="003604A9">
        <w:rPr>
          <w:rFonts w:ascii="Arial" w:eastAsia="Times New Roman" w:hAnsi="Arial" w:cs="Times New Roman"/>
        </w:rPr>
        <w:t xml:space="preserve">to reporting periods beginning on or after 1 January 2023. Earlier application is still permitted. </w:t>
      </w:r>
    </w:p>
    <w:p w14:paraId="126D3E02" w14:textId="457E41FF" w:rsidR="003604A9" w:rsidRPr="00B77C43" w:rsidRDefault="003604A9" w:rsidP="00923519">
      <w:pPr>
        <w:spacing w:before="120" w:after="120"/>
        <w:rPr>
          <w:rFonts w:ascii="Arial" w:eastAsia="Times New Roman" w:hAnsi="Arial" w:cs="Times New Roman"/>
        </w:rPr>
      </w:pPr>
      <w:r>
        <w:rPr>
          <w:rFonts w:ascii="Arial" w:eastAsia="Times New Roman" w:hAnsi="Arial" w:cs="Times New Roman"/>
        </w:rPr>
        <w:lastRenderedPageBreak/>
        <w:t xml:space="preserve">This standard is not expected to have a significant impact on the </w:t>
      </w:r>
      <w:r w:rsidR="00762B6A">
        <w:rPr>
          <w:rFonts w:ascii="Arial" w:eastAsia="Times New Roman" w:hAnsi="Arial" w:cs="Times New Roman"/>
        </w:rPr>
        <w:t>Victorian public sector.</w:t>
      </w:r>
    </w:p>
    <w:p w14:paraId="7A08EE34" w14:textId="6750F6E2" w:rsidR="002A1F3A" w:rsidRDefault="00762B6A" w:rsidP="00EF3E32">
      <w:pPr>
        <w:pStyle w:val="Heading3"/>
        <w:rPr>
          <w:rFonts w:eastAsia="Times New Roman"/>
        </w:rPr>
      </w:pPr>
      <w:r>
        <w:rPr>
          <w:rFonts w:eastAsia="Times New Roman"/>
        </w:rPr>
        <w:t xml:space="preserve">AASB 2020-3 </w:t>
      </w:r>
      <w:r w:rsidRPr="00E41BB2">
        <w:rPr>
          <w:rFonts w:eastAsia="Times New Roman"/>
          <w:i/>
          <w:iCs/>
        </w:rPr>
        <w:t>Amendments to Australian Accounting Standards</w:t>
      </w:r>
      <w:r w:rsidR="003C6947">
        <w:rPr>
          <w:rFonts w:eastAsia="Times New Roman"/>
          <w:i/>
          <w:iCs/>
        </w:rPr>
        <w:t xml:space="preserve"> </w:t>
      </w:r>
      <w:r w:rsidR="003C6947" w:rsidRPr="00E41BB2">
        <w:rPr>
          <w:rFonts w:eastAsia="Times New Roman"/>
          <w:i/>
          <w:iCs/>
        </w:rPr>
        <w:t>–</w:t>
      </w:r>
      <w:r w:rsidRPr="00E41BB2">
        <w:rPr>
          <w:rFonts w:eastAsia="Times New Roman"/>
          <w:i/>
          <w:iCs/>
        </w:rPr>
        <w:t xml:space="preserve"> Annual Improvements 2018-2020 and Other Amendments</w:t>
      </w:r>
    </w:p>
    <w:p w14:paraId="5DA58786" w14:textId="0027EA05" w:rsidR="00762B6A" w:rsidRPr="00CC7ECB" w:rsidRDefault="00762B6A" w:rsidP="00923519">
      <w:pPr>
        <w:spacing w:before="120" w:after="120"/>
        <w:rPr>
          <w:rFonts w:ascii="Arial" w:eastAsia="Times New Roman" w:hAnsi="Arial" w:cs="Times New Roman"/>
          <w:color w:val="000000" w:themeColor="text1"/>
        </w:rPr>
      </w:pPr>
      <w:r>
        <w:rPr>
          <w:rFonts w:ascii="Arial" w:eastAsia="Times New Roman" w:hAnsi="Arial" w:cs="Times New Roman"/>
        </w:rPr>
        <w:t>This Standard amends</w:t>
      </w:r>
      <w:r w:rsidR="000C4243">
        <w:rPr>
          <w:rFonts w:ascii="Arial" w:eastAsia="Times New Roman" w:hAnsi="Arial" w:cs="Times New Roman"/>
        </w:rPr>
        <w:t xml:space="preserve"> AASB 1, AASB 3, AASB 9, AASB 116, AASB 137 and AASB 141 which arise from changes made by the International Accounting Standards Board. Specific changes</w:t>
      </w:r>
      <w:r w:rsidR="00F6753D">
        <w:rPr>
          <w:rFonts w:ascii="Arial" w:eastAsia="Times New Roman" w:hAnsi="Arial" w:cs="Times New Roman"/>
        </w:rPr>
        <w:t xml:space="preserve"> </w:t>
      </w:r>
      <w:r w:rsidR="000C4243">
        <w:rPr>
          <w:rFonts w:ascii="Arial" w:eastAsia="Times New Roman" w:hAnsi="Arial" w:cs="Times New Roman"/>
        </w:rPr>
        <w:t>include</w:t>
      </w:r>
      <w:r w:rsidR="00F6753D">
        <w:rPr>
          <w:rFonts w:ascii="Arial" w:eastAsia="Times New Roman" w:hAnsi="Arial" w:cs="Times New Roman"/>
        </w:rPr>
        <w:t xml:space="preserve"> amendments </w:t>
      </w:r>
      <w:r w:rsidR="00F6753D" w:rsidRPr="00CC7ECB">
        <w:rPr>
          <w:rFonts w:ascii="Arial" w:eastAsia="Times New Roman" w:hAnsi="Arial" w:cs="Times New Roman"/>
          <w:color w:val="000000" w:themeColor="text1"/>
        </w:rPr>
        <w:t>to</w:t>
      </w:r>
      <w:r w:rsidR="000C4243" w:rsidRPr="00CC7ECB">
        <w:rPr>
          <w:rFonts w:ascii="Arial" w:eastAsia="Times New Roman" w:hAnsi="Arial" w:cs="Times New Roman"/>
          <w:color w:val="000000" w:themeColor="text1"/>
        </w:rPr>
        <w:t>:</w:t>
      </w:r>
    </w:p>
    <w:p w14:paraId="044CB073" w14:textId="2B4CDC82" w:rsidR="00F6753D" w:rsidRPr="00CC7ECB" w:rsidRDefault="000C4243" w:rsidP="00F6753D">
      <w:pPr>
        <w:pStyle w:val="Heading4numbered"/>
        <w:numPr>
          <w:ilvl w:val="0"/>
          <w:numId w:val="35"/>
        </w:numPr>
        <w:spacing w:before="120"/>
        <w:rPr>
          <w:b w:val="0"/>
          <w:bCs w:val="0"/>
          <w:color w:val="000000" w:themeColor="text1"/>
        </w:rPr>
      </w:pPr>
      <w:r w:rsidRPr="00CC7ECB">
        <w:rPr>
          <w:b w:val="0"/>
          <w:bCs w:val="0"/>
          <w:color w:val="000000" w:themeColor="text1"/>
        </w:rPr>
        <w:t xml:space="preserve">AASB 9 to clarify the fees an entity includes </w:t>
      </w:r>
      <w:r w:rsidR="00F6753D" w:rsidRPr="00CC7ECB">
        <w:rPr>
          <w:b w:val="0"/>
          <w:bCs w:val="0"/>
          <w:color w:val="000000" w:themeColor="text1"/>
        </w:rPr>
        <w:t>when assessing whether the terms of a new or modified financial liability are substantially different from the terms of the original financial liability</w:t>
      </w:r>
      <w:r w:rsidR="00CC7ECB">
        <w:rPr>
          <w:b w:val="0"/>
          <w:bCs w:val="0"/>
          <w:color w:val="000000" w:themeColor="text1"/>
        </w:rPr>
        <w:t>,</w:t>
      </w:r>
    </w:p>
    <w:p w14:paraId="0821B248" w14:textId="628060A3" w:rsidR="00F6753D" w:rsidRPr="00CC7ECB" w:rsidRDefault="00F6753D" w:rsidP="00F6753D">
      <w:pPr>
        <w:pStyle w:val="NormalIndent"/>
        <w:numPr>
          <w:ilvl w:val="0"/>
          <w:numId w:val="35"/>
        </w:numPr>
        <w:rPr>
          <w:rFonts w:ascii="Arial" w:eastAsia="Times New Roman" w:hAnsi="Arial" w:cs="Times New Roman"/>
          <w:iCs/>
          <w:color w:val="000000" w:themeColor="text1"/>
        </w:rPr>
      </w:pPr>
      <w:r w:rsidRPr="00CC7ECB">
        <w:rPr>
          <w:rFonts w:ascii="Arial" w:eastAsia="Times New Roman" w:hAnsi="Arial" w:cs="Times New Roman"/>
          <w:iCs/>
          <w:color w:val="000000" w:themeColor="text1"/>
        </w:rPr>
        <w:t>AASB 116 to require an entity to recognise the sales proceeds from selling items produced while preparing property, plant and equipment for its intended use and the related costs in profit or loss, instead of deducting the amounts received from the cost of the asset; and</w:t>
      </w:r>
    </w:p>
    <w:p w14:paraId="2B56C570" w14:textId="3279630A" w:rsidR="00F6753D" w:rsidRPr="00CC7ECB" w:rsidRDefault="00F6753D" w:rsidP="00F6753D">
      <w:pPr>
        <w:pStyle w:val="NormalIndent"/>
        <w:numPr>
          <w:ilvl w:val="0"/>
          <w:numId w:val="35"/>
        </w:numPr>
        <w:rPr>
          <w:rFonts w:ascii="Arial" w:eastAsia="Times New Roman" w:hAnsi="Arial" w:cs="Times New Roman"/>
          <w:iCs/>
          <w:color w:val="000000" w:themeColor="text1"/>
        </w:rPr>
      </w:pPr>
      <w:r w:rsidRPr="00CC7ECB">
        <w:rPr>
          <w:rFonts w:ascii="Arial" w:eastAsia="Times New Roman" w:hAnsi="Arial" w:cs="Times New Roman"/>
          <w:iCs/>
          <w:color w:val="000000" w:themeColor="text1"/>
        </w:rPr>
        <w:t>AASB 137 to specify the costs that an entity includes when assessing whether a contract is loss-making.</w:t>
      </w:r>
    </w:p>
    <w:p w14:paraId="75D94CA6" w14:textId="3C65BE11" w:rsidR="00F6753D" w:rsidRPr="00CC7ECB" w:rsidRDefault="00F6753D" w:rsidP="00F6753D">
      <w:pPr>
        <w:pStyle w:val="NormalIndent"/>
        <w:ind w:left="0"/>
        <w:rPr>
          <w:rFonts w:ascii="Arial" w:eastAsia="Times New Roman" w:hAnsi="Arial" w:cs="Times New Roman"/>
          <w:iCs/>
          <w:color w:val="000000" w:themeColor="text1"/>
        </w:rPr>
      </w:pPr>
      <w:r w:rsidRPr="00CC7ECB">
        <w:rPr>
          <w:rFonts w:ascii="Arial" w:eastAsia="Times New Roman" w:hAnsi="Arial" w:cs="Times New Roman"/>
          <w:iCs/>
          <w:color w:val="000000" w:themeColor="text1"/>
        </w:rPr>
        <w:t>This Standard applies to annual reporting periods beginning on or after 1 January 2022 with earlier application to individual standards permitted.</w:t>
      </w:r>
    </w:p>
    <w:p w14:paraId="410FB54C" w14:textId="4AE4703A" w:rsidR="00CE1405" w:rsidRPr="00CE1405" w:rsidRDefault="00F6753D" w:rsidP="00CE1405">
      <w:pPr>
        <w:rPr>
          <w:rFonts w:ascii="Arial" w:hAnsi="Arial" w:cs="Arial"/>
          <w:szCs w:val="18"/>
        </w:rPr>
      </w:pPr>
      <w:r w:rsidRPr="00CE1405">
        <w:rPr>
          <w:rFonts w:ascii="Arial" w:hAnsi="Arial" w:cs="Arial"/>
          <w:szCs w:val="18"/>
        </w:rPr>
        <w:t xml:space="preserve">This </w:t>
      </w:r>
      <w:r w:rsidR="003C6947">
        <w:rPr>
          <w:rFonts w:ascii="Arial" w:hAnsi="Arial" w:cs="Arial"/>
          <w:szCs w:val="18"/>
        </w:rPr>
        <w:t>S</w:t>
      </w:r>
      <w:r w:rsidR="003C6947" w:rsidRPr="00CE1405">
        <w:rPr>
          <w:rFonts w:ascii="Arial" w:hAnsi="Arial" w:cs="Arial"/>
          <w:szCs w:val="18"/>
        </w:rPr>
        <w:t xml:space="preserve">tandard </w:t>
      </w:r>
      <w:r w:rsidRPr="00CE1405">
        <w:rPr>
          <w:rFonts w:ascii="Arial" w:hAnsi="Arial" w:cs="Arial"/>
          <w:szCs w:val="18"/>
        </w:rPr>
        <w:t>is not expected to have a significant impact on the Victorian public sector.</w:t>
      </w:r>
    </w:p>
    <w:p w14:paraId="57A61151" w14:textId="4AB2DEBB" w:rsidR="00CE1405" w:rsidRPr="00CE1405" w:rsidRDefault="00B77C43" w:rsidP="00CE1405">
      <w:pPr>
        <w:rPr>
          <w:rFonts w:ascii="Arial" w:hAnsi="Arial" w:cs="Arial"/>
          <w:iCs/>
          <w:color w:val="000000" w:themeColor="text1"/>
          <w:szCs w:val="18"/>
        </w:rPr>
      </w:pPr>
      <w:r w:rsidRPr="00CE1405">
        <w:rPr>
          <w:rFonts w:ascii="Arial" w:hAnsi="Arial" w:cs="Arial"/>
          <w:iCs/>
          <w:color w:val="000000" w:themeColor="text1"/>
          <w:szCs w:val="18"/>
        </w:rPr>
        <w:t xml:space="preserve">Entities can refer to previous newsletters and Appendix 2 </w:t>
      </w:r>
      <w:r w:rsidRPr="00CE1405">
        <w:rPr>
          <w:rFonts w:ascii="Arial" w:hAnsi="Arial" w:cs="Arial"/>
          <w:i/>
          <w:color w:val="000000" w:themeColor="text1"/>
          <w:szCs w:val="18"/>
        </w:rPr>
        <w:t>Issued but not yet effective Australian accounting standards and reporting pronouncements</w:t>
      </w:r>
      <w:r w:rsidRPr="00CE1405">
        <w:rPr>
          <w:rFonts w:ascii="Arial" w:hAnsi="Arial" w:cs="Arial"/>
          <w:iCs/>
          <w:color w:val="000000" w:themeColor="text1"/>
          <w:szCs w:val="18"/>
        </w:rPr>
        <w:t xml:space="preserve"> of FRD 120N which summarises standards (including amending standards) that have been issued but are not effective for the 2019</w:t>
      </w:r>
      <w:r w:rsidR="000A2009">
        <w:rPr>
          <w:rFonts w:ascii="Arial" w:hAnsi="Arial" w:cs="Arial"/>
          <w:iCs/>
          <w:color w:val="000000" w:themeColor="text1"/>
          <w:szCs w:val="18"/>
        </w:rPr>
        <w:t>-</w:t>
      </w:r>
      <w:r w:rsidRPr="00CE1405">
        <w:rPr>
          <w:rFonts w:ascii="Arial" w:hAnsi="Arial" w:cs="Arial"/>
          <w:iCs/>
          <w:color w:val="000000" w:themeColor="text1"/>
          <w:szCs w:val="18"/>
        </w:rPr>
        <w:t xml:space="preserve">20 reporting period. </w:t>
      </w:r>
    </w:p>
    <w:p w14:paraId="196A3831" w14:textId="77777777" w:rsidR="0001399D" w:rsidRDefault="00923519" w:rsidP="00672EAC">
      <w:pPr>
        <w:pStyle w:val="Heading2"/>
        <w:rPr>
          <w:rFonts w:eastAsia="Times New Roman"/>
          <w:sz w:val="18"/>
          <w:szCs w:val="20"/>
        </w:rPr>
      </w:pPr>
      <w:r w:rsidRPr="00923519">
        <w:rPr>
          <w:rFonts w:eastAsia="Times New Roman"/>
        </w:rPr>
        <w:t xml:space="preserve">Exposure drafts </w:t>
      </w:r>
      <w:r w:rsidRPr="00672EAC">
        <w:t>issued</w:t>
      </w:r>
      <w:r w:rsidRPr="00923519">
        <w:rPr>
          <w:rFonts w:eastAsia="Times New Roman"/>
        </w:rPr>
        <w:t xml:space="preserve"> for comment by the AASB</w:t>
      </w:r>
      <w:r w:rsidR="00CC46AA">
        <w:rPr>
          <w:rFonts w:eastAsia="Times New Roman"/>
        </w:rPr>
        <w:t xml:space="preserve"> since 1 January 2020</w:t>
      </w:r>
      <w:r w:rsidR="00B55AB3">
        <w:rPr>
          <w:rFonts w:eastAsia="Times New Roman"/>
        </w:rPr>
        <w:t xml:space="preserve"> </w:t>
      </w:r>
    </w:p>
    <w:p w14:paraId="5EAFD35E" w14:textId="47E95175" w:rsidR="0001399D" w:rsidRDefault="00923519" w:rsidP="0001399D">
      <w:pPr>
        <w:spacing w:before="120" w:after="120"/>
        <w:rPr>
          <w:rFonts w:ascii="Arial" w:eastAsia="Times New Roman" w:hAnsi="Arial" w:cs="Times New Roman"/>
        </w:rPr>
      </w:pPr>
      <w:r w:rsidRPr="00923519">
        <w:rPr>
          <w:rFonts w:ascii="Arial" w:eastAsia="Times New Roman" w:hAnsi="Arial" w:cs="Times New Roman"/>
        </w:rPr>
        <w:t>We have only included exposure drafts</w:t>
      </w:r>
      <w:r w:rsidR="00C24D0A">
        <w:rPr>
          <w:rFonts w:ascii="Arial" w:eastAsia="Times New Roman" w:hAnsi="Arial" w:cs="Times New Roman"/>
        </w:rPr>
        <w:t xml:space="preserve"> (ED)</w:t>
      </w:r>
      <w:r w:rsidRPr="00923519">
        <w:rPr>
          <w:rFonts w:ascii="Arial" w:eastAsia="Times New Roman" w:hAnsi="Arial" w:cs="Times New Roman"/>
        </w:rPr>
        <w:t xml:space="preserve"> below that may have an impact on Victorian public sector reporting. There have been other exposure drafts issued</w:t>
      </w:r>
      <w:r w:rsidR="003C6947">
        <w:rPr>
          <w:rFonts w:ascii="Arial" w:eastAsia="Times New Roman" w:hAnsi="Arial" w:cs="Times New Roman"/>
        </w:rPr>
        <w:t>,</w:t>
      </w:r>
      <w:r w:rsidRPr="00923519">
        <w:rPr>
          <w:rFonts w:ascii="Arial" w:eastAsia="Times New Roman" w:hAnsi="Arial" w:cs="Times New Roman"/>
        </w:rPr>
        <w:t xml:space="preserve"> however</w:t>
      </w:r>
      <w:r w:rsidR="003C6947">
        <w:rPr>
          <w:rFonts w:ascii="Arial" w:eastAsia="Times New Roman" w:hAnsi="Arial" w:cs="Times New Roman"/>
        </w:rPr>
        <w:t>,</w:t>
      </w:r>
      <w:r w:rsidRPr="00923519">
        <w:rPr>
          <w:rFonts w:ascii="Arial" w:eastAsia="Times New Roman" w:hAnsi="Arial" w:cs="Times New Roman"/>
        </w:rPr>
        <w:t xml:space="preserve"> information has not been included below because we deem them to have no impact. </w:t>
      </w:r>
      <w:r w:rsidR="00710CAA">
        <w:rPr>
          <w:rFonts w:ascii="Arial" w:eastAsia="Times New Roman" w:hAnsi="Arial" w:cs="Times New Roman"/>
        </w:rPr>
        <w:t>All e</w:t>
      </w:r>
      <w:r w:rsidR="003A631E">
        <w:rPr>
          <w:rFonts w:ascii="Arial" w:eastAsia="Times New Roman" w:hAnsi="Arial" w:cs="Times New Roman"/>
        </w:rPr>
        <w:t>xposure drafts can be accessed by s</w:t>
      </w:r>
      <w:r w:rsidR="00710CAA">
        <w:rPr>
          <w:rFonts w:ascii="Arial" w:eastAsia="Times New Roman" w:hAnsi="Arial" w:cs="Times New Roman"/>
        </w:rPr>
        <w:t>earching</w:t>
      </w:r>
      <w:r w:rsidR="003A631E">
        <w:rPr>
          <w:rFonts w:ascii="Arial" w:eastAsia="Times New Roman" w:hAnsi="Arial" w:cs="Times New Roman"/>
        </w:rPr>
        <w:t xml:space="preserve"> ‘Exposure Drafts’ on th</w:t>
      </w:r>
      <w:r w:rsidR="00710CAA">
        <w:rPr>
          <w:rFonts w:ascii="Arial" w:eastAsia="Times New Roman" w:hAnsi="Arial" w:cs="Times New Roman"/>
        </w:rPr>
        <w:t>e following page</w:t>
      </w:r>
      <w:r w:rsidR="003A631E">
        <w:rPr>
          <w:rFonts w:ascii="Arial" w:eastAsia="Times New Roman" w:hAnsi="Arial" w:cs="Times New Roman"/>
        </w:rPr>
        <w:t xml:space="preserve">: </w:t>
      </w:r>
      <w:hyperlink r:id="rId39" w:history="1">
        <w:r w:rsidR="003A631E">
          <w:rPr>
            <w:rStyle w:val="Hyperlink"/>
          </w:rPr>
          <w:t>https://www.aasb.gov.au/Work-In-Progress/Search-for-a-specific-document.aspx</w:t>
        </w:r>
      </w:hyperlink>
      <w:r w:rsidR="00710CAA">
        <w:t>.</w:t>
      </w:r>
    </w:p>
    <w:p w14:paraId="195F1939" w14:textId="77777777" w:rsidR="0001399D" w:rsidRDefault="00D653B5" w:rsidP="00EF3E32">
      <w:pPr>
        <w:pStyle w:val="Heading3"/>
        <w:rPr>
          <w:rFonts w:eastAsia="Times New Roman"/>
        </w:rPr>
      </w:pPr>
      <w:r>
        <w:rPr>
          <w:rFonts w:eastAsia="Times New Roman"/>
        </w:rPr>
        <w:t xml:space="preserve">ED 298 </w:t>
      </w:r>
      <w:r w:rsidRPr="00E41BB2">
        <w:rPr>
          <w:rFonts w:eastAsia="Times New Roman"/>
          <w:i/>
          <w:iCs/>
        </w:rPr>
        <w:t>General Presentation and Disclosures</w:t>
      </w:r>
    </w:p>
    <w:p w14:paraId="28EE4C41" w14:textId="77777777" w:rsidR="0001399D" w:rsidRDefault="001C46A9" w:rsidP="0001399D">
      <w:pPr>
        <w:spacing w:before="120" w:after="120"/>
        <w:rPr>
          <w:rFonts w:ascii="Arial" w:eastAsia="Times New Roman" w:hAnsi="Arial" w:cs="Times New Roman"/>
        </w:rPr>
      </w:pPr>
      <w:r>
        <w:rPr>
          <w:rFonts w:ascii="Arial" w:eastAsia="Times New Roman" w:hAnsi="Arial" w:cs="Times New Roman"/>
        </w:rPr>
        <w:t xml:space="preserve">This </w:t>
      </w:r>
      <w:r w:rsidR="00C24D0A">
        <w:rPr>
          <w:rFonts w:ascii="Arial" w:eastAsia="Times New Roman" w:hAnsi="Arial" w:cs="Times New Roman"/>
        </w:rPr>
        <w:t xml:space="preserve">ED </w:t>
      </w:r>
      <w:r>
        <w:rPr>
          <w:rFonts w:ascii="Arial" w:eastAsia="Times New Roman" w:hAnsi="Arial" w:cs="Times New Roman"/>
        </w:rPr>
        <w:t xml:space="preserve">was issued by the International Accounting Standards Board (IASB) to improve how information is communicated in financial statements, with a focus on information about performance and the statement of profit or loss. </w:t>
      </w:r>
    </w:p>
    <w:p w14:paraId="20F5983C" w14:textId="40EB8BE9" w:rsidR="0001399D" w:rsidRDefault="00DF0177" w:rsidP="0001399D">
      <w:pPr>
        <w:spacing w:before="120" w:after="120"/>
        <w:rPr>
          <w:rFonts w:ascii="Arial" w:eastAsia="Times New Roman" w:hAnsi="Arial" w:cs="Times New Roman"/>
        </w:rPr>
      </w:pPr>
      <w:r>
        <w:rPr>
          <w:rFonts w:ascii="Arial" w:eastAsia="Times New Roman" w:hAnsi="Arial" w:cs="Times New Roman"/>
        </w:rPr>
        <w:t>The proposed changes are due to it becoming increasingly common for entities to report measures of financial</w:t>
      </w:r>
      <w:r w:rsidR="00C24D0A">
        <w:rPr>
          <w:rFonts w:ascii="Arial" w:eastAsia="Times New Roman" w:hAnsi="Arial" w:cs="Times New Roman"/>
        </w:rPr>
        <w:t xml:space="preserve"> performance that do not reflect the requirements of the accounting standards. Measures include ‘underlying profit’, ‘cash profit’, ‘core earnings’ and different forms of ‘EBITDA’. These are not always clearly reconciled to profit in the financial statements. With no clear authoritative guidance on the measures reported on, comparability is reduced both between entities and also for any given entity over time.</w:t>
      </w:r>
    </w:p>
    <w:p w14:paraId="63043446" w14:textId="3A563E50" w:rsidR="0001399D" w:rsidRDefault="00483025" w:rsidP="0001399D">
      <w:pPr>
        <w:spacing w:before="120" w:after="120"/>
        <w:rPr>
          <w:rFonts w:ascii="Arial" w:eastAsia="Times New Roman" w:hAnsi="Arial" w:cs="Times New Roman"/>
        </w:rPr>
      </w:pPr>
      <w:r>
        <w:rPr>
          <w:rFonts w:ascii="Arial" w:eastAsia="Times New Roman" w:hAnsi="Arial" w:cs="Times New Roman"/>
        </w:rPr>
        <w:t xml:space="preserve">Comments to the AASB are due on 15 August 2020. The AASB will submit their comments to the </w:t>
      </w:r>
      <w:r w:rsidR="001C46A9">
        <w:rPr>
          <w:rFonts w:ascii="Arial" w:eastAsia="Times New Roman" w:hAnsi="Arial" w:cs="Times New Roman"/>
        </w:rPr>
        <w:t>IASB</w:t>
      </w:r>
      <w:r>
        <w:rPr>
          <w:rFonts w:ascii="Arial" w:eastAsia="Times New Roman" w:hAnsi="Arial" w:cs="Times New Roman"/>
        </w:rPr>
        <w:t xml:space="preserve"> by 30</w:t>
      </w:r>
      <w:r w:rsidR="00E41BB2">
        <w:rPr>
          <w:rFonts w:ascii="Arial" w:eastAsia="Times New Roman" w:hAnsi="Arial" w:cs="Times New Roman"/>
        </w:rPr>
        <w:t> </w:t>
      </w:r>
      <w:r>
        <w:rPr>
          <w:rFonts w:ascii="Arial" w:eastAsia="Times New Roman" w:hAnsi="Arial" w:cs="Times New Roman"/>
        </w:rPr>
        <w:t>September 2020.</w:t>
      </w:r>
    </w:p>
    <w:p w14:paraId="55A80132" w14:textId="2AFDCB6A" w:rsidR="0001399D" w:rsidRDefault="00C24D0A" w:rsidP="0001399D">
      <w:pPr>
        <w:spacing w:before="120" w:after="120"/>
        <w:rPr>
          <w:rFonts w:ascii="Arial" w:eastAsia="Times New Roman" w:hAnsi="Arial" w:cs="Times New Roman"/>
        </w:rPr>
      </w:pPr>
      <w:r>
        <w:rPr>
          <w:rFonts w:ascii="Arial" w:eastAsia="Times New Roman" w:hAnsi="Arial" w:cs="Times New Roman"/>
        </w:rPr>
        <w:t xml:space="preserve">DTF reviewed the ED and </w:t>
      </w:r>
      <w:r w:rsidR="00ED5018">
        <w:rPr>
          <w:rFonts w:ascii="Arial" w:eastAsia="Times New Roman" w:hAnsi="Arial" w:cs="Times New Roman"/>
        </w:rPr>
        <w:t xml:space="preserve">is </w:t>
      </w:r>
      <w:r w:rsidR="00F0188D">
        <w:rPr>
          <w:rFonts w:ascii="Arial" w:eastAsia="Times New Roman" w:hAnsi="Arial" w:cs="Times New Roman"/>
        </w:rPr>
        <w:t>of the view that it is private</w:t>
      </w:r>
      <w:r w:rsidR="000A2009">
        <w:rPr>
          <w:rFonts w:ascii="Arial" w:eastAsia="Times New Roman" w:hAnsi="Arial" w:cs="Times New Roman"/>
        </w:rPr>
        <w:t>-</w:t>
      </w:r>
      <w:r w:rsidR="00F0188D">
        <w:rPr>
          <w:rFonts w:ascii="Arial" w:eastAsia="Times New Roman" w:hAnsi="Arial" w:cs="Times New Roman"/>
        </w:rPr>
        <w:t>sector focused. Further, it should be tailored to public sector needs</w:t>
      </w:r>
      <w:r w:rsidR="00ED5018">
        <w:rPr>
          <w:rFonts w:ascii="Arial" w:eastAsia="Times New Roman" w:hAnsi="Arial" w:cs="Times New Roman"/>
        </w:rPr>
        <w:t>.</w:t>
      </w:r>
    </w:p>
    <w:p w14:paraId="07896552" w14:textId="2FB345C1" w:rsidR="0001399D" w:rsidRDefault="00D653B5" w:rsidP="00672EAC">
      <w:pPr>
        <w:pStyle w:val="Heading3"/>
        <w:pageBreakBefore/>
        <w:rPr>
          <w:rFonts w:eastAsia="Times New Roman"/>
        </w:rPr>
      </w:pPr>
      <w:r>
        <w:rPr>
          <w:rFonts w:eastAsia="Times New Roman"/>
        </w:rPr>
        <w:lastRenderedPageBreak/>
        <w:t xml:space="preserve">ED 299 </w:t>
      </w:r>
      <w:r w:rsidRPr="00E41BB2">
        <w:rPr>
          <w:rFonts w:eastAsia="Times New Roman"/>
          <w:i/>
          <w:iCs/>
        </w:rPr>
        <w:t>Interest Rate Benchmark Reform – Phase 2</w:t>
      </w:r>
    </w:p>
    <w:p w14:paraId="2A29D565" w14:textId="0C530614" w:rsidR="0001399D" w:rsidRDefault="000775A6" w:rsidP="0001399D">
      <w:pPr>
        <w:spacing w:before="120" w:after="120"/>
        <w:rPr>
          <w:rFonts w:ascii="Arial" w:eastAsia="Times New Roman" w:hAnsi="Arial" w:cs="Times New Roman"/>
        </w:rPr>
      </w:pPr>
      <w:r w:rsidRPr="00CC7ECB">
        <w:rPr>
          <w:rFonts w:ascii="Arial" w:eastAsia="Times New Roman" w:hAnsi="Arial" w:cs="Times New Roman"/>
          <w:color w:val="000000" w:themeColor="text1"/>
        </w:rPr>
        <w:t xml:space="preserve">This ED </w:t>
      </w:r>
      <w:r w:rsidR="00705539" w:rsidRPr="00CC7ECB">
        <w:rPr>
          <w:rFonts w:ascii="Arial" w:eastAsia="Times New Roman" w:hAnsi="Arial" w:cs="Times New Roman"/>
          <w:color w:val="000000" w:themeColor="text1"/>
        </w:rPr>
        <w:t xml:space="preserve">was issued by the IASB and </w:t>
      </w:r>
      <w:r w:rsidRPr="00CC7ECB">
        <w:rPr>
          <w:rFonts w:ascii="Arial" w:eastAsia="Times New Roman" w:hAnsi="Arial" w:cs="Times New Roman"/>
          <w:color w:val="000000" w:themeColor="text1"/>
        </w:rPr>
        <w:t xml:space="preserve">sets out proposals for amendments to </w:t>
      </w:r>
      <w:r w:rsidR="00705539" w:rsidRPr="00CC7ECB">
        <w:rPr>
          <w:rFonts w:ascii="Arial" w:eastAsia="Times New Roman" w:hAnsi="Arial" w:cs="Times New Roman"/>
          <w:color w:val="000000" w:themeColor="text1"/>
        </w:rPr>
        <w:t>IFRS</w:t>
      </w:r>
      <w:r w:rsidRPr="00CC7ECB">
        <w:rPr>
          <w:rFonts w:ascii="Arial" w:eastAsia="Times New Roman" w:hAnsi="Arial" w:cs="Times New Roman"/>
          <w:color w:val="000000" w:themeColor="text1"/>
        </w:rPr>
        <w:t xml:space="preserve"> 9 </w:t>
      </w:r>
      <w:r w:rsidR="00705539" w:rsidRPr="00CC7ECB">
        <w:rPr>
          <w:rFonts w:ascii="Arial" w:eastAsia="Times New Roman" w:hAnsi="Arial" w:cs="Times New Roman"/>
          <w:i/>
          <w:iCs/>
          <w:color w:val="000000" w:themeColor="text1"/>
        </w:rPr>
        <w:t>Financial Instruments</w:t>
      </w:r>
      <w:r w:rsidR="00705539" w:rsidRPr="00CC7ECB">
        <w:rPr>
          <w:rFonts w:ascii="Arial" w:eastAsia="Times New Roman" w:hAnsi="Arial" w:cs="Times New Roman"/>
          <w:color w:val="000000" w:themeColor="text1"/>
        </w:rPr>
        <w:t>, IAS</w:t>
      </w:r>
      <w:r w:rsidR="00E41BB2">
        <w:rPr>
          <w:rFonts w:ascii="Arial" w:eastAsia="Times New Roman" w:hAnsi="Arial" w:cs="Times New Roman"/>
          <w:color w:val="000000" w:themeColor="text1"/>
        </w:rPr>
        <w:t> </w:t>
      </w:r>
      <w:r w:rsidR="00705539" w:rsidRPr="00CC7ECB">
        <w:rPr>
          <w:rFonts w:ascii="Arial" w:eastAsia="Times New Roman" w:hAnsi="Arial" w:cs="Times New Roman"/>
          <w:color w:val="000000" w:themeColor="text1"/>
        </w:rPr>
        <w:t xml:space="preserve">39 </w:t>
      </w:r>
      <w:r w:rsidR="00705539" w:rsidRPr="00CC7ECB">
        <w:rPr>
          <w:rFonts w:ascii="Arial" w:eastAsia="Times New Roman" w:hAnsi="Arial" w:cs="Times New Roman"/>
          <w:i/>
          <w:iCs/>
          <w:color w:val="000000" w:themeColor="text1"/>
        </w:rPr>
        <w:t>Financial Instruments: Recognition and Measurements</w:t>
      </w:r>
      <w:r w:rsidR="00705539" w:rsidRPr="00CC7ECB">
        <w:rPr>
          <w:rFonts w:ascii="Arial" w:eastAsia="Times New Roman" w:hAnsi="Arial" w:cs="Times New Roman"/>
          <w:color w:val="000000" w:themeColor="text1"/>
        </w:rPr>
        <w:t xml:space="preserve">, IFRS 7 </w:t>
      </w:r>
      <w:r w:rsidR="00705539" w:rsidRPr="00CC7ECB">
        <w:rPr>
          <w:rFonts w:ascii="Arial" w:eastAsia="Times New Roman" w:hAnsi="Arial" w:cs="Times New Roman"/>
          <w:i/>
          <w:iCs/>
          <w:color w:val="000000" w:themeColor="text1"/>
        </w:rPr>
        <w:t>Financial Instruments: Disclosures</w:t>
      </w:r>
      <w:r w:rsidR="00705539" w:rsidRPr="00CC7ECB">
        <w:rPr>
          <w:rFonts w:ascii="Arial" w:eastAsia="Times New Roman" w:hAnsi="Arial" w:cs="Times New Roman"/>
          <w:color w:val="000000" w:themeColor="text1"/>
        </w:rPr>
        <w:t xml:space="preserve">, IFRS 4 </w:t>
      </w:r>
      <w:r w:rsidR="00705539" w:rsidRPr="00CC7ECB">
        <w:rPr>
          <w:rFonts w:ascii="Arial" w:eastAsia="Times New Roman" w:hAnsi="Arial" w:cs="Times New Roman"/>
          <w:i/>
          <w:iCs/>
          <w:color w:val="000000" w:themeColor="text1"/>
        </w:rPr>
        <w:t>Insurance Contracts</w:t>
      </w:r>
      <w:r w:rsidR="00705539" w:rsidRPr="00CC7ECB">
        <w:rPr>
          <w:rFonts w:ascii="Arial" w:eastAsia="Times New Roman" w:hAnsi="Arial" w:cs="Times New Roman"/>
          <w:color w:val="000000" w:themeColor="text1"/>
        </w:rPr>
        <w:t xml:space="preserve"> and IFRS 16 </w:t>
      </w:r>
      <w:r w:rsidR="00705539" w:rsidRPr="00CC7ECB">
        <w:rPr>
          <w:rFonts w:ascii="Arial" w:eastAsia="Times New Roman" w:hAnsi="Arial" w:cs="Times New Roman"/>
          <w:i/>
          <w:iCs/>
          <w:color w:val="000000" w:themeColor="text1"/>
        </w:rPr>
        <w:t>Leases</w:t>
      </w:r>
      <w:r w:rsidR="00705539" w:rsidRPr="00CC7ECB">
        <w:rPr>
          <w:rFonts w:ascii="Arial" w:eastAsia="Times New Roman" w:hAnsi="Arial" w:cs="Times New Roman"/>
          <w:color w:val="000000" w:themeColor="text1"/>
        </w:rPr>
        <w:t xml:space="preserve">. </w:t>
      </w:r>
    </w:p>
    <w:p w14:paraId="005A8A67" w14:textId="5DAF54DF" w:rsidR="000E0E67" w:rsidRDefault="00705539" w:rsidP="000308A7">
      <w:pPr>
        <w:spacing w:before="120" w:after="120"/>
        <w:rPr>
          <w:rFonts w:ascii="Arial" w:eastAsia="Times New Roman" w:hAnsi="Arial" w:cs="Times New Roman"/>
        </w:rPr>
      </w:pPr>
      <w:r>
        <w:rPr>
          <w:rFonts w:ascii="Arial" w:eastAsia="Times New Roman" w:hAnsi="Arial" w:cs="Times New Roman"/>
        </w:rPr>
        <w:t xml:space="preserve">It follows the </w:t>
      </w:r>
      <w:r>
        <w:rPr>
          <w:rFonts w:ascii="Arial" w:eastAsia="Times New Roman" w:hAnsi="Arial" w:cs="Times New Roman"/>
          <w:i/>
          <w:iCs/>
        </w:rPr>
        <w:t>Interest Rate Benchmark Reform</w:t>
      </w:r>
      <w:r w:rsidR="00405BCA">
        <w:rPr>
          <w:rFonts w:ascii="Arial" w:eastAsia="Times New Roman" w:hAnsi="Arial" w:cs="Times New Roman"/>
          <w:i/>
          <w:iCs/>
        </w:rPr>
        <w:t xml:space="preserve"> </w:t>
      </w:r>
      <w:r w:rsidR="00405BCA">
        <w:rPr>
          <w:rFonts w:ascii="Arial" w:eastAsia="Times New Roman" w:hAnsi="Arial" w:cs="Times New Roman"/>
        </w:rPr>
        <w:t xml:space="preserve">which was issued in September 2019 </w:t>
      </w:r>
      <w:r w:rsidR="001C34D3">
        <w:rPr>
          <w:rFonts w:ascii="Arial" w:eastAsia="Times New Roman" w:hAnsi="Arial" w:cs="Times New Roman"/>
        </w:rPr>
        <w:t xml:space="preserve">(refer to AASB 2019-3 </w:t>
      </w:r>
      <w:r w:rsidR="001C34D3">
        <w:rPr>
          <w:rFonts w:ascii="Arial" w:eastAsia="Times New Roman" w:hAnsi="Arial" w:cs="Times New Roman"/>
          <w:i/>
          <w:iCs/>
        </w:rPr>
        <w:t>Amendments to Australian Accounting Standards – Interest Rate Benchmark Reform</w:t>
      </w:r>
      <w:r w:rsidR="001C34D3">
        <w:rPr>
          <w:rFonts w:ascii="Arial" w:eastAsia="Times New Roman" w:hAnsi="Arial" w:cs="Times New Roman"/>
        </w:rPr>
        <w:t>)</w:t>
      </w:r>
      <w:r w:rsidR="00994885">
        <w:rPr>
          <w:rFonts w:ascii="Arial" w:eastAsia="Times New Roman" w:hAnsi="Arial" w:cs="Times New Roman"/>
        </w:rPr>
        <w:t>.</w:t>
      </w:r>
      <w:r w:rsidR="001C34D3">
        <w:rPr>
          <w:rFonts w:ascii="Arial" w:eastAsia="Times New Roman" w:hAnsi="Arial" w:cs="Times New Roman"/>
        </w:rPr>
        <w:t xml:space="preserve"> </w:t>
      </w:r>
    </w:p>
    <w:p w14:paraId="1734CC9B" w14:textId="4508B9A4" w:rsidR="000308A7" w:rsidRDefault="000E0E67" w:rsidP="000308A7">
      <w:pPr>
        <w:spacing w:before="120" w:after="120"/>
        <w:rPr>
          <w:rFonts w:ascii="Arial" w:eastAsia="Times New Roman" w:hAnsi="Arial" w:cs="Times New Roman"/>
        </w:rPr>
      </w:pPr>
      <w:r>
        <w:rPr>
          <w:rFonts w:ascii="Arial" w:eastAsia="Times New Roman" w:hAnsi="Arial" w:cs="Times New Roman"/>
        </w:rPr>
        <w:t>ED 299</w:t>
      </w:r>
      <w:r w:rsidR="00405BCA">
        <w:rPr>
          <w:rFonts w:ascii="Arial" w:eastAsia="Times New Roman" w:hAnsi="Arial" w:cs="Times New Roman"/>
        </w:rPr>
        <w:t xml:space="preserve"> is the next phase of the project for the IASB to consider the effects of</w:t>
      </w:r>
      <w:r w:rsidR="00A7542B">
        <w:rPr>
          <w:rFonts w:ascii="Arial" w:eastAsia="Times New Roman" w:hAnsi="Arial" w:cs="Times New Roman"/>
        </w:rPr>
        <w:t xml:space="preserve"> the</w:t>
      </w:r>
      <w:r w:rsidR="00405BCA">
        <w:rPr>
          <w:rFonts w:ascii="Arial" w:eastAsia="Times New Roman" w:hAnsi="Arial" w:cs="Times New Roman"/>
        </w:rPr>
        <w:t xml:space="preserve"> interest rate benchmark reform on an entity’s financial statements when interest rate benchmarks are replaced with alternative, nearly risk-free interest rates that are based on transaction data</w:t>
      </w:r>
      <w:r w:rsidR="00B72B8F">
        <w:rPr>
          <w:rFonts w:ascii="Arial" w:eastAsia="Times New Roman" w:hAnsi="Arial" w:cs="Times New Roman"/>
        </w:rPr>
        <w:t>.</w:t>
      </w:r>
    </w:p>
    <w:p w14:paraId="236C870B" w14:textId="77777777" w:rsidR="000308A7" w:rsidRDefault="00D667B4" w:rsidP="000308A7">
      <w:pPr>
        <w:spacing w:before="120" w:after="120"/>
        <w:rPr>
          <w:rFonts w:ascii="Arial" w:eastAsia="Times New Roman" w:hAnsi="Arial" w:cs="Times New Roman"/>
        </w:rPr>
      </w:pPr>
      <w:r>
        <w:rPr>
          <w:rFonts w:ascii="Arial" w:eastAsia="Times New Roman" w:hAnsi="Arial" w:cs="Times New Roman"/>
        </w:rPr>
        <w:t xml:space="preserve">The objective is to assist entities with providing useful information to users of financial statements and to support preparers in applying IFRS Standards when changes are made to contractual cash flows or hedging relationships, as a result of the transition to alternative benchmark rates. </w:t>
      </w:r>
    </w:p>
    <w:p w14:paraId="2CDC5F90" w14:textId="77777777" w:rsidR="000308A7" w:rsidRDefault="00B72B8F" w:rsidP="000308A7">
      <w:pPr>
        <w:spacing w:before="120" w:after="120"/>
        <w:rPr>
          <w:rFonts w:ascii="Arial" w:eastAsia="Times New Roman" w:hAnsi="Arial" w:cs="Times New Roman"/>
        </w:rPr>
      </w:pPr>
      <w:r>
        <w:rPr>
          <w:rFonts w:ascii="Arial" w:eastAsia="Times New Roman" w:hAnsi="Arial" w:cs="Times New Roman"/>
        </w:rPr>
        <w:t xml:space="preserve">It is anticipated that the proposals in the ED will affect entities with financial assets and financial liabilities, including lease liabilities, that are referenced to an interest rate benchmark </w:t>
      </w:r>
      <w:r w:rsidR="00A7542B">
        <w:rPr>
          <w:rFonts w:ascii="Arial" w:eastAsia="Times New Roman" w:hAnsi="Arial" w:cs="Times New Roman"/>
        </w:rPr>
        <w:t xml:space="preserve">(e.g. IBOR) </w:t>
      </w:r>
      <w:r>
        <w:rPr>
          <w:rFonts w:ascii="Arial" w:eastAsia="Times New Roman" w:hAnsi="Arial" w:cs="Times New Roman"/>
        </w:rPr>
        <w:t>and have been or will be required to replace the interest rate benchmark with an alternative benchmark rate as a result of the reform. It will also affect entities that apply the hedge accounting requirements in IFRS 9 or IAS 39 to hedging relationships that are directly affected by the reform and entities that provide disclosures applying the requirements in IFRS 7.</w:t>
      </w:r>
    </w:p>
    <w:p w14:paraId="1BE73FCF" w14:textId="39625957" w:rsidR="000308A7" w:rsidRDefault="00A7542B" w:rsidP="000308A7">
      <w:pPr>
        <w:spacing w:before="120" w:after="120"/>
        <w:rPr>
          <w:rFonts w:ascii="Arial" w:eastAsia="Times New Roman" w:hAnsi="Arial" w:cs="Times New Roman"/>
        </w:rPr>
      </w:pPr>
      <w:r>
        <w:rPr>
          <w:rFonts w:ascii="Arial" w:eastAsia="Times New Roman" w:hAnsi="Arial" w:cs="Times New Roman"/>
        </w:rPr>
        <w:t xml:space="preserve">The IASB proposes that the amendments will apply to annual reporting periods beginning on or after </w:t>
      </w:r>
      <w:r w:rsidR="000E0E67">
        <w:rPr>
          <w:rFonts w:ascii="Arial" w:eastAsia="Times New Roman" w:hAnsi="Arial" w:cs="Times New Roman"/>
        </w:rPr>
        <w:t>1 </w:t>
      </w:r>
      <w:r>
        <w:rPr>
          <w:rFonts w:ascii="Arial" w:eastAsia="Times New Roman" w:hAnsi="Arial" w:cs="Times New Roman"/>
        </w:rPr>
        <w:t xml:space="preserve">January 2021 with earlier application permitted. Comments on the ED were due to the AASB by 15 May 2020 for their consideration before providing comment to the IASB on 25 May 2020. </w:t>
      </w:r>
    </w:p>
    <w:p w14:paraId="55FBFD38" w14:textId="77777777" w:rsidR="000308A7" w:rsidRDefault="001C34D3" w:rsidP="000308A7">
      <w:pPr>
        <w:spacing w:before="120" w:after="120"/>
        <w:rPr>
          <w:rFonts w:ascii="Arial" w:eastAsia="Times New Roman" w:hAnsi="Arial" w:cs="Times New Roman"/>
        </w:rPr>
      </w:pPr>
      <w:r>
        <w:rPr>
          <w:rFonts w:ascii="Arial" w:eastAsia="Times New Roman" w:hAnsi="Arial" w:cs="Times New Roman"/>
        </w:rPr>
        <w:t xml:space="preserve">This will have limited impact on Victorian public sector reporting. </w:t>
      </w:r>
      <w:bookmarkStart w:id="27" w:name="_Toc33614835"/>
    </w:p>
    <w:p w14:paraId="69A01D50" w14:textId="3CCC5978" w:rsidR="000308A7" w:rsidRDefault="00923519" w:rsidP="00672EAC">
      <w:pPr>
        <w:pStyle w:val="Heading1"/>
        <w:rPr>
          <w:rFonts w:eastAsia="Times New Roman"/>
          <w:spacing w:val="2"/>
          <w:sz w:val="18"/>
          <w:szCs w:val="20"/>
        </w:rPr>
      </w:pPr>
      <w:bookmarkStart w:id="28" w:name="_Toc48907920"/>
      <w:r w:rsidRPr="00923519">
        <w:rPr>
          <w:rFonts w:eastAsia="Times New Roman"/>
        </w:rPr>
        <w:t xml:space="preserve">Other </w:t>
      </w:r>
      <w:r w:rsidRPr="00672EAC">
        <w:t>developments</w:t>
      </w:r>
      <w:bookmarkEnd w:id="27"/>
      <w:bookmarkEnd w:id="28"/>
    </w:p>
    <w:p w14:paraId="2FC068C4" w14:textId="07E70EA6" w:rsidR="000308A7" w:rsidRDefault="000C7EDA" w:rsidP="00FC6550">
      <w:pPr>
        <w:pStyle w:val="Heading2"/>
        <w:rPr>
          <w:rFonts w:eastAsia="Times New Roman"/>
          <w:sz w:val="18"/>
          <w:szCs w:val="20"/>
        </w:rPr>
      </w:pPr>
      <w:r>
        <w:rPr>
          <w:rFonts w:eastAsia="Times New Roman"/>
        </w:rPr>
        <w:t xml:space="preserve">Financial reporting considerations – </w:t>
      </w:r>
      <w:r w:rsidR="00510249">
        <w:rPr>
          <w:rFonts w:eastAsia="Times New Roman"/>
        </w:rPr>
        <w:t>COVID</w:t>
      </w:r>
      <w:r>
        <w:rPr>
          <w:rFonts w:eastAsia="Times New Roman"/>
        </w:rPr>
        <w:t>-19</w:t>
      </w:r>
    </w:p>
    <w:p w14:paraId="535FA7D8" w14:textId="1AE9BB0F" w:rsidR="0041627A" w:rsidRDefault="00710CAA" w:rsidP="0041627A">
      <w:pPr>
        <w:keepNext/>
        <w:spacing w:before="180" w:after="120"/>
        <w:outlineLvl w:val="1"/>
        <w:rPr>
          <w:rFonts w:ascii="Arial" w:eastAsia="Times New Roman" w:hAnsi="Arial" w:cs="Times New Roman"/>
        </w:rPr>
      </w:pPr>
      <w:r>
        <w:rPr>
          <w:rFonts w:ascii="Arial" w:eastAsia="Times New Roman" w:hAnsi="Arial" w:cs="Times New Roman"/>
        </w:rPr>
        <w:t>DTF have</w:t>
      </w:r>
      <w:r w:rsidR="00353E59">
        <w:rPr>
          <w:rFonts w:ascii="Arial" w:eastAsia="Times New Roman" w:hAnsi="Arial" w:cs="Times New Roman"/>
        </w:rPr>
        <w:t xml:space="preserve"> provide</w:t>
      </w:r>
      <w:r>
        <w:rPr>
          <w:rFonts w:ascii="Arial" w:eastAsia="Times New Roman" w:hAnsi="Arial" w:cs="Times New Roman"/>
        </w:rPr>
        <w:t>d</w:t>
      </w:r>
      <w:r w:rsidR="00353E59">
        <w:rPr>
          <w:rFonts w:ascii="Arial" w:eastAsia="Times New Roman" w:hAnsi="Arial" w:cs="Times New Roman"/>
        </w:rPr>
        <w:t xml:space="preserve"> a guidance document to the sector that cover</w:t>
      </w:r>
      <w:r>
        <w:rPr>
          <w:rFonts w:ascii="Arial" w:eastAsia="Times New Roman" w:hAnsi="Arial" w:cs="Times New Roman"/>
        </w:rPr>
        <w:t>s</w:t>
      </w:r>
      <w:r w:rsidR="00353E59">
        <w:rPr>
          <w:rFonts w:ascii="Arial" w:eastAsia="Times New Roman" w:hAnsi="Arial" w:cs="Times New Roman"/>
        </w:rPr>
        <w:t xml:space="preserve"> the key areas anticipated to be impacted by </w:t>
      </w:r>
      <w:r w:rsidR="00510249">
        <w:rPr>
          <w:rFonts w:ascii="Arial" w:eastAsia="Times New Roman" w:hAnsi="Arial" w:cs="Times New Roman"/>
        </w:rPr>
        <w:t>COVID</w:t>
      </w:r>
      <w:r w:rsidR="00353E59">
        <w:rPr>
          <w:rFonts w:ascii="Arial" w:eastAsia="Times New Roman" w:hAnsi="Arial" w:cs="Times New Roman"/>
        </w:rPr>
        <w:t xml:space="preserve">-19 and the disclosure requirements/considerations </w:t>
      </w:r>
      <w:r>
        <w:rPr>
          <w:rFonts w:ascii="Arial" w:eastAsia="Times New Roman" w:hAnsi="Arial" w:cs="Times New Roman"/>
        </w:rPr>
        <w:t xml:space="preserve">for 30 June 2020 financial reporting. This guidance does not need to be mandatorily applied: </w:t>
      </w:r>
    </w:p>
    <w:bookmarkStart w:id="29" w:name="_MON_1659442964"/>
    <w:bookmarkEnd w:id="29"/>
    <w:p w14:paraId="21C902F1" w14:textId="64695F69" w:rsidR="00710CAA" w:rsidRDefault="00710CAA" w:rsidP="0041627A">
      <w:pPr>
        <w:keepNext/>
        <w:spacing w:before="180" w:after="120"/>
        <w:outlineLvl w:val="1"/>
        <w:rPr>
          <w:rFonts w:ascii="Arial" w:eastAsia="Times New Roman" w:hAnsi="Arial" w:cs="Times New Roman"/>
        </w:rPr>
      </w:pPr>
      <w:r>
        <w:rPr>
          <w:rFonts w:ascii="Arial" w:eastAsia="Times New Roman" w:hAnsi="Arial" w:cs="Times New Roman"/>
        </w:rPr>
        <w:object w:dxaOrig="1487" w:dyaOrig="993" w14:anchorId="397E28B8">
          <v:shape id="_x0000_i1027" type="#_x0000_t75" style="width:74.25pt;height:49.5pt" o:ole="">
            <v:imagedata r:id="rId40" o:title=""/>
          </v:shape>
          <o:OLEObject Type="Embed" ProgID="Word.Document.12" ShapeID="_x0000_i1027" DrawAspect="Icon" ObjectID="_1659769752" r:id="rId41">
            <o:FieldCodes>\s</o:FieldCodes>
          </o:OLEObject>
        </w:object>
      </w:r>
    </w:p>
    <w:p w14:paraId="43E51825" w14:textId="77777777" w:rsidR="00AB7320" w:rsidRPr="00B77C43" w:rsidRDefault="00AB7320" w:rsidP="0041627A">
      <w:pPr>
        <w:keepNext/>
        <w:spacing w:before="180" w:after="120"/>
        <w:outlineLvl w:val="1"/>
        <w:rPr>
          <w:rFonts w:ascii="Arial" w:eastAsia="Times New Roman" w:hAnsi="Arial" w:cs="Times New Roman"/>
        </w:rPr>
      </w:pPr>
    </w:p>
    <w:p w14:paraId="130B4D49" w14:textId="77777777" w:rsidR="00923519" w:rsidRPr="00923519" w:rsidRDefault="00923519" w:rsidP="00923519">
      <w:pPr>
        <w:spacing w:before="120" w:after="120"/>
        <w:rPr>
          <w:rFonts w:ascii="Arial" w:eastAsia="Times New Roman" w:hAnsi="Arial" w:cs="Times New Roman"/>
        </w:rPr>
        <w:sectPr w:rsidR="00923519" w:rsidRPr="00923519" w:rsidSect="00123F7E">
          <w:headerReference w:type="even" r:id="rId42"/>
          <w:headerReference w:type="default" r:id="rId43"/>
          <w:footerReference w:type="even" r:id="rId44"/>
          <w:headerReference w:type="first" r:id="rId45"/>
          <w:footerReference w:type="first" r:id="rId46"/>
          <w:pgSz w:w="11906" w:h="16838" w:code="9"/>
          <w:pgMar w:top="2160" w:right="1440" w:bottom="1354" w:left="1440" w:header="706" w:footer="461" w:gutter="0"/>
          <w:cols w:space="533"/>
          <w:docGrid w:linePitch="360"/>
        </w:sectPr>
      </w:pPr>
    </w:p>
    <w:p w14:paraId="33A09CC6" w14:textId="77777777" w:rsidR="00923519" w:rsidRPr="00923519" w:rsidRDefault="00923519" w:rsidP="004F25BD">
      <w:pPr>
        <w:pStyle w:val="Heading1"/>
        <w:rPr>
          <w:rFonts w:eastAsia="Times New Roman"/>
        </w:rPr>
      </w:pPr>
      <w:bookmarkStart w:id="30" w:name="_Toc33614836"/>
      <w:bookmarkStart w:id="31" w:name="_Toc48907921"/>
      <w:r w:rsidRPr="00923519">
        <w:rPr>
          <w:rFonts w:eastAsia="Times New Roman"/>
        </w:rPr>
        <w:lastRenderedPageBreak/>
        <w:t>How to contact us</w:t>
      </w:r>
      <w:bookmarkEnd w:id="30"/>
      <w:bookmarkEnd w:id="31"/>
    </w:p>
    <w:p w14:paraId="33AB14B3" w14:textId="77777777" w:rsidR="00923519" w:rsidRPr="00923519" w:rsidRDefault="00923519" w:rsidP="00923519">
      <w:pPr>
        <w:keepNext/>
        <w:spacing w:before="180" w:after="120"/>
        <w:outlineLvl w:val="1"/>
        <w:rPr>
          <w:rFonts w:ascii="Arial" w:eastAsia="Times New Roman" w:hAnsi="Arial" w:cs="Times New Roman"/>
          <w:b/>
          <w:bCs/>
          <w:color w:val="0063A6"/>
          <w:szCs w:val="26"/>
        </w:rPr>
        <w:sectPr w:rsidR="00923519" w:rsidRPr="00923519" w:rsidSect="00123F7E">
          <w:headerReference w:type="even" r:id="rId47"/>
          <w:headerReference w:type="default" r:id="rId48"/>
          <w:footerReference w:type="even" r:id="rId49"/>
          <w:headerReference w:type="first" r:id="rId50"/>
          <w:footerReference w:type="first" r:id="rId51"/>
          <w:pgSz w:w="11906" w:h="16838" w:code="9"/>
          <w:pgMar w:top="2160" w:right="1440" w:bottom="1354" w:left="1440" w:header="706" w:footer="461" w:gutter="0"/>
          <w:cols w:num="2" w:space="533"/>
          <w:docGrid w:linePitch="360"/>
        </w:sectPr>
      </w:pPr>
    </w:p>
    <w:p w14:paraId="4545D66B" w14:textId="04EEEF06" w:rsidR="00923519" w:rsidRPr="00923519" w:rsidRDefault="00923519" w:rsidP="00EF3E32">
      <w:pPr>
        <w:pStyle w:val="Heading2"/>
        <w:rPr>
          <w:rFonts w:eastAsia="Times New Roman"/>
        </w:rPr>
      </w:pPr>
      <w:r w:rsidRPr="00923519">
        <w:rPr>
          <w:rFonts w:eastAsia="Times New Roman"/>
        </w:rPr>
        <w:t xml:space="preserve">AccPol </w:t>
      </w:r>
      <w:r w:rsidR="00455C50" w:rsidRPr="00923519">
        <w:rPr>
          <w:rFonts w:eastAsia="Times New Roman"/>
        </w:rPr>
        <w:t>mailbox</w:t>
      </w:r>
    </w:p>
    <w:p w14:paraId="233F93F9" w14:textId="77777777" w:rsidR="00923519" w:rsidRPr="00923519" w:rsidRDefault="00923519" w:rsidP="00923519">
      <w:pPr>
        <w:spacing w:before="120" w:after="120"/>
        <w:rPr>
          <w:rFonts w:ascii="Arial" w:eastAsia="Arial" w:hAnsi="Arial" w:cs="Times New Roman"/>
        </w:rPr>
      </w:pPr>
      <w:r w:rsidRPr="00923519">
        <w:rPr>
          <w:rFonts w:ascii="Arial" w:eastAsia="Arial" w:hAnsi="Arial" w:cs="Times New Roman"/>
        </w:rPr>
        <w:t xml:space="preserve">When </w:t>
      </w:r>
      <w:r w:rsidRPr="00923519">
        <w:rPr>
          <w:rFonts w:ascii="Arial" w:eastAsia="Times New Roman" w:hAnsi="Arial" w:cs="Times New Roman"/>
        </w:rPr>
        <w:t xml:space="preserve">directing accounting policy enquiries to DTF at </w:t>
      </w:r>
      <w:hyperlink r:id="rId52" w:history="1">
        <w:r w:rsidRPr="00923519">
          <w:rPr>
            <w:rFonts w:ascii="Arial" w:eastAsia="Times New Roman" w:hAnsi="Arial" w:cs="Times New Roman"/>
            <w:color w:val="53565A"/>
          </w:rPr>
          <w:t>accpol@dtf.vic.gov.au</w:t>
        </w:r>
      </w:hyperlink>
      <w:r w:rsidRPr="00923519">
        <w:rPr>
          <w:rFonts w:ascii="Arial" w:eastAsia="Times New Roman" w:hAnsi="Arial" w:cs="Times New Roman"/>
          <w:color w:val="000000"/>
        </w:rPr>
        <w:t>,</w:t>
      </w:r>
      <w:r w:rsidRPr="00923519">
        <w:rPr>
          <w:rFonts w:ascii="Arial" w:eastAsia="Arial" w:hAnsi="Arial" w:cs="Times New Roman"/>
          <w:color w:val="000000"/>
        </w:rPr>
        <w:t xml:space="preserve"> </w:t>
      </w:r>
      <w:r w:rsidRPr="00923519">
        <w:rPr>
          <w:rFonts w:ascii="Arial" w:eastAsia="Arial" w:hAnsi="Arial" w:cs="Times New Roman"/>
          <w:b/>
          <w:bCs/>
          <w:color w:val="000000"/>
        </w:rPr>
        <w:t>de</w:t>
      </w:r>
      <w:r w:rsidRPr="00923519">
        <w:rPr>
          <w:rFonts w:ascii="Arial" w:eastAsia="Arial" w:hAnsi="Arial" w:cs="Times New Roman"/>
          <w:b/>
          <w:bCs/>
        </w:rPr>
        <w:t>partments</w:t>
      </w:r>
      <w:r w:rsidRPr="00923519">
        <w:rPr>
          <w:rFonts w:ascii="Arial" w:eastAsia="Arial" w:hAnsi="Arial" w:cs="Times New Roman"/>
        </w:rPr>
        <w:t xml:space="preserve"> are requested to </w:t>
      </w:r>
      <w:r w:rsidRPr="00923519">
        <w:rPr>
          <w:rFonts w:ascii="Arial" w:eastAsia="Times New Roman" w:hAnsi="Arial" w:cs="Times New Roman"/>
        </w:rPr>
        <w:t>support</w:t>
      </w:r>
      <w:r w:rsidRPr="00923519">
        <w:rPr>
          <w:rFonts w:ascii="Arial" w:eastAsia="Arial" w:hAnsi="Arial" w:cs="Times New Roman"/>
        </w:rPr>
        <w:t xml:space="preserve"> their questions with the facts and with clear referencing to Accounting Standards, FRDs and </w:t>
      </w:r>
      <w:r w:rsidRPr="00923519">
        <w:rPr>
          <w:rFonts w:ascii="Arial" w:eastAsia="Times New Roman" w:hAnsi="Arial" w:cs="Times New Roman"/>
        </w:rPr>
        <w:t>other</w:t>
      </w:r>
      <w:r w:rsidRPr="00923519">
        <w:rPr>
          <w:rFonts w:ascii="Arial" w:eastAsia="Arial" w:hAnsi="Arial" w:cs="Times New Roman"/>
        </w:rPr>
        <w:t xml:space="preserve"> authoritative pronouncements related to their queries.</w:t>
      </w:r>
    </w:p>
    <w:p w14:paraId="591C8DC6" w14:textId="77777777" w:rsidR="00923519" w:rsidRPr="00923519" w:rsidRDefault="00923519" w:rsidP="00923519">
      <w:pPr>
        <w:spacing w:before="120" w:after="120"/>
        <w:rPr>
          <w:rFonts w:ascii="Arial" w:eastAsia="Arial" w:hAnsi="Arial" w:cs="Times New Roman"/>
        </w:rPr>
      </w:pPr>
      <w:r w:rsidRPr="00923519">
        <w:rPr>
          <w:rFonts w:ascii="Arial" w:eastAsia="Arial" w:hAnsi="Arial" w:cs="Times New Roman"/>
          <w:b/>
          <w:bCs/>
        </w:rPr>
        <w:t>Other entities</w:t>
      </w:r>
      <w:r w:rsidRPr="00923519">
        <w:rPr>
          <w:rFonts w:ascii="Arial" w:eastAsia="Arial" w:hAnsi="Arial" w:cs="Times New Roman"/>
        </w:rPr>
        <w:t xml:space="preserve"> are requested to contact their portfolio department in the first instance to resolve any accounting policy issues.</w:t>
      </w:r>
    </w:p>
    <w:p w14:paraId="3777C85C" w14:textId="77777777" w:rsidR="00923519" w:rsidRPr="00923519" w:rsidRDefault="00923519" w:rsidP="00EF3E32">
      <w:pPr>
        <w:pStyle w:val="Heading2"/>
        <w:rPr>
          <w:rFonts w:eastAsia="Times New Roman"/>
        </w:rPr>
      </w:pPr>
      <w:r w:rsidRPr="00923519">
        <w:rPr>
          <w:rFonts w:eastAsia="Times New Roman"/>
        </w:rPr>
        <w:t>Useful websites</w:t>
      </w:r>
    </w:p>
    <w:p w14:paraId="094E4CB0" w14:textId="77777777" w:rsidR="00923519" w:rsidRPr="00923519" w:rsidRDefault="00923519" w:rsidP="00923519">
      <w:pPr>
        <w:spacing w:before="120" w:after="120"/>
        <w:rPr>
          <w:rFonts w:ascii="Arial" w:eastAsia="Times New Roman" w:hAnsi="Arial" w:cs="Times New Roman"/>
        </w:rPr>
      </w:pPr>
      <w:r w:rsidRPr="00923519">
        <w:rPr>
          <w:rFonts w:ascii="Arial" w:eastAsia="Times New Roman" w:hAnsi="Arial" w:cs="Times New Roman"/>
          <w:b/>
        </w:rPr>
        <w:t>AASB </w:t>
      </w:r>
      <w:r w:rsidRPr="00923519">
        <w:rPr>
          <w:rFonts w:ascii="Arial" w:eastAsia="Times New Roman" w:hAnsi="Arial" w:cs="Times New Roman"/>
        </w:rPr>
        <w:t xml:space="preserve">– </w:t>
      </w:r>
      <w:hyperlink r:id="rId53" w:history="1">
        <w:r w:rsidRPr="00923519">
          <w:rPr>
            <w:rFonts w:ascii="Arial" w:eastAsia="Times New Roman" w:hAnsi="Arial" w:cs="Times New Roman"/>
            <w:color w:val="53565A"/>
          </w:rPr>
          <w:t>www.aasb.com.au</w:t>
        </w:r>
      </w:hyperlink>
      <w:r w:rsidRPr="00923519">
        <w:rPr>
          <w:rFonts w:ascii="Arial" w:eastAsia="Times New Roman" w:hAnsi="Arial" w:cs="Times New Roman"/>
        </w:rPr>
        <w:t xml:space="preserve"> for information on AASB pronouncements, discussion papers and ED publications.</w:t>
      </w:r>
    </w:p>
    <w:p w14:paraId="1BE0B88F" w14:textId="7F61EF0F" w:rsidR="00923519" w:rsidRPr="00923519" w:rsidRDefault="00923519" w:rsidP="00923519">
      <w:pPr>
        <w:spacing w:before="120" w:after="120"/>
        <w:rPr>
          <w:rFonts w:ascii="Arial" w:eastAsia="Times New Roman" w:hAnsi="Arial" w:cs="Times New Roman"/>
        </w:rPr>
      </w:pPr>
      <w:r w:rsidRPr="00923519">
        <w:rPr>
          <w:rFonts w:ascii="Arial" w:eastAsia="Times New Roman" w:hAnsi="Arial" w:cs="Times New Roman"/>
          <w:b/>
        </w:rPr>
        <w:t>International Public</w:t>
      </w:r>
      <w:r w:rsidR="009F718A">
        <w:rPr>
          <w:rFonts w:ascii="Arial" w:eastAsia="Times New Roman" w:hAnsi="Arial" w:cs="Times New Roman"/>
          <w:b/>
        </w:rPr>
        <w:t xml:space="preserve"> </w:t>
      </w:r>
      <w:r w:rsidRPr="00923519">
        <w:rPr>
          <w:rFonts w:ascii="Arial" w:eastAsia="Times New Roman" w:hAnsi="Arial" w:cs="Times New Roman"/>
          <w:b/>
        </w:rPr>
        <w:t>Sector Accounting Standards Board</w:t>
      </w:r>
      <w:r w:rsidRPr="00923519">
        <w:rPr>
          <w:rFonts w:ascii="Arial" w:eastAsia="Times New Roman" w:hAnsi="Arial" w:cs="Times New Roman"/>
        </w:rPr>
        <w:t xml:space="preserve"> (IPSASB) – </w:t>
      </w:r>
      <w:hyperlink r:id="rId54" w:history="1">
        <w:r w:rsidRPr="00923519">
          <w:rPr>
            <w:rFonts w:ascii="Arial" w:eastAsia="Times New Roman" w:hAnsi="Arial" w:cs="Times New Roman"/>
            <w:color w:val="53565A"/>
          </w:rPr>
          <w:t>www.ipsasb.org</w:t>
        </w:r>
      </w:hyperlink>
      <w:r w:rsidRPr="00923519">
        <w:rPr>
          <w:rFonts w:ascii="Arial" w:eastAsia="Times New Roman" w:hAnsi="Arial" w:cs="Times New Roman"/>
        </w:rPr>
        <w:t xml:space="preserve"> for information on IPSASB and IPSAS</w:t>
      </w:r>
      <w:r w:rsidR="009F718A">
        <w:rPr>
          <w:rFonts w:ascii="Arial" w:eastAsia="Times New Roman" w:hAnsi="Arial" w:cs="Times New Roman"/>
        </w:rPr>
        <w:t xml:space="preserve"> </w:t>
      </w:r>
      <w:r w:rsidRPr="00923519">
        <w:rPr>
          <w:rFonts w:ascii="Arial" w:eastAsia="Times New Roman" w:hAnsi="Arial" w:cs="Times New Roman"/>
        </w:rPr>
        <w:t>pronouncements.</w:t>
      </w:r>
    </w:p>
    <w:p w14:paraId="1714F768" w14:textId="77777777" w:rsidR="00923519" w:rsidRPr="00923519" w:rsidRDefault="00923519" w:rsidP="00EF3E32">
      <w:pPr>
        <w:pStyle w:val="Heading2"/>
        <w:rPr>
          <w:rFonts w:eastAsia="Times New Roman"/>
        </w:rPr>
      </w:pPr>
      <w:r w:rsidRPr="00923519">
        <w:rPr>
          <w:rFonts w:eastAsia="Times New Roman"/>
        </w:rPr>
        <w:br w:type="column"/>
      </w:r>
      <w:r w:rsidRPr="00923519">
        <w:rPr>
          <w:rFonts w:eastAsia="Times New Roman"/>
        </w:rPr>
        <w:t>DTF website</w:t>
      </w:r>
    </w:p>
    <w:p w14:paraId="1A63FFC4" w14:textId="634B4714" w:rsidR="00923519" w:rsidRPr="00923519" w:rsidRDefault="00923519" w:rsidP="00923519">
      <w:pPr>
        <w:spacing w:before="120" w:after="120"/>
        <w:rPr>
          <w:rFonts w:ascii="Arial" w:eastAsia="Times New Roman" w:hAnsi="Arial" w:cs="Times New Roman"/>
        </w:rPr>
      </w:pPr>
      <w:r w:rsidRPr="00923519">
        <w:rPr>
          <w:rFonts w:ascii="Arial" w:eastAsia="Times New Roman" w:hAnsi="Arial" w:cs="Times New Roman"/>
          <w:b/>
        </w:rPr>
        <w:t>The DTF website (for all internet users)</w:t>
      </w:r>
      <w:r w:rsidRPr="00923519">
        <w:rPr>
          <w:rFonts w:ascii="Arial" w:eastAsia="Times New Roman" w:hAnsi="Arial" w:cs="Times New Roman"/>
        </w:rPr>
        <w:t xml:space="preserve"> – </w:t>
      </w:r>
      <w:hyperlink r:id="rId55" w:history="1">
        <w:r w:rsidRPr="00923519">
          <w:rPr>
            <w:rFonts w:ascii="Arial" w:eastAsia="Times New Roman" w:hAnsi="Arial" w:cs="Times New Roman"/>
            <w:color w:val="53565A"/>
          </w:rPr>
          <w:t>www.dtf.vic.gov.au</w:t>
        </w:r>
      </w:hyperlink>
      <w:r w:rsidRPr="00923519">
        <w:rPr>
          <w:rFonts w:ascii="Arial" w:eastAsia="Times New Roman" w:hAnsi="Arial" w:cs="Times New Roman"/>
        </w:rPr>
        <w:t xml:space="preserve"> covers FRDs and guidance, the Model Report, accounting policy updates, long service leave models and related data input, including wage inflation and discount rates. From the menu on the top of the home page, users should select Financial Management of Government, then Financial Reporting Policy.</w:t>
      </w:r>
    </w:p>
    <w:p w14:paraId="0957B169" w14:textId="77777777" w:rsidR="00923519" w:rsidRPr="00923519" w:rsidRDefault="00923519" w:rsidP="00923519">
      <w:pPr>
        <w:spacing w:before="120" w:after="120"/>
        <w:rPr>
          <w:rFonts w:ascii="Arial" w:eastAsia="Times New Roman" w:hAnsi="Arial" w:cs="Times New Roman"/>
        </w:rPr>
      </w:pPr>
      <w:r w:rsidRPr="00923519">
        <w:rPr>
          <w:rFonts w:ascii="Arial" w:eastAsia="Times New Roman" w:hAnsi="Arial" w:cs="Times New Roman"/>
          <w:b/>
        </w:rPr>
        <w:t>VPS users</w:t>
      </w:r>
      <w:r w:rsidRPr="00923519">
        <w:rPr>
          <w:rFonts w:ascii="Arial" w:eastAsia="Times New Roman" w:hAnsi="Arial" w:cs="Times New Roman"/>
        </w:rPr>
        <w:t xml:space="preserve"> should contact their portfolio department in the first instance for the login details to access the information relating to the 2008 Long Service Leave Model and/or, the Valuer</w:t>
      </w:r>
      <w:r w:rsidRPr="00923519">
        <w:rPr>
          <w:rFonts w:ascii="Arial" w:eastAsia="Times New Roman" w:hAnsi="Arial" w:cs="Times New Roman"/>
        </w:rPr>
        <w:noBreakHyphen/>
        <w:t>General building and land indices.</w:t>
      </w:r>
    </w:p>
    <w:p w14:paraId="043DCD42" w14:textId="77777777" w:rsidR="00923519" w:rsidRPr="00923519" w:rsidRDefault="00923519" w:rsidP="00923519">
      <w:pPr>
        <w:spacing w:before="120" w:after="120"/>
        <w:rPr>
          <w:rFonts w:ascii="Arial" w:eastAsia="Times New Roman" w:hAnsi="Arial" w:cs="Times New Roman"/>
          <w:color w:val="53565A"/>
        </w:rPr>
      </w:pPr>
      <w:r w:rsidRPr="00923519">
        <w:rPr>
          <w:rFonts w:ascii="Arial" w:eastAsia="Times New Roman" w:hAnsi="Arial" w:cs="Times New Roman"/>
        </w:rPr>
        <w:t xml:space="preserve">For assistance with technical difficulties using the DTF website, e.g. broken links, please contact the DTF web team via email at </w:t>
      </w:r>
      <w:hyperlink r:id="rId56" w:history="1">
        <w:r w:rsidRPr="00923519">
          <w:rPr>
            <w:rFonts w:ascii="Arial" w:eastAsia="Times New Roman" w:hAnsi="Arial" w:cs="Times New Roman"/>
            <w:color w:val="53565A"/>
          </w:rPr>
          <w:t>dtfweb@dtf.vic.gov.au</w:t>
        </w:r>
      </w:hyperlink>
    </w:p>
    <w:p w14:paraId="51F814B9" w14:textId="77777777" w:rsidR="00923519" w:rsidRPr="00923519" w:rsidRDefault="00923519" w:rsidP="00EF3E32">
      <w:pPr>
        <w:pStyle w:val="Heading2"/>
        <w:rPr>
          <w:rFonts w:eastAsia="Times New Roman"/>
        </w:rPr>
      </w:pPr>
      <w:r w:rsidRPr="00923519">
        <w:rPr>
          <w:rFonts w:eastAsia="Times New Roman"/>
        </w:rPr>
        <w:t>About the Accounting Policy Update</w:t>
      </w:r>
    </w:p>
    <w:p w14:paraId="353FDC71" w14:textId="77777777" w:rsidR="00923519" w:rsidRPr="00923519" w:rsidRDefault="00923519" w:rsidP="00923519">
      <w:pPr>
        <w:spacing w:before="120" w:after="120"/>
        <w:rPr>
          <w:rFonts w:ascii="Arial" w:eastAsia="Times New Roman" w:hAnsi="Arial" w:cs="Times New Roman"/>
        </w:rPr>
      </w:pPr>
      <w:r w:rsidRPr="00923519">
        <w:rPr>
          <w:rFonts w:ascii="Arial" w:eastAsia="Times New Roman" w:hAnsi="Arial" w:cs="Times New Roman"/>
        </w:rPr>
        <w:t>Accounting Policy Update is published by the Accounting Policy team of DTF twice a year. The aim of the newsletter is to highlight changes in financial reporting requirements affecting public sector entities, outlining any financial reporting related policy decisions reached by DTF and to inform readers of other developments that are under consideration by the AASB.</w:t>
      </w:r>
    </w:p>
    <w:p w14:paraId="6DF8AFB8" w14:textId="77777777" w:rsidR="00923519" w:rsidRPr="00923519" w:rsidRDefault="00923519" w:rsidP="00923519">
      <w:pPr>
        <w:spacing w:before="120" w:after="120"/>
        <w:rPr>
          <w:rFonts w:ascii="Arial" w:eastAsia="Times New Roman" w:hAnsi="Arial" w:cs="Times New Roman"/>
        </w:rPr>
      </w:pPr>
    </w:p>
    <w:p w14:paraId="787A096C" w14:textId="77777777" w:rsidR="00923519" w:rsidRPr="00923519" w:rsidRDefault="00923519" w:rsidP="00923519">
      <w:pPr>
        <w:spacing w:before="120" w:after="120"/>
        <w:rPr>
          <w:rFonts w:ascii="Arial" w:eastAsia="Times New Roman" w:hAnsi="Arial" w:cs="Times New Roman"/>
        </w:rPr>
        <w:sectPr w:rsidR="00923519" w:rsidRPr="00923519" w:rsidSect="00123F7E">
          <w:headerReference w:type="even" r:id="rId57"/>
          <w:headerReference w:type="default" r:id="rId58"/>
          <w:type w:val="continuous"/>
          <w:pgSz w:w="11906" w:h="16838" w:code="9"/>
          <w:pgMar w:top="2160" w:right="1440" w:bottom="1350" w:left="1440" w:header="706" w:footer="461" w:gutter="0"/>
          <w:pgNumType w:start="1"/>
          <w:cols w:num="2" w:space="386"/>
          <w:titlePg/>
          <w:docGrid w:linePitch="360"/>
        </w:sectPr>
      </w:pPr>
    </w:p>
    <w:p w14:paraId="7CC85D81" w14:textId="77777777" w:rsidR="00923519" w:rsidRPr="00923519" w:rsidRDefault="00923519" w:rsidP="00923519">
      <w:pPr>
        <w:pBdr>
          <w:top w:val="single" w:sz="6" w:space="3" w:color="0063A6"/>
          <w:bottom w:val="single" w:sz="6" w:space="3" w:color="0063A6"/>
        </w:pBdr>
        <w:spacing w:before="120" w:after="120"/>
        <w:rPr>
          <w:rFonts w:ascii="Arial" w:eastAsia="Times New Roman" w:hAnsi="Arial" w:cs="Times New Roman"/>
          <w:color w:val="0063A6"/>
        </w:rPr>
      </w:pPr>
      <w:r w:rsidRPr="00923519">
        <w:rPr>
          <w:rFonts w:ascii="Arial" w:eastAsia="Times New Roman" w:hAnsi="Arial" w:cs="Times New Roman"/>
          <w:b/>
          <w:color w:val="0063A6"/>
        </w:rPr>
        <w:t>Disclaimer:</w:t>
      </w:r>
      <w:r w:rsidRPr="00923519">
        <w:rPr>
          <w:rFonts w:ascii="Arial" w:eastAsia="Times New Roman" w:hAnsi="Arial" w:cs="Times New Roman"/>
          <w:color w:val="0063A6"/>
        </w:rPr>
        <w:t xml:space="preserve"> No responsibility is taken for any action(s) taken on the basis of information contained in this Newsletter nor for any errors or omissions in that information.</w:t>
      </w:r>
    </w:p>
    <w:p w14:paraId="2DB82602" w14:textId="77777777" w:rsidR="00923519" w:rsidRPr="00923519" w:rsidRDefault="00923519" w:rsidP="00923519">
      <w:pPr>
        <w:keepNext/>
        <w:spacing w:before="100" w:after="0" w:line="252" w:lineRule="auto"/>
        <w:contextualSpacing/>
        <w:rPr>
          <w:rFonts w:ascii="Arial" w:eastAsia="Times New Roman" w:hAnsi="Arial" w:cs="Calibri"/>
          <w:color w:val="000000"/>
          <w:spacing w:val="4"/>
          <w:sz w:val="16"/>
        </w:rPr>
      </w:pPr>
    </w:p>
    <w:p w14:paraId="0C96F638" w14:textId="77777777" w:rsidR="00923519" w:rsidRPr="00923519" w:rsidRDefault="00923519" w:rsidP="00923519">
      <w:pPr>
        <w:keepNext/>
        <w:spacing w:before="100" w:after="0" w:line="252" w:lineRule="auto"/>
        <w:contextualSpacing/>
        <w:rPr>
          <w:rFonts w:ascii="Arial" w:eastAsia="Times New Roman" w:hAnsi="Arial" w:cs="Calibri"/>
          <w:color w:val="000000"/>
          <w:spacing w:val="4"/>
          <w:sz w:val="16"/>
        </w:rPr>
      </w:pPr>
      <w:r w:rsidRPr="00923519">
        <w:rPr>
          <w:rFonts w:ascii="Arial" w:eastAsia="Times New Roman" w:hAnsi="Arial" w:cs="Calibri"/>
          <w:color w:val="000000"/>
          <w:spacing w:val="4"/>
          <w:sz w:val="16"/>
        </w:rPr>
        <w:t xml:space="preserve">Accounting Policy Update </w:t>
      </w:r>
      <w:r w:rsidRPr="00923519">
        <w:rPr>
          <w:rFonts w:ascii="Arial" w:eastAsia="Times New Roman" w:hAnsi="Arial" w:cs="Calibri"/>
          <w:color w:val="000000"/>
          <w:spacing w:val="4"/>
          <w:sz w:val="16"/>
        </w:rPr>
        <w:br/>
        <w:t>ISSN 2205</w:t>
      </w:r>
      <w:r w:rsidRPr="00923519">
        <w:rPr>
          <w:rFonts w:ascii="Arial" w:eastAsia="Times New Roman" w:hAnsi="Arial" w:cs="Calibri"/>
          <w:color w:val="000000"/>
          <w:spacing w:val="4"/>
          <w:sz w:val="16"/>
        </w:rPr>
        <w:noBreakHyphen/>
        <w:t>4014</w:t>
      </w:r>
    </w:p>
    <w:p w14:paraId="16706D81" w14:textId="3F500A16" w:rsidR="00923519" w:rsidRPr="00923519" w:rsidRDefault="00923519" w:rsidP="00923519">
      <w:pPr>
        <w:keepNext/>
        <w:spacing w:before="120" w:after="120"/>
        <w:rPr>
          <w:rFonts w:ascii="Arial" w:eastAsia="Times New Roman" w:hAnsi="Arial" w:cs="Arial"/>
          <w:sz w:val="16"/>
          <w:szCs w:val="16"/>
        </w:rPr>
      </w:pPr>
      <w:r w:rsidRPr="00923519">
        <w:rPr>
          <w:rFonts w:ascii="Arial" w:eastAsia="Times New Roman" w:hAnsi="Arial" w:cs="Arial"/>
          <w:sz w:val="16"/>
          <w:szCs w:val="16"/>
        </w:rPr>
        <w:t>© State of Victoria 20</w:t>
      </w:r>
      <w:r w:rsidR="00510249">
        <w:rPr>
          <w:rFonts w:ascii="Arial" w:eastAsia="Times New Roman" w:hAnsi="Arial" w:cs="Arial"/>
          <w:sz w:val="16"/>
          <w:szCs w:val="16"/>
        </w:rPr>
        <w:t>20</w:t>
      </w:r>
    </w:p>
    <w:p w14:paraId="7225B950" w14:textId="77777777" w:rsidR="00923519" w:rsidRPr="00923519" w:rsidRDefault="00923519" w:rsidP="00923519">
      <w:pPr>
        <w:keepNext/>
        <w:spacing w:before="120" w:after="120"/>
        <w:rPr>
          <w:rFonts w:ascii="Arial" w:eastAsia="Times New Roman" w:hAnsi="Arial" w:cs="Arial"/>
          <w:sz w:val="16"/>
          <w:szCs w:val="16"/>
        </w:rPr>
      </w:pPr>
      <w:r w:rsidRPr="00923519">
        <w:rPr>
          <w:rFonts w:ascii="Arial" w:eastAsia="Times New Roman" w:hAnsi="Arial" w:cs="Arial"/>
          <w:noProof/>
          <w:sz w:val="16"/>
          <w:szCs w:val="16"/>
        </w:rPr>
        <w:drawing>
          <wp:inline distT="0" distB="0" distL="0" distR="0" wp14:anchorId="026143B4" wp14:editId="686EFFE5">
            <wp:extent cx="1117460" cy="393651"/>
            <wp:effectExtent l="0" t="0" r="6985" b="6985"/>
            <wp:docPr id="2" name="Picture 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6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14:paraId="2C432EE5" w14:textId="77777777" w:rsidR="00923519" w:rsidRPr="00923519" w:rsidRDefault="00923519" w:rsidP="00923519">
      <w:pPr>
        <w:keepNext/>
        <w:spacing w:before="120" w:after="120"/>
        <w:rPr>
          <w:rFonts w:ascii="Arial" w:eastAsia="Times New Roman" w:hAnsi="Arial" w:cs="Arial"/>
          <w:sz w:val="16"/>
          <w:szCs w:val="16"/>
        </w:rPr>
      </w:pPr>
      <w:r w:rsidRPr="00923519">
        <w:rPr>
          <w:rFonts w:ascii="Arial" w:eastAsia="Times New Roman" w:hAnsi="Arial" w:cs="Arial"/>
          <w:sz w:val="16"/>
          <w:szCs w:val="16"/>
        </w:rPr>
        <w:t>You are free to re</w:t>
      </w:r>
      <w:r w:rsidRPr="00923519">
        <w:rPr>
          <w:rFonts w:ascii="Arial" w:eastAsia="Times New Roman" w:hAnsi="Arial" w:cs="Arial"/>
          <w:sz w:val="16"/>
          <w:szCs w:val="16"/>
        </w:rPr>
        <w:noBreakHyphen/>
        <w:t xml:space="preserve">use this work under a </w:t>
      </w:r>
      <w:hyperlink r:id="rId61" w:history="1">
        <w:r w:rsidRPr="00923519">
          <w:rPr>
            <w:rFonts w:ascii="Arial" w:eastAsia="Times New Roman" w:hAnsi="Arial" w:cs="Arial"/>
            <w:color w:val="53565A"/>
            <w:sz w:val="16"/>
            <w:szCs w:val="16"/>
          </w:rPr>
          <w:t>Creative Commons Attribution 4.0 licence</w:t>
        </w:r>
      </w:hyperlink>
      <w:r w:rsidRPr="00923519">
        <w:rPr>
          <w:rFonts w:ascii="Arial" w:eastAsia="Times New Roman" w:hAnsi="Arial" w:cs="Arial"/>
          <w:sz w:val="16"/>
          <w:szCs w:val="16"/>
        </w:rPr>
        <w:t>, provided you credit the State of Victoria (Department of Treasury and Finance) as author, indicate if changes were made and comply with the other licence terms. The licence does not apply to any branding, including Government logos.</w:t>
      </w:r>
    </w:p>
    <w:p w14:paraId="286AD259" w14:textId="77777777" w:rsidR="00923519" w:rsidRPr="00923519" w:rsidRDefault="00923519" w:rsidP="00923519">
      <w:pPr>
        <w:keepNext/>
        <w:spacing w:before="120" w:after="120"/>
        <w:rPr>
          <w:rFonts w:ascii="Arial" w:eastAsia="Times New Roman" w:hAnsi="Arial" w:cs="Arial"/>
          <w:sz w:val="16"/>
          <w:szCs w:val="16"/>
        </w:rPr>
      </w:pPr>
      <w:r w:rsidRPr="00923519">
        <w:rPr>
          <w:rFonts w:ascii="Arial" w:eastAsia="Times New Roman" w:hAnsi="Arial" w:cs="Arial"/>
          <w:sz w:val="16"/>
          <w:szCs w:val="16"/>
        </w:rPr>
        <w:t xml:space="preserve">Copyright queries may be directed to </w:t>
      </w:r>
      <w:hyperlink r:id="rId62" w:history="1">
        <w:r w:rsidRPr="00923519">
          <w:rPr>
            <w:rFonts w:ascii="Arial" w:eastAsia="Times New Roman" w:hAnsi="Arial" w:cs="Arial"/>
            <w:color w:val="53565A"/>
            <w:sz w:val="16"/>
            <w:szCs w:val="16"/>
          </w:rPr>
          <w:t>IPpolicy@dtf.vic.gov.au</w:t>
        </w:r>
      </w:hyperlink>
      <w:r w:rsidRPr="00923519">
        <w:rPr>
          <w:rFonts w:ascii="Arial" w:eastAsia="Times New Roman" w:hAnsi="Arial" w:cs="Arial"/>
          <w:sz w:val="16"/>
          <w:szCs w:val="16"/>
        </w:rPr>
        <w:t xml:space="preserve">. </w:t>
      </w:r>
      <w:bookmarkEnd w:id="0"/>
      <w:bookmarkEnd w:id="2"/>
    </w:p>
    <w:p w14:paraId="25145AEE" w14:textId="77777777" w:rsidR="00603516" w:rsidRDefault="00603516"/>
    <w:sectPr w:rsidR="00603516" w:rsidSect="00123F7E">
      <w:headerReference w:type="even" r:id="rId63"/>
      <w:headerReference w:type="default" r:id="rId64"/>
      <w:footerReference w:type="even" r:id="rId65"/>
      <w:footerReference w:type="default" r:id="rId66"/>
      <w:headerReference w:type="first" r:id="rId67"/>
      <w:footerReference w:type="first" r:id="rId68"/>
      <w:type w:val="continuous"/>
      <w:pgSz w:w="11906" w:h="16838" w:code="9"/>
      <w:pgMar w:top="2160" w:right="1440" w:bottom="1350" w:left="1440" w:header="706" w:footer="461" w:gutter="0"/>
      <w:pgNumType w:start="1"/>
      <w:cols w:space="53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26BBF" w14:textId="77777777" w:rsidR="00891F67" w:rsidRDefault="00891F67" w:rsidP="00923519">
      <w:pPr>
        <w:spacing w:after="0" w:line="240" w:lineRule="auto"/>
      </w:pPr>
      <w:r>
        <w:separator/>
      </w:r>
    </w:p>
    <w:p w14:paraId="742C3A2D" w14:textId="77777777" w:rsidR="00891F67" w:rsidRDefault="00891F67"/>
  </w:endnote>
  <w:endnote w:type="continuationSeparator" w:id="0">
    <w:p w14:paraId="02C2C656" w14:textId="77777777" w:rsidR="00891F67" w:rsidRDefault="00891F67" w:rsidP="00923519">
      <w:pPr>
        <w:spacing w:after="0" w:line="240" w:lineRule="auto"/>
      </w:pPr>
      <w:r>
        <w:continuationSeparator/>
      </w:r>
    </w:p>
    <w:p w14:paraId="053F834C" w14:textId="77777777" w:rsidR="00891F67" w:rsidRDefault="00891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6C188" w14:textId="77777777" w:rsidR="002F19C9" w:rsidRDefault="002F19C9" w:rsidP="00123F7E">
    <w:pPr>
      <w:pStyle w:val="Spacer"/>
    </w:pPr>
    <w:r>
      <w:rPr>
        <w:noProof/>
      </w:rPr>
      <mc:AlternateContent>
        <mc:Choice Requires="wps">
          <w:drawing>
            <wp:anchor distT="0" distB="0" distL="114300" distR="114300" simplePos="1" relativeHeight="251650048" behindDoc="0" locked="0" layoutInCell="0" allowOverlap="1" wp14:anchorId="7EC82860" wp14:editId="5FC1D68C">
              <wp:simplePos x="0" y="10234930"/>
              <wp:positionH relativeFrom="page">
                <wp:posOffset>0</wp:posOffset>
              </wp:positionH>
              <wp:positionV relativeFrom="page">
                <wp:posOffset>10234930</wp:posOffset>
              </wp:positionV>
              <wp:extent cx="7560310" cy="266700"/>
              <wp:effectExtent l="0" t="0" r="0" b="0"/>
              <wp:wrapNone/>
              <wp:docPr id="25" name="MSIPCMec244a93a8c5e040c5b47a9f" descr="{&quot;HashCode&quot;:905516305,&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B11FD4" w14:textId="77777777" w:rsidR="002F19C9" w:rsidRPr="00644F54" w:rsidRDefault="002F19C9" w:rsidP="00123F7E">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EC82860" id="_x0000_t202" coordsize="21600,21600" o:spt="202" path="m,l,21600r21600,l21600,xe">
              <v:stroke joinstyle="miter"/>
              <v:path gradientshapeok="t" o:connecttype="rect"/>
            </v:shapetype>
            <v:shape id="MSIPCMec244a93a8c5e040c5b47a9f" o:spid="_x0000_s1026" type="#_x0000_t202" alt="{&quot;HashCode&quot;:905516305,&quot;Height&quot;:841.0,&quot;Width&quot;:595.0,&quot;Placement&quot;:&quot;Footer&quot;,&quot;Index&quot;:&quot;OddAndEven&quot;,&quot;Section&quot;:1,&quot;Top&quot;:0.0,&quot;Left&quot;:0.0}" style="position:absolute;margin-left:0;margin-top:805.9pt;width:595.3pt;height:21pt;z-index:251650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B2CKfe0AgAASgUA&#10;AA4AAAAAAAAAAAAAAAAALgIAAGRycy9lMm9Eb2MueG1sUEsBAi0AFAAGAAgAAAAhAGARxibeAAAA&#10;CwEAAA8AAAAAAAAAAAAAAAAADgUAAGRycy9kb3ducmV2LnhtbFBLBQYAAAAABAAEAPMAAAAZBgAA&#10;AAA=&#10;" o:allowincell="f" filled="f" stroked="f" strokeweight=".5pt">
              <v:textbox inset="20pt,0,,0">
                <w:txbxContent>
                  <w:p w14:paraId="62B11FD4" w14:textId="77777777" w:rsidR="002F19C9" w:rsidRPr="00644F54" w:rsidRDefault="002F19C9" w:rsidP="00123F7E">
                    <w:pPr>
                      <w:spacing w:after="0"/>
                      <w:rPr>
                        <w:rFonts w:ascii="Calibri" w:hAnsi="Calibri" w:cs="Calibri"/>
                        <w:color w:val="000000"/>
                      </w:rPr>
                    </w:pPr>
                  </w:p>
                </w:txbxContent>
              </v:textbox>
              <w10:wrap anchorx="page" anchory="page"/>
            </v:shape>
          </w:pict>
        </mc:Fallback>
      </mc:AlternateContent>
    </w:r>
  </w:p>
  <w:p w14:paraId="494B41C4" w14:textId="77777777" w:rsidR="002F19C9" w:rsidRDefault="002F19C9" w:rsidP="00123F7E">
    <w:pPr>
      <w:pStyle w:val="Spacer"/>
    </w:pPr>
  </w:p>
  <w:p w14:paraId="6726E15B" w14:textId="104A8726"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w:t>
    </w:r>
    <w:r w:rsidRPr="008B69EC">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00964" w14:textId="43B194F9" w:rsidR="002F19C9" w:rsidRDefault="002F19C9" w:rsidP="00123F7E">
    <w:pPr>
      <w:pStyle w:val="Spacer"/>
    </w:pPr>
    <w:r>
      <w:rPr>
        <w:noProof/>
      </w:rPr>
      <mc:AlternateContent>
        <mc:Choice Requires="wps">
          <w:drawing>
            <wp:anchor distT="0" distB="0" distL="114300" distR="114300" simplePos="1" relativeHeight="251683840" behindDoc="0" locked="0" layoutInCell="0" allowOverlap="1" wp14:anchorId="0EACF2B8" wp14:editId="351F4DD9">
              <wp:simplePos x="0" y="10234930"/>
              <wp:positionH relativeFrom="page">
                <wp:posOffset>0</wp:posOffset>
              </wp:positionH>
              <wp:positionV relativeFrom="page">
                <wp:posOffset>10234930</wp:posOffset>
              </wp:positionV>
              <wp:extent cx="7560310" cy="266700"/>
              <wp:effectExtent l="0" t="0" r="0" b="0"/>
              <wp:wrapNone/>
              <wp:docPr id="10" name="MSIPCMbb6345d5945a9cf26e2a8af8" descr="{&quot;HashCode&quot;:-1267603503,&quot;Height&quot;:841.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6265C" w14:textId="3EB7DA1C" w:rsidR="002F19C9" w:rsidRPr="002E0DE1" w:rsidRDefault="002F19C9" w:rsidP="002E0DE1">
                          <w:pPr>
                            <w:spacing w:before="0" w:after="0"/>
                            <w:rPr>
                              <w:rFonts w:ascii="Calibri" w:hAnsi="Calibri" w:cs="Calibri"/>
                              <w:color w:val="000000"/>
                              <w:sz w:val="22"/>
                            </w:rPr>
                          </w:pPr>
                          <w:r w:rsidRPr="002E0DE1">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ACF2B8" id="_x0000_t202" coordsize="21600,21600" o:spt="202" path="m,l,21600r21600,l21600,xe">
              <v:stroke joinstyle="miter"/>
              <v:path gradientshapeok="t" o:connecttype="rect"/>
            </v:shapetype>
            <v:shape id="MSIPCMbb6345d5945a9cf26e2a8af8" o:spid="_x0000_s1035" type="#_x0000_t202" alt="{&quot;HashCode&quot;:-1267603503,&quot;Height&quot;:841.0,&quot;Width&quot;:595.0,&quot;Placement&quot;:&quot;Footer&quot;,&quot;Index&quot;:&quot;FirstPage&quot;,&quot;Section&quot;:4,&quot;Top&quot;:0.0,&quot;Left&quot;:0.0}" style="position:absolute;margin-left:0;margin-top:805.9pt;width:595.3pt;height:21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EmdBjW0AgAAUgUA&#10;AA4AAAAAAAAAAAAAAAAALgIAAGRycy9lMm9Eb2MueG1sUEsBAi0AFAAGAAgAAAAhAGARxibeAAAA&#10;CwEAAA8AAAAAAAAAAAAAAAAADgUAAGRycy9kb3ducmV2LnhtbFBLBQYAAAAABAAEAPMAAAAZBgAA&#10;AAA=&#10;" o:allowincell="f" filled="f" stroked="f" strokeweight=".5pt">
              <v:textbox inset="20pt,0,,0">
                <w:txbxContent>
                  <w:p w14:paraId="7B56265C" w14:textId="3EB7DA1C" w:rsidR="002F19C9" w:rsidRPr="002E0DE1" w:rsidRDefault="002F19C9" w:rsidP="002E0DE1">
                    <w:pPr>
                      <w:spacing w:before="0" w:after="0"/>
                      <w:rPr>
                        <w:rFonts w:ascii="Calibri" w:hAnsi="Calibri" w:cs="Calibri"/>
                        <w:color w:val="000000"/>
                        <w:sz w:val="22"/>
                      </w:rPr>
                    </w:pPr>
                    <w:r w:rsidRPr="002E0DE1">
                      <w:rPr>
                        <w:rFonts w:ascii="Calibri" w:hAnsi="Calibri" w:cs="Calibri"/>
                        <w:color w:val="000000"/>
                        <w:sz w:val="22"/>
                      </w:rPr>
                      <w:t>OFFICIAL</w:t>
                    </w:r>
                  </w:p>
                </w:txbxContent>
              </v:textbox>
              <w10:wrap anchorx="page" anchory="page"/>
            </v:shape>
          </w:pict>
        </mc:Fallback>
      </mc:AlternateContent>
    </w:r>
  </w:p>
  <w:p w14:paraId="3BA523C9" w14:textId="77777777" w:rsidR="002F19C9" w:rsidRDefault="002F19C9" w:rsidP="00123F7E">
    <w:pPr>
      <w:pStyle w:val="Spacer"/>
    </w:pPr>
  </w:p>
  <w:p w14:paraId="495AA36C" w14:textId="4E7CD081"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15</w:t>
    </w:r>
    <w:r w:rsidRPr="008B69E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890D" w14:textId="77777777" w:rsidR="002F19C9" w:rsidRDefault="002F19C9" w:rsidP="00123F7E">
    <w:pPr>
      <w:pStyle w:val="Footer1"/>
    </w:pPr>
    <w:r>
      <mc:AlternateContent>
        <mc:Choice Requires="wps">
          <w:drawing>
            <wp:anchor distT="0" distB="0" distL="114300" distR="114300" simplePos="1" relativeHeight="251646976" behindDoc="0" locked="0" layoutInCell="0" allowOverlap="1" wp14:anchorId="1B1E7DA6" wp14:editId="7BC717FA">
              <wp:simplePos x="0" y="10234930"/>
              <wp:positionH relativeFrom="page">
                <wp:posOffset>0</wp:posOffset>
              </wp:positionH>
              <wp:positionV relativeFrom="page">
                <wp:posOffset>10234930</wp:posOffset>
              </wp:positionV>
              <wp:extent cx="7560310" cy="266700"/>
              <wp:effectExtent l="0" t="0" r="0" b="0"/>
              <wp:wrapNone/>
              <wp:docPr id="48" name="MSIPCM5703463595c4e381762830a5" descr="{&quot;HashCode&quot;:905516305,&quot;Height&quot;:841.0,&quot;Width&quot;:595.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AF7EFD" w14:textId="77777777" w:rsidR="002F19C9" w:rsidRPr="00644F54" w:rsidRDefault="002F19C9" w:rsidP="00123F7E">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B1E7DA6" id="_x0000_t202" coordsize="21600,21600" o:spt="202" path="m,l,21600r21600,l21600,xe">
              <v:stroke joinstyle="miter"/>
              <v:path gradientshapeok="t" o:connecttype="rect"/>
            </v:shapetype>
            <v:shape id="MSIPCM5703463595c4e381762830a5" o:spid="_x0000_s1036" type="#_x0000_t202" alt="{&quot;HashCode&quot;:905516305,&quot;Height&quot;:841.0,&quot;Width&quot;:595.0,&quot;Placement&quot;:&quot;Footer&quot;,&quot;Index&quot;:&quot;OddAndEven&quot;,&quot;Section&quot;:6,&quot;Top&quot;:0.0,&quot;Left&quot;:0.0}" style="position:absolute;margin-left:0;margin-top:805.9pt;width:595.3pt;height:21pt;z-index:2516469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" o:allowincell="f" filled="f" stroked="f" strokeweight=".5pt">
              <v:textbox inset="20pt,0,,0">
                <w:txbxContent>
                  <w:p w14:paraId="1DAF7EFD" w14:textId="77777777" w:rsidR="002F19C9" w:rsidRPr="00644F54" w:rsidRDefault="002F19C9" w:rsidP="00123F7E">
                    <w:pPr>
                      <w:spacing w:after="0"/>
                      <w:rPr>
                        <w:rFonts w:ascii="Calibri" w:hAnsi="Calibri" w:cs="Calibri"/>
                        <w:color w:val="000000"/>
                      </w:rPr>
                    </w:pPr>
                  </w:p>
                </w:txbxContent>
              </v:textbox>
              <w10:wrap anchorx="page" anchory="page"/>
            </v:shape>
          </w:pict>
        </mc:Fallback>
      </mc:AlternateContent>
    </w:r>
  </w:p>
  <w:p w14:paraId="60F1977B" w14:textId="77777777" w:rsidR="002F19C9" w:rsidRDefault="002F19C9" w:rsidP="00123F7E">
    <w:pPr>
      <w:pStyle w:val="Footer1"/>
    </w:pPr>
  </w:p>
  <w:p w14:paraId="2F4D28C5" w14:textId="591FF65E"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2</w:t>
    </w:r>
    <w:r w:rsidRPr="008B69EC">
      <w:rPr>
        <w:rStyle w:val="PageNumber"/>
      </w:rPr>
      <w:fldChar w:fldCharType="end"/>
    </w:r>
  </w:p>
  <w:p w14:paraId="7D7BEF9B" w14:textId="77777777" w:rsidR="002F19C9" w:rsidRDefault="002F19C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A536F" w14:textId="77777777" w:rsidR="002F19C9" w:rsidRDefault="002F19C9" w:rsidP="00123F7E">
    <w:pPr>
      <w:pStyle w:val="Footer1"/>
    </w:pPr>
    <w:r>
      <mc:AlternateContent>
        <mc:Choice Requires="wps">
          <w:drawing>
            <wp:anchor distT="0" distB="0" distL="114300" distR="114300" simplePos="1" relativeHeight="251647487" behindDoc="0" locked="0" layoutInCell="0" allowOverlap="1" wp14:anchorId="1FEFC763" wp14:editId="4CC0D44A">
              <wp:simplePos x="0" y="10234930"/>
              <wp:positionH relativeFrom="page">
                <wp:posOffset>0</wp:posOffset>
              </wp:positionH>
              <wp:positionV relativeFrom="page">
                <wp:posOffset>10234930</wp:posOffset>
              </wp:positionV>
              <wp:extent cx="7560310" cy="266700"/>
              <wp:effectExtent l="0" t="0" r="0" b="0"/>
              <wp:wrapNone/>
              <wp:docPr id="46" name="MSIPCMf00d45fc9a92c854536c803f" descr="{&quot;HashCode&quot;:-1267603503,&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4BCB3C"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FEFC763" id="_x0000_t202" coordsize="21600,21600" o:spt="202" path="m,l,21600r21600,l21600,xe">
              <v:stroke joinstyle="miter"/>
              <v:path gradientshapeok="t" o:connecttype="rect"/>
            </v:shapetype>
            <v:shape id="MSIPCMf00d45fc9a92c854536c803f" o:spid="_x0000_s1037" type="#_x0000_t202" alt="{&quot;HashCode&quot;:-1267603503,&quot;Height&quot;:841.0,&quot;Width&quot;:595.0,&quot;Placement&quot;:&quot;Footer&quot;,&quot;Index&quot;:&quot;Primary&quot;,&quot;Section&quot;:6,&quot;Top&quot;:0.0,&quot;Left&quot;:0.0}" style="position:absolute;margin-left:0;margin-top:805.9pt;width:595.3pt;height:21pt;z-index:2516474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" o:allowincell="f" filled="f" stroked="f" strokeweight=".5pt">
              <v:textbox inset="20pt,0,,0">
                <w:txbxContent>
                  <w:p w14:paraId="624BCB3C"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v:textbox>
              <w10:wrap anchorx="page" anchory="page"/>
            </v:shape>
          </w:pict>
        </mc:Fallback>
      </mc:AlternateContent>
    </w:r>
  </w:p>
  <w:p w14:paraId="7CBF8B68" w14:textId="77777777" w:rsidR="002F19C9" w:rsidRDefault="002F19C9" w:rsidP="00123F7E">
    <w:pPr>
      <w:pStyle w:val="Footer1"/>
    </w:pPr>
  </w:p>
  <w:p w14:paraId="5B541CED" w14:textId="42072590"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11</w:t>
    </w:r>
    <w:r w:rsidRPr="008B69EC">
      <w:rPr>
        <w:rStyle w:val="PageNumber"/>
      </w:rPr>
      <w:fldChar w:fldCharType="end"/>
    </w:r>
  </w:p>
  <w:p w14:paraId="01E73B2B" w14:textId="77777777" w:rsidR="002F19C9" w:rsidRDefault="002F19C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051C1" w14:textId="77777777" w:rsidR="002F19C9" w:rsidRDefault="002F19C9" w:rsidP="00123F7E">
    <w:pPr>
      <w:pStyle w:val="Footer1"/>
    </w:pPr>
    <w:r>
      <mc:AlternateContent>
        <mc:Choice Requires="wps">
          <w:drawing>
            <wp:anchor distT="0" distB="0" distL="114300" distR="114300" simplePos="1" relativeHeight="251650559" behindDoc="0" locked="0" layoutInCell="0" allowOverlap="1" wp14:anchorId="0CE517CF" wp14:editId="4BCF16F9">
              <wp:simplePos x="0" y="10234930"/>
              <wp:positionH relativeFrom="page">
                <wp:posOffset>0</wp:posOffset>
              </wp:positionH>
              <wp:positionV relativeFrom="page">
                <wp:posOffset>10234930</wp:posOffset>
              </wp:positionV>
              <wp:extent cx="7560310" cy="266700"/>
              <wp:effectExtent l="0" t="0" r="0" b="0"/>
              <wp:wrapNone/>
              <wp:docPr id="1" name="MSIPCMf6aa4ed5ad778e0459859ae5" descr="{&quot;HashCode&quot;:-1267603503,&quot;Height&quot;:841.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782F3"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E517CF" id="_x0000_t202" coordsize="21600,21600" o:spt="202" path="m,l,21600r21600,l21600,xe">
              <v:stroke joinstyle="miter"/>
              <v:path gradientshapeok="t" o:connecttype="rect"/>
            </v:shapetype>
            <v:shape id="MSIPCMf6aa4ed5ad778e0459859ae5" o:spid="_x0000_s1038" type="#_x0000_t202" alt="{&quot;HashCode&quot;:-1267603503,&quot;Height&quot;:841.0,&quot;Width&quot;:595.0,&quot;Placement&quot;:&quot;Footer&quot;,&quot;Index&quot;:&quot;FirstPage&quot;,&quot;Section&quot;:6,&quot;Top&quot;:0.0,&quot;Left&quot;:0.0}" style="position:absolute;margin-left:0;margin-top:805.9pt;width:595.3pt;height:21pt;z-index:2516505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CIZy6etQIAAFIF&#10;AAAOAAAAAAAAAAAAAAAAAC4CAABkcnMvZTJvRG9jLnhtbFBLAQItABQABgAIAAAAIQBgEcYm3gAA&#10;AAsBAAAPAAAAAAAAAAAAAAAAAA8FAABkcnMvZG93bnJldi54bWxQSwUGAAAAAAQABADzAAAAGgYA&#10;AAAA&#10;" o:allowincell="f" filled="f" stroked="f" strokeweight=".5pt">
              <v:textbox inset="20pt,0,,0">
                <w:txbxContent>
                  <w:p w14:paraId="4C6782F3"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v:textbox>
              <w10:wrap anchorx="page" anchory="page"/>
            </v:shape>
          </w:pict>
        </mc:Fallback>
      </mc:AlternateContent>
    </w:r>
  </w:p>
  <w:p w14:paraId="69DCFDC0" w14:textId="77777777" w:rsidR="002F19C9" w:rsidRDefault="002F19C9" w:rsidP="00123F7E">
    <w:pPr>
      <w:pStyle w:val="Footer1"/>
    </w:pPr>
  </w:p>
  <w:p w14:paraId="5DFFA822" w14:textId="3B7E9766"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11</w:t>
    </w:r>
    <w:r w:rsidRPr="008B69EC">
      <w:rPr>
        <w:rStyle w:val="PageNumber"/>
      </w:rPr>
      <w:fldChar w:fldCharType="end"/>
    </w:r>
  </w:p>
  <w:p w14:paraId="73B0207C" w14:textId="77777777" w:rsidR="002F19C9" w:rsidRDefault="002F19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62FFF" w14:textId="77777777" w:rsidR="002F19C9" w:rsidRDefault="002F19C9" w:rsidP="00123F7E">
    <w:pPr>
      <w:pStyle w:val="Spacer"/>
    </w:pPr>
    <w:r>
      <w:rPr>
        <w:noProof/>
      </w:rPr>
      <mc:AlternateContent>
        <mc:Choice Requires="wps">
          <w:drawing>
            <wp:anchor distT="0" distB="0" distL="114300" distR="114300" simplePos="1" relativeHeight="251654144" behindDoc="0" locked="0" layoutInCell="0" allowOverlap="1" wp14:anchorId="2A509373" wp14:editId="70356D67">
              <wp:simplePos x="0" y="10234930"/>
              <wp:positionH relativeFrom="page">
                <wp:posOffset>0</wp:posOffset>
              </wp:positionH>
              <wp:positionV relativeFrom="page">
                <wp:posOffset>10234930</wp:posOffset>
              </wp:positionV>
              <wp:extent cx="7560310" cy="266700"/>
              <wp:effectExtent l="0" t="0" r="0" b="0"/>
              <wp:wrapNone/>
              <wp:docPr id="21" name="MSIPCM47d947c5a92f2f061387e835"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C8EE6"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A509373" id="_x0000_t202" coordsize="21600,21600" o:spt="202" path="m,l,21600r21600,l21600,xe">
              <v:stroke joinstyle="miter"/>
              <v:path gradientshapeok="t" o:connecttype="rect"/>
            </v:shapetype>
            <v:shape id="MSIPCM47d947c5a92f2f061387e835" o:spid="_x0000_s1027" type="#_x0000_t202" alt="{&quot;HashCode&quot;:-1267603503,&quot;Height&quot;:841.0,&quot;Width&quot;:595.0,&quot;Placement&quot;:&quot;Footer&quot;,&quot;Index&quot;:&quot;Primary&quot;,&quot;Section&quot;:1,&quot;Top&quot;:0.0,&quot;Left&quot;:0.0}" style="position:absolute;margin-left:0;margin-top:805.9pt;width:595.3pt;height:21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" o:allowincell="f" filled="f" stroked="f" strokeweight=".5pt">
              <v:textbox inset="20pt,0,,0">
                <w:txbxContent>
                  <w:p w14:paraId="7D4C8EE6"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v:textbox>
              <w10:wrap anchorx="page" anchory="page"/>
            </v:shape>
          </w:pict>
        </mc:Fallback>
      </mc:AlternateContent>
    </w:r>
  </w:p>
  <w:p w14:paraId="123C5070" w14:textId="77777777" w:rsidR="002F19C9" w:rsidRDefault="002F19C9" w:rsidP="00123F7E">
    <w:pPr>
      <w:pStyle w:val="Spacer"/>
    </w:pPr>
  </w:p>
  <w:p w14:paraId="2EE68379" w14:textId="56756DDA"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w:t>
    </w:r>
    <w:r w:rsidRPr="008B69E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00C2F" w14:textId="74C9BCEF" w:rsidR="002F19C9" w:rsidRDefault="002F19C9" w:rsidP="00123F7E">
    <w:pPr>
      <w:pStyle w:val="Footer1"/>
      <w:rPr>
        <w:rStyle w:val="PageNumber"/>
      </w:rPr>
    </w:pPr>
    <w:r>
      <mc:AlternateContent>
        <mc:Choice Requires="wps">
          <w:drawing>
            <wp:anchor distT="0" distB="0" distL="114300" distR="114300" simplePos="0" relativeHeight="251656192" behindDoc="1" locked="0" layoutInCell="0" allowOverlap="1" wp14:anchorId="71FD9D78" wp14:editId="119C5B9F">
              <wp:simplePos x="0" y="0"/>
              <wp:positionH relativeFrom="page">
                <wp:posOffset>0</wp:posOffset>
              </wp:positionH>
              <wp:positionV relativeFrom="page">
                <wp:posOffset>10236835</wp:posOffset>
              </wp:positionV>
              <wp:extent cx="7562088" cy="265176"/>
              <wp:effectExtent l="0" t="0" r="0" b="1905"/>
              <wp:wrapNone/>
              <wp:docPr id="24" name="MSIPCMb3cd473e8be83866b1018b0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088" cy="26517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DB81F"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D9D78" id="_x0000_t202" coordsize="21600,21600" o:spt="202" path="m,l,21600r21600,l21600,xe">
              <v:stroke joinstyle="miter"/>
              <v:path gradientshapeok="t" o:connecttype="rect"/>
            </v:shapetype>
            <v:shape id="MSIPCMb3cd473e8be83866b1018b08" o:spid="_x0000_s1028" type="#_x0000_t202" alt="{&quot;HashCode&quot;:-1267603503,&quot;Height&quot;:841.0,&quot;Width&quot;:595.0,&quot;Placement&quot;:&quot;Footer&quot;,&quot;Index&quot;:&quot;FirstPage&quot;,&quot;Section&quot;:1,&quot;Top&quot;:0.0,&quot;Left&quot;:0.0}" style="position:absolute;margin-left:0;margin-top:806.05pt;width:595.45pt;height:20.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" o:allowincell="f" filled="f" stroked="f" strokeweight=".5pt">
              <v:textbox inset="20pt,0,,0">
                <w:txbxContent>
                  <w:p w14:paraId="5CADB81F"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v:textbox>
              <w10:wrap anchorx="page" anchory="page"/>
            </v:shape>
          </w:pict>
        </mc:Fallback>
      </mc:AlternateContent>
    </w:r>
    <w:r w:rsidRPr="00DE4A51">
      <w:rPr>
        <w:rFonts w:ascii="Arial" w:hAnsi="Arial" w:cs="Arial"/>
        <w:b/>
        <w:bCs/>
        <w:color w:val="0063A6" w:themeColor="accent1"/>
      </w:rPr>
      <w:t>Accounting policy update</w:t>
    </w:r>
    <w:r w:rsidRPr="00DE4A51">
      <w:rPr>
        <w:rFonts w:ascii="Arial" w:hAnsi="Arial" w:cs="Arial"/>
        <w:color w:val="0063A6" w:themeColor="accent1"/>
      </w:rPr>
      <w:t xml:space="preserve"> </w:t>
    </w:r>
    <w:r w:rsidRPr="00DE4A51">
      <w:rPr>
        <w:rFonts w:ascii="Arial" w:hAnsi="Arial" w:cs="Arial"/>
      </w:rPr>
      <w:t xml:space="preserve">Newsletter – Edition No. 38, July 2020 </w:t>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w:t>
    </w:r>
    <w:r w:rsidRPr="008B69EC">
      <w:rPr>
        <w:rStyle w:val="PageNumber"/>
      </w:rPr>
      <w:fldChar w:fldCharType="end"/>
    </w:r>
  </w:p>
  <w:p w14:paraId="37F03EBE" w14:textId="24413638" w:rsidR="002F19C9" w:rsidRPr="00C022F9" w:rsidRDefault="002F19C9" w:rsidP="00673B21">
    <w:pPr>
      <w:pStyle w:val="Spac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FBA9F" w14:textId="77777777" w:rsidR="002F19C9" w:rsidRDefault="002F19C9" w:rsidP="00123F7E">
    <w:pPr>
      <w:pStyle w:val="Spacer"/>
    </w:pPr>
    <w:r>
      <w:rPr>
        <w:noProof/>
      </w:rPr>
      <mc:AlternateContent>
        <mc:Choice Requires="wps">
          <w:drawing>
            <wp:anchor distT="0" distB="0" distL="114300" distR="114300" simplePos="0" relativeHeight="251659264" behindDoc="0" locked="0" layoutInCell="0" allowOverlap="1" wp14:anchorId="0F14AE48" wp14:editId="276EC923">
              <wp:simplePos x="0" y="0"/>
              <wp:positionH relativeFrom="page">
                <wp:posOffset>0</wp:posOffset>
              </wp:positionH>
              <wp:positionV relativeFrom="page">
                <wp:posOffset>10234930</wp:posOffset>
              </wp:positionV>
              <wp:extent cx="7560310" cy="266700"/>
              <wp:effectExtent l="0" t="0" r="0" b="0"/>
              <wp:wrapNone/>
              <wp:docPr id="32" name="MSIPCM26574bbebea8f6f13ff7fa66" descr="{&quot;HashCode&quot;:905516305,&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A2FF9" w14:textId="77777777" w:rsidR="002F19C9" w:rsidRPr="00644F54" w:rsidRDefault="002F19C9" w:rsidP="00123F7E">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14AE48" id="_x0000_t202" coordsize="21600,21600" o:spt="202" path="m,l,21600r21600,l21600,xe">
              <v:stroke joinstyle="miter"/>
              <v:path gradientshapeok="t" o:connecttype="rect"/>
            </v:shapetype>
            <v:shape id="MSIPCM26574bbebea8f6f13ff7fa66" o:spid="_x0000_s1029" type="#_x0000_t202" alt="{&quot;HashCode&quot;:905516305,&quot;Height&quot;:841.0,&quot;Width&quot;:595.0,&quot;Placement&quot;:&quot;Footer&quot;,&quot;Index&quot;:&quot;OddAndEven&quot;,&quot;Section&quot;:2,&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Cf1axxtQIAAFEF&#10;AAAOAAAAAAAAAAAAAAAAAC4CAABkcnMvZTJvRG9jLnhtbFBLAQItABQABgAIAAAAIQBgEcYm3gAA&#10;AAsBAAAPAAAAAAAAAAAAAAAAAA8FAABkcnMvZG93bnJldi54bWxQSwUGAAAAAAQABADzAAAAGgYA&#10;AAAA&#10;" o:allowincell="f" filled="f" stroked="f" strokeweight=".5pt">
              <v:textbox inset="20pt,0,,0">
                <w:txbxContent>
                  <w:p w14:paraId="597A2FF9" w14:textId="77777777" w:rsidR="002F19C9" w:rsidRPr="00644F54" w:rsidRDefault="002F19C9" w:rsidP="00123F7E">
                    <w:pPr>
                      <w:spacing w:after="0"/>
                      <w:rPr>
                        <w:rFonts w:ascii="Calibri" w:hAnsi="Calibri" w:cs="Calibri"/>
                        <w:color w:val="000000"/>
                      </w:rPr>
                    </w:pPr>
                  </w:p>
                </w:txbxContent>
              </v:textbox>
              <w10:wrap anchorx="page" anchory="page"/>
            </v:shape>
          </w:pict>
        </mc:Fallback>
      </mc:AlternateContent>
    </w:r>
  </w:p>
  <w:p w14:paraId="02E71FD6" w14:textId="77777777" w:rsidR="002F19C9" w:rsidRDefault="002F19C9" w:rsidP="00123F7E">
    <w:pPr>
      <w:pStyle w:val="Spacer"/>
    </w:pPr>
  </w:p>
  <w:p w14:paraId="77BCFF73" w14:textId="7B6608DA"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w:t>
    </w:r>
    <w:r w:rsidRPr="008B69E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51AAE" w14:textId="7C1AC32D" w:rsidR="002F19C9" w:rsidRDefault="002F19C9" w:rsidP="004F25BD">
    <w:pPr>
      <w:pStyle w:val="Footer"/>
      <w:rPr>
        <w:rStyle w:val="PageNumber"/>
      </w:rPr>
    </w:pPr>
    <w:r>
      <mc:AlternateContent>
        <mc:Choice Requires="wps">
          <w:drawing>
            <wp:anchor distT="0" distB="0" distL="114300" distR="114300" simplePos="0" relativeHeight="251652096" behindDoc="0" locked="0" layoutInCell="0" allowOverlap="1" wp14:anchorId="60271A68" wp14:editId="079EB304">
              <wp:simplePos x="0" y="0"/>
              <wp:positionH relativeFrom="page">
                <wp:posOffset>0</wp:posOffset>
              </wp:positionH>
              <wp:positionV relativeFrom="page">
                <wp:posOffset>10234930</wp:posOffset>
              </wp:positionV>
              <wp:extent cx="7560310" cy="266700"/>
              <wp:effectExtent l="0" t="0" r="0" b="0"/>
              <wp:wrapNone/>
              <wp:docPr id="26" name="MSIPCM9de243388742070e9e57b622"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CCF4A3"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0271A68" id="_x0000_t202" coordsize="21600,21600" o:spt="202" path="m,l,21600r21600,l21600,xe">
              <v:stroke joinstyle="miter"/>
              <v:path gradientshapeok="t" o:connecttype="rect"/>
            </v:shapetype>
            <v:shape id="MSIPCM9de243388742070e9e57b622" o:spid="_x0000_s1030" type="#_x0000_t202" alt="{&quot;HashCode&quot;:-1267603503,&quot;Height&quot;:841.0,&quot;Width&quot;:595.0,&quot;Placement&quot;:&quot;Footer&quot;,&quot;Index&quot;:&quot;Primary&quot;,&quot;Section&quot;:2,&quot;Top&quot;:0.0,&quot;Left&quot;:0.0}" style="position:absolute;margin-left:0;margin-top:805.9pt;width:595.3pt;height:21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" o:allowincell="f" filled="f" stroked="f" strokeweight=".5pt">
              <v:textbox inset="20pt,0,,0">
                <w:txbxContent>
                  <w:p w14:paraId="78CCF4A3"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v:textbox>
              <w10:wrap anchorx="page" anchory="page"/>
            </v:shape>
          </w:pict>
        </mc:Fallback>
      </mc:AlternateContent>
    </w: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5E3C17">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5E3C17">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w:t>
    </w:r>
    <w:r w:rsidRPr="008B69EC">
      <w:rPr>
        <w:rStyle w:val="PageNumber"/>
      </w:rPr>
      <w:fldChar w:fldCharType="end"/>
    </w:r>
  </w:p>
  <w:p w14:paraId="0C800C78" w14:textId="77777777" w:rsidR="002F19C9" w:rsidRPr="00C022F9" w:rsidRDefault="002F19C9" w:rsidP="004F25BD">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198B7" w14:textId="77777777" w:rsidR="002F19C9" w:rsidRDefault="002F19C9" w:rsidP="00123F7E">
    <w:pPr>
      <w:pStyle w:val="Spacer"/>
    </w:pPr>
    <w:r>
      <w:rPr>
        <w:noProof/>
      </w:rPr>
      <mc:AlternateContent>
        <mc:Choice Requires="wps">
          <w:drawing>
            <wp:anchor distT="0" distB="0" distL="114300" distR="114300" simplePos="1" relativeHeight="251655168" behindDoc="0" locked="0" layoutInCell="0" allowOverlap="1" wp14:anchorId="05939869" wp14:editId="0A4AADB1">
              <wp:simplePos x="0" y="10234930"/>
              <wp:positionH relativeFrom="page">
                <wp:posOffset>0</wp:posOffset>
              </wp:positionH>
              <wp:positionV relativeFrom="page">
                <wp:posOffset>10234930</wp:posOffset>
              </wp:positionV>
              <wp:extent cx="7560310" cy="266700"/>
              <wp:effectExtent l="0" t="0" r="0" b="0"/>
              <wp:wrapNone/>
              <wp:docPr id="29" name="MSIPCMb1ee4a5899958ddcc5a77850" descr="{&quot;HashCode&quot;:-1267603503,&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DAF73"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939869" id="_x0000_t202" coordsize="21600,21600" o:spt="202" path="m,l,21600r21600,l21600,xe">
              <v:stroke joinstyle="miter"/>
              <v:path gradientshapeok="t" o:connecttype="rect"/>
            </v:shapetype>
            <v:shape id="MSIPCMb1ee4a5899958ddcc5a77850" o:spid="_x0000_s1031" type="#_x0000_t202" alt="{&quot;HashCode&quot;:-1267603503,&quot;Height&quot;:841.0,&quot;Width&quot;:595.0,&quot;Placement&quot;:&quot;Footer&quot;,&quot;Index&quot;:&quot;FirstPage&quot;,&quot;Section&quot;:2,&quot;Top&quot;:0.0,&quot;Left&quot;:0.0}" style="position:absolute;margin-left:0;margin-top:805.9pt;width:595.3pt;height:21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B2KukatQIAAFIF&#10;AAAOAAAAAAAAAAAAAAAAAC4CAABkcnMvZTJvRG9jLnhtbFBLAQItABQABgAIAAAAIQBgEcYm3gAA&#10;AAsBAAAPAAAAAAAAAAAAAAAAAA8FAABkcnMvZG93bnJldi54bWxQSwUGAAAAAAQABADzAAAAGgYA&#10;AAAA&#10;" o:allowincell="f" filled="f" stroked="f" strokeweight=".5pt">
              <v:textbox inset="20pt,0,,0">
                <w:txbxContent>
                  <w:p w14:paraId="377DAF73" w14:textId="77777777" w:rsidR="002F19C9" w:rsidRPr="00E41BB2" w:rsidRDefault="002F19C9" w:rsidP="00E41BB2">
                    <w:pPr>
                      <w:spacing w:before="0" w:after="0"/>
                      <w:rPr>
                        <w:rFonts w:ascii="Calibri" w:hAnsi="Calibri" w:cs="Calibri"/>
                        <w:color w:val="000000"/>
                        <w:sz w:val="22"/>
                      </w:rPr>
                    </w:pPr>
                    <w:r w:rsidRPr="00E41BB2">
                      <w:rPr>
                        <w:rFonts w:ascii="Calibri" w:hAnsi="Calibri" w:cs="Calibri"/>
                        <w:color w:val="000000"/>
                        <w:sz w:val="22"/>
                      </w:rPr>
                      <w:t>OFFICIAL</w:t>
                    </w:r>
                  </w:p>
                </w:txbxContent>
              </v:textbox>
              <w10:wrap anchorx="page" anchory="page"/>
            </v:shape>
          </w:pict>
        </mc:Fallback>
      </mc:AlternateContent>
    </w:r>
  </w:p>
  <w:p w14:paraId="7F0C83C9" w14:textId="77777777" w:rsidR="002F19C9" w:rsidRDefault="002F19C9" w:rsidP="00123F7E">
    <w:pPr>
      <w:pStyle w:val="Spacer"/>
    </w:pPr>
  </w:p>
  <w:p w14:paraId="1E28B806" w14:textId="16B07021"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1</w:t>
    </w:r>
    <w:r w:rsidRPr="008B69E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6D452" w14:textId="3F55C90B" w:rsidR="002F19C9" w:rsidRDefault="002F19C9" w:rsidP="00123F7E">
    <w:pPr>
      <w:pStyle w:val="Footer1"/>
      <w:rPr>
        <w:rStyle w:val="PageNumber"/>
      </w:rPr>
    </w:pPr>
    <w:r>
      <mc:AlternateContent>
        <mc:Choice Requires="wps">
          <w:drawing>
            <wp:anchor distT="0" distB="0" distL="114300" distR="114300" simplePos="0" relativeHeight="251666432" behindDoc="0" locked="0" layoutInCell="0" allowOverlap="1" wp14:anchorId="28E2C822" wp14:editId="1F247B66">
              <wp:simplePos x="0" y="0"/>
              <wp:positionH relativeFrom="page">
                <wp:posOffset>-6824</wp:posOffset>
              </wp:positionH>
              <wp:positionV relativeFrom="page">
                <wp:posOffset>10412351</wp:posOffset>
              </wp:positionV>
              <wp:extent cx="7560310" cy="266700"/>
              <wp:effectExtent l="0" t="0" r="0" b="0"/>
              <wp:wrapNone/>
              <wp:docPr id="36" name="MSIPCM31c4480881be21a24946123d" descr="{&quot;HashCode&quot;:905516305,&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8A1621" w14:textId="77777777" w:rsidR="002F19C9" w:rsidRPr="00644F54" w:rsidRDefault="002F19C9" w:rsidP="00123F7E">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8E2C822" id="_x0000_t202" coordsize="21600,21600" o:spt="202" path="m,l,21600r21600,l21600,xe">
              <v:stroke joinstyle="miter"/>
              <v:path gradientshapeok="t" o:connecttype="rect"/>
            </v:shapetype>
            <v:shape id="MSIPCM31c4480881be21a24946123d" o:spid="_x0000_s1032" type="#_x0000_t202" alt="{&quot;HashCode&quot;:905516305,&quot;Height&quot;:841.0,&quot;Width&quot;:595.0,&quot;Placement&quot;:&quot;Footer&quot;,&quot;Index&quot;:&quot;OddAndEven&quot;,&quot;Section&quot;:3,&quot;Top&quot;:0.0,&quot;Left&quot;:0.0}" style="position:absolute;margin-left:-.55pt;margin-top:819.85pt;width:595.3pt;height:21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" o:allowincell="f" filled="f" stroked="f" strokeweight=".5pt">
              <v:textbox inset="20pt,0,,0">
                <w:txbxContent>
                  <w:p w14:paraId="5A8A1621" w14:textId="77777777" w:rsidR="002F19C9" w:rsidRPr="00644F54" w:rsidRDefault="002F19C9" w:rsidP="00123F7E">
                    <w:pPr>
                      <w:spacing w:after="0"/>
                      <w:rPr>
                        <w:rFonts w:ascii="Calibri" w:hAnsi="Calibri" w:cs="Calibri"/>
                        <w:color w:val="000000"/>
                      </w:rPr>
                    </w:pPr>
                  </w:p>
                </w:txbxContent>
              </v:textbox>
              <w10:wrap anchorx="page" anchory="page"/>
            </v:shape>
          </w:pict>
        </mc:Fallback>
      </mc:AlternateContent>
    </w: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4</w:t>
    </w:r>
    <w:r w:rsidRPr="008B69EC">
      <w:rPr>
        <w:rStyle w:val="PageNumber"/>
      </w:rPr>
      <w:fldChar w:fldCharType="end"/>
    </w:r>
  </w:p>
  <w:p w14:paraId="28DBFD98" w14:textId="77777777" w:rsidR="002F19C9" w:rsidRPr="00C022F9" w:rsidRDefault="002F19C9" w:rsidP="00123F7E">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272F" w14:textId="4C02DE51" w:rsidR="002F19C9" w:rsidRDefault="002F19C9" w:rsidP="00123F7E">
    <w:pPr>
      <w:pStyle w:val="Spacer"/>
    </w:pPr>
    <w:r>
      <w:rPr>
        <w:noProof/>
      </w:rPr>
      <mc:AlternateContent>
        <mc:Choice Requires="wps">
          <w:drawing>
            <wp:anchor distT="0" distB="0" distL="114300" distR="114300" simplePos="1" relativeHeight="251682816" behindDoc="0" locked="0" layoutInCell="0" allowOverlap="1" wp14:anchorId="25179734" wp14:editId="42F9A1AE">
              <wp:simplePos x="0" y="10234930"/>
              <wp:positionH relativeFrom="page">
                <wp:posOffset>0</wp:posOffset>
              </wp:positionH>
              <wp:positionV relativeFrom="page">
                <wp:posOffset>10234930</wp:posOffset>
              </wp:positionV>
              <wp:extent cx="7560310" cy="266700"/>
              <wp:effectExtent l="0" t="0" r="0" b="0"/>
              <wp:wrapNone/>
              <wp:docPr id="9" name="MSIPCM761d48afa1d8d5fdc9f2ef6f" descr="{&quot;HashCode&quot;:-1267603503,&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0E127" w14:textId="720DC198" w:rsidR="002F19C9" w:rsidRPr="002E0DE1" w:rsidRDefault="002F19C9" w:rsidP="002E0DE1">
                          <w:pPr>
                            <w:spacing w:before="0" w:after="0"/>
                            <w:rPr>
                              <w:rFonts w:ascii="Calibri" w:hAnsi="Calibri" w:cs="Calibri"/>
                              <w:color w:val="000000"/>
                              <w:sz w:val="22"/>
                            </w:rPr>
                          </w:pPr>
                          <w:r w:rsidRPr="002E0DE1">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5179734" id="_x0000_t202" coordsize="21600,21600" o:spt="202" path="m,l,21600r21600,l21600,xe">
              <v:stroke joinstyle="miter"/>
              <v:path gradientshapeok="t" o:connecttype="rect"/>
            </v:shapetype>
            <v:shape id="MSIPCM761d48afa1d8d5fdc9f2ef6f" o:spid="_x0000_s1033" type="#_x0000_t202" alt="{&quot;HashCode&quot;:-1267603503,&quot;Height&quot;:841.0,&quot;Width&quot;:595.0,&quot;Placement&quot;:&quot;Footer&quot;,&quot;Index&quot;:&quot;FirstPage&quot;,&quot;Section&quot;:3,&quot;Top&quot;:0.0,&quot;Left&quot;:0.0}" style="position:absolute;margin-left:0;margin-top:805.9pt;width:595.3pt;height:21pt;z-index:251682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Aib7ei0AgAAUQUA&#10;AA4AAAAAAAAAAAAAAAAALgIAAGRycy9lMm9Eb2MueG1sUEsBAi0AFAAGAAgAAAAhAGARxibeAAAA&#10;CwEAAA8AAAAAAAAAAAAAAAAADgUAAGRycy9kb3ducmV2LnhtbFBLBQYAAAAABAAEAPMAAAAZBgAA&#10;AAA=&#10;" o:allowincell="f" filled="f" stroked="f" strokeweight=".5pt">
              <v:textbox inset="20pt,0,,0">
                <w:txbxContent>
                  <w:p w14:paraId="6F90E127" w14:textId="720DC198" w:rsidR="002F19C9" w:rsidRPr="002E0DE1" w:rsidRDefault="002F19C9" w:rsidP="002E0DE1">
                    <w:pPr>
                      <w:spacing w:before="0" w:after="0"/>
                      <w:rPr>
                        <w:rFonts w:ascii="Calibri" w:hAnsi="Calibri" w:cs="Calibri"/>
                        <w:color w:val="000000"/>
                        <w:sz w:val="22"/>
                      </w:rPr>
                    </w:pPr>
                    <w:r w:rsidRPr="002E0DE1">
                      <w:rPr>
                        <w:rFonts w:ascii="Calibri" w:hAnsi="Calibri" w:cs="Calibri"/>
                        <w:color w:val="000000"/>
                        <w:sz w:val="22"/>
                      </w:rPr>
                      <w:t>OFFICIAL</w:t>
                    </w:r>
                  </w:p>
                </w:txbxContent>
              </v:textbox>
              <w10:wrap anchorx="page" anchory="page"/>
            </v:shape>
          </w:pict>
        </mc:Fallback>
      </mc:AlternateContent>
    </w:r>
  </w:p>
  <w:p w14:paraId="38D92259" w14:textId="77777777" w:rsidR="002F19C9" w:rsidRDefault="002F19C9" w:rsidP="00123F7E">
    <w:pPr>
      <w:pStyle w:val="Spacer"/>
    </w:pPr>
  </w:p>
  <w:p w14:paraId="7D0775F0" w14:textId="64EEA299"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2</w:t>
    </w:r>
    <w:r w:rsidRPr="008B69E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C9CD8" w14:textId="77777777" w:rsidR="002F19C9" w:rsidRDefault="002F19C9" w:rsidP="00123F7E">
    <w:pPr>
      <w:pStyle w:val="Spacer"/>
    </w:pPr>
    <w:r>
      <w:rPr>
        <w:noProof/>
      </w:rPr>
      <mc:AlternateContent>
        <mc:Choice Requires="wps">
          <w:drawing>
            <wp:anchor distT="0" distB="0" distL="114300" distR="114300" simplePos="1" relativeHeight="251670528" behindDoc="0" locked="0" layoutInCell="0" allowOverlap="1" wp14:anchorId="104D8824" wp14:editId="096C8CD9">
              <wp:simplePos x="0" y="10234930"/>
              <wp:positionH relativeFrom="page">
                <wp:posOffset>0</wp:posOffset>
              </wp:positionH>
              <wp:positionV relativeFrom="page">
                <wp:posOffset>10234930</wp:posOffset>
              </wp:positionV>
              <wp:extent cx="7560310" cy="266700"/>
              <wp:effectExtent l="0" t="0" r="0" b="0"/>
              <wp:wrapNone/>
              <wp:docPr id="42" name="MSIPCM637c4d09ad0b4ee13a2c1880" descr="{&quot;HashCode&quot;:905516305,&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328432" w14:textId="77777777" w:rsidR="002F19C9" w:rsidRPr="00644F54" w:rsidRDefault="002F19C9" w:rsidP="00123F7E">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04D8824" id="_x0000_t202" coordsize="21600,21600" o:spt="202" path="m,l,21600r21600,l21600,xe">
              <v:stroke joinstyle="miter"/>
              <v:path gradientshapeok="t" o:connecttype="rect"/>
            </v:shapetype>
            <v:shape id="MSIPCM637c4d09ad0b4ee13a2c1880" o:spid="_x0000_s1034" type="#_x0000_t202" alt="{&quot;HashCode&quot;:905516305,&quot;Height&quot;:841.0,&quot;Width&quot;:595.0,&quot;Placement&quot;:&quot;Footer&quot;,&quot;Index&quot;:&quot;OddAndEven&quot;,&quot;Section&quot;:4,&quot;Top&quot;:0.0,&quot;Left&quot;:0.0}" style="position:absolute;margin-left:0;margin-top:805.9pt;width:595.3pt;height:21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" o:allowincell="f" filled="f" stroked="f" strokeweight=".5pt">
              <v:textbox inset="20pt,0,,0">
                <w:txbxContent>
                  <w:p w14:paraId="73328432" w14:textId="77777777" w:rsidR="002F19C9" w:rsidRPr="00644F54" w:rsidRDefault="002F19C9" w:rsidP="00123F7E">
                    <w:pPr>
                      <w:spacing w:after="0"/>
                      <w:rPr>
                        <w:rFonts w:ascii="Calibri" w:hAnsi="Calibri" w:cs="Calibri"/>
                        <w:color w:val="000000"/>
                      </w:rPr>
                    </w:pPr>
                  </w:p>
                </w:txbxContent>
              </v:textbox>
              <w10:wrap anchorx="page" anchory="page"/>
            </v:shape>
          </w:pict>
        </mc:Fallback>
      </mc:AlternateContent>
    </w:r>
  </w:p>
  <w:p w14:paraId="66A9B5C6" w14:textId="77777777" w:rsidR="002F19C9" w:rsidRDefault="002F19C9" w:rsidP="00123F7E">
    <w:pPr>
      <w:pStyle w:val="Spacer"/>
    </w:pPr>
  </w:p>
  <w:p w14:paraId="17AF6CAF" w14:textId="656DC945" w:rsidR="002F19C9" w:rsidRPr="00C022F9" w:rsidRDefault="002F19C9" w:rsidP="00123F7E">
    <w:pPr>
      <w:pStyle w:val="Footer1"/>
    </w:pPr>
    <w:r w:rsidRPr="00923519">
      <w:rPr>
        <w:b/>
        <w:noProof w:val="0"/>
        <w:color w:val="0063A6"/>
      </w:rPr>
      <w:fldChar w:fldCharType="begin"/>
    </w:r>
    <w:r w:rsidRPr="00923519">
      <w:rPr>
        <w:b/>
        <w:color w:val="0063A6"/>
      </w:rPr>
      <w:instrText xml:space="preserve"> StyleRef “Title” </w:instrText>
    </w:r>
    <w:r w:rsidRPr="00923519">
      <w:rPr>
        <w:b/>
        <w:noProof w:val="0"/>
        <w:color w:val="0063A6"/>
      </w:rPr>
      <w:fldChar w:fldCharType="separate"/>
    </w:r>
    <w:r w:rsidR="00D05471">
      <w:rPr>
        <w:b/>
        <w:color w:val="0063A6"/>
      </w:rPr>
      <w:t>Accounting policy update</w:t>
    </w:r>
    <w:r w:rsidRPr="00923519">
      <w:rPr>
        <w:b/>
        <w:color w:val="0063A6"/>
      </w:rPr>
      <w:fldChar w:fldCharType="end"/>
    </w:r>
    <w:r w:rsidRPr="00923519">
      <w:rPr>
        <w:b/>
        <w:color w:val="0063A6"/>
      </w:rPr>
      <w:t xml:space="preserve"> </w:t>
    </w:r>
    <w:r w:rsidRPr="000C21C3">
      <w:fldChar w:fldCharType="begin"/>
    </w:r>
    <w:r w:rsidRPr="000C21C3">
      <w:instrText xml:space="preserve"> StyleRef “</w:instrText>
    </w:r>
    <w:r>
      <w:instrText>Subt</w:instrText>
    </w:r>
    <w:r w:rsidRPr="000C21C3">
      <w:instrText xml:space="preserve">itle” </w:instrText>
    </w:r>
    <w:r w:rsidRPr="000C21C3">
      <w:fldChar w:fldCharType="separate"/>
    </w:r>
    <w:r w:rsidR="00D05471">
      <w:t>Newsletter – Edition No. 38, June 2020</w:t>
    </w:r>
    <w:r w:rsidRPr="000C21C3">
      <w:fldChar w:fldCharType="end"/>
    </w:r>
    <w:r w:rsidRPr="00C022F9">
      <w:tab/>
      <w:t>Page</w:t>
    </w:r>
    <w:r w:rsidRPr="008B69EC">
      <w:rPr>
        <w:rStyle w:val="PageNumber"/>
      </w:rPr>
      <w:t xml:space="preserve"> </w:t>
    </w:r>
    <w:r w:rsidRPr="008B69EC">
      <w:rPr>
        <w:rStyle w:val="PageNumber"/>
      </w:rPr>
      <w:fldChar w:fldCharType="begin"/>
    </w:r>
    <w:r w:rsidRPr="008B69EC">
      <w:rPr>
        <w:rStyle w:val="PageNumber"/>
      </w:rPr>
      <w:instrText xml:space="preserve"> Page </w:instrText>
    </w:r>
    <w:r w:rsidRPr="008B69EC">
      <w:rPr>
        <w:rStyle w:val="PageNumber"/>
      </w:rPr>
      <w:fldChar w:fldCharType="separate"/>
    </w:r>
    <w:r>
      <w:rPr>
        <w:rStyle w:val="PageNumber"/>
      </w:rPr>
      <w:t>8</w:t>
    </w:r>
    <w:r w:rsidRPr="008B69E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6DB39" w14:textId="77777777" w:rsidR="00891F67" w:rsidRDefault="00891F67" w:rsidP="00923519">
      <w:pPr>
        <w:spacing w:after="0" w:line="240" w:lineRule="auto"/>
      </w:pPr>
      <w:r>
        <w:separator/>
      </w:r>
    </w:p>
    <w:p w14:paraId="5E150647" w14:textId="77777777" w:rsidR="00891F67" w:rsidRDefault="00891F67"/>
  </w:footnote>
  <w:footnote w:type="continuationSeparator" w:id="0">
    <w:p w14:paraId="4E506A55" w14:textId="77777777" w:rsidR="00891F67" w:rsidRDefault="00891F67" w:rsidP="00923519">
      <w:pPr>
        <w:spacing w:after="0" w:line="240" w:lineRule="auto"/>
      </w:pPr>
      <w:r>
        <w:continuationSeparator/>
      </w:r>
    </w:p>
    <w:p w14:paraId="7E0C19EA" w14:textId="77777777" w:rsidR="00891F67" w:rsidRDefault="00891F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11DB7" w14:textId="77777777" w:rsidR="002F19C9" w:rsidRPr="0041689E" w:rsidRDefault="002F19C9" w:rsidP="00123F7E">
    <w:pPr>
      <w:pStyle w:val="Header1"/>
    </w:pPr>
    <w:r>
      <w:rPr>
        <w:noProof/>
      </w:rPr>
      <w:drawing>
        <wp:anchor distT="0" distB="0" distL="114300" distR="114300" simplePos="0" relativeHeight="251653120" behindDoc="0" locked="0" layoutInCell="1" allowOverlap="1" wp14:anchorId="63D5C3EA" wp14:editId="1AC9C153">
          <wp:simplePos x="0" y="0"/>
          <wp:positionH relativeFrom="column">
            <wp:posOffset>-309880</wp:posOffset>
          </wp:positionH>
          <wp:positionV relativeFrom="page">
            <wp:posOffset>299085</wp:posOffset>
          </wp:positionV>
          <wp:extent cx="1380490" cy="411480"/>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490A5FDF" wp14:editId="2E0CDC3C">
          <wp:simplePos x="0" y="0"/>
          <wp:positionH relativeFrom="column">
            <wp:posOffset>-914400</wp:posOffset>
          </wp:positionH>
          <wp:positionV relativeFrom="page">
            <wp:posOffset>125095</wp:posOffset>
          </wp:positionV>
          <wp:extent cx="7589520" cy="740410"/>
          <wp:effectExtent l="0" t="0" r="0" b="2540"/>
          <wp:wrapNone/>
          <wp:docPr id="5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2D6F1" w14:textId="77777777" w:rsidR="002F19C9" w:rsidRPr="0041689E" w:rsidRDefault="002F19C9" w:rsidP="00123F7E">
    <w:pPr>
      <w:pStyle w:val="Header1"/>
    </w:pPr>
    <w:r>
      <w:rPr>
        <w:noProof/>
      </w:rPr>
      <w:drawing>
        <wp:anchor distT="0" distB="0" distL="114300" distR="114300" simplePos="0" relativeHeight="251662336" behindDoc="0" locked="0" layoutInCell="1" allowOverlap="1" wp14:anchorId="3A847AB6" wp14:editId="0764629A">
          <wp:simplePos x="0" y="0"/>
          <wp:positionH relativeFrom="column">
            <wp:posOffset>-309880</wp:posOffset>
          </wp:positionH>
          <wp:positionV relativeFrom="page">
            <wp:posOffset>299085</wp:posOffset>
          </wp:positionV>
          <wp:extent cx="1380490" cy="4114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1275030" wp14:editId="4C3C1BA7">
          <wp:simplePos x="0" y="0"/>
          <wp:positionH relativeFrom="column">
            <wp:posOffset>-914400</wp:posOffset>
          </wp:positionH>
          <wp:positionV relativeFrom="page">
            <wp:posOffset>125095</wp:posOffset>
          </wp:positionV>
          <wp:extent cx="7589520" cy="740410"/>
          <wp:effectExtent l="0" t="0" r="0" b="2540"/>
          <wp:wrapNone/>
          <wp:docPr id="7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AAFE" w14:textId="77777777" w:rsidR="002F19C9" w:rsidRPr="0041689E" w:rsidRDefault="002F19C9">
    <w:pPr>
      <w:pStyle w:val="Header1"/>
    </w:pPr>
    <w:r>
      <w:rPr>
        <w:noProof/>
      </w:rPr>
      <w:drawing>
        <wp:anchor distT="0" distB="0" distL="114300" distR="114300" simplePos="0" relativeHeight="251675648" behindDoc="0" locked="0" layoutInCell="1" allowOverlap="1" wp14:anchorId="38FDA3D2" wp14:editId="75827412">
          <wp:simplePos x="0" y="0"/>
          <wp:positionH relativeFrom="column">
            <wp:posOffset>-309880</wp:posOffset>
          </wp:positionH>
          <wp:positionV relativeFrom="page">
            <wp:posOffset>299085</wp:posOffset>
          </wp:positionV>
          <wp:extent cx="1380490" cy="411480"/>
          <wp:effectExtent l="0" t="0" r="0" b="76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8ABCD01" wp14:editId="61E45995">
          <wp:simplePos x="0" y="0"/>
          <wp:positionH relativeFrom="column">
            <wp:posOffset>-914400</wp:posOffset>
          </wp:positionH>
          <wp:positionV relativeFrom="page">
            <wp:posOffset>125095</wp:posOffset>
          </wp:positionV>
          <wp:extent cx="7589520" cy="740410"/>
          <wp:effectExtent l="0" t="0" r="0" b="2540"/>
          <wp:wrapNone/>
          <wp:docPr id="10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DB39" w14:textId="77777777" w:rsidR="002F19C9" w:rsidRPr="0041689E" w:rsidRDefault="002F19C9" w:rsidP="00123F7E">
    <w:pPr>
      <w:pStyle w:val="Header1"/>
    </w:pPr>
    <w:r>
      <w:rPr>
        <w:noProof/>
      </w:rPr>
      <w:drawing>
        <wp:anchor distT="0" distB="0" distL="114300" distR="114300" simplePos="0" relativeHeight="251674624" behindDoc="0" locked="0" layoutInCell="1" allowOverlap="1" wp14:anchorId="2464040D" wp14:editId="2BFC2870">
          <wp:simplePos x="0" y="0"/>
          <wp:positionH relativeFrom="column">
            <wp:posOffset>-309880</wp:posOffset>
          </wp:positionH>
          <wp:positionV relativeFrom="page">
            <wp:posOffset>299085</wp:posOffset>
          </wp:positionV>
          <wp:extent cx="1380490" cy="411480"/>
          <wp:effectExtent l="0" t="0" r="0" b="762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3A80FA2" wp14:editId="616C5D24">
          <wp:simplePos x="0" y="0"/>
          <wp:positionH relativeFrom="column">
            <wp:posOffset>-914400</wp:posOffset>
          </wp:positionH>
          <wp:positionV relativeFrom="page">
            <wp:posOffset>125095</wp:posOffset>
          </wp:positionV>
          <wp:extent cx="7589520" cy="740410"/>
          <wp:effectExtent l="0" t="0" r="0" b="2540"/>
          <wp:wrapNone/>
          <wp:docPr id="11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962C2" w14:textId="77777777" w:rsidR="002F19C9" w:rsidRPr="0041689E" w:rsidRDefault="002F19C9" w:rsidP="00123F7E">
    <w:pPr>
      <w:pStyle w:val="Header1"/>
    </w:pPr>
    <w:r>
      <w:rPr>
        <w:noProof/>
      </w:rPr>
      <w:drawing>
        <wp:anchor distT="0" distB="0" distL="114300" distR="114300" simplePos="0" relativeHeight="251676672" behindDoc="0" locked="0" layoutInCell="1" allowOverlap="1" wp14:anchorId="368D5272" wp14:editId="66A0A492">
          <wp:simplePos x="0" y="0"/>
          <wp:positionH relativeFrom="column">
            <wp:posOffset>-309880</wp:posOffset>
          </wp:positionH>
          <wp:positionV relativeFrom="page">
            <wp:posOffset>299085</wp:posOffset>
          </wp:positionV>
          <wp:extent cx="1380490" cy="411480"/>
          <wp:effectExtent l="0" t="0" r="0" b="76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BD667FB" wp14:editId="2B5FD416">
          <wp:simplePos x="0" y="0"/>
          <wp:positionH relativeFrom="column">
            <wp:posOffset>-914400</wp:posOffset>
          </wp:positionH>
          <wp:positionV relativeFrom="page">
            <wp:posOffset>125095</wp:posOffset>
          </wp:positionV>
          <wp:extent cx="7589520" cy="740410"/>
          <wp:effectExtent l="0" t="0" r="0" b="2540"/>
          <wp:wrapNone/>
          <wp:docPr id="112"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BE0E" w14:textId="77777777" w:rsidR="002F19C9" w:rsidRPr="0041689E" w:rsidRDefault="002F19C9">
    <w:pPr>
      <w:pStyle w:val="Header1"/>
    </w:pPr>
    <w:r>
      <w:rPr>
        <w:noProof/>
      </w:rPr>
      <w:drawing>
        <wp:anchor distT="0" distB="0" distL="114300" distR="114300" simplePos="0" relativeHeight="251678720" behindDoc="0" locked="0" layoutInCell="1" allowOverlap="1" wp14:anchorId="165829E9" wp14:editId="4F4C81EC">
          <wp:simplePos x="0" y="0"/>
          <wp:positionH relativeFrom="column">
            <wp:posOffset>-309880</wp:posOffset>
          </wp:positionH>
          <wp:positionV relativeFrom="page">
            <wp:posOffset>299085</wp:posOffset>
          </wp:positionV>
          <wp:extent cx="1380490" cy="411480"/>
          <wp:effectExtent l="0" t="0" r="0" b="762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5211001" wp14:editId="206FC4F7">
          <wp:simplePos x="0" y="0"/>
          <wp:positionH relativeFrom="column">
            <wp:posOffset>-914400</wp:posOffset>
          </wp:positionH>
          <wp:positionV relativeFrom="page">
            <wp:posOffset>125095</wp:posOffset>
          </wp:positionV>
          <wp:extent cx="7589520" cy="740410"/>
          <wp:effectExtent l="0" t="0" r="0" b="2540"/>
          <wp:wrapNone/>
          <wp:docPr id="11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85B17" w14:textId="77777777" w:rsidR="002F19C9" w:rsidRPr="0041689E" w:rsidRDefault="002F19C9" w:rsidP="00123F7E">
    <w:pPr>
      <w:pStyle w:val="Header1"/>
    </w:pPr>
    <w:r>
      <w:rPr>
        <w:noProof/>
      </w:rPr>
      <w:drawing>
        <wp:anchor distT="0" distB="0" distL="114300" distR="114300" simplePos="0" relativeHeight="251640832" behindDoc="0" locked="0" layoutInCell="1" allowOverlap="1" wp14:anchorId="7AE3FFF5" wp14:editId="17DF5E1B">
          <wp:simplePos x="0" y="0"/>
          <wp:positionH relativeFrom="column">
            <wp:posOffset>-309880</wp:posOffset>
          </wp:positionH>
          <wp:positionV relativeFrom="page">
            <wp:posOffset>299085</wp:posOffset>
          </wp:positionV>
          <wp:extent cx="1380490" cy="411480"/>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0" locked="0" layoutInCell="1" allowOverlap="1" wp14:anchorId="6F29EE46" wp14:editId="36A6E3AC">
          <wp:simplePos x="0" y="0"/>
          <wp:positionH relativeFrom="column">
            <wp:posOffset>-914400</wp:posOffset>
          </wp:positionH>
          <wp:positionV relativeFrom="page">
            <wp:posOffset>125095</wp:posOffset>
          </wp:positionV>
          <wp:extent cx="7589520" cy="740410"/>
          <wp:effectExtent l="0" t="0" r="0" b="2540"/>
          <wp:wrapNone/>
          <wp:docPr id="5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p w14:paraId="68E65DAF" w14:textId="77777777" w:rsidR="002F19C9" w:rsidRDefault="002F19C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FB59" w14:textId="77777777" w:rsidR="002F19C9" w:rsidRPr="0041689E" w:rsidRDefault="002F19C9">
    <w:pPr>
      <w:pStyle w:val="Header1"/>
    </w:pPr>
    <w:r>
      <w:rPr>
        <w:noProof/>
      </w:rPr>
      <w:drawing>
        <wp:anchor distT="0" distB="0" distL="114300" distR="114300" simplePos="0" relativeHeight="251643904" behindDoc="0" locked="0" layoutInCell="1" allowOverlap="1" wp14:anchorId="3B791B38" wp14:editId="3016161A">
          <wp:simplePos x="0" y="0"/>
          <wp:positionH relativeFrom="column">
            <wp:posOffset>-309880</wp:posOffset>
          </wp:positionH>
          <wp:positionV relativeFrom="page">
            <wp:posOffset>299085</wp:posOffset>
          </wp:positionV>
          <wp:extent cx="1380490" cy="411480"/>
          <wp:effectExtent l="0" t="0" r="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5A5AA65B" wp14:editId="62ACD2C3">
          <wp:simplePos x="0" y="0"/>
          <wp:positionH relativeFrom="column">
            <wp:posOffset>-914400</wp:posOffset>
          </wp:positionH>
          <wp:positionV relativeFrom="page">
            <wp:posOffset>125095</wp:posOffset>
          </wp:positionV>
          <wp:extent cx="7589520" cy="740410"/>
          <wp:effectExtent l="0" t="0" r="0" b="2540"/>
          <wp:wrapNone/>
          <wp:docPr id="4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p w14:paraId="13909880" w14:textId="77777777" w:rsidR="002F19C9" w:rsidRDefault="002F19C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5CB03" w14:textId="77777777" w:rsidR="002F19C9" w:rsidRPr="0041689E" w:rsidRDefault="002F19C9" w:rsidP="00123F7E">
    <w:pPr>
      <w:pStyle w:val="Header1"/>
    </w:pPr>
    <w:r>
      <w:rPr>
        <w:noProof/>
      </w:rPr>
      <w:drawing>
        <wp:anchor distT="0" distB="0" distL="114300" distR="114300" simplePos="0" relativeHeight="251636736" behindDoc="0" locked="0" layoutInCell="1" allowOverlap="1" wp14:anchorId="1C9D04FC" wp14:editId="4ED4F2D1">
          <wp:simplePos x="0" y="0"/>
          <wp:positionH relativeFrom="column">
            <wp:posOffset>-309880</wp:posOffset>
          </wp:positionH>
          <wp:positionV relativeFrom="page">
            <wp:posOffset>299085</wp:posOffset>
          </wp:positionV>
          <wp:extent cx="1380490" cy="411480"/>
          <wp:effectExtent l="0" t="0" r="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8" behindDoc="0" locked="0" layoutInCell="1" allowOverlap="1" wp14:anchorId="5A740966" wp14:editId="30998737">
          <wp:simplePos x="0" y="0"/>
          <wp:positionH relativeFrom="column">
            <wp:posOffset>-914400</wp:posOffset>
          </wp:positionH>
          <wp:positionV relativeFrom="page">
            <wp:posOffset>125095</wp:posOffset>
          </wp:positionV>
          <wp:extent cx="7589520" cy="740410"/>
          <wp:effectExtent l="0" t="0" r="0" b="2540"/>
          <wp:wrapNone/>
          <wp:docPr id="6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p w14:paraId="4190873A" w14:textId="77777777" w:rsidR="002F19C9" w:rsidRDefault="002F19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8883" w14:textId="77777777" w:rsidR="002F19C9" w:rsidRPr="0041689E" w:rsidRDefault="002F19C9">
    <w:pPr>
      <w:pStyle w:val="Header1"/>
    </w:pPr>
    <w:r>
      <w:rPr>
        <w:noProof/>
      </w:rPr>
      <w:drawing>
        <wp:anchor distT="0" distB="0" distL="114300" distR="114300" simplePos="0" relativeHeight="251635712" behindDoc="0" locked="0" layoutInCell="1" allowOverlap="1" wp14:anchorId="3E69A4B1" wp14:editId="75DFEB4C">
          <wp:simplePos x="0" y="0"/>
          <wp:positionH relativeFrom="column">
            <wp:posOffset>-309880</wp:posOffset>
          </wp:positionH>
          <wp:positionV relativeFrom="page">
            <wp:posOffset>299085</wp:posOffset>
          </wp:positionV>
          <wp:extent cx="1380490" cy="411480"/>
          <wp:effectExtent l="0" t="0" r="0"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0" locked="0" layoutInCell="1" allowOverlap="1" wp14:anchorId="2A52AA03" wp14:editId="4051020B">
          <wp:simplePos x="0" y="0"/>
          <wp:positionH relativeFrom="column">
            <wp:posOffset>-914400</wp:posOffset>
          </wp:positionH>
          <wp:positionV relativeFrom="page">
            <wp:posOffset>125095</wp:posOffset>
          </wp:positionV>
          <wp:extent cx="7589520" cy="740410"/>
          <wp:effectExtent l="0" t="0" r="0" b="2540"/>
          <wp:wrapNone/>
          <wp:docPr id="6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1A088" w14:textId="77777777" w:rsidR="002F19C9" w:rsidRPr="0041689E" w:rsidRDefault="002F19C9" w:rsidP="00123F7E">
    <w:pPr>
      <w:pStyle w:val="Header1"/>
    </w:pPr>
    <w:r>
      <w:rPr>
        <w:noProof/>
      </w:rPr>
      <w:drawing>
        <wp:anchor distT="0" distB="0" distL="114300" distR="114300" simplePos="0" relativeHeight="251639808" behindDoc="0" locked="0" layoutInCell="1" allowOverlap="1" wp14:anchorId="4CB30553" wp14:editId="0AE01334">
          <wp:simplePos x="0" y="0"/>
          <wp:positionH relativeFrom="column">
            <wp:posOffset>-309880</wp:posOffset>
          </wp:positionH>
          <wp:positionV relativeFrom="page">
            <wp:posOffset>299085</wp:posOffset>
          </wp:positionV>
          <wp:extent cx="1380490" cy="41148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760" behindDoc="0" locked="0" layoutInCell="1" allowOverlap="1" wp14:anchorId="514D6165" wp14:editId="209E3FAD">
          <wp:simplePos x="0" y="0"/>
          <wp:positionH relativeFrom="column">
            <wp:posOffset>-914400</wp:posOffset>
          </wp:positionH>
          <wp:positionV relativeFrom="page">
            <wp:posOffset>125095</wp:posOffset>
          </wp:positionV>
          <wp:extent cx="7589520" cy="740410"/>
          <wp:effectExtent l="0" t="0" r="0" b="2540"/>
          <wp:wrapNone/>
          <wp:docPr id="62"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47C6" w14:textId="77777777" w:rsidR="002F19C9" w:rsidRPr="0041689E" w:rsidRDefault="002F19C9" w:rsidP="00123F7E">
    <w:pPr>
      <w:pStyle w:val="Header1"/>
    </w:pPr>
    <w:r>
      <w:rPr>
        <w:noProof/>
      </w:rPr>
      <w:drawing>
        <wp:anchor distT="0" distB="0" distL="114300" distR="114300" simplePos="0" relativeHeight="251663360" behindDoc="0" locked="0" layoutInCell="1" allowOverlap="1" wp14:anchorId="6FC04BF5" wp14:editId="3F2EDADC">
          <wp:simplePos x="0" y="0"/>
          <wp:positionH relativeFrom="column">
            <wp:posOffset>-309880</wp:posOffset>
          </wp:positionH>
          <wp:positionV relativeFrom="page">
            <wp:posOffset>299085</wp:posOffset>
          </wp:positionV>
          <wp:extent cx="1380490" cy="4114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038EF049" wp14:editId="1DA4C324">
          <wp:simplePos x="0" y="0"/>
          <wp:positionH relativeFrom="column">
            <wp:posOffset>-914400</wp:posOffset>
          </wp:positionH>
          <wp:positionV relativeFrom="page">
            <wp:posOffset>125095</wp:posOffset>
          </wp:positionV>
          <wp:extent cx="7589520" cy="740410"/>
          <wp:effectExtent l="0" t="0" r="0" b="2540"/>
          <wp:wrapNone/>
          <wp:docPr id="1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F0E09" w14:textId="77777777" w:rsidR="002F19C9" w:rsidRPr="0041689E" w:rsidRDefault="002F19C9">
    <w:pPr>
      <w:pStyle w:val="Header1"/>
    </w:pPr>
    <w:r>
      <w:rPr>
        <w:noProof/>
      </w:rPr>
      <w:drawing>
        <wp:anchor distT="0" distB="0" distL="114300" distR="114300" simplePos="0" relativeHeight="251679744" behindDoc="0" locked="0" layoutInCell="1" allowOverlap="1" wp14:anchorId="54DEEC68" wp14:editId="072031B1">
          <wp:simplePos x="0" y="0"/>
          <wp:positionH relativeFrom="column">
            <wp:posOffset>-309880</wp:posOffset>
          </wp:positionH>
          <wp:positionV relativeFrom="page">
            <wp:posOffset>299085</wp:posOffset>
          </wp:positionV>
          <wp:extent cx="1380490" cy="4114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91F19F4" wp14:editId="3933B0DC">
          <wp:simplePos x="0" y="0"/>
          <wp:positionH relativeFrom="column">
            <wp:posOffset>-914400</wp:posOffset>
          </wp:positionH>
          <wp:positionV relativeFrom="page">
            <wp:posOffset>125095</wp:posOffset>
          </wp:positionV>
          <wp:extent cx="7589520" cy="740410"/>
          <wp:effectExtent l="0" t="0" r="0" b="2540"/>
          <wp:wrapNone/>
          <wp:docPr id="22"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4C9EE" w14:textId="77777777" w:rsidR="002F19C9" w:rsidRPr="0041689E" w:rsidRDefault="002F19C9" w:rsidP="00123F7E">
    <w:pPr>
      <w:pStyle w:val="Header1"/>
    </w:pPr>
    <w:r>
      <w:rPr>
        <w:noProof/>
      </w:rPr>
      <w:drawing>
        <wp:anchor distT="0" distB="0" distL="114300" distR="114300" simplePos="0" relativeHeight="251681792" behindDoc="0" locked="0" layoutInCell="1" allowOverlap="1" wp14:anchorId="70C137F5" wp14:editId="3F8C96DC">
          <wp:simplePos x="0" y="0"/>
          <wp:positionH relativeFrom="column">
            <wp:posOffset>-309880</wp:posOffset>
          </wp:positionH>
          <wp:positionV relativeFrom="page">
            <wp:posOffset>299085</wp:posOffset>
          </wp:positionV>
          <wp:extent cx="1380490" cy="4114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F843C48" wp14:editId="5F095F23">
          <wp:simplePos x="0" y="0"/>
          <wp:positionH relativeFrom="column">
            <wp:posOffset>-914400</wp:posOffset>
          </wp:positionH>
          <wp:positionV relativeFrom="page">
            <wp:posOffset>125095</wp:posOffset>
          </wp:positionV>
          <wp:extent cx="7589520" cy="740410"/>
          <wp:effectExtent l="0" t="0" r="0" b="2540"/>
          <wp:wrapNone/>
          <wp:docPr id="2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781DF" w14:textId="77777777" w:rsidR="002F19C9" w:rsidRPr="0041689E" w:rsidRDefault="002F19C9" w:rsidP="00123F7E">
    <w:pPr>
      <w:pStyle w:val="Header1"/>
    </w:pPr>
    <w:r>
      <w:rPr>
        <w:noProof/>
      </w:rPr>
      <w:drawing>
        <wp:anchor distT="0" distB="0" distL="114300" distR="114300" simplePos="0" relativeHeight="251648000" behindDoc="0" locked="0" layoutInCell="1" allowOverlap="1" wp14:anchorId="6DF625F5" wp14:editId="171B0CDC">
          <wp:simplePos x="0" y="0"/>
          <wp:positionH relativeFrom="column">
            <wp:posOffset>-309880</wp:posOffset>
          </wp:positionH>
          <wp:positionV relativeFrom="page">
            <wp:posOffset>299085</wp:posOffset>
          </wp:positionV>
          <wp:extent cx="1380490" cy="411480"/>
          <wp:effectExtent l="0" t="0" r="0" b="762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928" behindDoc="0" locked="0" layoutInCell="1" allowOverlap="1" wp14:anchorId="03C91A49" wp14:editId="55020523">
          <wp:simplePos x="0" y="0"/>
          <wp:positionH relativeFrom="column">
            <wp:posOffset>-914400</wp:posOffset>
          </wp:positionH>
          <wp:positionV relativeFrom="page">
            <wp:posOffset>125095</wp:posOffset>
          </wp:positionV>
          <wp:extent cx="7589520" cy="740410"/>
          <wp:effectExtent l="0" t="0" r="0" b="2540"/>
          <wp:wrapNone/>
          <wp:docPr id="122"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2835D" w14:textId="77777777" w:rsidR="002F19C9" w:rsidRPr="0041689E" w:rsidRDefault="002F19C9">
    <w:pPr>
      <w:pStyle w:val="Header1"/>
    </w:pPr>
    <w:r>
      <w:rPr>
        <w:noProof/>
      </w:rPr>
      <w:drawing>
        <wp:anchor distT="0" distB="0" distL="114300" distR="114300" simplePos="0" relativeHeight="251660288" behindDoc="0" locked="0" layoutInCell="1" allowOverlap="1" wp14:anchorId="498BE668" wp14:editId="171303B1">
          <wp:simplePos x="0" y="0"/>
          <wp:positionH relativeFrom="column">
            <wp:posOffset>-309880</wp:posOffset>
          </wp:positionH>
          <wp:positionV relativeFrom="page">
            <wp:posOffset>299085</wp:posOffset>
          </wp:positionV>
          <wp:extent cx="1380490" cy="411480"/>
          <wp:effectExtent l="0" t="0" r="0" b="762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4F8163F5" wp14:editId="31E492DC">
          <wp:simplePos x="0" y="0"/>
          <wp:positionH relativeFrom="column">
            <wp:posOffset>-914400</wp:posOffset>
          </wp:positionH>
          <wp:positionV relativeFrom="page">
            <wp:posOffset>125095</wp:posOffset>
          </wp:positionV>
          <wp:extent cx="7589520" cy="740410"/>
          <wp:effectExtent l="0" t="0" r="0" b="2540"/>
          <wp:wrapNone/>
          <wp:docPr id="12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C598D" w14:textId="77777777" w:rsidR="002F19C9" w:rsidRPr="0041689E" w:rsidRDefault="002F19C9" w:rsidP="00123F7E">
    <w:pPr>
      <w:pStyle w:val="Header1"/>
    </w:pPr>
    <w:r>
      <w:rPr>
        <w:noProof/>
      </w:rPr>
      <w:drawing>
        <wp:anchor distT="0" distB="0" distL="114300" distR="114300" simplePos="0" relativeHeight="251669504" behindDoc="0" locked="0" layoutInCell="1" allowOverlap="1" wp14:anchorId="2138C339" wp14:editId="19A6230C">
          <wp:simplePos x="0" y="0"/>
          <wp:positionH relativeFrom="column">
            <wp:posOffset>-309880</wp:posOffset>
          </wp:positionH>
          <wp:positionV relativeFrom="page">
            <wp:posOffset>299085</wp:posOffset>
          </wp:positionV>
          <wp:extent cx="1380490" cy="411480"/>
          <wp:effectExtent l="0" t="0" r="0" b="762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59B45D3" wp14:editId="00D2678E">
          <wp:simplePos x="0" y="0"/>
          <wp:positionH relativeFrom="column">
            <wp:posOffset>-914400</wp:posOffset>
          </wp:positionH>
          <wp:positionV relativeFrom="page">
            <wp:posOffset>125095</wp:posOffset>
          </wp:positionV>
          <wp:extent cx="7589520" cy="740410"/>
          <wp:effectExtent l="0" t="0" r="0" b="2540"/>
          <wp:wrapNone/>
          <wp:docPr id="126"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F69"/>
    <w:multiLevelType w:val="hybridMultilevel"/>
    <w:tmpl w:val="7A5C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B5192"/>
    <w:multiLevelType w:val="hybridMultilevel"/>
    <w:tmpl w:val="21ECE7B2"/>
    <w:lvl w:ilvl="0" w:tplc="25BE42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5E0FF1"/>
    <w:multiLevelType w:val="hybridMultilevel"/>
    <w:tmpl w:val="630C50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4913D0"/>
    <w:multiLevelType w:val="hybridMultilevel"/>
    <w:tmpl w:val="921E1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DF44AE"/>
    <w:multiLevelType w:val="hybridMultilevel"/>
    <w:tmpl w:val="130C0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574EDF"/>
    <w:multiLevelType w:val="hybridMultilevel"/>
    <w:tmpl w:val="1F820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59228A"/>
    <w:multiLevelType w:val="hybridMultilevel"/>
    <w:tmpl w:val="A2F41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C124BE"/>
    <w:multiLevelType w:val="hybridMultilevel"/>
    <w:tmpl w:val="96EEA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84161D"/>
    <w:multiLevelType w:val="hybridMultilevel"/>
    <w:tmpl w:val="075EF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CE26AB"/>
    <w:multiLevelType w:val="multilevel"/>
    <w:tmpl w:val="D7709B78"/>
    <w:lvl w:ilvl="0">
      <w:start w:val="1"/>
      <w:numFmt w:val="lowerLetter"/>
      <w:pStyle w:val="BreakoutList1"/>
      <w:lvlText w:val="%1)"/>
      <w:lvlJc w:val="left"/>
      <w:pPr>
        <w:tabs>
          <w:tab w:val="num" w:pos="567"/>
        </w:tabs>
        <w:ind w:left="567" w:hanging="567"/>
      </w:pPr>
      <w:rPr>
        <w:rFonts w:ascii="Calibri" w:hAnsi="Calibri"/>
        <w:b w:val="0"/>
        <w:i w:val="0"/>
        <w:color w:val="auto"/>
        <w:sz w:val="20"/>
      </w:rPr>
    </w:lvl>
    <w:lvl w:ilvl="1">
      <w:start w:val="1"/>
      <w:numFmt w:val="decimal"/>
      <w:pStyle w:val="BreakoutList2"/>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10" w15:restartNumberingAfterBreak="0">
    <w:nsid w:val="252D6DE1"/>
    <w:multiLevelType w:val="hybridMultilevel"/>
    <w:tmpl w:val="26D66B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456FFD"/>
    <w:multiLevelType w:val="multilevel"/>
    <w:tmpl w:val="0EA8B9BE"/>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0151C8"/>
    <w:multiLevelType w:val="multilevel"/>
    <w:tmpl w:val="87844256"/>
    <w:lvl w:ilvl="0">
      <w:start w:val="1"/>
      <w:numFmt w:val="bullet"/>
      <w:lvlText w:val=""/>
      <w:lvlJc w:val="left"/>
      <w:pPr>
        <w:tabs>
          <w:tab w:val="num" w:pos="1008"/>
        </w:tabs>
        <w:ind w:left="1008" w:hanging="504"/>
      </w:pPr>
      <w:rPr>
        <w:rFonts w:ascii="Symbol" w:hAnsi="Symbol" w:hint="default"/>
      </w:rPr>
    </w:lvl>
    <w:lvl w:ilvl="1">
      <w:start w:val="1"/>
      <w:numFmt w:val="lowerLetter"/>
      <w:lvlText w:val="(%2)"/>
      <w:lvlJc w:val="left"/>
      <w:pPr>
        <w:tabs>
          <w:tab w:val="num" w:pos="1512"/>
        </w:tabs>
        <w:ind w:left="1512" w:hanging="504"/>
      </w:pPr>
      <w:rPr>
        <w:rFonts w:hint="default"/>
      </w:rPr>
    </w:lvl>
    <w:lvl w:ilvl="2">
      <w:start w:val="1"/>
      <w:numFmt w:val="lowerRoman"/>
      <w:lvlText w:val="(%3)"/>
      <w:lvlJc w:val="right"/>
      <w:pPr>
        <w:tabs>
          <w:tab w:val="num" w:pos="2016"/>
        </w:tabs>
        <w:ind w:left="2016" w:hanging="504"/>
      </w:pPr>
      <w:rPr>
        <w:rFonts w:hint="default"/>
      </w:rPr>
    </w:lvl>
    <w:lvl w:ilvl="3">
      <w:start w:val="1"/>
      <w:numFmt w:val="decimal"/>
      <w:lvlText w:val="%4."/>
      <w:lvlJc w:val="left"/>
      <w:pPr>
        <w:tabs>
          <w:tab w:val="num" w:pos="3086"/>
        </w:tabs>
        <w:ind w:left="2520" w:hanging="504"/>
      </w:pPr>
      <w:rPr>
        <w:rFonts w:hint="default"/>
      </w:rPr>
    </w:lvl>
    <w:lvl w:ilvl="4">
      <w:start w:val="1"/>
      <w:numFmt w:val="lowerLetter"/>
      <w:lvlText w:val="%5."/>
      <w:lvlJc w:val="left"/>
      <w:pPr>
        <w:tabs>
          <w:tab w:val="num" w:pos="3590"/>
        </w:tabs>
        <w:ind w:left="3024" w:hanging="504"/>
      </w:pPr>
      <w:rPr>
        <w:rFonts w:hint="default"/>
      </w:rPr>
    </w:lvl>
    <w:lvl w:ilvl="5">
      <w:start w:val="1"/>
      <w:numFmt w:val="lowerRoman"/>
      <w:lvlText w:val="%6."/>
      <w:lvlJc w:val="right"/>
      <w:pPr>
        <w:tabs>
          <w:tab w:val="num" w:pos="4094"/>
        </w:tabs>
        <w:ind w:left="3528" w:hanging="504"/>
      </w:pPr>
      <w:rPr>
        <w:rFonts w:hint="default"/>
      </w:rPr>
    </w:lvl>
    <w:lvl w:ilvl="6">
      <w:start w:val="1"/>
      <w:numFmt w:val="decimal"/>
      <w:lvlText w:val="%7."/>
      <w:lvlJc w:val="left"/>
      <w:pPr>
        <w:tabs>
          <w:tab w:val="num" w:pos="4598"/>
        </w:tabs>
        <w:ind w:left="4032" w:hanging="504"/>
      </w:pPr>
      <w:rPr>
        <w:rFonts w:hint="default"/>
      </w:rPr>
    </w:lvl>
    <w:lvl w:ilvl="7">
      <w:start w:val="1"/>
      <w:numFmt w:val="lowerLetter"/>
      <w:lvlText w:val="%8."/>
      <w:lvlJc w:val="left"/>
      <w:pPr>
        <w:tabs>
          <w:tab w:val="num" w:pos="5102"/>
        </w:tabs>
        <w:ind w:left="4536" w:hanging="504"/>
      </w:pPr>
      <w:rPr>
        <w:rFonts w:hint="default"/>
      </w:rPr>
    </w:lvl>
    <w:lvl w:ilvl="8">
      <w:start w:val="1"/>
      <w:numFmt w:val="lowerRoman"/>
      <w:lvlText w:val="%9."/>
      <w:lvlJc w:val="right"/>
      <w:pPr>
        <w:tabs>
          <w:tab w:val="num" w:pos="5606"/>
        </w:tabs>
        <w:ind w:left="5040" w:hanging="504"/>
      </w:pPr>
      <w:rPr>
        <w:rFonts w:hint="default"/>
      </w:rPr>
    </w:lvl>
  </w:abstractNum>
  <w:abstractNum w:abstractNumId="13" w15:restartNumberingAfterBreak="0">
    <w:nsid w:val="2D554008"/>
    <w:multiLevelType w:val="hybridMultilevel"/>
    <w:tmpl w:val="5A1C41D8"/>
    <w:lvl w:ilvl="0" w:tplc="744E3896">
      <w:start w:val="2019"/>
      <w:numFmt w:val="bullet"/>
      <w:lvlText w:val="-"/>
      <w:lvlJc w:val="left"/>
      <w:pPr>
        <w:ind w:left="405"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C12E04"/>
    <w:multiLevelType w:val="hybridMultilevel"/>
    <w:tmpl w:val="F1F020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F55E49"/>
    <w:multiLevelType w:val="hybridMultilevel"/>
    <w:tmpl w:val="BF84D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940CD5"/>
    <w:multiLevelType w:val="multilevel"/>
    <w:tmpl w:val="5E22C0F8"/>
    <w:styleLink w:val="Bulle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3FDB017F"/>
    <w:multiLevelType w:val="hybridMultilevel"/>
    <w:tmpl w:val="2FD68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CB30E5"/>
    <w:multiLevelType w:val="hybridMultilevel"/>
    <w:tmpl w:val="C62E5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42913A4"/>
    <w:multiLevelType w:val="hybridMultilevel"/>
    <w:tmpl w:val="4B8EFFD2"/>
    <w:lvl w:ilvl="0" w:tplc="744E3896">
      <w:start w:val="2019"/>
      <w:numFmt w:val="bullet"/>
      <w:lvlText w:val="-"/>
      <w:lvlJc w:val="left"/>
      <w:pPr>
        <w:ind w:left="405"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6D3A6A"/>
    <w:multiLevelType w:val="multilevel"/>
    <w:tmpl w:val="301CFAB6"/>
    <w:lvl w:ilvl="0">
      <w:start w:val="1"/>
      <w:numFmt w:val="bullet"/>
      <w:pStyle w:val="Bullet1"/>
      <w:lvlText w:val=""/>
      <w:lvlJc w:val="left"/>
      <w:pPr>
        <w:tabs>
          <w:tab w:val="num" w:pos="504"/>
        </w:tabs>
        <w:ind w:left="504" w:hanging="504"/>
      </w:pPr>
      <w:rPr>
        <w:rFonts w:ascii="Symbol" w:hAnsi="Symbol" w:hint="default"/>
        <w:b w:val="0"/>
        <w:i w:val="0"/>
        <w:vanish w:val="0"/>
        <w:color w:val="auto"/>
        <w:sz w:val="22"/>
      </w:rPr>
    </w:lvl>
    <w:lvl w:ilvl="1">
      <w:start w:val="1"/>
      <w:numFmt w:val="bullet"/>
      <w:pStyle w:val="Bullet2"/>
      <w:lvlText w:val="–"/>
      <w:lvlJc w:val="left"/>
      <w:pPr>
        <w:tabs>
          <w:tab w:val="num" w:pos="864"/>
        </w:tabs>
        <w:ind w:left="864"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1" w15:restartNumberingAfterBreak="0">
    <w:nsid w:val="45382F4C"/>
    <w:multiLevelType w:val="hybridMultilevel"/>
    <w:tmpl w:val="3C6EA3D6"/>
    <w:lvl w:ilvl="0" w:tplc="744E3896">
      <w:start w:val="2019"/>
      <w:numFmt w:val="bullet"/>
      <w:lvlText w:val="-"/>
      <w:lvlJc w:val="left"/>
      <w:pPr>
        <w:ind w:left="405" w:hanging="360"/>
      </w:pPr>
      <w:rPr>
        <w:rFonts w:ascii="Arial" w:eastAsiaTheme="minorEastAsia"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2" w15:restartNumberingAfterBreak="0">
    <w:nsid w:val="4B695180"/>
    <w:multiLevelType w:val="multilevel"/>
    <w:tmpl w:val="5E22C0F8"/>
    <w:numStyleLink w:val="Bullet"/>
  </w:abstractNum>
  <w:abstractNum w:abstractNumId="23" w15:restartNumberingAfterBreak="0">
    <w:nsid w:val="4BFC47CB"/>
    <w:multiLevelType w:val="hybridMultilevel"/>
    <w:tmpl w:val="F3C67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347064"/>
    <w:multiLevelType w:val="hybridMultilevel"/>
    <w:tmpl w:val="D8445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6A78DF"/>
    <w:multiLevelType w:val="hybridMultilevel"/>
    <w:tmpl w:val="B0DA2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E602D7"/>
    <w:multiLevelType w:val="hybridMultilevel"/>
    <w:tmpl w:val="7DC2E262"/>
    <w:lvl w:ilvl="0" w:tplc="540E21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800CB0"/>
    <w:multiLevelType w:val="hybridMultilevel"/>
    <w:tmpl w:val="C21E86A4"/>
    <w:lvl w:ilvl="0" w:tplc="F2680B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72436F3"/>
    <w:multiLevelType w:val="multilevel"/>
    <w:tmpl w:val="19A65D84"/>
    <w:lvl w:ilvl="0">
      <w:start w:val="1"/>
      <w:numFmt w:val="decimal"/>
      <w:pStyle w:val="Reconum"/>
      <w:lvlText w:val="%1."/>
      <w:lvlJc w:val="left"/>
      <w:pPr>
        <w:tabs>
          <w:tab w:val="num" w:pos="504"/>
        </w:tabs>
        <w:ind w:left="504" w:hanging="50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72C052A"/>
    <w:multiLevelType w:val="hybridMultilevel"/>
    <w:tmpl w:val="9296F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74535FB"/>
    <w:multiLevelType w:val="hybridMultilevel"/>
    <w:tmpl w:val="346EC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727E99"/>
    <w:multiLevelType w:val="hybridMultilevel"/>
    <w:tmpl w:val="AD922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5717240"/>
    <w:multiLevelType w:val="hybridMultilevel"/>
    <w:tmpl w:val="896EB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33756C"/>
    <w:multiLevelType w:val="hybridMultilevel"/>
    <w:tmpl w:val="DF8CA2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8CC2786"/>
    <w:multiLevelType w:val="hybridMultilevel"/>
    <w:tmpl w:val="11008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AE75EBF"/>
    <w:multiLevelType w:val="hybridMultilevel"/>
    <w:tmpl w:val="230E2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B7E2240"/>
    <w:multiLevelType w:val="hybridMultilevel"/>
    <w:tmpl w:val="42402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EF92161"/>
    <w:multiLevelType w:val="hybridMultilevel"/>
    <w:tmpl w:val="486CA662"/>
    <w:lvl w:ilvl="0" w:tplc="78BC5E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11F0F4B"/>
    <w:multiLevelType w:val="hybridMultilevel"/>
    <w:tmpl w:val="D310B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417092"/>
    <w:multiLevelType w:val="hybridMultilevel"/>
    <w:tmpl w:val="ACBAC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E01493D"/>
    <w:multiLevelType w:val="hybridMultilevel"/>
    <w:tmpl w:val="F3441E00"/>
    <w:lvl w:ilvl="0" w:tplc="5F607884">
      <w:start w:val="1"/>
      <w:numFmt w:val="bullet"/>
      <w:lvlText w:val="•"/>
      <w:lvlJc w:val="left"/>
      <w:pPr>
        <w:tabs>
          <w:tab w:val="num" w:pos="720"/>
        </w:tabs>
        <w:ind w:left="720" w:hanging="360"/>
      </w:pPr>
      <w:rPr>
        <w:rFonts w:ascii="Arial" w:hAnsi="Arial" w:cs="Times New Roman" w:hint="default"/>
      </w:rPr>
    </w:lvl>
    <w:lvl w:ilvl="1" w:tplc="E1A6298A">
      <w:start w:val="1"/>
      <w:numFmt w:val="bullet"/>
      <w:lvlText w:val="•"/>
      <w:lvlJc w:val="left"/>
      <w:pPr>
        <w:tabs>
          <w:tab w:val="num" w:pos="1440"/>
        </w:tabs>
        <w:ind w:left="1440" w:hanging="360"/>
      </w:pPr>
      <w:rPr>
        <w:rFonts w:ascii="Arial" w:hAnsi="Arial" w:cs="Times New Roman" w:hint="default"/>
      </w:rPr>
    </w:lvl>
    <w:lvl w:ilvl="2" w:tplc="FE82790E">
      <w:start w:val="1"/>
      <w:numFmt w:val="bullet"/>
      <w:lvlText w:val="•"/>
      <w:lvlJc w:val="left"/>
      <w:pPr>
        <w:tabs>
          <w:tab w:val="num" w:pos="2160"/>
        </w:tabs>
        <w:ind w:left="2160" w:hanging="360"/>
      </w:pPr>
      <w:rPr>
        <w:rFonts w:ascii="Arial" w:hAnsi="Arial" w:cs="Times New Roman" w:hint="default"/>
      </w:rPr>
    </w:lvl>
    <w:lvl w:ilvl="3" w:tplc="74B6C628">
      <w:start w:val="1"/>
      <w:numFmt w:val="bullet"/>
      <w:lvlText w:val="•"/>
      <w:lvlJc w:val="left"/>
      <w:pPr>
        <w:tabs>
          <w:tab w:val="num" w:pos="2880"/>
        </w:tabs>
        <w:ind w:left="2880" w:hanging="360"/>
      </w:pPr>
      <w:rPr>
        <w:rFonts w:ascii="Arial" w:hAnsi="Arial" w:cs="Times New Roman" w:hint="default"/>
      </w:rPr>
    </w:lvl>
    <w:lvl w:ilvl="4" w:tplc="9D902322">
      <w:start w:val="1"/>
      <w:numFmt w:val="bullet"/>
      <w:lvlText w:val="•"/>
      <w:lvlJc w:val="left"/>
      <w:pPr>
        <w:tabs>
          <w:tab w:val="num" w:pos="3600"/>
        </w:tabs>
        <w:ind w:left="3600" w:hanging="360"/>
      </w:pPr>
      <w:rPr>
        <w:rFonts w:ascii="Arial" w:hAnsi="Arial" w:cs="Times New Roman" w:hint="default"/>
      </w:rPr>
    </w:lvl>
    <w:lvl w:ilvl="5" w:tplc="54B65856">
      <w:start w:val="1"/>
      <w:numFmt w:val="bullet"/>
      <w:lvlText w:val="•"/>
      <w:lvlJc w:val="left"/>
      <w:pPr>
        <w:tabs>
          <w:tab w:val="num" w:pos="4320"/>
        </w:tabs>
        <w:ind w:left="4320" w:hanging="360"/>
      </w:pPr>
      <w:rPr>
        <w:rFonts w:ascii="Arial" w:hAnsi="Arial" w:cs="Times New Roman" w:hint="default"/>
      </w:rPr>
    </w:lvl>
    <w:lvl w:ilvl="6" w:tplc="57025130">
      <w:start w:val="1"/>
      <w:numFmt w:val="bullet"/>
      <w:lvlText w:val="•"/>
      <w:lvlJc w:val="left"/>
      <w:pPr>
        <w:tabs>
          <w:tab w:val="num" w:pos="5040"/>
        </w:tabs>
        <w:ind w:left="5040" w:hanging="360"/>
      </w:pPr>
      <w:rPr>
        <w:rFonts w:ascii="Arial" w:hAnsi="Arial" w:cs="Times New Roman" w:hint="default"/>
      </w:rPr>
    </w:lvl>
    <w:lvl w:ilvl="7" w:tplc="21CE62FC">
      <w:start w:val="1"/>
      <w:numFmt w:val="bullet"/>
      <w:lvlText w:val="•"/>
      <w:lvlJc w:val="left"/>
      <w:pPr>
        <w:tabs>
          <w:tab w:val="num" w:pos="5760"/>
        </w:tabs>
        <w:ind w:left="5760" w:hanging="360"/>
      </w:pPr>
      <w:rPr>
        <w:rFonts w:ascii="Arial" w:hAnsi="Arial" w:cs="Times New Roman" w:hint="default"/>
      </w:rPr>
    </w:lvl>
    <w:lvl w:ilvl="8" w:tplc="C908E5CC">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7FD44514"/>
    <w:multiLevelType w:val="multilevel"/>
    <w:tmpl w:val="C9485A58"/>
    <w:lvl w:ilvl="0">
      <w:start w:val="1"/>
      <w:numFmt w:val="lowerLetter"/>
      <w:pStyle w:val="Listnum"/>
      <w:lvlText w:val="(%1)"/>
      <w:lvlJc w:val="left"/>
      <w:pPr>
        <w:tabs>
          <w:tab w:val="num" w:pos="504"/>
        </w:tabs>
        <w:ind w:left="504" w:hanging="504"/>
      </w:pPr>
      <w:rPr>
        <w:rFonts w:hint="default"/>
      </w:rPr>
    </w:lvl>
    <w:lvl w:ilvl="1">
      <w:start w:val="1"/>
      <w:numFmt w:val="lowerRoman"/>
      <w:pStyle w:val="Listnum2"/>
      <w:lvlText w:val="(%2)"/>
      <w:lvlJc w:val="left"/>
      <w:pPr>
        <w:tabs>
          <w:tab w:val="num" w:pos="1008"/>
        </w:tabs>
        <w:ind w:left="1008" w:hanging="504"/>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num w:numId="1">
    <w:abstractNumId w:val="20"/>
  </w:num>
  <w:num w:numId="2">
    <w:abstractNumId w:val="41"/>
  </w:num>
  <w:num w:numId="3">
    <w:abstractNumId w:val="11"/>
  </w:num>
  <w:num w:numId="4">
    <w:abstractNumId w:val="9"/>
  </w:num>
  <w:num w:numId="5">
    <w:abstractNumId w:val="30"/>
  </w:num>
  <w:num w:numId="6">
    <w:abstractNumId w:val="37"/>
  </w:num>
  <w:num w:numId="7">
    <w:abstractNumId w:val="26"/>
  </w:num>
  <w:num w:numId="8">
    <w:abstractNumId w:val="1"/>
  </w:num>
  <w:num w:numId="9">
    <w:abstractNumId w:val="27"/>
  </w:num>
  <w:num w:numId="10">
    <w:abstractNumId w:val="31"/>
  </w:num>
  <w:num w:numId="11">
    <w:abstractNumId w:val="36"/>
  </w:num>
  <w:num w:numId="12">
    <w:abstractNumId w:val="35"/>
  </w:num>
  <w:num w:numId="13">
    <w:abstractNumId w:val="7"/>
  </w:num>
  <w:num w:numId="14">
    <w:abstractNumId w:val="17"/>
  </w:num>
  <w:num w:numId="15">
    <w:abstractNumId w:val="3"/>
  </w:num>
  <w:num w:numId="16">
    <w:abstractNumId w:val="10"/>
  </w:num>
  <w:num w:numId="17">
    <w:abstractNumId w:val="18"/>
  </w:num>
  <w:num w:numId="18">
    <w:abstractNumId w:val="6"/>
  </w:num>
  <w:num w:numId="19">
    <w:abstractNumId w:val="4"/>
  </w:num>
  <w:num w:numId="20">
    <w:abstractNumId w:val="21"/>
  </w:num>
  <w:num w:numId="21">
    <w:abstractNumId w:val="19"/>
  </w:num>
  <w:num w:numId="22">
    <w:abstractNumId w:val="16"/>
  </w:num>
  <w:num w:numId="23">
    <w:abstractNumId w:val="22"/>
  </w:num>
  <w:num w:numId="24">
    <w:abstractNumId w:val="13"/>
  </w:num>
  <w:num w:numId="25">
    <w:abstractNumId w:val="24"/>
  </w:num>
  <w:num w:numId="26">
    <w:abstractNumId w:val="29"/>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23"/>
  </w:num>
  <w:num w:numId="30">
    <w:abstractNumId w:val="8"/>
  </w:num>
  <w:num w:numId="31">
    <w:abstractNumId w:val="12"/>
  </w:num>
  <w:num w:numId="32">
    <w:abstractNumId w:val="28"/>
  </w:num>
  <w:num w:numId="33">
    <w:abstractNumId w:val="2"/>
  </w:num>
  <w:num w:numId="34">
    <w:abstractNumId w:val="25"/>
  </w:num>
  <w:num w:numId="35">
    <w:abstractNumId w:val="5"/>
  </w:num>
  <w:num w:numId="36">
    <w:abstractNumId w:val="14"/>
  </w:num>
  <w:num w:numId="37">
    <w:abstractNumId w:val="33"/>
  </w:num>
  <w:num w:numId="38">
    <w:abstractNumId w:val="32"/>
  </w:num>
  <w:num w:numId="39">
    <w:abstractNumId w:val="38"/>
  </w:num>
  <w:num w:numId="40">
    <w:abstractNumId w:val="34"/>
  </w:num>
  <w:num w:numId="41">
    <w:abstractNumId w:val="39"/>
  </w:num>
  <w:num w:numId="42">
    <w:abstractNumId w:val="15"/>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19"/>
    <w:rsid w:val="0001399D"/>
    <w:rsid w:val="00021458"/>
    <w:rsid w:val="00023E80"/>
    <w:rsid w:val="000308A7"/>
    <w:rsid w:val="00061DEA"/>
    <w:rsid w:val="000701A6"/>
    <w:rsid w:val="00075046"/>
    <w:rsid w:val="000775A6"/>
    <w:rsid w:val="0008061F"/>
    <w:rsid w:val="00092F57"/>
    <w:rsid w:val="000A2009"/>
    <w:rsid w:val="000A2A71"/>
    <w:rsid w:val="000B3DAB"/>
    <w:rsid w:val="000B7B8A"/>
    <w:rsid w:val="000B7D8F"/>
    <w:rsid w:val="000C3365"/>
    <w:rsid w:val="000C4243"/>
    <w:rsid w:val="000C5C73"/>
    <w:rsid w:val="000C7EDA"/>
    <w:rsid w:val="000E0DC0"/>
    <w:rsid w:val="000E0E67"/>
    <w:rsid w:val="000E2987"/>
    <w:rsid w:val="000F6B16"/>
    <w:rsid w:val="00100CDC"/>
    <w:rsid w:val="00104966"/>
    <w:rsid w:val="001119B5"/>
    <w:rsid w:val="00123F7E"/>
    <w:rsid w:val="00131F3F"/>
    <w:rsid w:val="00141BD5"/>
    <w:rsid w:val="00145231"/>
    <w:rsid w:val="001812C6"/>
    <w:rsid w:val="00196818"/>
    <w:rsid w:val="001A3ECB"/>
    <w:rsid w:val="001A3FA7"/>
    <w:rsid w:val="001A3FBE"/>
    <w:rsid w:val="001C061A"/>
    <w:rsid w:val="001C34D3"/>
    <w:rsid w:val="001C3A7A"/>
    <w:rsid w:val="001C46A9"/>
    <w:rsid w:val="001D1D49"/>
    <w:rsid w:val="001D3CE0"/>
    <w:rsid w:val="001E15F2"/>
    <w:rsid w:val="001E7CC5"/>
    <w:rsid w:val="001F2ADD"/>
    <w:rsid w:val="001F7713"/>
    <w:rsid w:val="00203F27"/>
    <w:rsid w:val="0020509D"/>
    <w:rsid w:val="0021091D"/>
    <w:rsid w:val="002233EB"/>
    <w:rsid w:val="0024746A"/>
    <w:rsid w:val="00247CBC"/>
    <w:rsid w:val="002523F4"/>
    <w:rsid w:val="00256DF4"/>
    <w:rsid w:val="0026288A"/>
    <w:rsid w:val="00286800"/>
    <w:rsid w:val="00287130"/>
    <w:rsid w:val="00287C2E"/>
    <w:rsid w:val="00294732"/>
    <w:rsid w:val="002A016A"/>
    <w:rsid w:val="002A1F3A"/>
    <w:rsid w:val="002A499A"/>
    <w:rsid w:val="002A4F4A"/>
    <w:rsid w:val="002E0DE1"/>
    <w:rsid w:val="002F19C9"/>
    <w:rsid w:val="002F5798"/>
    <w:rsid w:val="00301571"/>
    <w:rsid w:val="00302935"/>
    <w:rsid w:val="00310EC2"/>
    <w:rsid w:val="00311E55"/>
    <w:rsid w:val="003203A2"/>
    <w:rsid w:val="00326AF4"/>
    <w:rsid w:val="003301A9"/>
    <w:rsid w:val="003440D8"/>
    <w:rsid w:val="00353E59"/>
    <w:rsid w:val="003604A9"/>
    <w:rsid w:val="003624B0"/>
    <w:rsid w:val="0036307F"/>
    <w:rsid w:val="0037613B"/>
    <w:rsid w:val="00376A5C"/>
    <w:rsid w:val="00380A7F"/>
    <w:rsid w:val="003901B7"/>
    <w:rsid w:val="003A631E"/>
    <w:rsid w:val="003C6947"/>
    <w:rsid w:val="003E31C3"/>
    <w:rsid w:val="003F0422"/>
    <w:rsid w:val="003F11DA"/>
    <w:rsid w:val="003F14AF"/>
    <w:rsid w:val="003F5268"/>
    <w:rsid w:val="003F63F9"/>
    <w:rsid w:val="003F6630"/>
    <w:rsid w:val="00405BCA"/>
    <w:rsid w:val="00407424"/>
    <w:rsid w:val="0041627A"/>
    <w:rsid w:val="00432791"/>
    <w:rsid w:val="00436ED6"/>
    <w:rsid w:val="00441954"/>
    <w:rsid w:val="0044391D"/>
    <w:rsid w:val="004472EF"/>
    <w:rsid w:val="00455C50"/>
    <w:rsid w:val="004575CD"/>
    <w:rsid w:val="004616D7"/>
    <w:rsid w:val="00483025"/>
    <w:rsid w:val="004833A5"/>
    <w:rsid w:val="00493C95"/>
    <w:rsid w:val="00496FA8"/>
    <w:rsid w:val="004A1087"/>
    <w:rsid w:val="004C66CA"/>
    <w:rsid w:val="004D1A82"/>
    <w:rsid w:val="004D457D"/>
    <w:rsid w:val="004D4C7C"/>
    <w:rsid w:val="004E3247"/>
    <w:rsid w:val="004E5CC3"/>
    <w:rsid w:val="004F25BD"/>
    <w:rsid w:val="004F5349"/>
    <w:rsid w:val="004F72DB"/>
    <w:rsid w:val="00510249"/>
    <w:rsid w:val="005105A9"/>
    <w:rsid w:val="00523964"/>
    <w:rsid w:val="00525755"/>
    <w:rsid w:val="005261E9"/>
    <w:rsid w:val="00531F14"/>
    <w:rsid w:val="00533B57"/>
    <w:rsid w:val="005350E0"/>
    <w:rsid w:val="00540065"/>
    <w:rsid w:val="005403A7"/>
    <w:rsid w:val="005429ED"/>
    <w:rsid w:val="00550436"/>
    <w:rsid w:val="00552D90"/>
    <w:rsid w:val="005567D3"/>
    <w:rsid w:val="0056634E"/>
    <w:rsid w:val="00572CAB"/>
    <w:rsid w:val="005835B4"/>
    <w:rsid w:val="00583D57"/>
    <w:rsid w:val="00584EC0"/>
    <w:rsid w:val="00590839"/>
    <w:rsid w:val="005B01E2"/>
    <w:rsid w:val="005C3E70"/>
    <w:rsid w:val="005E3C17"/>
    <w:rsid w:val="00600C1E"/>
    <w:rsid w:val="00603516"/>
    <w:rsid w:val="00613F48"/>
    <w:rsid w:val="00626936"/>
    <w:rsid w:val="00632B9D"/>
    <w:rsid w:val="00642590"/>
    <w:rsid w:val="00644C82"/>
    <w:rsid w:val="0066319C"/>
    <w:rsid w:val="00665AA4"/>
    <w:rsid w:val="00672EAC"/>
    <w:rsid w:val="00673B21"/>
    <w:rsid w:val="006803CB"/>
    <w:rsid w:val="00684A8F"/>
    <w:rsid w:val="00690F69"/>
    <w:rsid w:val="00697D46"/>
    <w:rsid w:val="006B6758"/>
    <w:rsid w:val="006C267D"/>
    <w:rsid w:val="006C516A"/>
    <w:rsid w:val="006C542E"/>
    <w:rsid w:val="006D035F"/>
    <w:rsid w:val="006D06F3"/>
    <w:rsid w:val="006E4DBE"/>
    <w:rsid w:val="006E5912"/>
    <w:rsid w:val="006E7897"/>
    <w:rsid w:val="006F353A"/>
    <w:rsid w:val="00705539"/>
    <w:rsid w:val="00710CAA"/>
    <w:rsid w:val="007245CB"/>
    <w:rsid w:val="00724D1D"/>
    <w:rsid w:val="007253E4"/>
    <w:rsid w:val="007269A0"/>
    <w:rsid w:val="00732AEC"/>
    <w:rsid w:val="00732C89"/>
    <w:rsid w:val="00745EE7"/>
    <w:rsid w:val="00747658"/>
    <w:rsid w:val="0075117E"/>
    <w:rsid w:val="007542B6"/>
    <w:rsid w:val="007546F5"/>
    <w:rsid w:val="00762B6A"/>
    <w:rsid w:val="00767892"/>
    <w:rsid w:val="0077466C"/>
    <w:rsid w:val="007821E8"/>
    <w:rsid w:val="00792506"/>
    <w:rsid w:val="007B068E"/>
    <w:rsid w:val="007C3CAC"/>
    <w:rsid w:val="007C7E1E"/>
    <w:rsid w:val="007D6895"/>
    <w:rsid w:val="007E6302"/>
    <w:rsid w:val="007F3279"/>
    <w:rsid w:val="007F6A75"/>
    <w:rsid w:val="0085013A"/>
    <w:rsid w:val="00870D7B"/>
    <w:rsid w:val="00871F5A"/>
    <w:rsid w:val="008778B2"/>
    <w:rsid w:val="00891F67"/>
    <w:rsid w:val="0089206E"/>
    <w:rsid w:val="0089545D"/>
    <w:rsid w:val="008B2A38"/>
    <w:rsid w:val="008C1B73"/>
    <w:rsid w:val="008E241F"/>
    <w:rsid w:val="008E5E10"/>
    <w:rsid w:val="008E7429"/>
    <w:rsid w:val="0091353D"/>
    <w:rsid w:val="00923519"/>
    <w:rsid w:val="00925D11"/>
    <w:rsid w:val="0094239A"/>
    <w:rsid w:val="00943772"/>
    <w:rsid w:val="0095726C"/>
    <w:rsid w:val="00976C8E"/>
    <w:rsid w:val="00994885"/>
    <w:rsid w:val="009A489A"/>
    <w:rsid w:val="009E29AF"/>
    <w:rsid w:val="009F35B5"/>
    <w:rsid w:val="009F718A"/>
    <w:rsid w:val="00A062EE"/>
    <w:rsid w:val="00A12FAC"/>
    <w:rsid w:val="00A17BA8"/>
    <w:rsid w:val="00A21B54"/>
    <w:rsid w:val="00A26CDE"/>
    <w:rsid w:val="00A33EC8"/>
    <w:rsid w:val="00A3406A"/>
    <w:rsid w:val="00A41806"/>
    <w:rsid w:val="00A54D19"/>
    <w:rsid w:val="00A57DA8"/>
    <w:rsid w:val="00A7542B"/>
    <w:rsid w:val="00A83049"/>
    <w:rsid w:val="00A92CB6"/>
    <w:rsid w:val="00AB175E"/>
    <w:rsid w:val="00AB7320"/>
    <w:rsid w:val="00AC6AEE"/>
    <w:rsid w:val="00AE0FD5"/>
    <w:rsid w:val="00AF2694"/>
    <w:rsid w:val="00B12CC6"/>
    <w:rsid w:val="00B31BDA"/>
    <w:rsid w:val="00B34ECA"/>
    <w:rsid w:val="00B55AB3"/>
    <w:rsid w:val="00B655EF"/>
    <w:rsid w:val="00B71467"/>
    <w:rsid w:val="00B72B8F"/>
    <w:rsid w:val="00B74D71"/>
    <w:rsid w:val="00B77C43"/>
    <w:rsid w:val="00B80DEC"/>
    <w:rsid w:val="00B872BE"/>
    <w:rsid w:val="00BC73C0"/>
    <w:rsid w:val="00BD0A27"/>
    <w:rsid w:val="00BE58A4"/>
    <w:rsid w:val="00BF1D90"/>
    <w:rsid w:val="00C22D7F"/>
    <w:rsid w:val="00C24D0A"/>
    <w:rsid w:val="00C24F9E"/>
    <w:rsid w:val="00C265D7"/>
    <w:rsid w:val="00C36460"/>
    <w:rsid w:val="00C41EB5"/>
    <w:rsid w:val="00C47DF0"/>
    <w:rsid w:val="00C51F5E"/>
    <w:rsid w:val="00C54657"/>
    <w:rsid w:val="00C62146"/>
    <w:rsid w:val="00C82D6F"/>
    <w:rsid w:val="00C8794A"/>
    <w:rsid w:val="00C933FA"/>
    <w:rsid w:val="00CB25BF"/>
    <w:rsid w:val="00CC05B4"/>
    <w:rsid w:val="00CC46AA"/>
    <w:rsid w:val="00CC7ECB"/>
    <w:rsid w:val="00CD0686"/>
    <w:rsid w:val="00CE1405"/>
    <w:rsid w:val="00CE6445"/>
    <w:rsid w:val="00CF61B3"/>
    <w:rsid w:val="00CF6980"/>
    <w:rsid w:val="00D02029"/>
    <w:rsid w:val="00D03E48"/>
    <w:rsid w:val="00D05471"/>
    <w:rsid w:val="00D06D30"/>
    <w:rsid w:val="00D10CDF"/>
    <w:rsid w:val="00D114F5"/>
    <w:rsid w:val="00D253BD"/>
    <w:rsid w:val="00D30130"/>
    <w:rsid w:val="00D34DE9"/>
    <w:rsid w:val="00D36EE7"/>
    <w:rsid w:val="00D54F29"/>
    <w:rsid w:val="00D56E63"/>
    <w:rsid w:val="00D653B5"/>
    <w:rsid w:val="00D653CD"/>
    <w:rsid w:val="00D667B4"/>
    <w:rsid w:val="00D74613"/>
    <w:rsid w:val="00D9789E"/>
    <w:rsid w:val="00DB676B"/>
    <w:rsid w:val="00DB7777"/>
    <w:rsid w:val="00DC286B"/>
    <w:rsid w:val="00DC6F14"/>
    <w:rsid w:val="00DE4211"/>
    <w:rsid w:val="00DE4A51"/>
    <w:rsid w:val="00DE7169"/>
    <w:rsid w:val="00DF0177"/>
    <w:rsid w:val="00E41BB2"/>
    <w:rsid w:val="00E4377B"/>
    <w:rsid w:val="00E66D73"/>
    <w:rsid w:val="00E66FB7"/>
    <w:rsid w:val="00E7382E"/>
    <w:rsid w:val="00E73C3B"/>
    <w:rsid w:val="00EA0963"/>
    <w:rsid w:val="00EC6C89"/>
    <w:rsid w:val="00ED5018"/>
    <w:rsid w:val="00EF1CE6"/>
    <w:rsid w:val="00EF3E32"/>
    <w:rsid w:val="00F0188D"/>
    <w:rsid w:val="00F109E1"/>
    <w:rsid w:val="00F16A6C"/>
    <w:rsid w:val="00F17089"/>
    <w:rsid w:val="00F40D59"/>
    <w:rsid w:val="00F44B91"/>
    <w:rsid w:val="00F45654"/>
    <w:rsid w:val="00F50794"/>
    <w:rsid w:val="00F546B6"/>
    <w:rsid w:val="00F6753D"/>
    <w:rsid w:val="00F70695"/>
    <w:rsid w:val="00F80E1E"/>
    <w:rsid w:val="00FA122A"/>
    <w:rsid w:val="00FC0A90"/>
    <w:rsid w:val="00FC0B0B"/>
    <w:rsid w:val="00FC46EB"/>
    <w:rsid w:val="00FC6550"/>
    <w:rsid w:val="00FD42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60731B"/>
  <w15:chartTrackingRefBased/>
  <w15:docId w15:val="{045D0D3D-95A9-4284-9F86-BC967F35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nhideWhenUsed="1"/>
    <w:lsdException w:name="annotation text" w:semiHidden="1" w:unhideWhenUsed="1"/>
    <w:lsdException w:name="header" w:semiHidden="1"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C17"/>
    <w:pPr>
      <w:spacing w:before="160" w:after="100" w:line="276" w:lineRule="auto"/>
    </w:pPr>
    <w:rPr>
      <w:rFonts w:eastAsiaTheme="minorEastAsia"/>
      <w:spacing w:val="2"/>
      <w:sz w:val="18"/>
      <w:szCs w:val="20"/>
      <w:lang w:eastAsia="en-AU"/>
    </w:rPr>
  </w:style>
  <w:style w:type="paragraph" w:styleId="Heading1">
    <w:name w:val="heading 1"/>
    <w:next w:val="Normal"/>
    <w:link w:val="Heading1Char"/>
    <w:qFormat/>
    <w:rsid w:val="005E3C17"/>
    <w:pPr>
      <w:keepNext/>
      <w:keepLines/>
      <w:spacing w:before="240" w:line="276" w:lineRule="auto"/>
      <w:outlineLvl w:val="0"/>
    </w:pPr>
    <w:rPr>
      <w:rFonts w:asciiTheme="majorHAnsi" w:eastAsiaTheme="majorEastAsia" w:hAnsiTheme="majorHAnsi" w:cstheme="majorBidi"/>
      <w:b/>
      <w:bCs/>
      <w:color w:val="201547"/>
      <w:spacing w:val="-1"/>
      <w:sz w:val="28"/>
      <w:szCs w:val="28"/>
      <w:lang w:eastAsia="en-AU"/>
    </w:rPr>
  </w:style>
  <w:style w:type="paragraph" w:styleId="Heading2">
    <w:name w:val="heading 2"/>
    <w:basedOn w:val="Normal"/>
    <w:next w:val="Normal"/>
    <w:link w:val="Heading2Char"/>
    <w:qFormat/>
    <w:rsid w:val="005E3C17"/>
    <w:pPr>
      <w:keepNext/>
      <w:keepLines/>
      <w:spacing w:before="120" w:after="120"/>
      <w:outlineLvl w:val="1"/>
    </w:pPr>
    <w:rPr>
      <w:rFonts w:asciiTheme="majorHAnsi" w:eastAsiaTheme="majorEastAsia" w:hAnsiTheme="majorHAnsi" w:cstheme="majorBidi"/>
      <w:b/>
      <w:bCs/>
      <w:color w:val="0063A6" w:themeColor="accent1"/>
      <w:sz w:val="22"/>
      <w:szCs w:val="26"/>
    </w:rPr>
  </w:style>
  <w:style w:type="paragraph" w:styleId="Heading3">
    <w:name w:val="heading 3"/>
    <w:basedOn w:val="Normal"/>
    <w:next w:val="Normal"/>
    <w:link w:val="Heading3Char"/>
    <w:qFormat/>
    <w:rsid w:val="005E3C17"/>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5E3C17"/>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semiHidden/>
    <w:unhideWhenUsed/>
    <w:qFormat/>
    <w:rsid w:val="00923519"/>
    <w:pPr>
      <w:keepNext/>
      <w:spacing w:before="40" w:after="0"/>
      <w:outlineLvl w:val="4"/>
    </w:pPr>
    <w:rPr>
      <w:rFonts w:ascii="Arial" w:eastAsia="Times New Roman" w:hAnsi="Arial" w:cs="Times New Roman"/>
      <w:i/>
      <w:color w:val="003152"/>
      <w:sz w:val="19"/>
      <w:szCs w:val="19"/>
    </w:rPr>
  </w:style>
  <w:style w:type="character" w:default="1" w:styleId="DefaultParagraphFont">
    <w:name w:val="Default Paragraph Font"/>
    <w:uiPriority w:val="1"/>
    <w:semiHidden/>
    <w:unhideWhenUsed/>
    <w:rsid w:val="005E3C1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E3C17"/>
  </w:style>
  <w:style w:type="numbering" w:customStyle="1" w:styleId="NoList1">
    <w:name w:val="No List1"/>
    <w:next w:val="NoList"/>
    <w:uiPriority w:val="99"/>
    <w:semiHidden/>
    <w:unhideWhenUsed/>
    <w:rsid w:val="00923519"/>
  </w:style>
  <w:style w:type="character" w:customStyle="1" w:styleId="Heading1Char">
    <w:name w:val="Heading 1 Char"/>
    <w:basedOn w:val="DefaultParagraphFont"/>
    <w:link w:val="Heading1"/>
    <w:rsid w:val="005E3C17"/>
    <w:rPr>
      <w:rFonts w:asciiTheme="majorHAnsi" w:eastAsiaTheme="majorEastAsia" w:hAnsiTheme="majorHAnsi" w:cstheme="majorBidi"/>
      <w:b/>
      <w:bCs/>
      <w:color w:val="201547"/>
      <w:spacing w:val="-1"/>
      <w:sz w:val="28"/>
      <w:szCs w:val="28"/>
      <w:lang w:eastAsia="en-AU"/>
    </w:rPr>
  </w:style>
  <w:style w:type="character" w:customStyle="1" w:styleId="Heading2Char">
    <w:name w:val="Heading 2 Char"/>
    <w:basedOn w:val="DefaultParagraphFont"/>
    <w:link w:val="Heading2"/>
    <w:rsid w:val="005E3C17"/>
    <w:rPr>
      <w:rFonts w:asciiTheme="majorHAnsi" w:eastAsiaTheme="majorEastAsia" w:hAnsiTheme="majorHAnsi" w:cstheme="majorBidi"/>
      <w:b/>
      <w:bCs/>
      <w:color w:val="0063A6" w:themeColor="accent1"/>
      <w:spacing w:val="2"/>
      <w:szCs w:val="26"/>
      <w:lang w:eastAsia="en-AU"/>
    </w:rPr>
  </w:style>
  <w:style w:type="character" w:customStyle="1" w:styleId="Heading3Char">
    <w:name w:val="Heading 3 Char"/>
    <w:basedOn w:val="DefaultParagraphFont"/>
    <w:link w:val="Heading3"/>
    <w:rsid w:val="005E3C17"/>
    <w:rPr>
      <w:rFonts w:asciiTheme="majorHAnsi" w:eastAsiaTheme="majorEastAsia" w:hAnsiTheme="majorHAnsi" w:cstheme="majorBidi"/>
      <w:b/>
      <w:bCs/>
      <w:color w:val="0063A6" w:themeColor="accent1"/>
      <w:spacing w:val="2"/>
      <w:lang w:eastAsia="en-AU"/>
    </w:rPr>
  </w:style>
  <w:style w:type="character" w:customStyle="1" w:styleId="Heading4Char">
    <w:name w:val="Heading 4 Char"/>
    <w:basedOn w:val="DefaultParagraphFont"/>
    <w:link w:val="Heading4"/>
    <w:rsid w:val="005E3C17"/>
    <w:rPr>
      <w:rFonts w:asciiTheme="majorHAnsi" w:eastAsiaTheme="majorEastAsia" w:hAnsiTheme="majorHAnsi" w:cstheme="majorBidi"/>
      <w:b/>
      <w:bCs/>
      <w:iCs/>
      <w:color w:val="53565A"/>
      <w:spacing w:val="2"/>
      <w:sz w:val="18"/>
      <w:szCs w:val="20"/>
      <w:lang w:eastAsia="en-AU"/>
    </w:rPr>
  </w:style>
  <w:style w:type="character" w:customStyle="1" w:styleId="Heading5Char">
    <w:name w:val="Heading 5 Char"/>
    <w:basedOn w:val="DefaultParagraphFont"/>
    <w:link w:val="Heading5"/>
    <w:rsid w:val="00923519"/>
    <w:rPr>
      <w:rFonts w:ascii="Arial" w:eastAsia="Times New Roman" w:hAnsi="Arial" w:cs="Times New Roman"/>
      <w:i/>
      <w:color w:val="003152"/>
      <w:spacing w:val="2"/>
      <w:sz w:val="19"/>
      <w:szCs w:val="19"/>
    </w:rPr>
  </w:style>
  <w:style w:type="table" w:customStyle="1" w:styleId="LightShading1">
    <w:name w:val="Light Shading1"/>
    <w:basedOn w:val="TableNormal"/>
    <w:next w:val="LightShading"/>
    <w:uiPriority w:val="60"/>
    <w:rsid w:val="00923519"/>
    <w:pPr>
      <w:spacing w:after="0" w:line="240" w:lineRule="auto"/>
    </w:pPr>
    <w:rPr>
      <w:rFonts w:eastAsia="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923519"/>
    <w:pPr>
      <w:spacing w:before="20" w:after="20" w:line="240" w:lineRule="auto"/>
      <w:jc w:val="right"/>
    </w:pPr>
    <w:rPr>
      <w:spacing w:val="2"/>
      <w:sz w:val="17"/>
      <w:szCs w:val="21"/>
    </w:rPr>
    <w:tblPr>
      <w:tblStyleRowBandSize w:val="1"/>
      <w:tblStyleColBandSize w:val="1"/>
      <w:tblBorders>
        <w:bottom w:val="single" w:sz="12" w:space="0" w:color="0063A6"/>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style>
  <w:style w:type="table" w:customStyle="1" w:styleId="LightList-Accent41">
    <w:name w:val="Light List - Accent 41"/>
    <w:basedOn w:val="TableNormal"/>
    <w:next w:val="LightList-Accent4"/>
    <w:uiPriority w:val="61"/>
    <w:rsid w:val="00923519"/>
    <w:pPr>
      <w:spacing w:after="0" w:line="240" w:lineRule="auto"/>
    </w:pPr>
    <w:rPr>
      <w:rFonts w:eastAsia="Times New Roman"/>
      <w:sz w:val="20"/>
      <w:szCs w:val="20"/>
      <w:lang w:eastAsia="en-AU"/>
    </w:rPr>
    <w:tblPr>
      <w:tblStyleRowBandSize w:val="1"/>
      <w:tblStyleColBandSize w:val="1"/>
      <w:tblBorders>
        <w:top w:val="single" w:sz="8" w:space="0" w:color="0072CE"/>
        <w:left w:val="single" w:sz="8" w:space="0" w:color="0072CE"/>
        <w:bottom w:val="single" w:sz="8" w:space="0" w:color="0072CE"/>
        <w:right w:val="single" w:sz="8" w:space="0" w:color="0072CE"/>
      </w:tblBorders>
    </w:tblPr>
    <w:tblStylePr w:type="firstRow">
      <w:pPr>
        <w:spacing w:before="0" w:after="0" w:line="240" w:lineRule="auto"/>
      </w:pPr>
      <w:rPr>
        <w:b/>
        <w:bCs/>
        <w:color w:val="FFFFFF"/>
      </w:rPr>
      <w:tblPr/>
      <w:tcPr>
        <w:shd w:val="clear" w:color="auto" w:fill="0072CE"/>
      </w:tcPr>
    </w:tblStylePr>
    <w:tblStylePr w:type="lastRow">
      <w:pPr>
        <w:spacing w:before="0" w:after="0" w:line="240" w:lineRule="auto"/>
      </w:pPr>
      <w:rPr>
        <w:b/>
        <w:bCs/>
      </w:rPr>
      <w:tblPr/>
      <w:tcPr>
        <w:tcBorders>
          <w:top w:val="double" w:sz="6" w:space="0" w:color="0072CE"/>
          <w:left w:val="single" w:sz="8" w:space="0" w:color="0072CE"/>
          <w:bottom w:val="single" w:sz="8" w:space="0" w:color="0072CE"/>
          <w:right w:val="single" w:sz="8" w:space="0" w:color="0072CE"/>
        </w:tcBorders>
      </w:tcPr>
    </w:tblStylePr>
    <w:tblStylePr w:type="firstCol">
      <w:rPr>
        <w:b/>
        <w:bCs/>
      </w:rPr>
    </w:tblStylePr>
    <w:tblStylePr w:type="lastCol">
      <w:rPr>
        <w:b/>
        <w:bCs/>
      </w:rPr>
    </w:tblStylePr>
    <w:tblStylePr w:type="band1Vert">
      <w:tblPr/>
      <w:tcPr>
        <w:tcBorders>
          <w:top w:val="single" w:sz="8" w:space="0" w:color="0072CE"/>
          <w:left w:val="single" w:sz="8" w:space="0" w:color="0072CE"/>
          <w:bottom w:val="single" w:sz="8" w:space="0" w:color="0072CE"/>
          <w:right w:val="single" w:sz="8" w:space="0" w:color="0072CE"/>
        </w:tcBorders>
      </w:tcPr>
    </w:tblStylePr>
    <w:tblStylePr w:type="band1Horz">
      <w:tblPr/>
      <w:tcPr>
        <w:tcBorders>
          <w:top w:val="single" w:sz="8" w:space="0" w:color="0072CE"/>
          <w:left w:val="single" w:sz="8" w:space="0" w:color="0072CE"/>
          <w:bottom w:val="single" w:sz="8" w:space="0" w:color="0072CE"/>
          <w:right w:val="single" w:sz="8" w:space="0" w:color="0072CE"/>
        </w:tcBorders>
      </w:tcPr>
    </w:tblStylePr>
  </w:style>
  <w:style w:type="table" w:customStyle="1" w:styleId="LightList-Accent11">
    <w:name w:val="Light List - Accent 11"/>
    <w:basedOn w:val="TableNormal"/>
    <w:next w:val="LightList-Accent1"/>
    <w:uiPriority w:val="61"/>
    <w:rsid w:val="00923519"/>
    <w:pPr>
      <w:spacing w:after="0" w:line="240" w:lineRule="auto"/>
    </w:pPr>
    <w:rPr>
      <w:rFonts w:eastAsia="Times New Roman"/>
      <w:sz w:val="20"/>
      <w:szCs w:val="20"/>
      <w:lang w:eastAsia="en-AU"/>
    </w:rPr>
    <w:tblPr>
      <w:tblStyleRowBandSize w:val="1"/>
      <w:tblStyleColBandSize w:val="1"/>
      <w:tblBorders>
        <w:top w:val="single" w:sz="8" w:space="0" w:color="0063A6"/>
        <w:left w:val="single" w:sz="8" w:space="0" w:color="0063A6"/>
        <w:bottom w:val="single" w:sz="8" w:space="0" w:color="0063A6"/>
        <w:right w:val="single" w:sz="8" w:space="0" w:color="0063A6"/>
      </w:tblBorders>
    </w:tblPr>
    <w:tblStylePr w:type="firstRow">
      <w:pPr>
        <w:spacing w:before="0" w:after="0" w:line="240" w:lineRule="auto"/>
      </w:pPr>
      <w:rPr>
        <w:b/>
        <w:bCs/>
        <w:color w:val="FFFFFF"/>
      </w:rPr>
      <w:tblPr/>
      <w:tcPr>
        <w:shd w:val="clear" w:color="auto" w:fill="0063A6"/>
      </w:tcPr>
    </w:tblStylePr>
    <w:tblStylePr w:type="lastRow">
      <w:pPr>
        <w:spacing w:before="0" w:after="0" w:line="240" w:lineRule="auto"/>
      </w:pPr>
      <w:rPr>
        <w:b/>
        <w:bCs/>
      </w:rPr>
      <w:tblPr/>
      <w:tcPr>
        <w:tcBorders>
          <w:top w:val="double" w:sz="6" w:space="0" w:color="0063A6"/>
          <w:left w:val="single" w:sz="8" w:space="0" w:color="0063A6"/>
          <w:bottom w:val="single" w:sz="8" w:space="0" w:color="0063A6"/>
          <w:right w:val="single" w:sz="8" w:space="0" w:color="0063A6"/>
        </w:tcBorders>
      </w:tcPr>
    </w:tblStylePr>
    <w:tblStylePr w:type="firstCol">
      <w:rPr>
        <w:b/>
        <w:bCs/>
      </w:rPr>
    </w:tblStylePr>
    <w:tblStylePr w:type="lastCol">
      <w:rPr>
        <w:b/>
        <w:bCs/>
      </w:rPr>
    </w:tblStylePr>
    <w:tblStylePr w:type="band1Vert">
      <w:tblPr/>
      <w:tcPr>
        <w:tcBorders>
          <w:top w:val="single" w:sz="8" w:space="0" w:color="0063A6"/>
          <w:left w:val="single" w:sz="8" w:space="0" w:color="0063A6"/>
          <w:bottom w:val="single" w:sz="8" w:space="0" w:color="0063A6"/>
          <w:right w:val="single" w:sz="8" w:space="0" w:color="0063A6"/>
        </w:tcBorders>
      </w:tcPr>
    </w:tblStylePr>
    <w:tblStylePr w:type="band1Horz">
      <w:tblPr/>
      <w:tcPr>
        <w:tcBorders>
          <w:top w:val="single" w:sz="8" w:space="0" w:color="0063A6"/>
          <w:left w:val="single" w:sz="8" w:space="0" w:color="0063A6"/>
          <w:bottom w:val="single" w:sz="8" w:space="0" w:color="0063A6"/>
          <w:right w:val="single" w:sz="8" w:space="0" w:color="0063A6"/>
        </w:tcBorders>
      </w:tcPr>
    </w:tblStylePr>
  </w:style>
  <w:style w:type="paragraph" w:customStyle="1" w:styleId="Index11">
    <w:name w:val="Index 11"/>
    <w:basedOn w:val="Normal"/>
    <w:next w:val="Normal"/>
    <w:uiPriority w:val="99"/>
    <w:semiHidden/>
    <w:rsid w:val="00923519"/>
    <w:pPr>
      <w:spacing w:before="120" w:after="60" w:line="240" w:lineRule="auto"/>
    </w:pPr>
    <w:rPr>
      <w:rFonts w:eastAsia="Times New Roman"/>
      <w:sz w:val="16"/>
    </w:rPr>
  </w:style>
  <w:style w:type="paragraph" w:customStyle="1" w:styleId="Index21">
    <w:name w:val="Index 21"/>
    <w:basedOn w:val="Normal"/>
    <w:next w:val="Normal"/>
    <w:uiPriority w:val="99"/>
    <w:semiHidden/>
    <w:rsid w:val="00923519"/>
    <w:pPr>
      <w:spacing w:before="120" w:after="0" w:line="240" w:lineRule="auto"/>
      <w:ind w:left="216"/>
    </w:pPr>
    <w:rPr>
      <w:rFonts w:eastAsia="Times New Roman"/>
      <w:sz w:val="16"/>
      <w:szCs w:val="16"/>
    </w:rPr>
  </w:style>
  <w:style w:type="paragraph" w:customStyle="1" w:styleId="Bullet1">
    <w:name w:val="Bullet 1"/>
    <w:uiPriority w:val="1"/>
    <w:qFormat/>
    <w:rsid w:val="005E3C17"/>
    <w:pPr>
      <w:numPr>
        <w:numId w:val="1"/>
      </w:numPr>
      <w:spacing w:before="100" w:after="100" w:line="240" w:lineRule="auto"/>
      <w:contextualSpacing/>
    </w:pPr>
    <w:rPr>
      <w:rFonts w:eastAsia="Times New Roman" w:cs="Calibri"/>
      <w:spacing w:val="2"/>
      <w:sz w:val="20"/>
      <w:szCs w:val="20"/>
      <w:lang w:eastAsia="en-AU"/>
    </w:rPr>
  </w:style>
  <w:style w:type="paragraph" w:customStyle="1" w:styleId="Bullet2">
    <w:name w:val="Bullet 2"/>
    <w:basedOn w:val="Bullet1"/>
    <w:uiPriority w:val="1"/>
    <w:qFormat/>
    <w:rsid w:val="005E3C17"/>
    <w:pPr>
      <w:numPr>
        <w:ilvl w:val="1"/>
      </w:numPr>
    </w:pPr>
  </w:style>
  <w:style w:type="paragraph" w:customStyle="1" w:styleId="Bulletindent">
    <w:name w:val="Bullet indent"/>
    <w:basedOn w:val="Bullet2"/>
    <w:uiPriority w:val="5"/>
    <w:qFormat/>
    <w:rsid w:val="005E3C17"/>
    <w:pPr>
      <w:numPr>
        <w:ilvl w:val="2"/>
      </w:numPr>
    </w:pPr>
  </w:style>
  <w:style w:type="paragraph" w:customStyle="1" w:styleId="Heading1numbered">
    <w:name w:val="Heading 1 numbered"/>
    <w:basedOn w:val="Heading1"/>
    <w:next w:val="NormalIndent"/>
    <w:uiPriority w:val="4"/>
    <w:semiHidden/>
    <w:qFormat/>
    <w:rsid w:val="005E3C17"/>
    <w:pPr>
      <w:numPr>
        <w:ilvl w:val="2"/>
        <w:numId w:val="2"/>
      </w:numPr>
    </w:pPr>
  </w:style>
  <w:style w:type="paragraph" w:customStyle="1" w:styleId="Heading2numbered">
    <w:name w:val="Heading 2 numbered"/>
    <w:basedOn w:val="Heading2"/>
    <w:next w:val="NormalIndent"/>
    <w:uiPriority w:val="4"/>
    <w:semiHidden/>
    <w:qFormat/>
    <w:rsid w:val="005E3C17"/>
    <w:pPr>
      <w:numPr>
        <w:ilvl w:val="3"/>
        <w:numId w:val="2"/>
      </w:numPr>
    </w:pPr>
  </w:style>
  <w:style w:type="paragraph" w:customStyle="1" w:styleId="Heading3numbered">
    <w:name w:val="Heading 3 numbered"/>
    <w:basedOn w:val="Heading3"/>
    <w:next w:val="NormalIndent"/>
    <w:uiPriority w:val="4"/>
    <w:semiHidden/>
    <w:qFormat/>
    <w:rsid w:val="005E3C17"/>
    <w:pPr>
      <w:numPr>
        <w:ilvl w:val="4"/>
        <w:numId w:val="2"/>
      </w:numPr>
    </w:pPr>
  </w:style>
  <w:style w:type="paragraph" w:customStyle="1" w:styleId="Heading4numbered">
    <w:name w:val="Heading 4 numbered"/>
    <w:basedOn w:val="Heading4"/>
    <w:next w:val="NormalIndent"/>
    <w:uiPriority w:val="4"/>
    <w:semiHidden/>
    <w:qFormat/>
    <w:rsid w:val="005E3C17"/>
    <w:pPr>
      <w:numPr>
        <w:ilvl w:val="5"/>
        <w:numId w:val="2"/>
      </w:numPr>
    </w:pPr>
  </w:style>
  <w:style w:type="paragraph" w:customStyle="1" w:styleId="NormalIndent1">
    <w:name w:val="Normal Indent1"/>
    <w:basedOn w:val="Normal"/>
    <w:next w:val="NormalIndent"/>
    <w:uiPriority w:val="4"/>
    <w:qFormat/>
    <w:rsid w:val="00923519"/>
    <w:pPr>
      <w:spacing w:before="120" w:after="120" w:line="252" w:lineRule="auto"/>
      <w:ind w:left="792"/>
    </w:pPr>
    <w:rPr>
      <w:rFonts w:eastAsia="Times New Roman"/>
    </w:rPr>
  </w:style>
  <w:style w:type="paragraph" w:customStyle="1" w:styleId="NoteNormal">
    <w:name w:val="Note Normal"/>
    <w:basedOn w:val="Normal"/>
    <w:uiPriority w:val="11"/>
    <w:rsid w:val="005E3C17"/>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E3C17"/>
    <w:pPr>
      <w:spacing w:before="0" w:after="0" w:line="120" w:lineRule="atLeast"/>
    </w:pPr>
    <w:rPr>
      <w:rFonts w:eastAsia="Times New Roman" w:cs="Calibri"/>
      <w:spacing w:val="0"/>
      <w:sz w:val="10"/>
      <w:szCs w:val="22"/>
    </w:rPr>
  </w:style>
  <w:style w:type="character" w:customStyle="1" w:styleId="SubtitleChar">
    <w:name w:val="Subtitle Char"/>
    <w:basedOn w:val="DefaultParagraphFont"/>
    <w:link w:val="Subtitle"/>
    <w:uiPriority w:val="99"/>
    <w:rsid w:val="005E3C17"/>
    <w:rPr>
      <w:rFonts w:asciiTheme="majorHAnsi" w:eastAsia="Times New Roman" w:hAnsiTheme="majorHAnsi" w:cstheme="majorHAnsi"/>
      <w:color w:val="0063A6" w:themeColor="accent1"/>
      <w:spacing w:val="-2"/>
      <w:sz w:val="40"/>
      <w:szCs w:val="24"/>
      <w:lang w:eastAsia="en-AU"/>
    </w:rPr>
  </w:style>
  <w:style w:type="paragraph" w:customStyle="1" w:styleId="TertiaryTitle">
    <w:name w:val="Tertiary Title"/>
    <w:next w:val="Normal"/>
    <w:uiPriority w:val="99"/>
    <w:semiHidden/>
    <w:rsid w:val="005E3C17"/>
    <w:pPr>
      <w:spacing w:after="0" w:line="440" w:lineRule="exact"/>
    </w:pPr>
    <w:rPr>
      <w:rFonts w:asciiTheme="majorHAnsi" w:eastAsia="Times New Roman" w:hAnsiTheme="majorHAnsi" w:cstheme="majorHAnsi"/>
      <w:color w:val="0063A6" w:themeColor="accent1"/>
      <w:spacing w:val="-2"/>
      <w:sz w:val="36"/>
      <w:szCs w:val="40"/>
    </w:rPr>
  </w:style>
  <w:style w:type="character" w:customStyle="1" w:styleId="TitleChar">
    <w:name w:val="Title Char"/>
    <w:basedOn w:val="DefaultParagraphFont"/>
    <w:link w:val="Title"/>
    <w:uiPriority w:val="99"/>
    <w:rsid w:val="005E3C17"/>
    <w:rPr>
      <w:rFonts w:asciiTheme="majorHAnsi" w:eastAsia="Times New Roman" w:hAnsiTheme="majorHAnsi" w:cstheme="majorHAnsi"/>
      <w:b/>
      <w:color w:val="0063A6" w:themeColor="accent1"/>
      <w:spacing w:val="-2"/>
      <w:sz w:val="60"/>
      <w:lang w:eastAsia="en-AU"/>
    </w:rPr>
  </w:style>
  <w:style w:type="paragraph" w:customStyle="1" w:styleId="BalloonText1">
    <w:name w:val="Balloon Text1"/>
    <w:basedOn w:val="Normal"/>
    <w:next w:val="BalloonText"/>
    <w:uiPriority w:val="99"/>
    <w:semiHidden/>
    <w:rsid w:val="00923519"/>
    <w:pPr>
      <w:spacing w:before="12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C17"/>
    <w:rPr>
      <w:rFonts w:ascii="Tahoma" w:eastAsiaTheme="minorEastAsia" w:hAnsi="Tahoma" w:cs="Tahoma"/>
      <w:spacing w:val="2"/>
      <w:sz w:val="16"/>
      <w:szCs w:val="16"/>
      <w:lang w:eastAsia="en-AU"/>
    </w:rPr>
  </w:style>
  <w:style w:type="paragraph" w:customStyle="1" w:styleId="Bulletindent2">
    <w:name w:val="Bullet indent 2"/>
    <w:basedOn w:val="Normal"/>
    <w:uiPriority w:val="5"/>
    <w:qFormat/>
    <w:rsid w:val="005E3C17"/>
    <w:pPr>
      <w:numPr>
        <w:ilvl w:val="3"/>
        <w:numId w:val="1"/>
      </w:numPr>
      <w:spacing w:before="100"/>
      <w:contextualSpacing/>
    </w:pPr>
  </w:style>
  <w:style w:type="paragraph" w:customStyle="1" w:styleId="IndexHeading1">
    <w:name w:val="Index Heading1"/>
    <w:basedOn w:val="Normal"/>
    <w:next w:val="Index1"/>
    <w:uiPriority w:val="99"/>
    <w:semiHidden/>
    <w:rsid w:val="00923519"/>
    <w:pPr>
      <w:spacing w:before="120" w:after="120"/>
    </w:pPr>
    <w:rPr>
      <w:rFonts w:ascii="Arial" w:eastAsia="Times New Roman" w:hAnsi="Arial" w:cs="Times New Roman"/>
      <w:b/>
      <w:bCs/>
    </w:rPr>
  </w:style>
  <w:style w:type="paragraph" w:customStyle="1" w:styleId="Header1">
    <w:name w:val="Header1"/>
    <w:basedOn w:val="Normal"/>
    <w:next w:val="Header"/>
    <w:uiPriority w:val="99"/>
    <w:semiHidden/>
    <w:rsid w:val="00923519"/>
    <w:pPr>
      <w:tabs>
        <w:tab w:val="center" w:pos="4513"/>
        <w:tab w:val="right" w:pos="9026"/>
      </w:tabs>
      <w:spacing w:before="120" w:after="0" w:line="240" w:lineRule="auto"/>
    </w:pPr>
  </w:style>
  <w:style w:type="character" w:customStyle="1" w:styleId="HeaderChar">
    <w:name w:val="Header Char"/>
    <w:basedOn w:val="DefaultParagraphFont"/>
    <w:link w:val="Header"/>
    <w:uiPriority w:val="99"/>
    <w:semiHidden/>
    <w:rsid w:val="005E3C17"/>
    <w:rPr>
      <w:rFonts w:eastAsiaTheme="minorEastAsia"/>
      <w:spacing w:val="2"/>
      <w:sz w:val="18"/>
      <w:szCs w:val="20"/>
      <w:lang w:eastAsia="en-AU"/>
    </w:rPr>
  </w:style>
  <w:style w:type="paragraph" w:customStyle="1" w:styleId="Footer1">
    <w:name w:val="Footer1"/>
    <w:basedOn w:val="Normal"/>
    <w:next w:val="Footer"/>
    <w:uiPriority w:val="24"/>
    <w:semiHidden/>
    <w:rsid w:val="00923519"/>
    <w:pPr>
      <w:tabs>
        <w:tab w:val="right" w:pos="9026"/>
      </w:tabs>
      <w:spacing w:after="0" w:line="240" w:lineRule="auto"/>
    </w:pPr>
    <w:rPr>
      <w:noProof/>
      <w:szCs w:val="18"/>
    </w:rPr>
  </w:style>
  <w:style w:type="character" w:customStyle="1" w:styleId="FooterChar">
    <w:name w:val="Footer Char"/>
    <w:basedOn w:val="DefaultParagraphFont"/>
    <w:link w:val="Footer"/>
    <w:uiPriority w:val="24"/>
    <w:semiHidden/>
    <w:rsid w:val="005E3C17"/>
    <w:rPr>
      <w:rFonts w:eastAsiaTheme="minorEastAsia"/>
      <w:noProof/>
      <w:spacing w:val="2"/>
      <w:sz w:val="18"/>
      <w:szCs w:val="18"/>
      <w:lang w:eastAsia="en-AU"/>
    </w:rPr>
  </w:style>
  <w:style w:type="character" w:styleId="PageNumber">
    <w:name w:val="page number"/>
    <w:uiPriority w:val="49"/>
    <w:semiHidden/>
    <w:rsid w:val="005E3C17"/>
  </w:style>
  <w:style w:type="paragraph" w:customStyle="1" w:styleId="NormalTight">
    <w:name w:val="Normal Tight"/>
    <w:uiPriority w:val="99"/>
    <w:semiHidden/>
    <w:rsid w:val="005E3C17"/>
    <w:pPr>
      <w:spacing w:after="0" w:line="240" w:lineRule="auto"/>
      <w:ind w:right="2366"/>
    </w:pPr>
    <w:rPr>
      <w:rFonts w:eastAsia="Times New Roman" w:cs="Calibri"/>
      <w:sz w:val="18"/>
      <w:szCs w:val="19"/>
    </w:rPr>
  </w:style>
  <w:style w:type="paragraph" w:styleId="BodyText">
    <w:name w:val="Body Text"/>
    <w:basedOn w:val="Normal"/>
    <w:link w:val="BodyTextChar"/>
    <w:uiPriority w:val="49"/>
    <w:semiHidden/>
    <w:rsid w:val="005E3C17"/>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5E3C17"/>
    <w:rPr>
      <w:rFonts w:ascii="Calibri" w:eastAsia="Times New Roman" w:hAnsi="Calibri" w:cs="Calibri"/>
      <w:lang w:eastAsia="en-AU"/>
    </w:rPr>
  </w:style>
  <w:style w:type="paragraph" w:customStyle="1" w:styleId="Insidecoverspacer">
    <w:name w:val="Inside cover spacer"/>
    <w:basedOn w:val="NormalTight"/>
    <w:uiPriority w:val="99"/>
    <w:semiHidden/>
    <w:qFormat/>
    <w:rsid w:val="005E3C17"/>
    <w:pPr>
      <w:spacing w:before="5800"/>
      <w:ind w:right="1382"/>
    </w:pPr>
  </w:style>
  <w:style w:type="paragraph" w:customStyle="1" w:styleId="TOC41">
    <w:name w:val="TOC 41"/>
    <w:basedOn w:val="TOC1"/>
    <w:next w:val="Normal"/>
    <w:uiPriority w:val="39"/>
    <w:semiHidden/>
    <w:rsid w:val="00923519"/>
    <w:pPr>
      <w:spacing w:before="20" w:after="20"/>
      <w:ind w:left="450" w:hanging="450"/>
    </w:pPr>
    <w:rPr>
      <w:rFonts w:eastAsia="Times New Roman"/>
      <w:noProof/>
    </w:rPr>
  </w:style>
  <w:style w:type="paragraph" w:customStyle="1" w:styleId="TOC51">
    <w:name w:val="TOC 51"/>
    <w:basedOn w:val="TOC2"/>
    <w:next w:val="Normal"/>
    <w:uiPriority w:val="39"/>
    <w:semiHidden/>
    <w:rsid w:val="00923519"/>
    <w:pPr>
      <w:ind w:left="1080" w:hanging="634"/>
    </w:pPr>
    <w:rPr>
      <w:rFonts w:eastAsia="Times New Roman"/>
    </w:rPr>
  </w:style>
  <w:style w:type="paragraph" w:customStyle="1" w:styleId="TOC61">
    <w:name w:val="TOC 61"/>
    <w:basedOn w:val="TOC3"/>
    <w:next w:val="Normal"/>
    <w:uiPriority w:val="39"/>
    <w:semiHidden/>
    <w:rsid w:val="00923519"/>
    <w:pPr>
      <w:spacing w:after="120"/>
      <w:ind w:left="1800" w:hanging="720"/>
    </w:pPr>
    <w:rPr>
      <w:rFonts w:eastAsia="Times New Roman"/>
    </w:rPr>
  </w:style>
  <w:style w:type="table" w:customStyle="1" w:styleId="DTFtexttable">
    <w:name w:val="DTF text table"/>
    <w:basedOn w:val="TableGrid"/>
    <w:uiPriority w:val="99"/>
    <w:rsid w:val="005E3C17"/>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5E3C17"/>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6"/>
    <w:qFormat/>
    <w:rsid w:val="005E3C17"/>
    <w:pPr>
      <w:spacing w:before="60" w:after="60" w:line="264" w:lineRule="auto"/>
    </w:pPr>
    <w:rPr>
      <w:sz w:val="17"/>
    </w:rPr>
  </w:style>
  <w:style w:type="paragraph" w:customStyle="1" w:styleId="Tabletextright">
    <w:name w:val="Table text right"/>
    <w:basedOn w:val="Tabletext"/>
    <w:uiPriority w:val="6"/>
    <w:qFormat/>
    <w:rsid w:val="005E3C17"/>
    <w:pPr>
      <w:jc w:val="right"/>
    </w:pPr>
  </w:style>
  <w:style w:type="paragraph" w:customStyle="1" w:styleId="Listnumindent2">
    <w:name w:val="List num indent 2"/>
    <w:basedOn w:val="Normal"/>
    <w:uiPriority w:val="5"/>
    <w:semiHidden/>
    <w:qFormat/>
    <w:rsid w:val="005E3C17"/>
    <w:pPr>
      <w:numPr>
        <w:ilvl w:val="7"/>
        <w:numId w:val="2"/>
      </w:numPr>
      <w:spacing w:before="100"/>
      <w:contextualSpacing/>
    </w:pPr>
  </w:style>
  <w:style w:type="paragraph" w:customStyle="1" w:styleId="Listnumindent">
    <w:name w:val="List num indent"/>
    <w:basedOn w:val="Normal"/>
    <w:uiPriority w:val="5"/>
    <w:semiHidden/>
    <w:qFormat/>
    <w:rsid w:val="005E3C17"/>
    <w:pPr>
      <w:numPr>
        <w:ilvl w:val="6"/>
        <w:numId w:val="2"/>
      </w:numPr>
      <w:spacing w:before="100"/>
    </w:pPr>
  </w:style>
  <w:style w:type="paragraph" w:customStyle="1" w:styleId="Listnum">
    <w:name w:val="List num"/>
    <w:basedOn w:val="Normal"/>
    <w:uiPriority w:val="1"/>
    <w:qFormat/>
    <w:rsid w:val="005E3C17"/>
    <w:pPr>
      <w:numPr>
        <w:numId w:val="2"/>
      </w:numPr>
    </w:pPr>
  </w:style>
  <w:style w:type="paragraph" w:customStyle="1" w:styleId="Listnum2">
    <w:name w:val="List num 2"/>
    <w:basedOn w:val="Normal"/>
    <w:uiPriority w:val="1"/>
    <w:qFormat/>
    <w:rsid w:val="005E3C17"/>
    <w:pPr>
      <w:numPr>
        <w:ilvl w:val="1"/>
        <w:numId w:val="2"/>
      </w:numPr>
    </w:pPr>
  </w:style>
  <w:style w:type="paragraph" w:customStyle="1" w:styleId="Tabletextcentred">
    <w:name w:val="Table text centred"/>
    <w:basedOn w:val="Tabletext"/>
    <w:uiPriority w:val="6"/>
    <w:qFormat/>
    <w:rsid w:val="005E3C17"/>
    <w:pPr>
      <w:jc w:val="center"/>
    </w:pPr>
  </w:style>
  <w:style w:type="paragraph" w:customStyle="1" w:styleId="Tableheader">
    <w:name w:val="Table header"/>
    <w:basedOn w:val="Tabletext"/>
    <w:uiPriority w:val="6"/>
    <w:qFormat/>
    <w:rsid w:val="005E3C17"/>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7"/>
    <w:rsid w:val="005E3C17"/>
    <w:pPr>
      <w:numPr>
        <w:numId w:val="3"/>
      </w:numPr>
    </w:pPr>
  </w:style>
  <w:style w:type="paragraph" w:customStyle="1" w:styleId="Tabledash">
    <w:name w:val="Table dash"/>
    <w:basedOn w:val="Tablebullet"/>
    <w:uiPriority w:val="7"/>
    <w:rsid w:val="005E3C17"/>
    <w:pPr>
      <w:numPr>
        <w:ilvl w:val="1"/>
      </w:numPr>
    </w:pPr>
  </w:style>
  <w:style w:type="paragraph" w:customStyle="1" w:styleId="Tabletextindent">
    <w:name w:val="Table text indent"/>
    <w:basedOn w:val="Tabletext"/>
    <w:uiPriority w:val="6"/>
    <w:qFormat/>
    <w:rsid w:val="005E3C17"/>
    <w:pPr>
      <w:ind w:left="288"/>
    </w:pPr>
  </w:style>
  <w:style w:type="paragraph" w:customStyle="1" w:styleId="Disclaimertext">
    <w:name w:val="Disclaimer text"/>
    <w:basedOn w:val="Normal"/>
    <w:uiPriority w:val="12"/>
    <w:qFormat/>
    <w:rsid w:val="005E3C17"/>
    <w:pPr>
      <w:pBdr>
        <w:top w:val="single" w:sz="6" w:space="3" w:color="0063A6" w:themeColor="accent1"/>
        <w:bottom w:val="single" w:sz="6" w:space="3" w:color="0063A6" w:themeColor="accent1"/>
      </w:pBdr>
    </w:pPr>
    <w:rPr>
      <w:color w:val="0063A6" w:themeColor="accent1"/>
    </w:rPr>
  </w:style>
  <w:style w:type="paragraph" w:customStyle="1" w:styleId="BreakoutList1">
    <w:name w:val="Breakout List 1"/>
    <w:basedOn w:val="Normal"/>
    <w:semiHidden/>
    <w:rsid w:val="00923519"/>
    <w:pPr>
      <w:numPr>
        <w:numId w:val="4"/>
      </w:numPr>
      <w:spacing w:before="100" w:after="120" w:line="252" w:lineRule="auto"/>
    </w:pPr>
    <w:rPr>
      <w:rFonts w:ascii="Calibri" w:eastAsia="Times New Roman" w:hAnsi="Calibri" w:cs="Calibri"/>
      <w:spacing w:val="4"/>
      <w:sz w:val="20"/>
    </w:rPr>
  </w:style>
  <w:style w:type="paragraph" w:customStyle="1" w:styleId="BreakoutList2">
    <w:name w:val="Breakout List 2"/>
    <w:basedOn w:val="BreakoutList1"/>
    <w:semiHidden/>
    <w:rsid w:val="00923519"/>
    <w:pPr>
      <w:numPr>
        <w:ilvl w:val="1"/>
      </w:numPr>
    </w:pPr>
  </w:style>
  <w:style w:type="paragraph" w:customStyle="1" w:styleId="TableHeading">
    <w:name w:val="Table Heading"/>
    <w:basedOn w:val="Normal"/>
    <w:qFormat/>
    <w:rsid w:val="00923519"/>
    <w:pPr>
      <w:spacing w:before="60" w:after="60" w:line="230" w:lineRule="atLeast"/>
    </w:pPr>
    <w:rPr>
      <w:rFonts w:ascii="Arial" w:eastAsia="Times New Roman" w:hAnsi="Arial" w:cs="Calibri"/>
      <w:b/>
      <w:spacing w:val="4"/>
      <w:sz w:val="16"/>
    </w:rPr>
  </w:style>
  <w:style w:type="character" w:styleId="CommentReference">
    <w:name w:val="annotation reference"/>
    <w:basedOn w:val="DefaultParagraphFont"/>
    <w:uiPriority w:val="99"/>
    <w:semiHidden/>
    <w:rsid w:val="00923519"/>
    <w:rPr>
      <w:sz w:val="16"/>
      <w:szCs w:val="16"/>
    </w:rPr>
  </w:style>
  <w:style w:type="paragraph" w:customStyle="1" w:styleId="CommentText1">
    <w:name w:val="Comment Text1"/>
    <w:basedOn w:val="Normal"/>
    <w:next w:val="CommentText"/>
    <w:link w:val="CommentTextChar"/>
    <w:uiPriority w:val="99"/>
    <w:semiHidden/>
    <w:rsid w:val="00923519"/>
    <w:pPr>
      <w:spacing w:before="120" w:after="120" w:line="240" w:lineRule="auto"/>
    </w:pPr>
  </w:style>
  <w:style w:type="character" w:customStyle="1" w:styleId="CommentTextChar">
    <w:name w:val="Comment Text Char"/>
    <w:basedOn w:val="DefaultParagraphFont"/>
    <w:link w:val="CommentText1"/>
    <w:uiPriority w:val="99"/>
    <w:semiHidden/>
    <w:rsid w:val="00923519"/>
    <w:rPr>
      <w:spacing w:val="2"/>
    </w:rPr>
  </w:style>
  <w:style w:type="paragraph" w:customStyle="1" w:styleId="CommentSubject1">
    <w:name w:val="Comment Subject1"/>
    <w:basedOn w:val="CommentText"/>
    <w:next w:val="CommentText"/>
    <w:uiPriority w:val="99"/>
    <w:semiHidden/>
    <w:rsid w:val="00923519"/>
    <w:pPr>
      <w:spacing w:before="120" w:after="120"/>
    </w:pPr>
    <w:rPr>
      <w:rFonts w:eastAsia="Times New Roman"/>
      <w:b/>
      <w:bCs/>
    </w:rPr>
  </w:style>
  <w:style w:type="character" w:customStyle="1" w:styleId="CommentSubjectChar">
    <w:name w:val="Comment Subject Char"/>
    <w:basedOn w:val="CommentTextChar"/>
    <w:link w:val="CommentSubject"/>
    <w:uiPriority w:val="99"/>
    <w:semiHidden/>
    <w:rsid w:val="00923519"/>
    <w:rPr>
      <w:b/>
      <w:bCs/>
      <w:spacing w:val="2"/>
    </w:rPr>
  </w:style>
  <w:style w:type="paragraph" w:customStyle="1" w:styleId="Revision1">
    <w:name w:val="Revision1"/>
    <w:next w:val="Revision"/>
    <w:hidden/>
    <w:uiPriority w:val="99"/>
    <w:semiHidden/>
    <w:rsid w:val="00923519"/>
    <w:pPr>
      <w:spacing w:after="0" w:line="240" w:lineRule="auto"/>
    </w:pPr>
    <w:rPr>
      <w:rFonts w:eastAsia="Times New Roman"/>
      <w:spacing w:val="2"/>
      <w:sz w:val="18"/>
      <w:szCs w:val="20"/>
      <w:lang w:eastAsia="en-AU"/>
    </w:rPr>
  </w:style>
  <w:style w:type="paragraph" w:styleId="NormalWeb">
    <w:name w:val="Normal (Web)"/>
    <w:basedOn w:val="Normal"/>
    <w:uiPriority w:val="99"/>
    <w:semiHidden/>
    <w:unhideWhenUsed/>
    <w:rsid w:val="00923519"/>
    <w:pPr>
      <w:spacing w:before="100" w:beforeAutospacing="1" w:after="120" w:afterAutospacing="1" w:line="240" w:lineRule="auto"/>
    </w:pPr>
    <w:rPr>
      <w:rFonts w:ascii="Times New Roman" w:eastAsia="Times New Roman" w:hAnsi="Times New Roman" w:cs="Times New Roman"/>
      <w:sz w:val="24"/>
      <w:szCs w:val="24"/>
    </w:rPr>
  </w:style>
  <w:style w:type="character" w:customStyle="1" w:styleId="FollowedHyperlink1">
    <w:name w:val="FollowedHyperlink1"/>
    <w:basedOn w:val="DefaultParagraphFont"/>
    <w:uiPriority w:val="99"/>
    <w:semiHidden/>
    <w:rsid w:val="00923519"/>
    <w:rPr>
      <w:color w:val="8A2A2B"/>
      <w:u w:val="single"/>
    </w:rPr>
  </w:style>
  <w:style w:type="character" w:styleId="Strong">
    <w:name w:val="Strong"/>
    <w:basedOn w:val="DefaultParagraphFont"/>
    <w:uiPriority w:val="22"/>
    <w:semiHidden/>
    <w:qFormat/>
    <w:rsid w:val="00923519"/>
    <w:rPr>
      <w:b/>
      <w:bCs/>
    </w:rPr>
  </w:style>
  <w:style w:type="character" w:styleId="Emphasis">
    <w:name w:val="Emphasis"/>
    <w:basedOn w:val="DefaultParagraphFont"/>
    <w:uiPriority w:val="20"/>
    <w:semiHidden/>
    <w:qFormat/>
    <w:rsid w:val="00923519"/>
    <w:rPr>
      <w:i/>
      <w:iCs/>
    </w:rPr>
  </w:style>
  <w:style w:type="character" w:customStyle="1" w:styleId="UnresolvedMention1">
    <w:name w:val="Unresolved Mention1"/>
    <w:basedOn w:val="DefaultParagraphFont"/>
    <w:uiPriority w:val="99"/>
    <w:semiHidden/>
    <w:unhideWhenUsed/>
    <w:rsid w:val="00923519"/>
    <w:rPr>
      <w:color w:val="808080"/>
      <w:shd w:val="clear" w:color="auto" w:fill="E6E6E6"/>
    </w:rPr>
  </w:style>
  <w:style w:type="character" w:styleId="UnresolvedMention">
    <w:name w:val="Unresolved Mention"/>
    <w:basedOn w:val="DefaultParagraphFont"/>
    <w:uiPriority w:val="99"/>
    <w:semiHidden/>
    <w:unhideWhenUsed/>
    <w:rsid w:val="00923519"/>
    <w:rPr>
      <w:color w:val="808080"/>
      <w:shd w:val="clear" w:color="auto" w:fill="E6E6E6"/>
    </w:rPr>
  </w:style>
  <w:style w:type="numbering" w:customStyle="1" w:styleId="Bullet">
    <w:name w:val="Bullet"/>
    <w:uiPriority w:val="99"/>
    <w:rsid w:val="00923519"/>
    <w:pPr>
      <w:numPr>
        <w:numId w:val="22"/>
      </w:numPr>
    </w:pPr>
  </w:style>
  <w:style w:type="character" w:customStyle="1" w:styleId="Heading2Char1">
    <w:name w:val="Heading 2 Char1"/>
    <w:basedOn w:val="DefaultParagraphFont"/>
    <w:uiPriority w:val="9"/>
    <w:semiHidden/>
    <w:rsid w:val="00923519"/>
    <w:rPr>
      <w:rFonts w:asciiTheme="majorHAnsi" w:eastAsiaTheme="majorEastAsia" w:hAnsiTheme="majorHAnsi" w:cstheme="majorBidi"/>
      <w:color w:val="004A7C" w:themeColor="accent1" w:themeShade="BF"/>
      <w:sz w:val="26"/>
      <w:szCs w:val="26"/>
    </w:rPr>
  </w:style>
  <w:style w:type="character" w:customStyle="1" w:styleId="Heading3Char1">
    <w:name w:val="Heading 3 Char1"/>
    <w:basedOn w:val="DefaultParagraphFont"/>
    <w:uiPriority w:val="9"/>
    <w:semiHidden/>
    <w:rsid w:val="00923519"/>
    <w:rPr>
      <w:rFonts w:asciiTheme="majorHAnsi" w:eastAsiaTheme="majorEastAsia" w:hAnsiTheme="majorHAnsi" w:cstheme="majorBidi"/>
      <w:color w:val="003152" w:themeColor="accent1" w:themeShade="7F"/>
      <w:sz w:val="24"/>
      <w:szCs w:val="24"/>
    </w:rPr>
  </w:style>
  <w:style w:type="character" w:customStyle="1" w:styleId="Heading4Char1">
    <w:name w:val="Heading 4 Char1"/>
    <w:basedOn w:val="DefaultParagraphFont"/>
    <w:uiPriority w:val="9"/>
    <w:semiHidden/>
    <w:rsid w:val="00923519"/>
    <w:rPr>
      <w:rFonts w:asciiTheme="majorHAnsi" w:eastAsiaTheme="majorEastAsia" w:hAnsiTheme="majorHAnsi" w:cstheme="majorBidi"/>
      <w:i/>
      <w:iCs/>
      <w:color w:val="004A7C" w:themeColor="accent1" w:themeShade="BF"/>
    </w:rPr>
  </w:style>
  <w:style w:type="character" w:customStyle="1" w:styleId="Heading5Char1">
    <w:name w:val="Heading 5 Char1"/>
    <w:basedOn w:val="DefaultParagraphFont"/>
    <w:uiPriority w:val="9"/>
    <w:semiHidden/>
    <w:rsid w:val="00923519"/>
    <w:rPr>
      <w:rFonts w:asciiTheme="majorHAnsi" w:eastAsiaTheme="majorEastAsia" w:hAnsiTheme="majorHAnsi" w:cstheme="majorBidi"/>
      <w:color w:val="004A7C" w:themeColor="accent1" w:themeShade="BF"/>
    </w:rPr>
  </w:style>
  <w:style w:type="table" w:styleId="LightShading">
    <w:name w:val="Light Shading"/>
    <w:basedOn w:val="TableNormal"/>
    <w:uiPriority w:val="60"/>
    <w:rsid w:val="005E3C17"/>
    <w:pPr>
      <w:spacing w:after="0" w:line="240" w:lineRule="auto"/>
    </w:pPr>
    <w:rPr>
      <w:rFonts w:eastAsiaTheme="minorEastAsia"/>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E3C17"/>
    <w:pPr>
      <w:spacing w:before="20" w:after="20" w:line="240" w:lineRule="auto"/>
      <w:jc w:val="right"/>
    </w:pPr>
    <w:rPr>
      <w:spacing w:val="2"/>
      <w:sz w:val="17"/>
      <w:szCs w:val="21"/>
    </w:rPr>
    <w:tblPr>
      <w:tblStyleRowBandSize w:val="1"/>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LightList-Accent4">
    <w:name w:val="Light List Accent 4"/>
    <w:basedOn w:val="TableNormal"/>
    <w:uiPriority w:val="61"/>
    <w:rsid w:val="005E3C17"/>
    <w:pPr>
      <w:spacing w:after="0" w:line="240" w:lineRule="auto"/>
    </w:pPr>
    <w:rPr>
      <w:rFonts w:eastAsiaTheme="minorEastAsia"/>
      <w:sz w:val="20"/>
      <w:szCs w:val="20"/>
      <w:lang w:eastAsia="en-AU"/>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5E3C17"/>
    <w:pPr>
      <w:spacing w:after="0" w:line="240" w:lineRule="auto"/>
    </w:pPr>
    <w:rPr>
      <w:rFonts w:eastAsiaTheme="minorEastAsia"/>
      <w:sz w:val="20"/>
      <w:szCs w:val="20"/>
      <w:lang w:eastAsia="en-AU"/>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character" w:styleId="Hyperlink">
    <w:name w:val="Hyperlink"/>
    <w:basedOn w:val="DefaultParagraphFont"/>
    <w:uiPriority w:val="99"/>
    <w:rsid w:val="005E3C17"/>
    <w:rPr>
      <w:color w:val="7B7B7B" w:themeColor="hyperlink"/>
      <w:u w:val="none"/>
    </w:rPr>
  </w:style>
  <w:style w:type="paragraph" w:styleId="NormalIndent">
    <w:name w:val="Normal Indent"/>
    <w:basedOn w:val="Normal"/>
    <w:uiPriority w:val="4"/>
    <w:semiHidden/>
    <w:qFormat/>
    <w:rsid w:val="005E3C17"/>
    <w:pPr>
      <w:spacing w:line="252" w:lineRule="auto"/>
      <w:ind w:left="792"/>
    </w:pPr>
  </w:style>
  <w:style w:type="paragraph" w:styleId="Subtitle">
    <w:name w:val="Subtitle"/>
    <w:link w:val="SubtitleChar"/>
    <w:uiPriority w:val="99"/>
    <w:rsid w:val="005E3C17"/>
    <w:pPr>
      <w:spacing w:after="0" w:line="440" w:lineRule="exact"/>
    </w:pPr>
    <w:rPr>
      <w:rFonts w:asciiTheme="majorHAnsi" w:eastAsia="Times New Roman" w:hAnsiTheme="majorHAnsi" w:cstheme="majorHAnsi"/>
      <w:color w:val="0063A6" w:themeColor="accent1"/>
      <w:spacing w:val="-2"/>
      <w:sz w:val="40"/>
      <w:szCs w:val="24"/>
      <w:lang w:eastAsia="en-AU"/>
    </w:rPr>
  </w:style>
  <w:style w:type="paragraph" w:styleId="Title">
    <w:name w:val="Title"/>
    <w:link w:val="TitleChar"/>
    <w:uiPriority w:val="99"/>
    <w:rsid w:val="005E3C17"/>
    <w:pPr>
      <w:spacing w:after="300" w:line="252" w:lineRule="auto"/>
    </w:pPr>
    <w:rPr>
      <w:rFonts w:asciiTheme="majorHAnsi" w:eastAsia="Times New Roman" w:hAnsiTheme="majorHAnsi" w:cstheme="majorHAnsi"/>
      <w:b/>
      <w:color w:val="0063A6" w:themeColor="accent1"/>
      <w:spacing w:val="-2"/>
      <w:sz w:val="60"/>
      <w:lang w:eastAsia="en-AU"/>
    </w:rPr>
  </w:style>
  <w:style w:type="paragraph" w:styleId="BalloonText">
    <w:name w:val="Balloon Text"/>
    <w:basedOn w:val="Normal"/>
    <w:link w:val="BalloonTextChar"/>
    <w:uiPriority w:val="99"/>
    <w:semiHidden/>
    <w:rsid w:val="005E3C17"/>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23519"/>
    <w:rPr>
      <w:rFonts w:ascii="Segoe UI" w:hAnsi="Segoe UI" w:cs="Segoe UI"/>
      <w:sz w:val="18"/>
      <w:szCs w:val="18"/>
    </w:rPr>
  </w:style>
  <w:style w:type="paragraph" w:styleId="Index1">
    <w:name w:val="index 1"/>
    <w:basedOn w:val="Normal"/>
    <w:next w:val="Normal"/>
    <w:uiPriority w:val="99"/>
    <w:semiHidden/>
    <w:rsid w:val="005E3C17"/>
    <w:pPr>
      <w:spacing w:after="60" w:line="240" w:lineRule="auto"/>
    </w:pPr>
    <w:rPr>
      <w:sz w:val="16"/>
    </w:rPr>
  </w:style>
  <w:style w:type="paragraph" w:styleId="Header">
    <w:name w:val="header"/>
    <w:basedOn w:val="Normal"/>
    <w:link w:val="HeaderChar"/>
    <w:uiPriority w:val="99"/>
    <w:semiHidden/>
    <w:rsid w:val="005E3C17"/>
    <w:pPr>
      <w:tabs>
        <w:tab w:val="center" w:pos="4513"/>
        <w:tab w:val="right" w:pos="9026"/>
      </w:tabs>
      <w:spacing w:after="0" w:line="240" w:lineRule="auto"/>
    </w:pPr>
  </w:style>
  <w:style w:type="character" w:customStyle="1" w:styleId="HeaderChar1">
    <w:name w:val="Header Char1"/>
    <w:basedOn w:val="DefaultParagraphFont"/>
    <w:uiPriority w:val="99"/>
    <w:semiHidden/>
    <w:rsid w:val="00923519"/>
  </w:style>
  <w:style w:type="paragraph" w:styleId="Footer">
    <w:name w:val="footer"/>
    <w:basedOn w:val="Normal"/>
    <w:link w:val="FooterChar"/>
    <w:uiPriority w:val="24"/>
    <w:semiHidden/>
    <w:rsid w:val="005E3C17"/>
    <w:pPr>
      <w:tabs>
        <w:tab w:val="right" w:pos="9026"/>
      </w:tabs>
      <w:spacing w:after="0" w:line="240" w:lineRule="auto"/>
    </w:pPr>
    <w:rPr>
      <w:noProof/>
      <w:szCs w:val="18"/>
    </w:rPr>
  </w:style>
  <w:style w:type="character" w:customStyle="1" w:styleId="FooterChar1">
    <w:name w:val="Footer Char1"/>
    <w:basedOn w:val="DefaultParagraphFont"/>
    <w:uiPriority w:val="99"/>
    <w:semiHidden/>
    <w:rsid w:val="00923519"/>
  </w:style>
  <w:style w:type="paragraph" w:styleId="TOC1">
    <w:name w:val="toc 1"/>
    <w:basedOn w:val="Normal"/>
    <w:next w:val="Normal"/>
    <w:uiPriority w:val="39"/>
    <w:rsid w:val="005E3C17"/>
    <w:pPr>
      <w:tabs>
        <w:tab w:val="right" w:leader="dot" w:pos="2520"/>
      </w:tabs>
      <w:spacing w:before="0" w:after="0"/>
      <w:ind w:right="432"/>
    </w:pPr>
    <w:rPr>
      <w:sz w:val="16"/>
      <w:szCs w:val="24"/>
    </w:rPr>
  </w:style>
  <w:style w:type="paragraph" w:styleId="TOC2">
    <w:name w:val="toc 2"/>
    <w:next w:val="Normal"/>
    <w:uiPriority w:val="39"/>
    <w:rsid w:val="005E3C17"/>
    <w:pPr>
      <w:tabs>
        <w:tab w:val="right" w:leader="dot" w:pos="9000"/>
      </w:tabs>
      <w:spacing w:after="100" w:line="276" w:lineRule="auto"/>
      <w:ind w:left="446" w:right="432"/>
      <w:contextualSpacing/>
    </w:pPr>
    <w:rPr>
      <w:rFonts w:eastAsiaTheme="minorEastAsia"/>
      <w:noProof/>
      <w:spacing w:val="2"/>
      <w:sz w:val="20"/>
      <w:szCs w:val="20"/>
      <w:lang w:eastAsia="en-AU"/>
    </w:rPr>
  </w:style>
  <w:style w:type="paragraph" w:styleId="TOC3">
    <w:name w:val="toc 3"/>
    <w:basedOn w:val="Normal"/>
    <w:next w:val="Normal"/>
    <w:uiPriority w:val="39"/>
    <w:rsid w:val="005E3C17"/>
    <w:pPr>
      <w:tabs>
        <w:tab w:val="right" w:leader="dot" w:pos="9000"/>
      </w:tabs>
      <w:spacing w:before="0"/>
      <w:ind w:left="1080" w:right="432"/>
      <w:contextualSpacing/>
    </w:pPr>
    <w:rPr>
      <w:noProof/>
      <w:szCs w:val="18"/>
    </w:rPr>
  </w:style>
  <w:style w:type="paragraph" w:styleId="CommentText">
    <w:name w:val="annotation text"/>
    <w:basedOn w:val="Normal"/>
    <w:link w:val="CommentTextChar1"/>
    <w:uiPriority w:val="99"/>
    <w:semiHidden/>
    <w:unhideWhenUsed/>
    <w:rsid w:val="00923519"/>
    <w:pPr>
      <w:spacing w:line="240" w:lineRule="auto"/>
    </w:pPr>
    <w:rPr>
      <w:sz w:val="20"/>
    </w:rPr>
  </w:style>
  <w:style w:type="character" w:customStyle="1" w:styleId="CommentTextChar1">
    <w:name w:val="Comment Text Char1"/>
    <w:basedOn w:val="DefaultParagraphFont"/>
    <w:link w:val="CommentText"/>
    <w:uiPriority w:val="99"/>
    <w:semiHidden/>
    <w:rsid w:val="00923519"/>
    <w:rPr>
      <w:sz w:val="20"/>
      <w:szCs w:val="20"/>
    </w:rPr>
  </w:style>
  <w:style w:type="paragraph" w:styleId="CommentSubject">
    <w:name w:val="annotation subject"/>
    <w:basedOn w:val="CommentText"/>
    <w:next w:val="CommentText"/>
    <w:link w:val="CommentSubjectChar"/>
    <w:uiPriority w:val="99"/>
    <w:semiHidden/>
    <w:unhideWhenUsed/>
    <w:rsid w:val="00923519"/>
    <w:rPr>
      <w:b/>
      <w:bCs/>
      <w:sz w:val="22"/>
      <w:szCs w:val="22"/>
    </w:rPr>
  </w:style>
  <w:style w:type="character" w:customStyle="1" w:styleId="CommentSubjectChar1">
    <w:name w:val="Comment Subject Char1"/>
    <w:basedOn w:val="CommentTextChar1"/>
    <w:uiPriority w:val="99"/>
    <w:semiHidden/>
    <w:rsid w:val="00923519"/>
    <w:rPr>
      <w:b/>
      <w:bCs/>
      <w:sz w:val="20"/>
      <w:szCs w:val="20"/>
    </w:rPr>
  </w:style>
  <w:style w:type="paragraph" w:styleId="Revision">
    <w:name w:val="Revision"/>
    <w:hidden/>
    <w:uiPriority w:val="99"/>
    <w:semiHidden/>
    <w:rsid w:val="00923519"/>
    <w:pPr>
      <w:spacing w:after="0" w:line="240" w:lineRule="auto"/>
    </w:pPr>
  </w:style>
  <w:style w:type="paragraph" w:styleId="ListParagraph">
    <w:name w:val="List Paragraph"/>
    <w:basedOn w:val="Normal"/>
    <w:uiPriority w:val="34"/>
    <w:semiHidden/>
    <w:qFormat/>
    <w:rsid w:val="00923519"/>
    <w:pPr>
      <w:ind w:left="720"/>
      <w:contextualSpacing/>
    </w:pPr>
  </w:style>
  <w:style w:type="character" w:styleId="FollowedHyperlink">
    <w:name w:val="FollowedHyperlink"/>
    <w:basedOn w:val="DefaultParagraphFont"/>
    <w:uiPriority w:val="99"/>
    <w:semiHidden/>
    <w:unhideWhenUsed/>
    <w:rsid w:val="00923519"/>
    <w:rPr>
      <w:color w:val="FFFFFF" w:themeColor="followedHyperlink"/>
      <w:u w:val="single"/>
    </w:rPr>
  </w:style>
  <w:style w:type="paragraph" w:styleId="ListBullet">
    <w:name w:val="List Bullet"/>
    <w:basedOn w:val="Normal"/>
    <w:uiPriority w:val="99"/>
    <w:semiHidden/>
    <w:unhideWhenUsed/>
    <w:rsid w:val="00923519"/>
    <w:pPr>
      <w:tabs>
        <w:tab w:val="num" w:pos="504"/>
      </w:tabs>
      <w:ind w:left="504" w:hanging="504"/>
      <w:contextualSpacing/>
    </w:pPr>
  </w:style>
  <w:style w:type="paragraph" w:styleId="ListBullet2">
    <w:name w:val="List Bullet 2"/>
    <w:basedOn w:val="Normal"/>
    <w:uiPriority w:val="99"/>
    <w:semiHidden/>
    <w:unhideWhenUsed/>
    <w:rsid w:val="00923519"/>
    <w:pPr>
      <w:tabs>
        <w:tab w:val="num" w:pos="504"/>
      </w:tabs>
      <w:ind w:left="504" w:hanging="504"/>
      <w:contextualSpacing/>
    </w:pPr>
  </w:style>
  <w:style w:type="paragraph" w:styleId="ListBullet3">
    <w:name w:val="List Bullet 3"/>
    <w:basedOn w:val="Normal"/>
    <w:uiPriority w:val="99"/>
    <w:semiHidden/>
    <w:unhideWhenUsed/>
    <w:rsid w:val="00923519"/>
    <w:pPr>
      <w:ind w:left="288" w:hanging="288"/>
      <w:contextualSpacing/>
    </w:pPr>
  </w:style>
  <w:style w:type="paragraph" w:customStyle="1" w:styleId="Reconum">
    <w:name w:val="Reco num"/>
    <w:basedOn w:val="Normal"/>
    <w:qFormat/>
    <w:rsid w:val="00F109E1"/>
    <w:pPr>
      <w:numPr>
        <w:numId w:val="32"/>
      </w:numPr>
      <w:spacing w:before="60" w:after="120" w:line="240" w:lineRule="auto"/>
    </w:pPr>
    <w:rPr>
      <w:rFonts w:ascii="Arial" w:eastAsia="Times New Roman" w:hAnsi="Arial" w:cs="Arial"/>
      <w:color w:val="000000" w:themeColor="text1"/>
      <w:sz w:val="20"/>
      <w:szCs w:val="24"/>
    </w:rPr>
  </w:style>
  <w:style w:type="paragraph" w:styleId="Index2">
    <w:name w:val="index 2"/>
    <w:basedOn w:val="Normal"/>
    <w:next w:val="Normal"/>
    <w:uiPriority w:val="99"/>
    <w:semiHidden/>
    <w:rsid w:val="005E3C17"/>
    <w:pPr>
      <w:spacing w:after="0" w:line="240" w:lineRule="auto"/>
      <w:ind w:left="216"/>
    </w:pPr>
    <w:rPr>
      <w:sz w:val="16"/>
      <w:szCs w:val="16"/>
    </w:rPr>
  </w:style>
  <w:style w:type="paragraph" w:styleId="IndexHeading">
    <w:name w:val="index heading"/>
    <w:basedOn w:val="Normal"/>
    <w:next w:val="Index1"/>
    <w:uiPriority w:val="99"/>
    <w:semiHidden/>
    <w:rsid w:val="005E3C17"/>
    <w:rPr>
      <w:rFonts w:asciiTheme="majorHAnsi" w:eastAsiaTheme="majorEastAsia" w:hAnsiTheme="majorHAnsi" w:cstheme="majorBidi"/>
      <w:b/>
      <w:bCs/>
    </w:rPr>
  </w:style>
  <w:style w:type="paragraph" w:styleId="TOCHeading">
    <w:name w:val="TOC Heading"/>
    <w:basedOn w:val="Heading1"/>
    <w:next w:val="Normal"/>
    <w:uiPriority w:val="39"/>
    <w:rsid w:val="005E3C17"/>
    <w:pPr>
      <w:spacing w:before="480" w:after="720"/>
      <w:outlineLvl w:val="9"/>
    </w:pPr>
    <w:rPr>
      <w:spacing w:val="2"/>
    </w:rPr>
  </w:style>
  <w:style w:type="paragraph" w:styleId="TOC4">
    <w:name w:val="toc 4"/>
    <w:basedOn w:val="TOC1"/>
    <w:next w:val="Normal"/>
    <w:uiPriority w:val="39"/>
    <w:semiHidden/>
    <w:rsid w:val="005E3C17"/>
    <w:pPr>
      <w:ind w:left="450" w:hanging="450"/>
    </w:pPr>
    <w:rPr>
      <w:noProof/>
      <w:lang w:eastAsia="en-US"/>
    </w:rPr>
  </w:style>
  <w:style w:type="paragraph" w:styleId="TOC5">
    <w:name w:val="toc 5"/>
    <w:basedOn w:val="TOC2"/>
    <w:next w:val="Normal"/>
    <w:uiPriority w:val="39"/>
    <w:semiHidden/>
    <w:rsid w:val="005E3C17"/>
    <w:pPr>
      <w:ind w:left="1080" w:hanging="634"/>
    </w:pPr>
    <w:rPr>
      <w:lang w:eastAsia="en-US"/>
    </w:rPr>
  </w:style>
  <w:style w:type="paragraph" w:styleId="TOC6">
    <w:name w:val="toc 6"/>
    <w:basedOn w:val="TOC3"/>
    <w:next w:val="Normal"/>
    <w:uiPriority w:val="39"/>
    <w:semiHidden/>
    <w:rsid w:val="005E3C17"/>
    <w:pPr>
      <w:ind w:left="1800" w:hanging="720"/>
    </w:pPr>
    <w:rPr>
      <w:lang w:eastAsia="en-US"/>
    </w:rPr>
  </w:style>
  <w:style w:type="paragraph" w:customStyle="1" w:styleId="TOC10">
    <w:name w:val="TOC1"/>
    <w:basedOn w:val="Normal"/>
    <w:qFormat/>
    <w:rsid w:val="004F25BD"/>
    <w:pPr>
      <w:tabs>
        <w:tab w:val="right" w:leader="dot" w:pos="2520"/>
      </w:tabs>
      <w:ind w:right="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7921">
      <w:bodyDiv w:val="1"/>
      <w:marLeft w:val="0"/>
      <w:marRight w:val="0"/>
      <w:marTop w:val="0"/>
      <w:marBottom w:val="0"/>
      <w:divBdr>
        <w:top w:val="none" w:sz="0" w:space="0" w:color="auto"/>
        <w:left w:val="none" w:sz="0" w:space="0" w:color="auto"/>
        <w:bottom w:val="none" w:sz="0" w:space="0" w:color="auto"/>
        <w:right w:val="none" w:sz="0" w:space="0" w:color="auto"/>
      </w:divBdr>
    </w:div>
    <w:div w:id="261912102">
      <w:bodyDiv w:val="1"/>
      <w:marLeft w:val="0"/>
      <w:marRight w:val="0"/>
      <w:marTop w:val="0"/>
      <w:marBottom w:val="0"/>
      <w:divBdr>
        <w:top w:val="none" w:sz="0" w:space="0" w:color="auto"/>
        <w:left w:val="none" w:sz="0" w:space="0" w:color="auto"/>
        <w:bottom w:val="none" w:sz="0" w:space="0" w:color="auto"/>
        <w:right w:val="none" w:sz="0" w:space="0" w:color="auto"/>
      </w:divBdr>
    </w:div>
    <w:div w:id="324822764">
      <w:bodyDiv w:val="1"/>
      <w:marLeft w:val="0"/>
      <w:marRight w:val="0"/>
      <w:marTop w:val="0"/>
      <w:marBottom w:val="0"/>
      <w:divBdr>
        <w:top w:val="none" w:sz="0" w:space="0" w:color="auto"/>
        <w:left w:val="none" w:sz="0" w:space="0" w:color="auto"/>
        <w:bottom w:val="none" w:sz="0" w:space="0" w:color="auto"/>
        <w:right w:val="none" w:sz="0" w:space="0" w:color="auto"/>
      </w:divBdr>
    </w:div>
    <w:div w:id="356076866">
      <w:bodyDiv w:val="1"/>
      <w:marLeft w:val="0"/>
      <w:marRight w:val="0"/>
      <w:marTop w:val="0"/>
      <w:marBottom w:val="0"/>
      <w:divBdr>
        <w:top w:val="none" w:sz="0" w:space="0" w:color="auto"/>
        <w:left w:val="none" w:sz="0" w:space="0" w:color="auto"/>
        <w:bottom w:val="none" w:sz="0" w:space="0" w:color="auto"/>
        <w:right w:val="none" w:sz="0" w:space="0" w:color="auto"/>
      </w:divBdr>
    </w:div>
    <w:div w:id="663583121">
      <w:bodyDiv w:val="1"/>
      <w:marLeft w:val="0"/>
      <w:marRight w:val="0"/>
      <w:marTop w:val="0"/>
      <w:marBottom w:val="0"/>
      <w:divBdr>
        <w:top w:val="none" w:sz="0" w:space="0" w:color="auto"/>
        <w:left w:val="none" w:sz="0" w:space="0" w:color="auto"/>
        <w:bottom w:val="none" w:sz="0" w:space="0" w:color="auto"/>
        <w:right w:val="none" w:sz="0" w:space="0" w:color="auto"/>
      </w:divBdr>
    </w:div>
    <w:div w:id="792408570">
      <w:bodyDiv w:val="1"/>
      <w:marLeft w:val="0"/>
      <w:marRight w:val="0"/>
      <w:marTop w:val="0"/>
      <w:marBottom w:val="0"/>
      <w:divBdr>
        <w:top w:val="none" w:sz="0" w:space="0" w:color="auto"/>
        <w:left w:val="none" w:sz="0" w:space="0" w:color="auto"/>
        <w:bottom w:val="none" w:sz="0" w:space="0" w:color="auto"/>
        <w:right w:val="none" w:sz="0" w:space="0" w:color="auto"/>
      </w:divBdr>
    </w:div>
    <w:div w:id="852885966">
      <w:bodyDiv w:val="1"/>
      <w:marLeft w:val="0"/>
      <w:marRight w:val="0"/>
      <w:marTop w:val="0"/>
      <w:marBottom w:val="0"/>
      <w:divBdr>
        <w:top w:val="none" w:sz="0" w:space="0" w:color="auto"/>
        <w:left w:val="none" w:sz="0" w:space="0" w:color="auto"/>
        <w:bottom w:val="none" w:sz="0" w:space="0" w:color="auto"/>
        <w:right w:val="none" w:sz="0" w:space="0" w:color="auto"/>
      </w:divBdr>
    </w:div>
    <w:div w:id="1062943743">
      <w:bodyDiv w:val="1"/>
      <w:marLeft w:val="0"/>
      <w:marRight w:val="0"/>
      <w:marTop w:val="0"/>
      <w:marBottom w:val="0"/>
      <w:divBdr>
        <w:top w:val="none" w:sz="0" w:space="0" w:color="auto"/>
        <w:left w:val="none" w:sz="0" w:space="0" w:color="auto"/>
        <w:bottom w:val="none" w:sz="0" w:space="0" w:color="auto"/>
        <w:right w:val="none" w:sz="0" w:space="0" w:color="auto"/>
      </w:divBdr>
    </w:div>
    <w:div w:id="1393772544">
      <w:bodyDiv w:val="1"/>
      <w:marLeft w:val="0"/>
      <w:marRight w:val="0"/>
      <w:marTop w:val="0"/>
      <w:marBottom w:val="0"/>
      <w:divBdr>
        <w:top w:val="none" w:sz="0" w:space="0" w:color="auto"/>
        <w:left w:val="none" w:sz="0" w:space="0" w:color="auto"/>
        <w:bottom w:val="none" w:sz="0" w:space="0" w:color="auto"/>
        <w:right w:val="none" w:sz="0" w:space="0" w:color="auto"/>
      </w:divBdr>
    </w:div>
    <w:div w:id="1518154064">
      <w:bodyDiv w:val="1"/>
      <w:marLeft w:val="0"/>
      <w:marRight w:val="0"/>
      <w:marTop w:val="0"/>
      <w:marBottom w:val="0"/>
      <w:divBdr>
        <w:top w:val="none" w:sz="0" w:space="0" w:color="auto"/>
        <w:left w:val="none" w:sz="0" w:space="0" w:color="auto"/>
        <w:bottom w:val="none" w:sz="0" w:space="0" w:color="auto"/>
        <w:right w:val="none" w:sz="0" w:space="0" w:color="auto"/>
      </w:divBdr>
    </w:div>
    <w:div w:id="1859193168">
      <w:bodyDiv w:val="1"/>
      <w:marLeft w:val="0"/>
      <w:marRight w:val="0"/>
      <w:marTop w:val="0"/>
      <w:marBottom w:val="0"/>
      <w:divBdr>
        <w:top w:val="none" w:sz="0" w:space="0" w:color="auto"/>
        <w:left w:val="none" w:sz="0" w:space="0" w:color="auto"/>
        <w:bottom w:val="none" w:sz="0" w:space="0" w:color="auto"/>
        <w:right w:val="none" w:sz="0" w:space="0" w:color="auto"/>
      </w:divBdr>
    </w:div>
    <w:div w:id="187638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www.dtf.vic.gov.au/financial-reporting-policy/accounting-standards-checklists" TargetMode="External"/><Relationship Id="rId39" Type="http://schemas.openxmlformats.org/officeDocument/2006/relationships/hyperlink" Target="https://www.aasb.gov.au/Work-In-Progress/Search-for-a-specific-document.aspx" TargetMode="External"/><Relationship Id="rId21" Type="http://schemas.openxmlformats.org/officeDocument/2006/relationships/footer" Target="footer6.xml"/><Relationship Id="rId34" Type="http://schemas.openxmlformats.org/officeDocument/2006/relationships/hyperlink" Target="mailto:standing.directions@dtf.vic.gov.au"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hyperlink" Target="http://www.dtf.vic.gov.au/Government-Financial-Management/Financial-reporting-policy" TargetMode="External"/><Relationship Id="rId63" Type="http://schemas.openxmlformats.org/officeDocument/2006/relationships/header" Target="header15.xml"/><Relationship Id="rId68" Type="http://schemas.openxmlformats.org/officeDocument/2006/relationships/footer" Target="footer1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www.dtf.vic.gov.au/Publications/Government-Financial-Management-publications/Financial-Reporting-Policy/Accounting-policy-update-newslett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hyperlink" Target="https://www.dtf.vic.gov.au/financial-reporting-policy/financial-reporting-directions-and-guidance" TargetMode="External"/><Relationship Id="rId37" Type="http://schemas.openxmlformats.org/officeDocument/2006/relationships/image" Target="media/image4.emf"/><Relationship Id="rId40" Type="http://schemas.openxmlformats.org/officeDocument/2006/relationships/image" Target="media/image5.emf"/><Relationship Id="rId45" Type="http://schemas.openxmlformats.org/officeDocument/2006/relationships/header" Target="header9.xml"/><Relationship Id="rId53" Type="http://schemas.openxmlformats.org/officeDocument/2006/relationships/hyperlink" Target="http://www.aasb.com.au" TargetMode="External"/><Relationship Id="rId58" Type="http://schemas.openxmlformats.org/officeDocument/2006/relationships/header" Target="header14.xml"/><Relationship Id="rId66"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yperlink" Target="https://www.dtf.vic.gov.au/sites/default/files/document/2019-20%20Model%20Report.pdf" TargetMode="External"/><Relationship Id="rId23" Type="http://schemas.openxmlformats.org/officeDocument/2006/relationships/hyperlink" Target="https://www.dtf.vic.gov.au/financial-reporting-policy/accounting-standards-checklists" TargetMode="External"/><Relationship Id="rId28" Type="http://schemas.openxmlformats.org/officeDocument/2006/relationships/hyperlink" Target="https://www.dtf.vic.gov.au/financial-reporting-policy/valuer-general-land-indices" TargetMode="External"/><Relationship Id="rId36" Type="http://schemas.openxmlformats.org/officeDocument/2006/relationships/hyperlink" Target="mailto:stephanie.braun@dtf.vic.gov.au" TargetMode="External"/><Relationship Id="rId49" Type="http://schemas.openxmlformats.org/officeDocument/2006/relationships/footer" Target="footer9.xml"/><Relationship Id="rId57" Type="http://schemas.openxmlformats.org/officeDocument/2006/relationships/header" Target="header13.xml"/><Relationship Id="rId61" Type="http://schemas.openxmlformats.org/officeDocument/2006/relationships/hyperlink" Target="http://creativecommons.org/licenses/by/4.0/"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s://www.dtf.vic.gov.au/financial-reporting-policy/accounting-standards-checklists" TargetMode="External"/><Relationship Id="rId44" Type="http://schemas.openxmlformats.org/officeDocument/2006/relationships/footer" Target="footer7.xml"/><Relationship Id="rId52" Type="http://schemas.openxmlformats.org/officeDocument/2006/relationships/hyperlink" Target="mailto:accpol@dtf.vic.gov.au" TargetMode="External"/><Relationship Id="rId60" Type="http://schemas.openxmlformats.org/officeDocument/2006/relationships/image" Target="media/image6.png"/><Relationship Id="rId65" Type="http://schemas.openxmlformats.org/officeDocument/2006/relationships/footer" Target="foot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dtf.vic.gov.au/model-report/2019-20-model-report" TargetMode="External"/><Relationship Id="rId27" Type="http://schemas.openxmlformats.org/officeDocument/2006/relationships/hyperlink" Target="https://www.dtf.vic.gov.au/financial-reporting-policy/aasb-124-related-party-disclosures" TargetMode="External"/><Relationship Id="rId30" Type="http://schemas.openxmlformats.org/officeDocument/2006/relationships/hyperlink" Target="https://www.dtf.vic.gov.au/financial-management-government/machinery-government-changes-vps-operating-manual" TargetMode="External"/><Relationship Id="rId35" Type="http://schemas.openxmlformats.org/officeDocument/2006/relationships/chart" Target="charts/chart1.xm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hyperlink" Target="mailto:dtfweb@dtf.vic.gov.au" TargetMode="External"/><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hyperlink" Target="http://www.dtf.vic.gov.au/files/0b43b325-68cc-4285-9055-a5a6010a5a01/Standing-Directions-Instructions-2016.docx" TargetMode="External"/><Relationship Id="rId38" Type="http://schemas.openxmlformats.org/officeDocument/2006/relationships/package" Target="embeddings/Microsoft_Word_Document.docx"/><Relationship Id="rId46" Type="http://schemas.openxmlformats.org/officeDocument/2006/relationships/footer" Target="footer8.xml"/><Relationship Id="rId59" Type="http://schemas.openxmlformats.org/officeDocument/2006/relationships/hyperlink" Target="http://creativecommons.org/licenses/by/3.0/au/" TargetMode="External"/><Relationship Id="rId67" Type="http://schemas.openxmlformats.org/officeDocument/2006/relationships/header" Target="header17.xml"/><Relationship Id="rId20" Type="http://schemas.openxmlformats.org/officeDocument/2006/relationships/header" Target="header6.xml"/><Relationship Id="rId41" Type="http://schemas.openxmlformats.org/officeDocument/2006/relationships/package" Target="embeddings/Microsoft_Word_Document1.docx"/><Relationship Id="rId54" Type="http://schemas.openxmlformats.org/officeDocument/2006/relationships/hyperlink" Target="http://www.ipsasb.org" TargetMode="External"/><Relationship Id="rId62" Type="http://schemas.openxmlformats.org/officeDocument/2006/relationships/hyperlink" Target="mailto:IPpolicy@dtf.vic.gov.au"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Other\Newsletter%20Accounting%20Policy.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vfdtf001\DTF_DATA02$\TRIM\Accounting%20Policy_BFM\STATE%20BUDGET%20(WoVG)\ACCOUNTING%20(WoVG)\Newsletter\Newsletter%2038%20-%20June%202020\Trend%20Analysis%20include%20wage%20inflation%20June%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sz="800"/>
            </a:pPr>
            <a:r>
              <a:rPr lang="en-AU" sz="800"/>
              <a:t>Wage inflation and annual effective discount rate for </a:t>
            </a:r>
            <a:br>
              <a:rPr lang="en-AU" sz="800"/>
            </a:br>
            <a:r>
              <a:rPr lang="en-AU" sz="800"/>
              <a:t>employee benefits calculations</a:t>
            </a:r>
          </a:p>
        </c:rich>
      </c:tx>
      <c:layout>
        <c:manualLayout>
          <c:xMode val="edge"/>
          <c:yMode val="edge"/>
          <c:x val="0.24514726485690508"/>
          <c:y val="9.4250706880301596E-3"/>
        </c:manualLayout>
      </c:layout>
      <c:overlay val="1"/>
    </c:title>
    <c:autoTitleDeleted val="0"/>
    <c:plotArea>
      <c:layout>
        <c:manualLayout>
          <c:layoutTarget val="inner"/>
          <c:xMode val="edge"/>
          <c:yMode val="edge"/>
          <c:x val="9.3533117799672341E-2"/>
          <c:y val="0.17760321194534942"/>
          <c:w val="0.84724461791046335"/>
          <c:h val="0.63609660238253352"/>
        </c:manualLayout>
      </c:layout>
      <c:lineChart>
        <c:grouping val="standard"/>
        <c:varyColors val="0"/>
        <c:ser>
          <c:idx val="0"/>
          <c:order val="0"/>
          <c:tx>
            <c:strRef>
              <c:f>'June 2020'!$C$3</c:f>
              <c:strCache>
                <c:ptCount val="1"/>
                <c:pt idx="0">
                  <c:v>Annual discount rate</c:v>
                </c:pt>
              </c:strCache>
            </c:strRef>
          </c:tx>
          <c:spPr>
            <a:ln w="19050"/>
          </c:spPr>
          <c:marker>
            <c:spPr>
              <a:ln w="19050"/>
            </c:spPr>
          </c:marker>
          <c:dLbls>
            <c:delete val="1"/>
          </c:dLbls>
          <c:cat>
            <c:numRef>
              <c:f>'June 2020'!$B$4:$B$21</c:f>
              <c:numCache>
                <c:formatCode>mmm\-yy</c:formatCode>
                <c:ptCount val="18"/>
                <c:pt idx="0">
                  <c:v>42979</c:v>
                </c:pt>
                <c:pt idx="1">
                  <c:v>43070</c:v>
                </c:pt>
                <c:pt idx="2">
                  <c:v>43160</c:v>
                </c:pt>
                <c:pt idx="3">
                  <c:v>43191</c:v>
                </c:pt>
                <c:pt idx="4">
                  <c:v>43221</c:v>
                </c:pt>
                <c:pt idx="5">
                  <c:v>43252</c:v>
                </c:pt>
                <c:pt idx="6">
                  <c:v>43344</c:v>
                </c:pt>
                <c:pt idx="7">
                  <c:v>43435</c:v>
                </c:pt>
                <c:pt idx="8">
                  <c:v>43525</c:v>
                </c:pt>
                <c:pt idx="9">
                  <c:v>43556</c:v>
                </c:pt>
                <c:pt idx="10">
                  <c:v>43586</c:v>
                </c:pt>
                <c:pt idx="11">
                  <c:v>43617</c:v>
                </c:pt>
                <c:pt idx="12">
                  <c:v>43709</c:v>
                </c:pt>
                <c:pt idx="13">
                  <c:v>43800</c:v>
                </c:pt>
                <c:pt idx="14">
                  <c:v>43891</c:v>
                </c:pt>
                <c:pt idx="15">
                  <c:v>43922</c:v>
                </c:pt>
                <c:pt idx="16">
                  <c:v>43952</c:v>
                </c:pt>
                <c:pt idx="17">
                  <c:v>43983</c:v>
                </c:pt>
              </c:numCache>
            </c:numRef>
          </c:cat>
          <c:val>
            <c:numRef>
              <c:f>'June 2020'!$C$4:$C$21</c:f>
              <c:numCache>
                <c:formatCode>General</c:formatCode>
                <c:ptCount val="18"/>
                <c:pt idx="0">
                  <c:v>2.8039999999999998</c:v>
                </c:pt>
                <c:pt idx="1">
                  <c:v>2.6829999999999998</c:v>
                </c:pt>
                <c:pt idx="2">
                  <c:v>2.617</c:v>
                </c:pt>
                <c:pt idx="3">
                  <c:v>2.7839999999999998</c:v>
                </c:pt>
                <c:pt idx="4">
                  <c:v>2.6880000000000002</c:v>
                </c:pt>
                <c:pt idx="5">
                  <c:v>2.6469999999999998</c:v>
                </c:pt>
                <c:pt idx="6">
                  <c:v>2.6880000000000002</c:v>
                </c:pt>
                <c:pt idx="7">
                  <c:v>2.3330000000000002</c:v>
                </c:pt>
                <c:pt idx="8">
                  <c:v>1.7829999999999999</c:v>
                </c:pt>
                <c:pt idx="9">
                  <c:v>1.7929999999999999</c:v>
                </c:pt>
                <c:pt idx="10" formatCode="0.000">
                  <c:v>1.46</c:v>
                </c:pt>
                <c:pt idx="11">
                  <c:v>1.3240000000000001</c:v>
                </c:pt>
                <c:pt idx="12">
                  <c:v>1.028</c:v>
                </c:pt>
                <c:pt idx="13">
                  <c:v>1.39</c:v>
                </c:pt>
                <c:pt idx="14">
                  <c:v>0.71099999999999997</c:v>
                </c:pt>
                <c:pt idx="15">
                  <c:v>0.89200000000000002</c:v>
                </c:pt>
                <c:pt idx="16">
                  <c:v>0.88700000000000001</c:v>
                </c:pt>
                <c:pt idx="17">
                  <c:v>0.872</c:v>
                </c:pt>
              </c:numCache>
            </c:numRef>
          </c:val>
          <c:smooth val="0"/>
          <c:extLst>
            <c:ext xmlns:c16="http://schemas.microsoft.com/office/drawing/2014/chart" uri="{C3380CC4-5D6E-409C-BE32-E72D297353CC}">
              <c16:uniqueId val="{00000000-8E07-4540-8AAD-023F642A6DE6}"/>
            </c:ext>
          </c:extLst>
        </c:ser>
        <c:ser>
          <c:idx val="1"/>
          <c:order val="1"/>
          <c:tx>
            <c:strRef>
              <c:f>'June 2020'!$D$3</c:f>
              <c:strCache>
                <c:ptCount val="1"/>
                <c:pt idx="0">
                  <c:v>Wage inflation rate</c:v>
                </c:pt>
              </c:strCache>
            </c:strRef>
          </c:tx>
          <c:spPr>
            <a:ln w="19050"/>
          </c:spPr>
          <c:marker>
            <c:spPr>
              <a:ln w="19050"/>
            </c:spPr>
          </c:marker>
          <c:dLbls>
            <c:delete val="1"/>
          </c:dLbls>
          <c:cat>
            <c:numRef>
              <c:f>'June 2020'!$B$4:$B$21</c:f>
              <c:numCache>
                <c:formatCode>mmm\-yy</c:formatCode>
                <c:ptCount val="18"/>
                <c:pt idx="0">
                  <c:v>42979</c:v>
                </c:pt>
                <c:pt idx="1">
                  <c:v>43070</c:v>
                </c:pt>
                <c:pt idx="2">
                  <c:v>43160</c:v>
                </c:pt>
                <c:pt idx="3">
                  <c:v>43191</c:v>
                </c:pt>
                <c:pt idx="4">
                  <c:v>43221</c:v>
                </c:pt>
                <c:pt idx="5">
                  <c:v>43252</c:v>
                </c:pt>
                <c:pt idx="6">
                  <c:v>43344</c:v>
                </c:pt>
                <c:pt idx="7">
                  <c:v>43435</c:v>
                </c:pt>
                <c:pt idx="8">
                  <c:v>43525</c:v>
                </c:pt>
                <c:pt idx="9">
                  <c:v>43556</c:v>
                </c:pt>
                <c:pt idx="10">
                  <c:v>43586</c:v>
                </c:pt>
                <c:pt idx="11">
                  <c:v>43617</c:v>
                </c:pt>
                <c:pt idx="12">
                  <c:v>43709</c:v>
                </c:pt>
                <c:pt idx="13">
                  <c:v>43800</c:v>
                </c:pt>
                <c:pt idx="14">
                  <c:v>43891</c:v>
                </c:pt>
                <c:pt idx="15">
                  <c:v>43922</c:v>
                </c:pt>
                <c:pt idx="16">
                  <c:v>43952</c:v>
                </c:pt>
                <c:pt idx="17">
                  <c:v>43983</c:v>
                </c:pt>
              </c:numCache>
            </c:numRef>
          </c:cat>
          <c:val>
            <c:numRef>
              <c:f>'June 2020'!$D$4:$D$21</c:f>
              <c:numCache>
                <c:formatCode>General</c:formatCode>
                <c:ptCount val="18"/>
                <c:pt idx="0">
                  <c:v>3.8130000000000002</c:v>
                </c:pt>
                <c:pt idx="1">
                  <c:v>3.625</c:v>
                </c:pt>
                <c:pt idx="2">
                  <c:v>3.625</c:v>
                </c:pt>
                <c:pt idx="3">
                  <c:v>3.875</c:v>
                </c:pt>
                <c:pt idx="4">
                  <c:v>3.875</c:v>
                </c:pt>
                <c:pt idx="5">
                  <c:v>3.875</c:v>
                </c:pt>
                <c:pt idx="6">
                  <c:v>3.875</c:v>
                </c:pt>
                <c:pt idx="7">
                  <c:v>4.125</c:v>
                </c:pt>
                <c:pt idx="8">
                  <c:v>4.125</c:v>
                </c:pt>
                <c:pt idx="9">
                  <c:v>4.125</c:v>
                </c:pt>
                <c:pt idx="10" formatCode="0.000">
                  <c:v>4.3129999999999997</c:v>
                </c:pt>
                <c:pt idx="11">
                  <c:v>4.3129999999999997</c:v>
                </c:pt>
                <c:pt idx="12">
                  <c:v>4.3129999999999997</c:v>
                </c:pt>
                <c:pt idx="13">
                  <c:v>4.25</c:v>
                </c:pt>
                <c:pt idx="14">
                  <c:v>4.25</c:v>
                </c:pt>
                <c:pt idx="15">
                  <c:v>4.25</c:v>
                </c:pt>
                <c:pt idx="16">
                  <c:v>4.25</c:v>
                </c:pt>
                <c:pt idx="17">
                  <c:v>4.25</c:v>
                </c:pt>
              </c:numCache>
            </c:numRef>
          </c:val>
          <c:smooth val="0"/>
          <c:extLst>
            <c:ext xmlns:c16="http://schemas.microsoft.com/office/drawing/2014/chart" uri="{C3380CC4-5D6E-409C-BE32-E72D297353CC}">
              <c16:uniqueId val="{00000001-8E07-4540-8AAD-023F642A6DE6}"/>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out"/>
        <c:minorTickMark val="none"/>
        <c:tickLblPos val="nextTo"/>
        <c:txPr>
          <a:bodyPr/>
          <a:lstStyle/>
          <a:p>
            <a:pPr>
              <a:defRPr sz="800"/>
            </a:pPr>
            <a:endParaRPr lang="en-US"/>
          </a:p>
        </c:txPr>
        <c:crossAx val="80719872"/>
        <c:crosses val="autoZero"/>
        <c:auto val="0"/>
        <c:lblOffset val="100"/>
        <c:baseTimeUnit val="months"/>
        <c:majorUnit val="3"/>
        <c:majorTimeUnit val="months"/>
      </c:dateAx>
      <c:valAx>
        <c:axId val="80719872"/>
        <c:scaling>
          <c:orientation val="minMax"/>
        </c:scaling>
        <c:delete val="0"/>
        <c:axPos val="l"/>
        <c:majorGridlines>
          <c:spPr>
            <a:ln>
              <a:solidFill>
                <a:schemeClr val="bg1">
                  <a:lumMod val="75000"/>
                </a:schemeClr>
              </a:solidFill>
              <a:prstDash val="dash"/>
            </a:ln>
          </c:spPr>
        </c:majorGridlines>
        <c:numFmt formatCode="0.0" sourceLinked="0"/>
        <c:majorTickMark val="out"/>
        <c:minorTickMark val="none"/>
        <c:tickLblPos val="nextTo"/>
        <c:txPr>
          <a:bodyPr/>
          <a:lstStyle/>
          <a:p>
            <a:pPr>
              <a:defRPr sz="800"/>
            </a:pPr>
            <a:endParaRPr lang="en-US"/>
          </a:p>
        </c:txPr>
        <c:crossAx val="80713600"/>
        <c:crosses val="autoZero"/>
        <c:crossBetween val="between"/>
      </c:valAx>
    </c:plotArea>
    <c:legend>
      <c:legendPos val="b"/>
      <c:overlay val="0"/>
      <c:txPr>
        <a:bodyPr/>
        <a:lstStyle/>
        <a:p>
          <a:pPr>
            <a:defRPr sz="800"/>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0.01107</cdr:x>
      <cdr:y>0.35325</cdr:y>
    </cdr:from>
    <cdr:to>
      <cdr:x>0.04828</cdr:x>
      <cdr:y>0.59208</cdr:y>
    </cdr:to>
    <cdr:sp macro="" textlink="">
      <cdr:nvSpPr>
        <cdr:cNvPr id="2" name="TextBox 1"/>
        <cdr:cNvSpPr txBox="1"/>
      </cdr:nvSpPr>
      <cdr:spPr>
        <a:xfrm xmlns:a="http://schemas.openxmlformats.org/drawingml/2006/main" rot="16200000">
          <a:off x="-175044" y="1268169"/>
          <a:ext cx="695502" cy="216564"/>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r>
            <a:rPr lang="en-AU" sz="800" b="0" i="1"/>
            <a:t>per cent</a:t>
          </a:r>
        </a:p>
      </cdr:txBody>
    </cdr:sp>
  </cdr:relSizeAnchor>
</c:userShape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7B7B7B"/>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22B61-65CE-4353-A0D8-6C33BC1563CE}">
  <ds:schemaRefs>
    <ds:schemaRef ds:uri="http://www.w3.org/2001/XMLSchema"/>
  </ds:schemaRefs>
</ds:datastoreItem>
</file>

<file path=customXml/itemProps2.xml><?xml version="1.0" encoding="utf-8"?>
<ds:datastoreItem xmlns:ds="http://schemas.openxmlformats.org/officeDocument/2006/customXml" ds:itemID="{E38FBB6B-4E48-46E9-8C85-5A0A7E2C0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Accounting Policy.dotx</Template>
  <TotalTime>1</TotalTime>
  <Pages>12</Pages>
  <Words>5633</Words>
  <Characters>32114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Faiza Ali (DTF)</dc:creator>
  <cp:keywords/>
  <dc:description/>
  <cp:lastModifiedBy>Thomas McGowan (DTF)</cp:lastModifiedBy>
  <cp:revision>2</cp:revision>
  <dcterms:created xsi:type="dcterms:W3CDTF">2020-08-24T00:23:00Z</dcterms:created>
  <dcterms:modified xsi:type="dcterms:W3CDTF">2020-08-24T00:23:00Z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iteId">
    <vt:lpwstr>722ea0be-3e1c-4b11-ad6f-9401d6856e24</vt:lpwstr>
  </property>
  <property fmtid="{D5CDD505-2E9C-101B-9397-08002B2CF9AE}" pid="4" name="MSIP_Label_7158ebbd-6c5e-441f-bfc9-4eb8c11e3978_Owner">
    <vt:lpwstr>faiza.ali@dtf.vic.gov.au</vt:lpwstr>
  </property>
  <property fmtid="{D5CDD505-2E9C-101B-9397-08002B2CF9AE}" pid="5" name="MSIP_Label_7158ebbd-6c5e-441f-bfc9-4eb8c11e3978_SetDate">
    <vt:lpwstr>2020-05-28T01:13:06.9329475Z</vt:lpwstr>
  </property>
  <property fmtid="{D5CDD505-2E9C-101B-9397-08002B2CF9AE}" pid="6" name="MSIP_Label_7158ebbd-6c5e-441f-bfc9-4eb8c11e3978_Name">
    <vt:lpwstr>OFFICIAL</vt:lpwstr>
  </property>
  <property fmtid="{D5CDD505-2E9C-101B-9397-08002B2CF9AE}" pid="7" name="MSIP_Label_7158ebbd-6c5e-441f-bfc9-4eb8c11e3978_Application">
    <vt:lpwstr>Microsoft Azure Information Protection</vt:lpwstr>
  </property>
  <property fmtid="{D5CDD505-2E9C-101B-9397-08002B2CF9AE}" pid="8" name="MSIP_Label_7158ebbd-6c5e-441f-bfc9-4eb8c11e3978_Extended_MSFT_Method">
    <vt:lpwstr>Manual</vt:lpwstr>
  </property>
  <property fmtid="{D5CDD505-2E9C-101B-9397-08002B2CF9AE}" pid="9" name="Sensitivity">
    <vt:lpwstr>OFFICIAL</vt:lpwstr>
  </property>
</Properties>
</file>