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5296" w:rsidRPr="00BC0ACB" w:rsidRDefault="00E11977" w:rsidP="00E11977">
      <w:pPr>
        <w:pStyle w:val="Title"/>
        <w:rPr>
          <w:i/>
        </w:rPr>
      </w:pPr>
      <w:bookmarkStart w:id="0" w:name="_Toc442780672"/>
      <w:r w:rsidRPr="00BC0ACB">
        <w:t xml:space="preserve">Department of Treasury and Finance </w:t>
      </w:r>
      <w:r w:rsidRPr="00BC0ACB">
        <w:rPr>
          <w:i/>
        </w:rPr>
        <w:t>201</w:t>
      </w:r>
      <w:r w:rsidR="001E1545" w:rsidRPr="00BC0ACB">
        <w:rPr>
          <w:i/>
        </w:rPr>
        <w:t>7</w:t>
      </w:r>
      <w:r w:rsidRPr="00BC0ACB">
        <w:rPr>
          <w:i/>
        </w:rPr>
        <w:t>–1</w:t>
      </w:r>
      <w:r w:rsidR="001E1545" w:rsidRPr="00BC0ACB">
        <w:rPr>
          <w:i/>
        </w:rPr>
        <w:t>8</w:t>
      </w:r>
      <w:r w:rsidRPr="00BC0ACB">
        <w:rPr>
          <w:i/>
        </w:rPr>
        <w:t xml:space="preserve"> Annual Report</w:t>
      </w:r>
    </w:p>
    <w:p w:rsidR="003D6D85" w:rsidRPr="00BC0ACB" w:rsidRDefault="003D6D85" w:rsidP="00536724">
      <w:pPr>
        <w:pStyle w:val="Heading3"/>
      </w:pPr>
      <w:r w:rsidRPr="00BC0ACB">
        <w:t>Details of individual consultancies (valued at $10 000 or greater excluding GST)</w:t>
      </w:r>
    </w:p>
    <w:tbl>
      <w:tblPr>
        <w:tblStyle w:val="DTFtexttable"/>
        <w:tblW w:w="9287" w:type="dxa"/>
        <w:tblLook w:val="0460" w:firstRow="1" w:lastRow="1" w:firstColumn="0" w:lastColumn="0" w:noHBand="0" w:noVBand="1"/>
      </w:tblPr>
      <w:tblGrid>
        <w:gridCol w:w="2396"/>
        <w:gridCol w:w="3011"/>
        <w:gridCol w:w="1332"/>
        <w:gridCol w:w="1274"/>
        <w:gridCol w:w="1274"/>
      </w:tblGrid>
      <w:tr w:rsidR="00826ADD" w:rsidRPr="00BC0ACB" w:rsidTr="008438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396" w:type="dxa"/>
            <w:hideMark/>
          </w:tcPr>
          <w:p w:rsidR="00536724" w:rsidRPr="00BC0ACB" w:rsidRDefault="00826ADD" w:rsidP="00536724">
            <w:pPr>
              <w:pStyle w:val="Tableheader"/>
              <w:rPr>
                <w:b/>
              </w:rPr>
            </w:pPr>
            <w:r w:rsidRPr="00BC0ACB">
              <w:rPr>
                <w:b/>
              </w:rPr>
              <w:t>Consultant engaged</w:t>
            </w:r>
          </w:p>
        </w:tc>
        <w:tc>
          <w:tcPr>
            <w:tcW w:w="3011" w:type="dxa"/>
            <w:hideMark/>
          </w:tcPr>
          <w:p w:rsidR="00826ADD" w:rsidRPr="00BC0ACB" w:rsidRDefault="00826ADD" w:rsidP="00536724">
            <w:pPr>
              <w:pStyle w:val="Tableheader"/>
              <w:rPr>
                <w:b/>
              </w:rPr>
            </w:pPr>
            <w:r w:rsidRPr="00BC0ACB">
              <w:rPr>
                <w:b/>
              </w:rPr>
              <w:t>Purpose of consultancy</w:t>
            </w:r>
          </w:p>
        </w:tc>
        <w:tc>
          <w:tcPr>
            <w:tcW w:w="1332" w:type="dxa"/>
            <w:hideMark/>
          </w:tcPr>
          <w:p w:rsidR="00826ADD" w:rsidRPr="00BC0ACB" w:rsidRDefault="00826ADD" w:rsidP="00536724">
            <w:pPr>
              <w:pStyle w:val="Tableheader"/>
              <w:jc w:val="right"/>
              <w:rPr>
                <w:b/>
              </w:rPr>
            </w:pPr>
            <w:r w:rsidRPr="00BC0ACB">
              <w:rPr>
                <w:b/>
              </w:rPr>
              <w:t>Total</w:t>
            </w:r>
            <w:r w:rsidR="00536724" w:rsidRPr="00BC0ACB">
              <w:rPr>
                <w:b/>
              </w:rPr>
              <w:t xml:space="preserve"> approved project </w:t>
            </w:r>
            <w:r w:rsidRPr="00BC0ACB">
              <w:rPr>
                <w:b/>
              </w:rPr>
              <w:t>fee (excl. GST)</w:t>
            </w:r>
          </w:p>
        </w:tc>
        <w:tc>
          <w:tcPr>
            <w:tcW w:w="1274" w:type="dxa"/>
            <w:hideMark/>
          </w:tcPr>
          <w:p w:rsidR="00826ADD" w:rsidRPr="00BC0ACB" w:rsidRDefault="00826ADD" w:rsidP="00536724">
            <w:pPr>
              <w:pStyle w:val="Tableheader"/>
              <w:jc w:val="right"/>
              <w:rPr>
                <w:b/>
              </w:rPr>
            </w:pPr>
            <w:r w:rsidRPr="00BC0ACB">
              <w:rPr>
                <w:b/>
              </w:rPr>
              <w:t>Expenditure 2017</w:t>
            </w:r>
            <w:r w:rsidR="00536724" w:rsidRPr="00BC0ACB">
              <w:t>–</w:t>
            </w:r>
            <w:r w:rsidRPr="00BC0ACB">
              <w:rPr>
                <w:b/>
              </w:rPr>
              <w:t>18</w:t>
            </w:r>
            <w:r w:rsidRPr="00BC0ACB">
              <w:rPr>
                <w:b/>
              </w:rPr>
              <w:br/>
              <w:t>(excl. GST)</w:t>
            </w:r>
          </w:p>
        </w:tc>
        <w:tc>
          <w:tcPr>
            <w:tcW w:w="1274" w:type="dxa"/>
            <w:hideMark/>
          </w:tcPr>
          <w:p w:rsidR="00826ADD" w:rsidRPr="00BC0ACB" w:rsidRDefault="00826ADD" w:rsidP="00536724">
            <w:pPr>
              <w:pStyle w:val="Tableheader"/>
              <w:jc w:val="right"/>
              <w:rPr>
                <w:b/>
              </w:rPr>
            </w:pPr>
            <w:r w:rsidRPr="00BC0ACB">
              <w:rPr>
                <w:b/>
              </w:rPr>
              <w:t>Future expenditure</w:t>
            </w:r>
            <w:r w:rsidRPr="00BC0ACB">
              <w:rPr>
                <w:b/>
              </w:rPr>
              <w:br/>
              <w:t>(excl. GST)</w:t>
            </w:r>
          </w:p>
        </w:tc>
      </w:tr>
      <w:tr w:rsidR="00826ADD" w:rsidRPr="00BC0ACB" w:rsidTr="008438C2">
        <w:tc>
          <w:tcPr>
            <w:tcW w:w="2396" w:type="dxa"/>
            <w:hideMark/>
          </w:tcPr>
          <w:p w:rsidR="00826ADD" w:rsidRPr="00BC0ACB" w:rsidRDefault="00826ADD" w:rsidP="00536724">
            <w:pPr>
              <w:pStyle w:val="Tabletext"/>
            </w:pPr>
            <w:r w:rsidRPr="00BC0ACB">
              <w:t>Acil Allen Consulting Pty Ltd</w:t>
            </w:r>
          </w:p>
        </w:tc>
        <w:tc>
          <w:tcPr>
            <w:tcW w:w="3011" w:type="dxa"/>
            <w:hideMark/>
          </w:tcPr>
          <w:p w:rsidR="00826ADD" w:rsidRPr="00BC0ACB" w:rsidRDefault="00826ADD" w:rsidP="00536724">
            <w:pPr>
              <w:pStyle w:val="Tabletext"/>
            </w:pPr>
            <w:r w:rsidRPr="00BC0ACB">
              <w:t>Commercial and transaction advice (Social impact bonds)</w:t>
            </w:r>
          </w:p>
        </w:tc>
        <w:tc>
          <w:tcPr>
            <w:tcW w:w="1332" w:type="dxa"/>
            <w:noWrap/>
            <w:hideMark/>
          </w:tcPr>
          <w:p w:rsidR="00826ADD" w:rsidRPr="00BC0ACB" w:rsidRDefault="00826ADD" w:rsidP="00536724">
            <w:pPr>
              <w:pStyle w:val="Tabletextright"/>
            </w:pPr>
            <w:r w:rsidRPr="00BC0ACB">
              <w:t xml:space="preserve"> 72</w:t>
            </w:r>
            <w:r w:rsidR="00AC6DA5" w:rsidRPr="00BC0ACB">
              <w:t xml:space="preserve"> </w:t>
            </w:r>
            <w:r w:rsidRPr="00BC0ACB">
              <w:t xml:space="preserve">727 </w:t>
            </w:r>
          </w:p>
        </w:tc>
        <w:tc>
          <w:tcPr>
            <w:tcW w:w="1274" w:type="dxa"/>
            <w:noWrap/>
            <w:hideMark/>
          </w:tcPr>
          <w:p w:rsidR="00826ADD" w:rsidRPr="00BC0ACB" w:rsidRDefault="00826ADD" w:rsidP="00536724">
            <w:pPr>
              <w:pStyle w:val="Tabletextright"/>
            </w:pPr>
            <w:r w:rsidRPr="00BC0ACB">
              <w:t xml:space="preserve"> 72</w:t>
            </w:r>
            <w:r w:rsidR="00AC6DA5" w:rsidRPr="00BC0ACB">
              <w:t xml:space="preserve"> </w:t>
            </w:r>
            <w:r w:rsidRPr="00BC0ACB">
              <w:t xml:space="preserve">313 </w:t>
            </w:r>
          </w:p>
        </w:tc>
        <w:tc>
          <w:tcPr>
            <w:tcW w:w="1274" w:type="dxa"/>
            <w:noWrap/>
            <w:hideMark/>
          </w:tcPr>
          <w:p w:rsidR="00826ADD" w:rsidRPr="00BC0ACB" w:rsidRDefault="00826ADD" w:rsidP="00536724">
            <w:pPr>
              <w:pStyle w:val="Tabletextright"/>
            </w:pPr>
            <w:r w:rsidRPr="00BC0ACB">
              <w:t xml:space="preserve"> 414 </w:t>
            </w:r>
          </w:p>
        </w:tc>
      </w:tr>
      <w:tr w:rsidR="00826ADD" w:rsidRPr="00BC0ACB" w:rsidTr="008438C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396" w:type="dxa"/>
            <w:hideMark/>
          </w:tcPr>
          <w:p w:rsidR="00826ADD" w:rsidRPr="00BC0ACB" w:rsidRDefault="00826ADD" w:rsidP="00536724">
            <w:pPr>
              <w:pStyle w:val="Tabletext"/>
            </w:pPr>
            <w:r w:rsidRPr="00BC0ACB">
              <w:t>Acil Allen Consulting Pty Ltd</w:t>
            </w:r>
          </w:p>
        </w:tc>
        <w:tc>
          <w:tcPr>
            <w:tcW w:w="3011" w:type="dxa"/>
            <w:hideMark/>
          </w:tcPr>
          <w:p w:rsidR="00826ADD" w:rsidRPr="00BC0ACB" w:rsidRDefault="00826ADD" w:rsidP="00536724">
            <w:pPr>
              <w:pStyle w:val="Tabletext"/>
            </w:pPr>
            <w:r w:rsidRPr="00BC0ACB">
              <w:t>Review of structure, process and practice</w:t>
            </w:r>
            <w:r w:rsidR="00CE2230" w:rsidRPr="00BC0ACB">
              <w:t xml:space="preserve"> (Investment Lifecycle and High</w:t>
            </w:r>
            <w:r w:rsidR="00CE2230" w:rsidRPr="00BC0ACB">
              <w:noBreakHyphen/>
              <w:t>Value High</w:t>
            </w:r>
            <w:r w:rsidR="00CE2230" w:rsidRPr="00BC0ACB">
              <w:noBreakHyphen/>
            </w:r>
            <w:r w:rsidRPr="00BC0ACB">
              <w:t>Risk Guidelines)</w:t>
            </w:r>
          </w:p>
        </w:tc>
        <w:tc>
          <w:tcPr>
            <w:tcW w:w="1332" w:type="dxa"/>
            <w:noWrap/>
            <w:hideMark/>
          </w:tcPr>
          <w:p w:rsidR="00826ADD" w:rsidRPr="00BC0ACB" w:rsidRDefault="00826ADD" w:rsidP="00536724">
            <w:pPr>
              <w:pStyle w:val="Tabletextright"/>
            </w:pPr>
            <w:r w:rsidRPr="00BC0ACB">
              <w:t xml:space="preserve"> 62</w:t>
            </w:r>
            <w:r w:rsidR="00AC6DA5" w:rsidRPr="00BC0ACB">
              <w:t xml:space="preserve"> </w:t>
            </w:r>
            <w:r w:rsidRPr="00BC0ACB">
              <w:t xml:space="preserve">250 </w:t>
            </w:r>
          </w:p>
        </w:tc>
        <w:tc>
          <w:tcPr>
            <w:tcW w:w="1274" w:type="dxa"/>
            <w:noWrap/>
            <w:hideMark/>
          </w:tcPr>
          <w:p w:rsidR="00826ADD" w:rsidRPr="00BC0ACB" w:rsidRDefault="00826ADD" w:rsidP="00536724">
            <w:pPr>
              <w:pStyle w:val="Tabletextright"/>
            </w:pPr>
            <w:r w:rsidRPr="00BC0ACB">
              <w:t xml:space="preserve"> 62</w:t>
            </w:r>
            <w:r w:rsidR="00AC6DA5" w:rsidRPr="00BC0ACB">
              <w:t xml:space="preserve"> </w:t>
            </w:r>
            <w:r w:rsidRPr="00BC0ACB">
              <w:t xml:space="preserve">250 </w:t>
            </w:r>
          </w:p>
        </w:tc>
        <w:tc>
          <w:tcPr>
            <w:tcW w:w="1274" w:type="dxa"/>
            <w:noWrap/>
            <w:hideMark/>
          </w:tcPr>
          <w:p w:rsidR="00826ADD" w:rsidRPr="00BC0ACB" w:rsidRDefault="00826ADD" w:rsidP="00536724">
            <w:pPr>
              <w:pStyle w:val="Tabletextright"/>
            </w:pPr>
            <w:r w:rsidRPr="00BC0ACB">
              <w:t xml:space="preserve"> </w:t>
            </w:r>
            <w:r w:rsidR="00536724" w:rsidRPr="00BC0ACB">
              <w:rPr>
                <w:rFonts w:eastAsia="Times New Roman"/>
              </w:rPr>
              <w:t>–</w:t>
            </w:r>
            <w:r w:rsidRPr="00BC0ACB">
              <w:t xml:space="preserve"> </w:t>
            </w:r>
          </w:p>
        </w:tc>
      </w:tr>
      <w:tr w:rsidR="00826ADD" w:rsidRPr="00BC0ACB" w:rsidTr="008438C2">
        <w:tc>
          <w:tcPr>
            <w:tcW w:w="2396" w:type="dxa"/>
            <w:hideMark/>
          </w:tcPr>
          <w:p w:rsidR="00826ADD" w:rsidRPr="00BC0ACB" w:rsidRDefault="00826ADD" w:rsidP="00536724">
            <w:pPr>
              <w:pStyle w:val="Tabletext"/>
            </w:pPr>
            <w:r w:rsidRPr="00BC0ACB">
              <w:t>Acton Advisory</w:t>
            </w:r>
          </w:p>
        </w:tc>
        <w:tc>
          <w:tcPr>
            <w:tcW w:w="3011" w:type="dxa"/>
            <w:hideMark/>
          </w:tcPr>
          <w:p w:rsidR="00826ADD" w:rsidRPr="00BC0ACB" w:rsidRDefault="00826ADD" w:rsidP="00536724">
            <w:pPr>
              <w:pStyle w:val="Tabletext"/>
            </w:pPr>
            <w:r w:rsidRPr="00BC0ACB">
              <w:t>Commercial and transaction advice (West Gate Tunnel Project)</w:t>
            </w:r>
          </w:p>
        </w:tc>
        <w:tc>
          <w:tcPr>
            <w:tcW w:w="1332" w:type="dxa"/>
            <w:noWrap/>
            <w:hideMark/>
          </w:tcPr>
          <w:p w:rsidR="00826ADD" w:rsidRPr="00BC0ACB" w:rsidRDefault="00826ADD" w:rsidP="00536724">
            <w:pPr>
              <w:pStyle w:val="Tabletextright"/>
            </w:pPr>
            <w:r w:rsidRPr="00BC0ACB">
              <w:t xml:space="preserve"> 320</w:t>
            </w:r>
            <w:r w:rsidR="00AC6DA5" w:rsidRPr="00BC0ACB">
              <w:t xml:space="preserve"> </w:t>
            </w:r>
            <w:r w:rsidRPr="00BC0ACB">
              <w:t xml:space="preserve">000 </w:t>
            </w:r>
          </w:p>
        </w:tc>
        <w:tc>
          <w:tcPr>
            <w:tcW w:w="1274" w:type="dxa"/>
            <w:noWrap/>
            <w:hideMark/>
          </w:tcPr>
          <w:p w:rsidR="00826ADD" w:rsidRPr="00BC0ACB" w:rsidRDefault="00826ADD" w:rsidP="00536724">
            <w:pPr>
              <w:pStyle w:val="Tabletextright"/>
            </w:pPr>
            <w:r w:rsidRPr="00BC0ACB">
              <w:t xml:space="preserve"> 151</w:t>
            </w:r>
            <w:r w:rsidR="00AC6DA5" w:rsidRPr="00BC0ACB">
              <w:t xml:space="preserve"> </w:t>
            </w:r>
            <w:r w:rsidRPr="00BC0ACB">
              <w:t xml:space="preserve">217 </w:t>
            </w:r>
          </w:p>
        </w:tc>
        <w:tc>
          <w:tcPr>
            <w:tcW w:w="1274" w:type="dxa"/>
            <w:noWrap/>
            <w:hideMark/>
          </w:tcPr>
          <w:p w:rsidR="00826ADD" w:rsidRPr="00BC0ACB" w:rsidRDefault="00826ADD" w:rsidP="00536724">
            <w:pPr>
              <w:pStyle w:val="Tabletextright"/>
            </w:pPr>
            <w:r w:rsidRPr="00BC0ACB">
              <w:t xml:space="preserve"> 166</w:t>
            </w:r>
            <w:r w:rsidR="00AC6DA5" w:rsidRPr="00BC0ACB">
              <w:t xml:space="preserve"> </w:t>
            </w:r>
            <w:r w:rsidRPr="00BC0ACB">
              <w:t xml:space="preserve">965 </w:t>
            </w:r>
          </w:p>
        </w:tc>
      </w:tr>
      <w:tr w:rsidR="00826ADD" w:rsidRPr="00BC0ACB" w:rsidTr="008438C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396" w:type="dxa"/>
            <w:hideMark/>
          </w:tcPr>
          <w:p w:rsidR="00826ADD" w:rsidRPr="00BC0ACB" w:rsidRDefault="00826ADD" w:rsidP="00536724">
            <w:pPr>
              <w:pStyle w:val="Tabletext"/>
            </w:pPr>
            <w:r w:rsidRPr="00BC0ACB">
              <w:t>Acton Advisory</w:t>
            </w:r>
          </w:p>
        </w:tc>
        <w:tc>
          <w:tcPr>
            <w:tcW w:w="3011" w:type="dxa"/>
            <w:hideMark/>
          </w:tcPr>
          <w:p w:rsidR="00826ADD" w:rsidRPr="00BC0ACB" w:rsidRDefault="00826ADD" w:rsidP="00536724">
            <w:pPr>
              <w:pStyle w:val="Tabletext"/>
            </w:pPr>
            <w:r w:rsidRPr="00BC0ACB">
              <w:t>Commercial and transaction advice (North East Link Project)</w:t>
            </w:r>
          </w:p>
        </w:tc>
        <w:tc>
          <w:tcPr>
            <w:tcW w:w="1332" w:type="dxa"/>
            <w:noWrap/>
            <w:hideMark/>
          </w:tcPr>
          <w:p w:rsidR="00826ADD" w:rsidRPr="00BC0ACB" w:rsidRDefault="00826ADD" w:rsidP="00536724">
            <w:pPr>
              <w:pStyle w:val="Tabletextright"/>
            </w:pPr>
            <w:r w:rsidRPr="00BC0ACB">
              <w:t xml:space="preserve"> 71</w:t>
            </w:r>
            <w:r w:rsidR="00AC6DA5" w:rsidRPr="00BC0ACB">
              <w:t xml:space="preserve"> </w:t>
            </w:r>
            <w:r w:rsidRPr="00BC0ACB">
              <w:t xml:space="preserve">000 </w:t>
            </w:r>
          </w:p>
        </w:tc>
        <w:tc>
          <w:tcPr>
            <w:tcW w:w="1274" w:type="dxa"/>
            <w:noWrap/>
            <w:hideMark/>
          </w:tcPr>
          <w:p w:rsidR="00826ADD" w:rsidRPr="00BC0ACB" w:rsidRDefault="00826ADD" w:rsidP="00536724">
            <w:pPr>
              <w:pStyle w:val="Tabletextright"/>
            </w:pPr>
            <w:r w:rsidRPr="00BC0ACB">
              <w:t xml:space="preserve"> 32</w:t>
            </w:r>
            <w:r w:rsidR="00AC6DA5" w:rsidRPr="00BC0ACB">
              <w:t xml:space="preserve"> </w:t>
            </w:r>
            <w:r w:rsidRPr="00BC0ACB">
              <w:t xml:space="preserve">800 </w:t>
            </w:r>
          </w:p>
        </w:tc>
        <w:tc>
          <w:tcPr>
            <w:tcW w:w="1274" w:type="dxa"/>
            <w:noWrap/>
            <w:hideMark/>
          </w:tcPr>
          <w:p w:rsidR="00826ADD" w:rsidRPr="00BC0ACB" w:rsidRDefault="00826ADD" w:rsidP="00536724">
            <w:pPr>
              <w:pStyle w:val="Tabletextright"/>
            </w:pPr>
            <w:r w:rsidRPr="00BC0ACB">
              <w:t xml:space="preserve"> 38</w:t>
            </w:r>
            <w:r w:rsidR="00AC6DA5" w:rsidRPr="00BC0ACB">
              <w:t xml:space="preserve"> </w:t>
            </w:r>
            <w:r w:rsidRPr="00BC0ACB">
              <w:t xml:space="preserve">200 </w:t>
            </w:r>
          </w:p>
        </w:tc>
      </w:tr>
      <w:tr w:rsidR="00826ADD" w:rsidRPr="00BC0ACB" w:rsidTr="008438C2">
        <w:tc>
          <w:tcPr>
            <w:tcW w:w="2396" w:type="dxa"/>
            <w:hideMark/>
          </w:tcPr>
          <w:p w:rsidR="00826ADD" w:rsidRPr="00BC0ACB" w:rsidRDefault="00826ADD" w:rsidP="00536724">
            <w:pPr>
              <w:pStyle w:val="Tabletext"/>
            </w:pPr>
            <w:r w:rsidRPr="00BC0ACB">
              <w:t>Aither Pty Ltd</w:t>
            </w:r>
          </w:p>
        </w:tc>
        <w:tc>
          <w:tcPr>
            <w:tcW w:w="3011" w:type="dxa"/>
            <w:hideMark/>
          </w:tcPr>
          <w:p w:rsidR="00826ADD" w:rsidRPr="00BC0ACB" w:rsidRDefault="00826ADD" w:rsidP="00536724">
            <w:pPr>
              <w:pStyle w:val="Tabletext"/>
            </w:pPr>
            <w:r w:rsidRPr="00BC0ACB">
              <w:t>General professional services (Assessment of proposed Disaster Recovery Funding Arrangements)</w:t>
            </w:r>
          </w:p>
        </w:tc>
        <w:tc>
          <w:tcPr>
            <w:tcW w:w="1332" w:type="dxa"/>
            <w:noWrap/>
            <w:hideMark/>
          </w:tcPr>
          <w:p w:rsidR="00826ADD" w:rsidRPr="00BC0ACB" w:rsidRDefault="00826ADD" w:rsidP="00536724">
            <w:pPr>
              <w:pStyle w:val="Tabletextright"/>
            </w:pPr>
            <w:r w:rsidRPr="00BC0ACB">
              <w:t xml:space="preserve"> 331</w:t>
            </w:r>
            <w:r w:rsidR="00AC6DA5" w:rsidRPr="00BC0ACB">
              <w:t xml:space="preserve"> </w:t>
            </w:r>
            <w:r w:rsidRPr="00BC0ACB">
              <w:t xml:space="preserve">818 </w:t>
            </w:r>
          </w:p>
        </w:tc>
        <w:tc>
          <w:tcPr>
            <w:tcW w:w="1274" w:type="dxa"/>
            <w:noWrap/>
            <w:hideMark/>
          </w:tcPr>
          <w:p w:rsidR="00826ADD" w:rsidRPr="00BC0ACB" w:rsidRDefault="00826ADD" w:rsidP="00536724">
            <w:pPr>
              <w:pStyle w:val="Tabletextright"/>
            </w:pPr>
            <w:r w:rsidRPr="00BC0ACB">
              <w:t xml:space="preserve"> 197</w:t>
            </w:r>
            <w:r w:rsidR="00AC6DA5" w:rsidRPr="00BC0ACB">
              <w:t xml:space="preserve"> </w:t>
            </w:r>
            <w:r w:rsidRPr="00BC0ACB">
              <w:t xml:space="preserve">309 </w:t>
            </w:r>
          </w:p>
        </w:tc>
        <w:tc>
          <w:tcPr>
            <w:tcW w:w="1274" w:type="dxa"/>
            <w:noWrap/>
            <w:hideMark/>
          </w:tcPr>
          <w:p w:rsidR="00826ADD" w:rsidRPr="00BC0ACB" w:rsidRDefault="00826ADD" w:rsidP="00536724">
            <w:pPr>
              <w:pStyle w:val="Tabletextright"/>
            </w:pPr>
            <w:r w:rsidRPr="00BC0ACB">
              <w:t xml:space="preserve"> </w:t>
            </w:r>
            <w:r w:rsidR="00536724" w:rsidRPr="00BC0ACB">
              <w:rPr>
                <w:rFonts w:eastAsia="Times New Roman"/>
              </w:rPr>
              <w:t>–</w:t>
            </w:r>
            <w:r w:rsidRPr="00BC0ACB">
              <w:t xml:space="preserve"> </w:t>
            </w:r>
          </w:p>
        </w:tc>
      </w:tr>
      <w:tr w:rsidR="00826ADD" w:rsidRPr="00BC0ACB" w:rsidTr="008438C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396" w:type="dxa"/>
            <w:hideMark/>
          </w:tcPr>
          <w:p w:rsidR="00826ADD" w:rsidRPr="00BC0ACB" w:rsidRDefault="00826ADD" w:rsidP="00536724">
            <w:pPr>
              <w:pStyle w:val="Tabletext"/>
            </w:pPr>
            <w:r w:rsidRPr="00BC0ACB">
              <w:t>Arnold Bloch Leibler</w:t>
            </w:r>
          </w:p>
        </w:tc>
        <w:tc>
          <w:tcPr>
            <w:tcW w:w="3011" w:type="dxa"/>
            <w:hideMark/>
          </w:tcPr>
          <w:p w:rsidR="00826ADD" w:rsidRPr="00BC0ACB" w:rsidRDefault="00826ADD" w:rsidP="00536724">
            <w:pPr>
              <w:pStyle w:val="Tabletext"/>
            </w:pPr>
            <w:r w:rsidRPr="00BC0ACB">
              <w:t>Commercial and transaction advice (West Gate Tunnel Project)</w:t>
            </w:r>
          </w:p>
        </w:tc>
        <w:tc>
          <w:tcPr>
            <w:tcW w:w="1332" w:type="dxa"/>
            <w:noWrap/>
            <w:hideMark/>
          </w:tcPr>
          <w:p w:rsidR="00826ADD" w:rsidRPr="00BC0ACB" w:rsidRDefault="00826ADD" w:rsidP="00536724">
            <w:pPr>
              <w:pStyle w:val="Tabletextright"/>
            </w:pPr>
            <w:r w:rsidRPr="00BC0ACB">
              <w:t xml:space="preserve"> 85</w:t>
            </w:r>
            <w:r w:rsidR="00AC6DA5" w:rsidRPr="00BC0ACB">
              <w:t xml:space="preserve"> </w:t>
            </w:r>
            <w:r w:rsidRPr="00BC0ACB">
              <w:t xml:space="preserve">000 </w:t>
            </w:r>
          </w:p>
        </w:tc>
        <w:tc>
          <w:tcPr>
            <w:tcW w:w="1274" w:type="dxa"/>
            <w:noWrap/>
            <w:hideMark/>
          </w:tcPr>
          <w:p w:rsidR="00826ADD" w:rsidRPr="00BC0ACB" w:rsidRDefault="00826ADD" w:rsidP="00536724">
            <w:pPr>
              <w:pStyle w:val="Tabletextright"/>
            </w:pPr>
            <w:r w:rsidRPr="00BC0ACB">
              <w:t xml:space="preserve"> 79</w:t>
            </w:r>
            <w:r w:rsidR="00AC6DA5" w:rsidRPr="00BC0ACB">
              <w:t xml:space="preserve"> </w:t>
            </w:r>
            <w:r w:rsidRPr="00BC0ACB">
              <w:t xml:space="preserve">361 </w:t>
            </w:r>
          </w:p>
        </w:tc>
        <w:tc>
          <w:tcPr>
            <w:tcW w:w="1274" w:type="dxa"/>
            <w:noWrap/>
            <w:hideMark/>
          </w:tcPr>
          <w:p w:rsidR="00826ADD" w:rsidRPr="00BC0ACB" w:rsidRDefault="00826ADD" w:rsidP="00536724">
            <w:pPr>
              <w:pStyle w:val="Tabletextright"/>
            </w:pPr>
            <w:r w:rsidRPr="00BC0ACB">
              <w:t xml:space="preserve"> </w:t>
            </w:r>
            <w:r w:rsidR="00536724" w:rsidRPr="00BC0ACB">
              <w:rPr>
                <w:rFonts w:eastAsia="Times New Roman"/>
              </w:rPr>
              <w:t>–</w:t>
            </w:r>
            <w:r w:rsidRPr="00BC0ACB">
              <w:t xml:space="preserve"> </w:t>
            </w:r>
          </w:p>
        </w:tc>
      </w:tr>
      <w:tr w:rsidR="00826ADD" w:rsidRPr="00BC0ACB" w:rsidTr="008438C2">
        <w:tc>
          <w:tcPr>
            <w:tcW w:w="2396" w:type="dxa"/>
            <w:hideMark/>
          </w:tcPr>
          <w:p w:rsidR="00826ADD" w:rsidRPr="00BC0ACB" w:rsidRDefault="00826ADD" w:rsidP="00536724">
            <w:pPr>
              <w:pStyle w:val="Tabletext"/>
            </w:pPr>
            <w:r w:rsidRPr="00BC0ACB">
              <w:t>Arnold Bloch Leibler</w:t>
            </w:r>
          </w:p>
        </w:tc>
        <w:tc>
          <w:tcPr>
            <w:tcW w:w="3011" w:type="dxa"/>
            <w:hideMark/>
          </w:tcPr>
          <w:p w:rsidR="00826ADD" w:rsidRPr="00BC0ACB" w:rsidRDefault="00826ADD" w:rsidP="00536724">
            <w:pPr>
              <w:pStyle w:val="Tabletext"/>
            </w:pPr>
            <w:r w:rsidRPr="00BC0ACB">
              <w:t>Commercial advice</w:t>
            </w:r>
            <w:r w:rsidR="00E9038C" w:rsidRPr="00BC0ACB">
              <w:t xml:space="preserve"> – </w:t>
            </w:r>
            <w:r w:rsidRPr="00BC0ACB">
              <w:t>legal (</w:t>
            </w:r>
            <w:r w:rsidR="00E9038C" w:rsidRPr="00BC0ACB">
              <w:t>Commercialisation of land titles and registry functions of Land Use Victoria</w:t>
            </w:r>
            <w:r w:rsidRPr="00BC0ACB">
              <w:t>)</w:t>
            </w:r>
          </w:p>
        </w:tc>
        <w:tc>
          <w:tcPr>
            <w:tcW w:w="1332" w:type="dxa"/>
            <w:noWrap/>
            <w:hideMark/>
          </w:tcPr>
          <w:p w:rsidR="00826ADD" w:rsidRPr="00BC0ACB" w:rsidRDefault="00826ADD" w:rsidP="00536724">
            <w:pPr>
              <w:pStyle w:val="Tabletextright"/>
            </w:pPr>
            <w:r w:rsidRPr="00BC0ACB">
              <w:t xml:space="preserve"> 205</w:t>
            </w:r>
            <w:r w:rsidR="00AC6DA5" w:rsidRPr="00BC0ACB">
              <w:t xml:space="preserve"> </w:t>
            </w:r>
            <w:r w:rsidRPr="00BC0ACB">
              <w:t xml:space="preserve">879 </w:t>
            </w:r>
          </w:p>
        </w:tc>
        <w:tc>
          <w:tcPr>
            <w:tcW w:w="1274" w:type="dxa"/>
            <w:noWrap/>
            <w:hideMark/>
          </w:tcPr>
          <w:p w:rsidR="00826ADD" w:rsidRPr="00BC0ACB" w:rsidRDefault="00826ADD" w:rsidP="00536724">
            <w:pPr>
              <w:pStyle w:val="Tabletextright"/>
            </w:pPr>
            <w:r w:rsidRPr="00BC0ACB">
              <w:t xml:space="preserve"> 205</w:t>
            </w:r>
            <w:r w:rsidR="00AC6DA5" w:rsidRPr="00BC0ACB">
              <w:t xml:space="preserve"> </w:t>
            </w:r>
            <w:r w:rsidRPr="00BC0ACB">
              <w:t xml:space="preserve">879 </w:t>
            </w:r>
          </w:p>
        </w:tc>
        <w:tc>
          <w:tcPr>
            <w:tcW w:w="1274" w:type="dxa"/>
            <w:noWrap/>
            <w:hideMark/>
          </w:tcPr>
          <w:p w:rsidR="00826ADD" w:rsidRPr="00BC0ACB" w:rsidRDefault="00826ADD" w:rsidP="00536724">
            <w:pPr>
              <w:pStyle w:val="Tabletextright"/>
            </w:pPr>
            <w:r w:rsidRPr="00BC0ACB">
              <w:t xml:space="preserve"> </w:t>
            </w:r>
            <w:r w:rsidR="00536724" w:rsidRPr="00BC0ACB">
              <w:rPr>
                <w:rFonts w:eastAsia="Times New Roman"/>
              </w:rPr>
              <w:t>–</w:t>
            </w:r>
            <w:r w:rsidRPr="00BC0ACB">
              <w:t xml:space="preserve"> </w:t>
            </w:r>
          </w:p>
        </w:tc>
      </w:tr>
      <w:tr w:rsidR="00826ADD" w:rsidRPr="00BC0ACB" w:rsidTr="008438C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396" w:type="dxa"/>
            <w:hideMark/>
          </w:tcPr>
          <w:p w:rsidR="00826ADD" w:rsidRPr="00BC0ACB" w:rsidRDefault="00826ADD" w:rsidP="00536724">
            <w:pPr>
              <w:pStyle w:val="Tabletext"/>
            </w:pPr>
            <w:r w:rsidRPr="00BC0ACB">
              <w:t>ARRB Group Ltd</w:t>
            </w:r>
          </w:p>
        </w:tc>
        <w:tc>
          <w:tcPr>
            <w:tcW w:w="3011" w:type="dxa"/>
            <w:hideMark/>
          </w:tcPr>
          <w:p w:rsidR="00826ADD" w:rsidRPr="00BC0ACB" w:rsidRDefault="00826ADD" w:rsidP="00536724">
            <w:pPr>
              <w:pStyle w:val="Tabletext"/>
            </w:pPr>
            <w:r w:rsidRPr="00BC0ACB">
              <w:t>General professional services (Independent review of heavy vehicle cost base allocators)</w:t>
            </w:r>
          </w:p>
        </w:tc>
        <w:tc>
          <w:tcPr>
            <w:tcW w:w="1332" w:type="dxa"/>
            <w:noWrap/>
            <w:hideMark/>
          </w:tcPr>
          <w:p w:rsidR="00826ADD" w:rsidRPr="00BC0ACB" w:rsidRDefault="00826ADD" w:rsidP="00536724">
            <w:pPr>
              <w:pStyle w:val="Tabletextright"/>
            </w:pPr>
            <w:r w:rsidRPr="00BC0ACB">
              <w:t xml:space="preserve"> 151</w:t>
            </w:r>
            <w:r w:rsidR="00AC6DA5" w:rsidRPr="00BC0ACB">
              <w:t xml:space="preserve"> </w:t>
            </w:r>
            <w:r w:rsidRPr="00BC0ACB">
              <w:t xml:space="preserve">700 </w:t>
            </w:r>
          </w:p>
        </w:tc>
        <w:tc>
          <w:tcPr>
            <w:tcW w:w="1274" w:type="dxa"/>
            <w:noWrap/>
            <w:hideMark/>
          </w:tcPr>
          <w:p w:rsidR="00826ADD" w:rsidRPr="00BC0ACB" w:rsidRDefault="00826ADD" w:rsidP="00536724">
            <w:pPr>
              <w:pStyle w:val="Tabletextright"/>
            </w:pPr>
            <w:r w:rsidRPr="00BC0ACB">
              <w:t xml:space="preserve"> 100</w:t>
            </w:r>
            <w:r w:rsidR="00AC6DA5" w:rsidRPr="00BC0ACB">
              <w:t xml:space="preserve"> </w:t>
            </w:r>
            <w:r w:rsidRPr="00BC0ACB">
              <w:t xml:space="preserve">200 </w:t>
            </w:r>
          </w:p>
        </w:tc>
        <w:tc>
          <w:tcPr>
            <w:tcW w:w="1274" w:type="dxa"/>
            <w:noWrap/>
            <w:hideMark/>
          </w:tcPr>
          <w:p w:rsidR="00826ADD" w:rsidRPr="00BC0ACB" w:rsidRDefault="00826ADD" w:rsidP="00536724">
            <w:pPr>
              <w:pStyle w:val="Tabletextright"/>
            </w:pPr>
            <w:r w:rsidRPr="00BC0ACB">
              <w:t xml:space="preserve"> </w:t>
            </w:r>
            <w:r w:rsidR="00536724" w:rsidRPr="00BC0ACB">
              <w:rPr>
                <w:rFonts w:eastAsia="Times New Roman"/>
              </w:rPr>
              <w:t>–</w:t>
            </w:r>
            <w:r w:rsidRPr="00BC0ACB">
              <w:t xml:space="preserve"> </w:t>
            </w:r>
          </w:p>
        </w:tc>
      </w:tr>
      <w:tr w:rsidR="00826ADD" w:rsidRPr="00BC0ACB" w:rsidTr="008438C2">
        <w:tc>
          <w:tcPr>
            <w:tcW w:w="2396" w:type="dxa"/>
            <w:hideMark/>
          </w:tcPr>
          <w:p w:rsidR="00826ADD" w:rsidRPr="00BC0ACB" w:rsidRDefault="00826ADD" w:rsidP="00536724">
            <w:pPr>
              <w:pStyle w:val="Tabletext"/>
            </w:pPr>
            <w:r w:rsidRPr="00BC0ACB">
              <w:t>Ashurst Australia Pty Ltd</w:t>
            </w:r>
          </w:p>
        </w:tc>
        <w:tc>
          <w:tcPr>
            <w:tcW w:w="3011" w:type="dxa"/>
            <w:hideMark/>
          </w:tcPr>
          <w:p w:rsidR="00826ADD" w:rsidRPr="00BC0ACB" w:rsidRDefault="00826ADD" w:rsidP="00536724">
            <w:pPr>
              <w:pStyle w:val="Tabletext"/>
            </w:pPr>
            <w:r w:rsidRPr="00BC0ACB">
              <w:t>Commercial and transaction advice (Snowy Hydro Project)</w:t>
            </w:r>
          </w:p>
        </w:tc>
        <w:tc>
          <w:tcPr>
            <w:tcW w:w="1332" w:type="dxa"/>
            <w:noWrap/>
            <w:hideMark/>
          </w:tcPr>
          <w:p w:rsidR="00826ADD" w:rsidRPr="00BC0ACB" w:rsidRDefault="00826ADD" w:rsidP="00536724">
            <w:pPr>
              <w:pStyle w:val="Tabletextright"/>
            </w:pPr>
            <w:r w:rsidRPr="00BC0ACB">
              <w:t xml:space="preserve"> 950</w:t>
            </w:r>
            <w:r w:rsidR="00AC6DA5" w:rsidRPr="00BC0ACB">
              <w:t xml:space="preserve"> </w:t>
            </w:r>
            <w:r w:rsidRPr="00BC0ACB">
              <w:t xml:space="preserve">000 </w:t>
            </w:r>
          </w:p>
        </w:tc>
        <w:tc>
          <w:tcPr>
            <w:tcW w:w="1274" w:type="dxa"/>
            <w:noWrap/>
            <w:hideMark/>
          </w:tcPr>
          <w:p w:rsidR="00826ADD" w:rsidRPr="00BC0ACB" w:rsidRDefault="00826ADD" w:rsidP="00536724">
            <w:pPr>
              <w:pStyle w:val="Tabletextright"/>
            </w:pPr>
            <w:r w:rsidRPr="00BC0ACB">
              <w:t xml:space="preserve"> 494</w:t>
            </w:r>
            <w:r w:rsidR="00AC6DA5" w:rsidRPr="00BC0ACB">
              <w:t xml:space="preserve"> </w:t>
            </w:r>
            <w:r w:rsidRPr="00BC0ACB">
              <w:t xml:space="preserve">563 </w:t>
            </w:r>
          </w:p>
        </w:tc>
        <w:tc>
          <w:tcPr>
            <w:tcW w:w="1274" w:type="dxa"/>
            <w:noWrap/>
            <w:hideMark/>
          </w:tcPr>
          <w:p w:rsidR="00826ADD" w:rsidRPr="00BC0ACB" w:rsidRDefault="00300ECD" w:rsidP="00BC0ACB">
            <w:pPr>
              <w:pStyle w:val="Tabletextright"/>
              <w:rPr>
                <w:strike/>
              </w:rPr>
            </w:pPr>
            <w:r w:rsidRPr="00BC0ACB">
              <w:t>5 156</w:t>
            </w:r>
          </w:p>
        </w:tc>
      </w:tr>
      <w:tr w:rsidR="00826ADD" w:rsidRPr="00BC0ACB" w:rsidTr="008438C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396" w:type="dxa"/>
            <w:hideMark/>
          </w:tcPr>
          <w:p w:rsidR="00826ADD" w:rsidRPr="00BC0ACB" w:rsidRDefault="00E9038C" w:rsidP="00536724">
            <w:pPr>
              <w:pStyle w:val="Tabletext"/>
            </w:pPr>
            <w:r w:rsidRPr="00BC0ACB">
              <w:t xml:space="preserve">BIS </w:t>
            </w:r>
            <w:r w:rsidR="00826ADD" w:rsidRPr="00BC0ACB">
              <w:t>Oxford Economics</w:t>
            </w:r>
          </w:p>
        </w:tc>
        <w:tc>
          <w:tcPr>
            <w:tcW w:w="3011" w:type="dxa"/>
            <w:hideMark/>
          </w:tcPr>
          <w:p w:rsidR="00826ADD" w:rsidRPr="00BC0ACB" w:rsidRDefault="00826ADD" w:rsidP="00536724">
            <w:pPr>
              <w:pStyle w:val="Tabletext"/>
            </w:pPr>
            <w:r w:rsidRPr="00BC0ACB">
              <w:t>Commercial and transaction advice (</w:t>
            </w:r>
            <w:r w:rsidR="00E9038C" w:rsidRPr="00BC0ACB">
              <w:t>Commercialisation of land titles and registry functions of Land Use Victoria</w:t>
            </w:r>
            <w:r w:rsidRPr="00BC0ACB">
              <w:t>)</w:t>
            </w:r>
          </w:p>
        </w:tc>
        <w:tc>
          <w:tcPr>
            <w:tcW w:w="1332" w:type="dxa"/>
            <w:noWrap/>
            <w:hideMark/>
          </w:tcPr>
          <w:p w:rsidR="00826ADD" w:rsidRPr="00BC0ACB" w:rsidRDefault="00300ECD" w:rsidP="00536724">
            <w:pPr>
              <w:pStyle w:val="Tabletextright"/>
            </w:pPr>
            <w:r w:rsidRPr="00BC0ACB">
              <w:t>722 159</w:t>
            </w:r>
          </w:p>
        </w:tc>
        <w:tc>
          <w:tcPr>
            <w:tcW w:w="1274" w:type="dxa"/>
            <w:noWrap/>
            <w:hideMark/>
          </w:tcPr>
          <w:p w:rsidR="00826ADD" w:rsidRPr="00BC0ACB" w:rsidRDefault="00826ADD" w:rsidP="00536724">
            <w:pPr>
              <w:pStyle w:val="Tabletextright"/>
            </w:pPr>
            <w:r w:rsidRPr="00BC0ACB">
              <w:t xml:space="preserve"> 507</w:t>
            </w:r>
            <w:r w:rsidR="00AC6DA5" w:rsidRPr="00BC0ACB">
              <w:t xml:space="preserve"> </w:t>
            </w:r>
            <w:r w:rsidRPr="00BC0ACB">
              <w:t xml:space="preserve">111 </w:t>
            </w:r>
          </w:p>
        </w:tc>
        <w:tc>
          <w:tcPr>
            <w:tcW w:w="1274" w:type="dxa"/>
            <w:noWrap/>
            <w:hideMark/>
          </w:tcPr>
          <w:p w:rsidR="00826ADD" w:rsidRPr="00BC0ACB" w:rsidRDefault="00300ECD" w:rsidP="00BC0ACB">
            <w:pPr>
              <w:pStyle w:val="Tabletextright"/>
              <w:rPr>
                <w:strike/>
              </w:rPr>
            </w:pPr>
            <w:r w:rsidRPr="00BC0ACB">
              <w:t>215 048</w:t>
            </w:r>
          </w:p>
        </w:tc>
      </w:tr>
      <w:tr w:rsidR="00826ADD" w:rsidRPr="00BC0ACB" w:rsidTr="008438C2">
        <w:tc>
          <w:tcPr>
            <w:tcW w:w="2396" w:type="dxa"/>
            <w:hideMark/>
          </w:tcPr>
          <w:p w:rsidR="00826ADD" w:rsidRPr="00BC0ACB" w:rsidRDefault="00826ADD" w:rsidP="00536724">
            <w:pPr>
              <w:pStyle w:val="Tabletext"/>
            </w:pPr>
            <w:r w:rsidRPr="00BC0ACB">
              <w:t>Charter Keck Cramer</w:t>
            </w:r>
          </w:p>
        </w:tc>
        <w:tc>
          <w:tcPr>
            <w:tcW w:w="3011" w:type="dxa"/>
            <w:hideMark/>
          </w:tcPr>
          <w:p w:rsidR="00826ADD" w:rsidRPr="00BC0ACB" w:rsidRDefault="00826ADD" w:rsidP="00536724">
            <w:pPr>
              <w:pStyle w:val="Tabletext"/>
            </w:pPr>
            <w:r w:rsidRPr="00BC0ACB">
              <w:t xml:space="preserve">Commercial and transaction advice (Review of </w:t>
            </w:r>
            <w:r w:rsidR="00E9038C" w:rsidRPr="00BC0ACB">
              <w:t>outer budget entity landholdings</w:t>
            </w:r>
            <w:r w:rsidRPr="00BC0ACB">
              <w:t>)</w:t>
            </w:r>
          </w:p>
        </w:tc>
        <w:tc>
          <w:tcPr>
            <w:tcW w:w="1332" w:type="dxa"/>
            <w:noWrap/>
            <w:hideMark/>
          </w:tcPr>
          <w:p w:rsidR="00826ADD" w:rsidRPr="00BC0ACB" w:rsidRDefault="00826ADD" w:rsidP="00536724">
            <w:pPr>
              <w:pStyle w:val="Tabletextright"/>
            </w:pPr>
            <w:r w:rsidRPr="00BC0ACB">
              <w:t xml:space="preserve"> 220</w:t>
            </w:r>
            <w:r w:rsidR="00AC6DA5" w:rsidRPr="00BC0ACB">
              <w:t xml:space="preserve"> </w:t>
            </w:r>
            <w:r w:rsidRPr="00BC0ACB">
              <w:t xml:space="preserve">000 </w:t>
            </w:r>
          </w:p>
        </w:tc>
        <w:tc>
          <w:tcPr>
            <w:tcW w:w="1274" w:type="dxa"/>
            <w:noWrap/>
            <w:hideMark/>
          </w:tcPr>
          <w:p w:rsidR="00826ADD" w:rsidRPr="00BC0ACB" w:rsidRDefault="00826ADD" w:rsidP="00536724">
            <w:pPr>
              <w:pStyle w:val="Tabletextright"/>
            </w:pPr>
            <w:r w:rsidRPr="00BC0ACB">
              <w:t xml:space="preserve"> 62</w:t>
            </w:r>
            <w:r w:rsidR="00AC6DA5" w:rsidRPr="00BC0ACB">
              <w:t xml:space="preserve"> </w:t>
            </w:r>
            <w:r w:rsidRPr="00BC0ACB">
              <w:t xml:space="preserve">950 </w:t>
            </w:r>
          </w:p>
        </w:tc>
        <w:tc>
          <w:tcPr>
            <w:tcW w:w="1274" w:type="dxa"/>
            <w:noWrap/>
            <w:hideMark/>
          </w:tcPr>
          <w:p w:rsidR="00826ADD" w:rsidRPr="00BC0ACB" w:rsidRDefault="00826ADD" w:rsidP="00536724">
            <w:pPr>
              <w:pStyle w:val="Tabletextright"/>
            </w:pPr>
            <w:r w:rsidRPr="00BC0ACB">
              <w:t xml:space="preserve"> </w:t>
            </w:r>
            <w:r w:rsidR="00536724" w:rsidRPr="00BC0ACB">
              <w:rPr>
                <w:rFonts w:eastAsia="Times New Roman"/>
              </w:rPr>
              <w:t>–</w:t>
            </w:r>
            <w:r w:rsidRPr="00BC0ACB">
              <w:t xml:space="preserve"> </w:t>
            </w:r>
          </w:p>
        </w:tc>
      </w:tr>
      <w:tr w:rsidR="00826ADD" w:rsidRPr="00BC0ACB" w:rsidTr="008438C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396" w:type="dxa"/>
            <w:hideMark/>
          </w:tcPr>
          <w:p w:rsidR="00826ADD" w:rsidRPr="00BC0ACB" w:rsidRDefault="00826ADD" w:rsidP="00536724">
            <w:pPr>
              <w:pStyle w:val="Tabletext"/>
            </w:pPr>
            <w:r w:rsidRPr="00BC0ACB">
              <w:t>Circa Consulting Services Pty Ltd</w:t>
            </w:r>
          </w:p>
        </w:tc>
        <w:tc>
          <w:tcPr>
            <w:tcW w:w="3011" w:type="dxa"/>
            <w:hideMark/>
          </w:tcPr>
          <w:p w:rsidR="00826ADD" w:rsidRPr="00BC0ACB" w:rsidRDefault="00826ADD" w:rsidP="00536724">
            <w:pPr>
              <w:pStyle w:val="Tabletext"/>
            </w:pPr>
            <w:r w:rsidRPr="00BC0ACB">
              <w:t>General professional services (Emergency Services Defined Benefit Scheme)</w:t>
            </w:r>
          </w:p>
        </w:tc>
        <w:tc>
          <w:tcPr>
            <w:tcW w:w="1332" w:type="dxa"/>
            <w:noWrap/>
            <w:hideMark/>
          </w:tcPr>
          <w:p w:rsidR="00826ADD" w:rsidRPr="00BC0ACB" w:rsidRDefault="00826ADD" w:rsidP="00536724">
            <w:pPr>
              <w:pStyle w:val="Tabletextright"/>
            </w:pPr>
            <w:r w:rsidRPr="00BC0ACB">
              <w:t xml:space="preserve"> 46</w:t>
            </w:r>
            <w:r w:rsidR="00AC6DA5" w:rsidRPr="00BC0ACB">
              <w:t xml:space="preserve"> </w:t>
            </w:r>
            <w:r w:rsidRPr="00BC0ACB">
              <w:t xml:space="preserve">550 </w:t>
            </w:r>
          </w:p>
        </w:tc>
        <w:tc>
          <w:tcPr>
            <w:tcW w:w="1274" w:type="dxa"/>
            <w:noWrap/>
            <w:hideMark/>
          </w:tcPr>
          <w:p w:rsidR="00826ADD" w:rsidRPr="00BC0ACB" w:rsidRDefault="00826ADD" w:rsidP="00536724">
            <w:pPr>
              <w:pStyle w:val="Tabletextright"/>
            </w:pPr>
            <w:r w:rsidRPr="00BC0ACB">
              <w:t xml:space="preserve"> 11</w:t>
            </w:r>
            <w:r w:rsidR="00AC6DA5" w:rsidRPr="00BC0ACB">
              <w:t xml:space="preserve"> </w:t>
            </w:r>
            <w:r w:rsidRPr="00BC0ACB">
              <w:t xml:space="preserve">364 </w:t>
            </w:r>
          </w:p>
        </w:tc>
        <w:tc>
          <w:tcPr>
            <w:tcW w:w="1274" w:type="dxa"/>
            <w:noWrap/>
            <w:hideMark/>
          </w:tcPr>
          <w:p w:rsidR="00826ADD" w:rsidRPr="00BC0ACB" w:rsidRDefault="00826ADD" w:rsidP="00536724">
            <w:pPr>
              <w:pStyle w:val="Tabletextright"/>
            </w:pPr>
            <w:r w:rsidRPr="00BC0ACB">
              <w:t xml:space="preserve"> </w:t>
            </w:r>
            <w:r w:rsidR="00536724" w:rsidRPr="00BC0ACB">
              <w:rPr>
                <w:rFonts w:eastAsia="Times New Roman"/>
              </w:rPr>
              <w:t>–</w:t>
            </w:r>
            <w:r w:rsidRPr="00BC0ACB">
              <w:t xml:space="preserve"> </w:t>
            </w:r>
          </w:p>
        </w:tc>
      </w:tr>
      <w:tr w:rsidR="00826ADD" w:rsidRPr="00BC0ACB" w:rsidTr="008438C2">
        <w:tc>
          <w:tcPr>
            <w:tcW w:w="2396" w:type="dxa"/>
            <w:hideMark/>
          </w:tcPr>
          <w:p w:rsidR="00826ADD" w:rsidRPr="00BC0ACB" w:rsidRDefault="00826ADD" w:rsidP="00536724">
            <w:pPr>
              <w:pStyle w:val="Tabletext"/>
            </w:pPr>
            <w:r w:rsidRPr="00BC0ACB">
              <w:t>Clayton Utz</w:t>
            </w:r>
          </w:p>
        </w:tc>
        <w:tc>
          <w:tcPr>
            <w:tcW w:w="3011" w:type="dxa"/>
            <w:hideMark/>
          </w:tcPr>
          <w:p w:rsidR="00826ADD" w:rsidRPr="00BC0ACB" w:rsidRDefault="00826ADD" w:rsidP="00536724">
            <w:pPr>
              <w:pStyle w:val="Tabletext"/>
            </w:pPr>
            <w:r w:rsidRPr="00BC0ACB">
              <w:t>Commercial and transaction advice (West Gate Tunnel Project)</w:t>
            </w:r>
          </w:p>
        </w:tc>
        <w:tc>
          <w:tcPr>
            <w:tcW w:w="1332" w:type="dxa"/>
            <w:noWrap/>
            <w:hideMark/>
          </w:tcPr>
          <w:p w:rsidR="00826ADD" w:rsidRPr="00BC0ACB" w:rsidRDefault="00826ADD" w:rsidP="00536724">
            <w:pPr>
              <w:pStyle w:val="Tabletextright"/>
            </w:pPr>
            <w:r w:rsidRPr="00BC0ACB">
              <w:t xml:space="preserve"> 23</w:t>
            </w:r>
            <w:r w:rsidR="00AC6DA5" w:rsidRPr="00BC0ACB">
              <w:t xml:space="preserve"> </w:t>
            </w:r>
            <w:r w:rsidRPr="00BC0ACB">
              <w:t>805</w:t>
            </w:r>
            <w:r w:rsidR="00AC6DA5" w:rsidRPr="00BC0ACB">
              <w:t xml:space="preserve"> </w:t>
            </w:r>
            <w:r w:rsidRPr="00BC0ACB">
              <w:t xml:space="preserve">455 </w:t>
            </w:r>
          </w:p>
        </w:tc>
        <w:tc>
          <w:tcPr>
            <w:tcW w:w="1274" w:type="dxa"/>
            <w:noWrap/>
            <w:hideMark/>
          </w:tcPr>
          <w:p w:rsidR="00826ADD" w:rsidRPr="00BC0ACB" w:rsidRDefault="00826ADD" w:rsidP="00536724">
            <w:pPr>
              <w:pStyle w:val="Tabletextright"/>
            </w:pPr>
            <w:r w:rsidRPr="00BC0ACB">
              <w:t xml:space="preserve"> 11</w:t>
            </w:r>
            <w:r w:rsidR="00AC6DA5" w:rsidRPr="00BC0ACB">
              <w:t xml:space="preserve"> </w:t>
            </w:r>
            <w:r w:rsidRPr="00BC0ACB">
              <w:t>554</w:t>
            </w:r>
            <w:r w:rsidR="00AC6DA5" w:rsidRPr="00BC0ACB">
              <w:t xml:space="preserve"> </w:t>
            </w:r>
            <w:r w:rsidRPr="00BC0ACB">
              <w:t xml:space="preserve">417 </w:t>
            </w:r>
          </w:p>
        </w:tc>
        <w:tc>
          <w:tcPr>
            <w:tcW w:w="1274" w:type="dxa"/>
            <w:noWrap/>
            <w:hideMark/>
          </w:tcPr>
          <w:p w:rsidR="00826ADD" w:rsidRPr="00BC0ACB" w:rsidRDefault="00826ADD" w:rsidP="00536724">
            <w:pPr>
              <w:pStyle w:val="Tabletextright"/>
            </w:pPr>
            <w:r w:rsidRPr="00BC0ACB">
              <w:t xml:space="preserve"> </w:t>
            </w:r>
            <w:r w:rsidR="00536724" w:rsidRPr="00BC0ACB">
              <w:rPr>
                <w:rFonts w:eastAsia="Times New Roman"/>
              </w:rPr>
              <w:t>–</w:t>
            </w:r>
            <w:r w:rsidRPr="00BC0ACB">
              <w:t xml:space="preserve"> </w:t>
            </w:r>
          </w:p>
        </w:tc>
      </w:tr>
      <w:tr w:rsidR="00826ADD" w:rsidRPr="00BC0ACB" w:rsidTr="008438C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396" w:type="dxa"/>
            <w:hideMark/>
          </w:tcPr>
          <w:p w:rsidR="00826ADD" w:rsidRPr="00BC0ACB" w:rsidRDefault="00826ADD" w:rsidP="00536724">
            <w:pPr>
              <w:pStyle w:val="Tabletext"/>
            </w:pPr>
            <w:r w:rsidRPr="00BC0ACB">
              <w:t>Clayton Utz</w:t>
            </w:r>
          </w:p>
        </w:tc>
        <w:tc>
          <w:tcPr>
            <w:tcW w:w="3011" w:type="dxa"/>
            <w:hideMark/>
          </w:tcPr>
          <w:p w:rsidR="00826ADD" w:rsidRPr="00BC0ACB" w:rsidRDefault="00826ADD" w:rsidP="00536724">
            <w:pPr>
              <w:pStyle w:val="Tabletext"/>
            </w:pPr>
            <w:r w:rsidRPr="00BC0ACB">
              <w:t>Commercial and transaction advice (Implementation of Building Financial Capacity of Housing Associations)</w:t>
            </w:r>
          </w:p>
        </w:tc>
        <w:tc>
          <w:tcPr>
            <w:tcW w:w="1332" w:type="dxa"/>
            <w:noWrap/>
            <w:hideMark/>
          </w:tcPr>
          <w:p w:rsidR="00826ADD" w:rsidRPr="00BC0ACB" w:rsidRDefault="00826ADD" w:rsidP="00536724">
            <w:pPr>
              <w:pStyle w:val="Tabletextright"/>
            </w:pPr>
            <w:r w:rsidRPr="00BC0ACB">
              <w:t xml:space="preserve"> 76</w:t>
            </w:r>
            <w:r w:rsidR="00AC6DA5" w:rsidRPr="00BC0ACB">
              <w:t xml:space="preserve"> </w:t>
            </w:r>
            <w:r w:rsidRPr="00BC0ACB">
              <w:t xml:space="preserve">500 </w:t>
            </w:r>
          </w:p>
        </w:tc>
        <w:tc>
          <w:tcPr>
            <w:tcW w:w="1274" w:type="dxa"/>
            <w:noWrap/>
            <w:hideMark/>
          </w:tcPr>
          <w:p w:rsidR="00826ADD" w:rsidRPr="00BC0ACB" w:rsidRDefault="00826ADD" w:rsidP="00536724">
            <w:pPr>
              <w:pStyle w:val="Tabletextright"/>
            </w:pPr>
            <w:r w:rsidRPr="00BC0ACB">
              <w:t xml:space="preserve"> 72</w:t>
            </w:r>
            <w:r w:rsidR="00AC6DA5" w:rsidRPr="00BC0ACB">
              <w:t xml:space="preserve"> </w:t>
            </w:r>
            <w:r w:rsidRPr="00BC0ACB">
              <w:t xml:space="preserve">486 </w:t>
            </w:r>
          </w:p>
        </w:tc>
        <w:tc>
          <w:tcPr>
            <w:tcW w:w="1274" w:type="dxa"/>
            <w:noWrap/>
            <w:hideMark/>
          </w:tcPr>
          <w:p w:rsidR="00826ADD" w:rsidRPr="00BC0ACB" w:rsidRDefault="00826ADD" w:rsidP="00536724">
            <w:pPr>
              <w:pStyle w:val="Tabletextright"/>
            </w:pPr>
            <w:r w:rsidRPr="00BC0ACB">
              <w:t xml:space="preserve"> 4</w:t>
            </w:r>
            <w:r w:rsidR="00AC6DA5" w:rsidRPr="00BC0ACB">
              <w:t xml:space="preserve"> </w:t>
            </w:r>
            <w:r w:rsidRPr="00BC0ACB">
              <w:t xml:space="preserve">014 </w:t>
            </w:r>
          </w:p>
        </w:tc>
      </w:tr>
      <w:tr w:rsidR="00826ADD" w:rsidRPr="00BC0ACB" w:rsidTr="008438C2">
        <w:tc>
          <w:tcPr>
            <w:tcW w:w="2396" w:type="dxa"/>
            <w:hideMark/>
          </w:tcPr>
          <w:p w:rsidR="00826ADD" w:rsidRPr="00BC0ACB" w:rsidRDefault="00826ADD" w:rsidP="00536724">
            <w:pPr>
              <w:pStyle w:val="Tabletext"/>
            </w:pPr>
            <w:r w:rsidRPr="00BC0ACB">
              <w:lastRenderedPageBreak/>
              <w:t>Clayton Utz</w:t>
            </w:r>
          </w:p>
        </w:tc>
        <w:tc>
          <w:tcPr>
            <w:tcW w:w="3011" w:type="dxa"/>
            <w:hideMark/>
          </w:tcPr>
          <w:p w:rsidR="00826ADD" w:rsidRPr="00BC0ACB" w:rsidRDefault="00826ADD" w:rsidP="00536724">
            <w:pPr>
              <w:pStyle w:val="Tabletext"/>
            </w:pPr>
            <w:r w:rsidRPr="00BC0ACB">
              <w:t>Commercial and transaction advice (Implementation of Victorian Social Housing Growth Fund)</w:t>
            </w:r>
          </w:p>
        </w:tc>
        <w:tc>
          <w:tcPr>
            <w:tcW w:w="1332" w:type="dxa"/>
            <w:noWrap/>
            <w:hideMark/>
          </w:tcPr>
          <w:p w:rsidR="00826ADD" w:rsidRPr="00BC0ACB" w:rsidRDefault="00826ADD" w:rsidP="00536724">
            <w:pPr>
              <w:pStyle w:val="Tabletextright"/>
            </w:pPr>
            <w:r w:rsidRPr="00BC0ACB">
              <w:t xml:space="preserve"> 365</w:t>
            </w:r>
            <w:r w:rsidR="00AC6DA5" w:rsidRPr="00BC0ACB">
              <w:t xml:space="preserve"> </w:t>
            </w:r>
            <w:r w:rsidRPr="00BC0ACB">
              <w:t xml:space="preserve">000 </w:t>
            </w:r>
          </w:p>
        </w:tc>
        <w:tc>
          <w:tcPr>
            <w:tcW w:w="1274" w:type="dxa"/>
            <w:noWrap/>
            <w:hideMark/>
          </w:tcPr>
          <w:p w:rsidR="00826ADD" w:rsidRPr="00BC0ACB" w:rsidRDefault="00826ADD" w:rsidP="00536724">
            <w:pPr>
              <w:pStyle w:val="Tabletextright"/>
            </w:pPr>
            <w:r w:rsidRPr="00BC0ACB">
              <w:t xml:space="preserve"> 133</w:t>
            </w:r>
            <w:r w:rsidR="00AC6DA5" w:rsidRPr="00BC0ACB">
              <w:t xml:space="preserve"> </w:t>
            </w:r>
            <w:r w:rsidRPr="00BC0ACB">
              <w:t xml:space="preserve">450 </w:t>
            </w:r>
          </w:p>
        </w:tc>
        <w:tc>
          <w:tcPr>
            <w:tcW w:w="1274" w:type="dxa"/>
            <w:noWrap/>
            <w:hideMark/>
          </w:tcPr>
          <w:p w:rsidR="00826ADD" w:rsidRPr="00BC0ACB" w:rsidRDefault="00826ADD" w:rsidP="00536724">
            <w:pPr>
              <w:pStyle w:val="Tabletextright"/>
            </w:pPr>
            <w:r w:rsidRPr="00BC0ACB">
              <w:t xml:space="preserve"> 231</w:t>
            </w:r>
            <w:r w:rsidR="00AC6DA5" w:rsidRPr="00BC0ACB">
              <w:t xml:space="preserve"> </w:t>
            </w:r>
            <w:r w:rsidRPr="00BC0ACB">
              <w:t xml:space="preserve">550 </w:t>
            </w:r>
          </w:p>
        </w:tc>
      </w:tr>
      <w:tr w:rsidR="00826ADD" w:rsidRPr="00BC0ACB" w:rsidTr="008438C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396" w:type="dxa"/>
            <w:hideMark/>
          </w:tcPr>
          <w:p w:rsidR="00826ADD" w:rsidRPr="00BC0ACB" w:rsidRDefault="00826ADD" w:rsidP="00536724">
            <w:pPr>
              <w:pStyle w:val="Tabletext"/>
            </w:pPr>
            <w:r w:rsidRPr="00BC0ACB">
              <w:t>Comprara Pty Ltd</w:t>
            </w:r>
          </w:p>
        </w:tc>
        <w:tc>
          <w:tcPr>
            <w:tcW w:w="3011" w:type="dxa"/>
            <w:hideMark/>
          </w:tcPr>
          <w:p w:rsidR="00826ADD" w:rsidRPr="00BC0ACB" w:rsidRDefault="00826ADD" w:rsidP="00536724">
            <w:pPr>
              <w:pStyle w:val="Tabletext"/>
            </w:pPr>
            <w:r w:rsidRPr="00BC0ACB">
              <w:t>General professional services (State Purchase Contract)</w:t>
            </w:r>
          </w:p>
        </w:tc>
        <w:tc>
          <w:tcPr>
            <w:tcW w:w="1332" w:type="dxa"/>
            <w:noWrap/>
            <w:hideMark/>
          </w:tcPr>
          <w:p w:rsidR="00826ADD" w:rsidRPr="00BC0ACB" w:rsidRDefault="00826ADD" w:rsidP="00536724">
            <w:pPr>
              <w:pStyle w:val="Tabletextright"/>
            </w:pPr>
            <w:r w:rsidRPr="00BC0ACB">
              <w:t xml:space="preserve"> 25</w:t>
            </w:r>
            <w:r w:rsidR="00AC6DA5" w:rsidRPr="00BC0ACB">
              <w:t xml:space="preserve"> </w:t>
            </w:r>
            <w:r w:rsidRPr="00BC0ACB">
              <w:t xml:space="preserve">000 </w:t>
            </w:r>
          </w:p>
        </w:tc>
        <w:tc>
          <w:tcPr>
            <w:tcW w:w="1274" w:type="dxa"/>
            <w:noWrap/>
            <w:hideMark/>
          </w:tcPr>
          <w:p w:rsidR="00826ADD" w:rsidRPr="00BC0ACB" w:rsidRDefault="00826ADD" w:rsidP="00536724">
            <w:pPr>
              <w:pStyle w:val="Tabletextright"/>
            </w:pPr>
            <w:r w:rsidRPr="00BC0ACB">
              <w:t xml:space="preserve"> 18</w:t>
            </w:r>
            <w:r w:rsidR="00AC6DA5" w:rsidRPr="00BC0ACB">
              <w:t xml:space="preserve"> </w:t>
            </w:r>
            <w:r w:rsidRPr="00BC0ACB">
              <w:t xml:space="preserve">750 </w:t>
            </w:r>
          </w:p>
        </w:tc>
        <w:tc>
          <w:tcPr>
            <w:tcW w:w="1274" w:type="dxa"/>
            <w:noWrap/>
            <w:hideMark/>
          </w:tcPr>
          <w:p w:rsidR="00826ADD" w:rsidRPr="00BC0ACB" w:rsidRDefault="00826ADD" w:rsidP="00536724">
            <w:pPr>
              <w:pStyle w:val="Tabletextright"/>
            </w:pPr>
            <w:r w:rsidRPr="00BC0ACB">
              <w:t xml:space="preserve"> 6</w:t>
            </w:r>
            <w:r w:rsidR="00AC6DA5" w:rsidRPr="00BC0ACB">
              <w:t xml:space="preserve"> </w:t>
            </w:r>
            <w:r w:rsidRPr="00BC0ACB">
              <w:t xml:space="preserve">250 </w:t>
            </w:r>
          </w:p>
        </w:tc>
      </w:tr>
      <w:tr w:rsidR="00826ADD" w:rsidRPr="00BC0ACB" w:rsidTr="008438C2">
        <w:tc>
          <w:tcPr>
            <w:tcW w:w="2396" w:type="dxa"/>
            <w:hideMark/>
          </w:tcPr>
          <w:p w:rsidR="00826ADD" w:rsidRPr="00BC0ACB" w:rsidRDefault="00826ADD" w:rsidP="00536724">
            <w:pPr>
              <w:pStyle w:val="Tabletext"/>
            </w:pPr>
            <w:r w:rsidRPr="00BC0ACB">
              <w:t>Corrs Chambers Westgarth</w:t>
            </w:r>
          </w:p>
        </w:tc>
        <w:tc>
          <w:tcPr>
            <w:tcW w:w="3011" w:type="dxa"/>
            <w:hideMark/>
          </w:tcPr>
          <w:p w:rsidR="00826ADD" w:rsidRPr="00BC0ACB" w:rsidRDefault="00826ADD" w:rsidP="00536724">
            <w:pPr>
              <w:pStyle w:val="Tabletext"/>
            </w:pPr>
            <w:r w:rsidRPr="00BC0ACB">
              <w:t>Commercial and transaction advice (Retail electricity competition advice)</w:t>
            </w:r>
          </w:p>
        </w:tc>
        <w:tc>
          <w:tcPr>
            <w:tcW w:w="1332" w:type="dxa"/>
            <w:noWrap/>
            <w:hideMark/>
          </w:tcPr>
          <w:p w:rsidR="00826ADD" w:rsidRPr="00BC0ACB" w:rsidRDefault="00826ADD" w:rsidP="00536724">
            <w:pPr>
              <w:pStyle w:val="Tabletextright"/>
            </w:pPr>
            <w:r w:rsidRPr="00BC0ACB">
              <w:t xml:space="preserve"> 12</w:t>
            </w:r>
            <w:r w:rsidR="00AC6DA5" w:rsidRPr="00BC0ACB">
              <w:t xml:space="preserve"> </w:t>
            </w:r>
            <w:r w:rsidRPr="00BC0ACB">
              <w:t xml:space="preserve">800 </w:t>
            </w:r>
          </w:p>
        </w:tc>
        <w:tc>
          <w:tcPr>
            <w:tcW w:w="1274" w:type="dxa"/>
            <w:noWrap/>
            <w:hideMark/>
          </w:tcPr>
          <w:p w:rsidR="00826ADD" w:rsidRPr="00BC0ACB" w:rsidRDefault="00826ADD" w:rsidP="00536724">
            <w:pPr>
              <w:pStyle w:val="Tabletextright"/>
            </w:pPr>
            <w:r w:rsidRPr="00BC0ACB">
              <w:t xml:space="preserve"> 12</w:t>
            </w:r>
            <w:r w:rsidR="00AC6DA5" w:rsidRPr="00BC0ACB">
              <w:t xml:space="preserve"> </w:t>
            </w:r>
            <w:r w:rsidRPr="00BC0ACB">
              <w:t xml:space="preserve">800 </w:t>
            </w:r>
          </w:p>
        </w:tc>
        <w:tc>
          <w:tcPr>
            <w:tcW w:w="1274" w:type="dxa"/>
            <w:noWrap/>
            <w:hideMark/>
          </w:tcPr>
          <w:p w:rsidR="00826ADD" w:rsidRPr="00BC0ACB" w:rsidRDefault="00826ADD" w:rsidP="00536724">
            <w:pPr>
              <w:pStyle w:val="Tabletextright"/>
            </w:pPr>
            <w:r w:rsidRPr="00BC0ACB">
              <w:t xml:space="preserve"> </w:t>
            </w:r>
            <w:r w:rsidR="00536724" w:rsidRPr="00BC0ACB">
              <w:rPr>
                <w:rFonts w:eastAsia="Times New Roman"/>
              </w:rPr>
              <w:t>–</w:t>
            </w:r>
            <w:r w:rsidRPr="00BC0ACB">
              <w:t xml:space="preserve"> </w:t>
            </w:r>
          </w:p>
        </w:tc>
      </w:tr>
      <w:tr w:rsidR="00826ADD" w:rsidRPr="00BC0ACB" w:rsidTr="008438C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396" w:type="dxa"/>
            <w:hideMark/>
          </w:tcPr>
          <w:p w:rsidR="00826ADD" w:rsidRPr="00BC0ACB" w:rsidRDefault="00826ADD" w:rsidP="00536724">
            <w:pPr>
              <w:pStyle w:val="Tabletext"/>
            </w:pPr>
            <w:r w:rsidRPr="00BC0ACB">
              <w:t>Deloitte Consulting Pty Ltd</w:t>
            </w:r>
          </w:p>
        </w:tc>
        <w:tc>
          <w:tcPr>
            <w:tcW w:w="3011" w:type="dxa"/>
            <w:hideMark/>
          </w:tcPr>
          <w:p w:rsidR="00826ADD" w:rsidRPr="00BC0ACB" w:rsidRDefault="00826ADD" w:rsidP="00536724">
            <w:pPr>
              <w:pStyle w:val="Tabletext"/>
            </w:pPr>
            <w:r w:rsidRPr="00BC0ACB">
              <w:t>Framework development and policy research (Strategic Asset Management Plan Governance Framework)</w:t>
            </w:r>
          </w:p>
        </w:tc>
        <w:tc>
          <w:tcPr>
            <w:tcW w:w="1332" w:type="dxa"/>
            <w:noWrap/>
            <w:hideMark/>
          </w:tcPr>
          <w:p w:rsidR="00826ADD" w:rsidRPr="00BC0ACB" w:rsidRDefault="00826ADD" w:rsidP="00536724">
            <w:pPr>
              <w:pStyle w:val="Tabletextright"/>
            </w:pPr>
            <w:r w:rsidRPr="00BC0ACB">
              <w:t xml:space="preserve"> 227</w:t>
            </w:r>
            <w:r w:rsidR="00AC6DA5" w:rsidRPr="00BC0ACB">
              <w:t xml:space="preserve"> </w:t>
            </w:r>
            <w:r w:rsidRPr="00BC0ACB">
              <w:t xml:space="preserve">273 </w:t>
            </w:r>
          </w:p>
        </w:tc>
        <w:tc>
          <w:tcPr>
            <w:tcW w:w="1274" w:type="dxa"/>
            <w:noWrap/>
            <w:hideMark/>
          </w:tcPr>
          <w:p w:rsidR="00826ADD" w:rsidRPr="00BC0ACB" w:rsidRDefault="00826ADD" w:rsidP="00536724">
            <w:pPr>
              <w:pStyle w:val="Tabletextright"/>
            </w:pPr>
            <w:r w:rsidRPr="00BC0ACB">
              <w:t xml:space="preserve"> 186</w:t>
            </w:r>
            <w:r w:rsidR="00AC6DA5" w:rsidRPr="00BC0ACB">
              <w:t xml:space="preserve"> </w:t>
            </w:r>
            <w:r w:rsidRPr="00BC0ACB">
              <w:t xml:space="preserve">349 </w:t>
            </w:r>
          </w:p>
        </w:tc>
        <w:tc>
          <w:tcPr>
            <w:tcW w:w="1274" w:type="dxa"/>
            <w:noWrap/>
            <w:hideMark/>
          </w:tcPr>
          <w:p w:rsidR="00826ADD" w:rsidRPr="00BC0ACB" w:rsidRDefault="00826ADD" w:rsidP="00536724">
            <w:pPr>
              <w:pStyle w:val="Tabletextright"/>
            </w:pPr>
            <w:r w:rsidRPr="00BC0ACB">
              <w:t xml:space="preserve"> 40</w:t>
            </w:r>
            <w:r w:rsidR="00AC6DA5" w:rsidRPr="00BC0ACB">
              <w:t xml:space="preserve"> </w:t>
            </w:r>
            <w:r w:rsidRPr="00BC0ACB">
              <w:t xml:space="preserve">924 </w:t>
            </w:r>
          </w:p>
        </w:tc>
      </w:tr>
      <w:tr w:rsidR="00826ADD" w:rsidRPr="00BC0ACB" w:rsidTr="008438C2">
        <w:tc>
          <w:tcPr>
            <w:tcW w:w="2396" w:type="dxa"/>
            <w:hideMark/>
          </w:tcPr>
          <w:p w:rsidR="00826ADD" w:rsidRPr="00BC0ACB" w:rsidRDefault="00826ADD" w:rsidP="00536724">
            <w:pPr>
              <w:pStyle w:val="Tabletext"/>
            </w:pPr>
            <w:r w:rsidRPr="00BC0ACB">
              <w:t>Deloitte Touche Tohmatsu</w:t>
            </w:r>
          </w:p>
        </w:tc>
        <w:tc>
          <w:tcPr>
            <w:tcW w:w="3011" w:type="dxa"/>
            <w:hideMark/>
          </w:tcPr>
          <w:p w:rsidR="00826ADD" w:rsidRPr="00BC0ACB" w:rsidRDefault="00826ADD" w:rsidP="00536724">
            <w:pPr>
              <w:pStyle w:val="Tabletext"/>
            </w:pPr>
            <w:r w:rsidRPr="00BC0ACB">
              <w:t>Commercial and transaction advice (Shared Service Provider real estate and facilities management tender)</w:t>
            </w:r>
          </w:p>
        </w:tc>
        <w:tc>
          <w:tcPr>
            <w:tcW w:w="1332" w:type="dxa"/>
            <w:noWrap/>
            <w:hideMark/>
          </w:tcPr>
          <w:p w:rsidR="00826ADD" w:rsidRPr="00BC0ACB" w:rsidRDefault="00826ADD" w:rsidP="00536724">
            <w:pPr>
              <w:pStyle w:val="Tabletextright"/>
            </w:pPr>
            <w:r w:rsidRPr="00BC0ACB">
              <w:t xml:space="preserve"> 715</w:t>
            </w:r>
            <w:r w:rsidR="00AC6DA5" w:rsidRPr="00BC0ACB">
              <w:t xml:space="preserve"> </w:t>
            </w:r>
            <w:r w:rsidRPr="00BC0ACB">
              <w:t xml:space="preserve">440 </w:t>
            </w:r>
          </w:p>
        </w:tc>
        <w:tc>
          <w:tcPr>
            <w:tcW w:w="1274" w:type="dxa"/>
            <w:noWrap/>
            <w:hideMark/>
          </w:tcPr>
          <w:p w:rsidR="00826ADD" w:rsidRPr="00BC0ACB" w:rsidRDefault="00826ADD" w:rsidP="00536724">
            <w:pPr>
              <w:pStyle w:val="Tabletextright"/>
            </w:pPr>
            <w:r w:rsidRPr="00BC0ACB">
              <w:t>653</w:t>
            </w:r>
            <w:r w:rsidR="00AC6DA5" w:rsidRPr="00BC0ACB">
              <w:t xml:space="preserve"> </w:t>
            </w:r>
            <w:r w:rsidRPr="00BC0ACB">
              <w:t xml:space="preserve">263 </w:t>
            </w:r>
          </w:p>
        </w:tc>
        <w:tc>
          <w:tcPr>
            <w:tcW w:w="1274" w:type="dxa"/>
            <w:noWrap/>
            <w:hideMark/>
          </w:tcPr>
          <w:p w:rsidR="00826ADD" w:rsidRPr="00BC0ACB" w:rsidRDefault="00826ADD" w:rsidP="00536724">
            <w:pPr>
              <w:pStyle w:val="Tabletextright"/>
            </w:pPr>
            <w:r w:rsidRPr="00BC0ACB">
              <w:t xml:space="preserve"> </w:t>
            </w:r>
            <w:r w:rsidR="00536724" w:rsidRPr="00BC0ACB">
              <w:rPr>
                <w:rFonts w:eastAsia="Times New Roman"/>
              </w:rPr>
              <w:t>–</w:t>
            </w:r>
            <w:r w:rsidRPr="00BC0ACB">
              <w:t xml:space="preserve"> </w:t>
            </w:r>
          </w:p>
        </w:tc>
      </w:tr>
      <w:tr w:rsidR="00826ADD" w:rsidRPr="00BC0ACB" w:rsidTr="008438C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396" w:type="dxa"/>
            <w:hideMark/>
          </w:tcPr>
          <w:p w:rsidR="00826ADD" w:rsidRPr="00BC0ACB" w:rsidRDefault="00826ADD" w:rsidP="00536724">
            <w:pPr>
              <w:pStyle w:val="Tabletext"/>
            </w:pPr>
            <w:r w:rsidRPr="00BC0ACB">
              <w:t>Deloitte Touche Tohmatsu</w:t>
            </w:r>
          </w:p>
        </w:tc>
        <w:tc>
          <w:tcPr>
            <w:tcW w:w="3011" w:type="dxa"/>
            <w:hideMark/>
          </w:tcPr>
          <w:p w:rsidR="00826ADD" w:rsidRPr="00BC0ACB" w:rsidRDefault="00826ADD" w:rsidP="001B1449">
            <w:pPr>
              <w:pStyle w:val="Tabletext"/>
            </w:pPr>
            <w:r w:rsidRPr="00BC0ACB">
              <w:t xml:space="preserve">Commercial and transaction advice (Stage two </w:t>
            </w:r>
            <w:r w:rsidR="00E9038C" w:rsidRPr="00BC0ACB">
              <w:t>market-led</w:t>
            </w:r>
            <w:r w:rsidRPr="00BC0ACB">
              <w:t xml:space="preserve"> proposal)</w:t>
            </w:r>
          </w:p>
        </w:tc>
        <w:tc>
          <w:tcPr>
            <w:tcW w:w="1332" w:type="dxa"/>
            <w:noWrap/>
            <w:hideMark/>
          </w:tcPr>
          <w:p w:rsidR="00826ADD" w:rsidRPr="00BC0ACB" w:rsidRDefault="00826ADD" w:rsidP="00536724">
            <w:pPr>
              <w:pStyle w:val="Tabletextright"/>
            </w:pPr>
            <w:r w:rsidRPr="00BC0ACB">
              <w:t xml:space="preserve"> 209</w:t>
            </w:r>
            <w:r w:rsidR="00AC6DA5" w:rsidRPr="00BC0ACB">
              <w:t xml:space="preserve"> </w:t>
            </w:r>
            <w:r w:rsidRPr="00BC0ACB">
              <w:t xml:space="preserve">425 </w:t>
            </w:r>
          </w:p>
        </w:tc>
        <w:tc>
          <w:tcPr>
            <w:tcW w:w="1274" w:type="dxa"/>
            <w:noWrap/>
            <w:hideMark/>
          </w:tcPr>
          <w:p w:rsidR="00826ADD" w:rsidRPr="00BC0ACB" w:rsidRDefault="00826ADD" w:rsidP="00536724">
            <w:pPr>
              <w:pStyle w:val="Tabletextright"/>
            </w:pPr>
            <w:r w:rsidRPr="00BC0ACB">
              <w:t xml:space="preserve"> 182</w:t>
            </w:r>
            <w:r w:rsidR="00AC6DA5" w:rsidRPr="00BC0ACB">
              <w:t xml:space="preserve"> </w:t>
            </w:r>
            <w:r w:rsidRPr="00BC0ACB">
              <w:t xml:space="preserve">638 </w:t>
            </w:r>
          </w:p>
        </w:tc>
        <w:tc>
          <w:tcPr>
            <w:tcW w:w="1274" w:type="dxa"/>
            <w:noWrap/>
            <w:hideMark/>
          </w:tcPr>
          <w:p w:rsidR="00826ADD" w:rsidRPr="00BC0ACB" w:rsidRDefault="00826ADD" w:rsidP="00536724">
            <w:pPr>
              <w:pStyle w:val="Tabletextright"/>
            </w:pPr>
            <w:r w:rsidRPr="00BC0ACB">
              <w:t xml:space="preserve"> </w:t>
            </w:r>
            <w:r w:rsidR="00536724" w:rsidRPr="00BC0ACB">
              <w:rPr>
                <w:rFonts w:eastAsia="Times New Roman"/>
              </w:rPr>
              <w:t>–</w:t>
            </w:r>
            <w:r w:rsidRPr="00BC0ACB">
              <w:t xml:space="preserve"> </w:t>
            </w:r>
          </w:p>
        </w:tc>
      </w:tr>
      <w:tr w:rsidR="00826ADD" w:rsidRPr="00BC0ACB" w:rsidTr="008438C2">
        <w:tc>
          <w:tcPr>
            <w:tcW w:w="2396" w:type="dxa"/>
            <w:hideMark/>
          </w:tcPr>
          <w:p w:rsidR="00826ADD" w:rsidRPr="00BC0ACB" w:rsidRDefault="00826ADD" w:rsidP="00536724">
            <w:pPr>
              <w:pStyle w:val="Tabletext"/>
            </w:pPr>
            <w:r w:rsidRPr="00BC0ACB">
              <w:t>Disability Services Consulting</w:t>
            </w:r>
          </w:p>
        </w:tc>
        <w:tc>
          <w:tcPr>
            <w:tcW w:w="3011" w:type="dxa"/>
            <w:hideMark/>
          </w:tcPr>
          <w:p w:rsidR="00826ADD" w:rsidRPr="00BC0ACB" w:rsidRDefault="00826ADD" w:rsidP="00536724">
            <w:pPr>
              <w:pStyle w:val="Tabletext"/>
            </w:pPr>
            <w:r w:rsidRPr="00BC0ACB">
              <w:t xml:space="preserve">General professional services (National Disability Insurance Scheme </w:t>
            </w:r>
            <w:r w:rsidR="00E9038C" w:rsidRPr="00BC0ACB">
              <w:t>specialist disability accommodation price and payment structure)</w:t>
            </w:r>
          </w:p>
        </w:tc>
        <w:tc>
          <w:tcPr>
            <w:tcW w:w="1332" w:type="dxa"/>
            <w:noWrap/>
            <w:hideMark/>
          </w:tcPr>
          <w:p w:rsidR="00826ADD" w:rsidRPr="00BC0ACB" w:rsidRDefault="00826ADD" w:rsidP="00536724">
            <w:pPr>
              <w:pStyle w:val="Tabletextright"/>
            </w:pPr>
            <w:r w:rsidRPr="00BC0ACB">
              <w:t xml:space="preserve"> 34</w:t>
            </w:r>
            <w:r w:rsidR="00AC6DA5" w:rsidRPr="00BC0ACB">
              <w:t xml:space="preserve"> </w:t>
            </w:r>
            <w:r w:rsidRPr="00BC0ACB">
              <w:t xml:space="preserve">963 </w:t>
            </w:r>
          </w:p>
        </w:tc>
        <w:tc>
          <w:tcPr>
            <w:tcW w:w="1274" w:type="dxa"/>
            <w:noWrap/>
            <w:hideMark/>
          </w:tcPr>
          <w:p w:rsidR="00826ADD" w:rsidRPr="00BC0ACB" w:rsidRDefault="00826ADD" w:rsidP="00536724">
            <w:pPr>
              <w:pStyle w:val="Tabletextright"/>
            </w:pPr>
            <w:r w:rsidRPr="00BC0ACB">
              <w:t xml:space="preserve"> 24</w:t>
            </w:r>
            <w:r w:rsidR="00AC6DA5" w:rsidRPr="00BC0ACB">
              <w:t xml:space="preserve"> </w:t>
            </w:r>
            <w:r w:rsidRPr="00BC0ACB">
              <w:t xml:space="preserve">954 </w:t>
            </w:r>
          </w:p>
        </w:tc>
        <w:tc>
          <w:tcPr>
            <w:tcW w:w="1274" w:type="dxa"/>
            <w:noWrap/>
            <w:hideMark/>
          </w:tcPr>
          <w:p w:rsidR="00826ADD" w:rsidRPr="00BC0ACB" w:rsidRDefault="00826ADD" w:rsidP="00536724">
            <w:pPr>
              <w:pStyle w:val="Tabletextright"/>
            </w:pPr>
            <w:r w:rsidRPr="00BC0ACB">
              <w:t xml:space="preserve"> </w:t>
            </w:r>
            <w:r w:rsidR="00536724" w:rsidRPr="00BC0ACB">
              <w:rPr>
                <w:rFonts w:eastAsia="Times New Roman"/>
              </w:rPr>
              <w:t>–</w:t>
            </w:r>
            <w:r w:rsidRPr="00BC0ACB">
              <w:t xml:space="preserve"> </w:t>
            </w:r>
          </w:p>
        </w:tc>
      </w:tr>
      <w:tr w:rsidR="00826ADD" w:rsidRPr="00BC0ACB" w:rsidTr="008438C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396" w:type="dxa"/>
            <w:hideMark/>
          </w:tcPr>
          <w:p w:rsidR="00826ADD" w:rsidRPr="00BC0ACB" w:rsidRDefault="00826ADD" w:rsidP="00536724">
            <w:pPr>
              <w:pStyle w:val="Tabletext"/>
            </w:pPr>
            <w:r w:rsidRPr="00BC0ACB">
              <w:t>Ernst &amp; Young</w:t>
            </w:r>
          </w:p>
        </w:tc>
        <w:tc>
          <w:tcPr>
            <w:tcW w:w="3011" w:type="dxa"/>
            <w:hideMark/>
          </w:tcPr>
          <w:p w:rsidR="00826ADD" w:rsidRPr="00BC0ACB" w:rsidRDefault="00826ADD" w:rsidP="00536724">
            <w:pPr>
              <w:pStyle w:val="Tabletext"/>
            </w:pPr>
            <w:r w:rsidRPr="00BC0ACB">
              <w:t>Commercial and transaction advice (Social impact bonds)</w:t>
            </w:r>
          </w:p>
        </w:tc>
        <w:tc>
          <w:tcPr>
            <w:tcW w:w="1332" w:type="dxa"/>
            <w:noWrap/>
            <w:hideMark/>
          </w:tcPr>
          <w:p w:rsidR="00826ADD" w:rsidRPr="00BC0ACB" w:rsidRDefault="00826ADD" w:rsidP="00536724">
            <w:pPr>
              <w:pStyle w:val="Tabletextright"/>
            </w:pPr>
            <w:r w:rsidRPr="00BC0ACB">
              <w:t xml:space="preserve"> 227</w:t>
            </w:r>
            <w:r w:rsidR="00AC6DA5" w:rsidRPr="00BC0ACB">
              <w:t xml:space="preserve"> </w:t>
            </w:r>
            <w:r w:rsidRPr="00BC0ACB">
              <w:t xml:space="preserve">273 </w:t>
            </w:r>
          </w:p>
        </w:tc>
        <w:tc>
          <w:tcPr>
            <w:tcW w:w="1274" w:type="dxa"/>
            <w:noWrap/>
            <w:hideMark/>
          </w:tcPr>
          <w:p w:rsidR="00826ADD" w:rsidRPr="00BC0ACB" w:rsidRDefault="00826ADD" w:rsidP="00536724">
            <w:pPr>
              <w:pStyle w:val="Tabletextright"/>
            </w:pPr>
            <w:r w:rsidRPr="00BC0ACB">
              <w:t xml:space="preserve"> 226</w:t>
            </w:r>
            <w:r w:rsidR="00AC6DA5" w:rsidRPr="00BC0ACB">
              <w:t xml:space="preserve"> </w:t>
            </w:r>
            <w:r w:rsidRPr="00BC0ACB">
              <w:t xml:space="preserve">486 </w:t>
            </w:r>
          </w:p>
        </w:tc>
        <w:tc>
          <w:tcPr>
            <w:tcW w:w="1274" w:type="dxa"/>
            <w:noWrap/>
            <w:hideMark/>
          </w:tcPr>
          <w:p w:rsidR="00826ADD" w:rsidRPr="00BC0ACB" w:rsidRDefault="00826ADD" w:rsidP="00536724">
            <w:pPr>
              <w:pStyle w:val="Tabletextright"/>
            </w:pPr>
            <w:r w:rsidRPr="00BC0ACB">
              <w:t xml:space="preserve"> 787 </w:t>
            </w:r>
          </w:p>
        </w:tc>
      </w:tr>
      <w:tr w:rsidR="00826ADD" w:rsidRPr="00BC0ACB" w:rsidTr="008438C2">
        <w:tc>
          <w:tcPr>
            <w:tcW w:w="2396" w:type="dxa"/>
            <w:hideMark/>
          </w:tcPr>
          <w:p w:rsidR="00826ADD" w:rsidRPr="00BC0ACB" w:rsidRDefault="00826ADD" w:rsidP="00536724">
            <w:pPr>
              <w:pStyle w:val="Tabletext"/>
            </w:pPr>
            <w:r w:rsidRPr="00BC0ACB">
              <w:t>Ernst &amp; Young</w:t>
            </w:r>
          </w:p>
        </w:tc>
        <w:tc>
          <w:tcPr>
            <w:tcW w:w="3011" w:type="dxa"/>
            <w:hideMark/>
          </w:tcPr>
          <w:p w:rsidR="00826ADD" w:rsidRPr="00BC0ACB" w:rsidRDefault="00826ADD" w:rsidP="00536724">
            <w:pPr>
              <w:pStyle w:val="Tabletext"/>
            </w:pPr>
            <w:r w:rsidRPr="00BC0ACB">
              <w:t xml:space="preserve">Commercial and transaction advice (Western Roads Upgrade </w:t>
            </w:r>
            <w:r w:rsidR="00E9038C" w:rsidRPr="00BC0ACB">
              <w:t>project</w:t>
            </w:r>
            <w:r w:rsidRPr="00BC0ACB">
              <w:t>)</w:t>
            </w:r>
          </w:p>
        </w:tc>
        <w:tc>
          <w:tcPr>
            <w:tcW w:w="1332" w:type="dxa"/>
            <w:noWrap/>
            <w:hideMark/>
          </w:tcPr>
          <w:p w:rsidR="00826ADD" w:rsidRPr="00BC0ACB" w:rsidRDefault="00826ADD" w:rsidP="00536724">
            <w:pPr>
              <w:pStyle w:val="Tabletextright"/>
            </w:pPr>
            <w:r w:rsidRPr="00BC0ACB">
              <w:t xml:space="preserve"> 4</w:t>
            </w:r>
            <w:r w:rsidR="00AC6DA5" w:rsidRPr="00BC0ACB">
              <w:t xml:space="preserve"> </w:t>
            </w:r>
            <w:r w:rsidRPr="00BC0ACB">
              <w:t>001</w:t>
            </w:r>
            <w:r w:rsidR="00AC6DA5" w:rsidRPr="00BC0ACB">
              <w:t xml:space="preserve"> </w:t>
            </w:r>
            <w:r w:rsidRPr="00BC0ACB">
              <w:t xml:space="preserve">675 </w:t>
            </w:r>
          </w:p>
        </w:tc>
        <w:tc>
          <w:tcPr>
            <w:tcW w:w="1274" w:type="dxa"/>
            <w:noWrap/>
            <w:hideMark/>
          </w:tcPr>
          <w:p w:rsidR="00826ADD" w:rsidRPr="00BC0ACB" w:rsidRDefault="00826ADD" w:rsidP="00536724">
            <w:pPr>
              <w:pStyle w:val="Tabletextright"/>
            </w:pPr>
            <w:r w:rsidRPr="00BC0ACB">
              <w:t xml:space="preserve"> 115</w:t>
            </w:r>
            <w:r w:rsidR="00AC6DA5" w:rsidRPr="00BC0ACB">
              <w:t xml:space="preserve"> </w:t>
            </w:r>
            <w:r w:rsidRPr="00BC0ACB">
              <w:t xml:space="preserve">952 </w:t>
            </w:r>
          </w:p>
        </w:tc>
        <w:tc>
          <w:tcPr>
            <w:tcW w:w="1274" w:type="dxa"/>
            <w:noWrap/>
            <w:hideMark/>
          </w:tcPr>
          <w:p w:rsidR="00826ADD" w:rsidRPr="00BC0ACB" w:rsidRDefault="00826ADD" w:rsidP="00536724">
            <w:pPr>
              <w:pStyle w:val="Tabletextright"/>
            </w:pPr>
            <w:r w:rsidRPr="00BC0ACB">
              <w:t xml:space="preserve"> </w:t>
            </w:r>
            <w:r w:rsidR="00536724" w:rsidRPr="00BC0ACB">
              <w:rPr>
                <w:rFonts w:eastAsia="Times New Roman"/>
              </w:rPr>
              <w:t>–</w:t>
            </w:r>
            <w:r w:rsidRPr="00BC0ACB">
              <w:t xml:space="preserve"> </w:t>
            </w:r>
          </w:p>
        </w:tc>
      </w:tr>
      <w:tr w:rsidR="00826ADD" w:rsidRPr="00BC0ACB" w:rsidTr="008438C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396" w:type="dxa"/>
            <w:hideMark/>
          </w:tcPr>
          <w:p w:rsidR="00826ADD" w:rsidRPr="00BC0ACB" w:rsidRDefault="00826ADD" w:rsidP="00536724">
            <w:pPr>
              <w:pStyle w:val="Tabletext"/>
            </w:pPr>
            <w:r w:rsidRPr="00BC0ACB">
              <w:t>Ernst &amp; Young</w:t>
            </w:r>
          </w:p>
        </w:tc>
        <w:tc>
          <w:tcPr>
            <w:tcW w:w="3011" w:type="dxa"/>
            <w:hideMark/>
          </w:tcPr>
          <w:p w:rsidR="00826ADD" w:rsidRPr="00BC0ACB" w:rsidRDefault="00826ADD" w:rsidP="00536724">
            <w:pPr>
              <w:pStyle w:val="Tabletext"/>
            </w:pPr>
            <w:r w:rsidRPr="00BC0ACB">
              <w:t>Commercial and transaction advice (Implementation of Victorian Social Housing Growth Fund)</w:t>
            </w:r>
          </w:p>
        </w:tc>
        <w:tc>
          <w:tcPr>
            <w:tcW w:w="1332" w:type="dxa"/>
            <w:noWrap/>
            <w:hideMark/>
          </w:tcPr>
          <w:p w:rsidR="00826ADD" w:rsidRPr="00BC0ACB" w:rsidRDefault="00826ADD" w:rsidP="00536724">
            <w:pPr>
              <w:pStyle w:val="Tabletextright"/>
            </w:pPr>
            <w:r w:rsidRPr="00BC0ACB">
              <w:t xml:space="preserve"> 333</w:t>
            </w:r>
            <w:r w:rsidR="00AC6DA5" w:rsidRPr="00BC0ACB">
              <w:t xml:space="preserve"> </w:t>
            </w:r>
            <w:r w:rsidRPr="00BC0ACB">
              <w:t xml:space="preserve">406 </w:t>
            </w:r>
          </w:p>
        </w:tc>
        <w:tc>
          <w:tcPr>
            <w:tcW w:w="1274" w:type="dxa"/>
            <w:noWrap/>
            <w:hideMark/>
          </w:tcPr>
          <w:p w:rsidR="00826ADD" w:rsidRPr="00BC0ACB" w:rsidRDefault="00826ADD" w:rsidP="00536724">
            <w:pPr>
              <w:pStyle w:val="Tabletextright"/>
            </w:pPr>
            <w:r w:rsidRPr="00BC0ACB">
              <w:t xml:space="preserve"> 141</w:t>
            </w:r>
            <w:r w:rsidR="00AC6DA5" w:rsidRPr="00BC0ACB">
              <w:t xml:space="preserve"> </w:t>
            </w:r>
            <w:r w:rsidRPr="00BC0ACB">
              <w:t xml:space="preserve">475 </w:t>
            </w:r>
          </w:p>
        </w:tc>
        <w:tc>
          <w:tcPr>
            <w:tcW w:w="1274" w:type="dxa"/>
            <w:noWrap/>
            <w:hideMark/>
          </w:tcPr>
          <w:p w:rsidR="00826ADD" w:rsidRPr="00BC0ACB" w:rsidRDefault="00826ADD" w:rsidP="00536724">
            <w:pPr>
              <w:pStyle w:val="Tabletextright"/>
            </w:pPr>
            <w:r w:rsidRPr="00BC0ACB">
              <w:t xml:space="preserve"> 191</w:t>
            </w:r>
            <w:r w:rsidR="00AC6DA5" w:rsidRPr="00BC0ACB">
              <w:t xml:space="preserve"> </w:t>
            </w:r>
            <w:r w:rsidRPr="00BC0ACB">
              <w:t xml:space="preserve">931 </w:t>
            </w:r>
          </w:p>
        </w:tc>
      </w:tr>
      <w:tr w:rsidR="00826ADD" w:rsidRPr="00BC0ACB" w:rsidTr="008438C2">
        <w:tc>
          <w:tcPr>
            <w:tcW w:w="2396" w:type="dxa"/>
            <w:hideMark/>
          </w:tcPr>
          <w:p w:rsidR="00826ADD" w:rsidRPr="00BC0ACB" w:rsidRDefault="00826ADD" w:rsidP="00536724">
            <w:pPr>
              <w:pStyle w:val="Tabletext"/>
            </w:pPr>
            <w:r w:rsidRPr="00BC0ACB">
              <w:t>Ernst &amp; Young</w:t>
            </w:r>
          </w:p>
        </w:tc>
        <w:tc>
          <w:tcPr>
            <w:tcW w:w="3011" w:type="dxa"/>
            <w:hideMark/>
          </w:tcPr>
          <w:p w:rsidR="00826ADD" w:rsidRPr="00BC0ACB" w:rsidRDefault="00826ADD" w:rsidP="00536724">
            <w:pPr>
              <w:pStyle w:val="Tabletext"/>
            </w:pPr>
            <w:r w:rsidRPr="00BC0ACB">
              <w:t xml:space="preserve">Commercial and transaction advice (Review of </w:t>
            </w:r>
            <w:r w:rsidR="00E9038C" w:rsidRPr="00BC0ACB">
              <w:t>departmental landholdings</w:t>
            </w:r>
            <w:r w:rsidRPr="00BC0ACB">
              <w:t>)</w:t>
            </w:r>
          </w:p>
        </w:tc>
        <w:tc>
          <w:tcPr>
            <w:tcW w:w="1332" w:type="dxa"/>
            <w:noWrap/>
            <w:hideMark/>
          </w:tcPr>
          <w:p w:rsidR="00826ADD" w:rsidRPr="00BC0ACB" w:rsidRDefault="00826ADD" w:rsidP="00536724">
            <w:pPr>
              <w:pStyle w:val="Tabletextright"/>
            </w:pPr>
            <w:r w:rsidRPr="00BC0ACB">
              <w:t xml:space="preserve"> 235</w:t>
            </w:r>
            <w:r w:rsidR="00AC6DA5" w:rsidRPr="00BC0ACB">
              <w:t xml:space="preserve"> </w:t>
            </w:r>
            <w:r w:rsidRPr="00BC0ACB">
              <w:t xml:space="preserve">000 </w:t>
            </w:r>
          </w:p>
        </w:tc>
        <w:tc>
          <w:tcPr>
            <w:tcW w:w="1274" w:type="dxa"/>
            <w:noWrap/>
            <w:hideMark/>
          </w:tcPr>
          <w:p w:rsidR="00826ADD" w:rsidRPr="00BC0ACB" w:rsidRDefault="00826ADD" w:rsidP="00536724">
            <w:pPr>
              <w:pStyle w:val="Tabletextright"/>
            </w:pPr>
            <w:r w:rsidRPr="00BC0ACB">
              <w:t xml:space="preserve"> 200</w:t>
            </w:r>
            <w:r w:rsidR="00AC6DA5" w:rsidRPr="00BC0ACB">
              <w:t xml:space="preserve"> </w:t>
            </w:r>
            <w:r w:rsidRPr="00BC0ACB">
              <w:t xml:space="preserve">000 </w:t>
            </w:r>
          </w:p>
        </w:tc>
        <w:tc>
          <w:tcPr>
            <w:tcW w:w="1274" w:type="dxa"/>
            <w:noWrap/>
            <w:hideMark/>
          </w:tcPr>
          <w:p w:rsidR="00826ADD" w:rsidRPr="00BC0ACB" w:rsidRDefault="00826ADD" w:rsidP="00536724">
            <w:pPr>
              <w:pStyle w:val="Tabletextright"/>
            </w:pPr>
            <w:r w:rsidRPr="00BC0ACB">
              <w:t xml:space="preserve"> </w:t>
            </w:r>
            <w:r w:rsidR="00536724" w:rsidRPr="00BC0ACB">
              <w:rPr>
                <w:rFonts w:eastAsia="Times New Roman"/>
              </w:rPr>
              <w:t>–</w:t>
            </w:r>
            <w:r w:rsidRPr="00BC0ACB">
              <w:t xml:space="preserve"> </w:t>
            </w:r>
          </w:p>
        </w:tc>
      </w:tr>
      <w:tr w:rsidR="00826ADD" w:rsidRPr="00BC0ACB" w:rsidTr="008438C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396" w:type="dxa"/>
            <w:hideMark/>
          </w:tcPr>
          <w:p w:rsidR="00826ADD" w:rsidRPr="00BC0ACB" w:rsidRDefault="00826ADD" w:rsidP="00536724">
            <w:pPr>
              <w:pStyle w:val="Tabletext"/>
            </w:pPr>
            <w:r w:rsidRPr="00BC0ACB">
              <w:t>Ernst &amp; Young</w:t>
            </w:r>
          </w:p>
        </w:tc>
        <w:tc>
          <w:tcPr>
            <w:tcW w:w="3011" w:type="dxa"/>
            <w:hideMark/>
          </w:tcPr>
          <w:p w:rsidR="00826ADD" w:rsidRPr="00BC0ACB" w:rsidRDefault="00826ADD" w:rsidP="00536724">
            <w:pPr>
              <w:pStyle w:val="Tabletext"/>
            </w:pPr>
            <w:r w:rsidRPr="00BC0ACB">
              <w:t>Commercial and transaction advice (Capability and capacity analysis of key stakeholder perspectives)</w:t>
            </w:r>
          </w:p>
        </w:tc>
        <w:tc>
          <w:tcPr>
            <w:tcW w:w="1332" w:type="dxa"/>
            <w:noWrap/>
            <w:hideMark/>
          </w:tcPr>
          <w:p w:rsidR="00826ADD" w:rsidRPr="00BC0ACB" w:rsidRDefault="00826ADD" w:rsidP="00536724">
            <w:pPr>
              <w:pStyle w:val="Tabletextright"/>
            </w:pPr>
            <w:r w:rsidRPr="00BC0ACB">
              <w:t xml:space="preserve"> 18</w:t>
            </w:r>
            <w:r w:rsidR="00AC6DA5" w:rsidRPr="00BC0ACB">
              <w:t xml:space="preserve"> </w:t>
            </w:r>
            <w:r w:rsidRPr="00BC0ACB">
              <w:t xml:space="preserve">182 </w:t>
            </w:r>
          </w:p>
        </w:tc>
        <w:tc>
          <w:tcPr>
            <w:tcW w:w="1274" w:type="dxa"/>
            <w:noWrap/>
            <w:hideMark/>
          </w:tcPr>
          <w:p w:rsidR="00826ADD" w:rsidRPr="00BC0ACB" w:rsidRDefault="00826ADD" w:rsidP="00536724">
            <w:pPr>
              <w:pStyle w:val="Tabletextright"/>
            </w:pPr>
            <w:r w:rsidRPr="00BC0ACB">
              <w:t xml:space="preserve"> 18</w:t>
            </w:r>
            <w:r w:rsidR="00AC6DA5" w:rsidRPr="00BC0ACB">
              <w:t xml:space="preserve"> </w:t>
            </w:r>
            <w:r w:rsidRPr="00BC0ACB">
              <w:t xml:space="preserve">182 </w:t>
            </w:r>
          </w:p>
        </w:tc>
        <w:tc>
          <w:tcPr>
            <w:tcW w:w="1274" w:type="dxa"/>
            <w:noWrap/>
            <w:hideMark/>
          </w:tcPr>
          <w:p w:rsidR="00826ADD" w:rsidRPr="00BC0ACB" w:rsidRDefault="00826ADD" w:rsidP="00536724">
            <w:pPr>
              <w:pStyle w:val="Tabletextright"/>
            </w:pPr>
            <w:r w:rsidRPr="00BC0ACB">
              <w:t xml:space="preserve"> </w:t>
            </w:r>
            <w:r w:rsidR="00536724" w:rsidRPr="00BC0ACB">
              <w:rPr>
                <w:rFonts w:eastAsia="Times New Roman"/>
              </w:rPr>
              <w:t>–</w:t>
            </w:r>
            <w:r w:rsidRPr="00BC0ACB">
              <w:t xml:space="preserve"> </w:t>
            </w:r>
          </w:p>
        </w:tc>
      </w:tr>
      <w:tr w:rsidR="00826ADD" w:rsidRPr="00BC0ACB" w:rsidTr="008438C2">
        <w:tc>
          <w:tcPr>
            <w:tcW w:w="2396" w:type="dxa"/>
            <w:hideMark/>
          </w:tcPr>
          <w:p w:rsidR="00826ADD" w:rsidRPr="00BC0ACB" w:rsidRDefault="00826ADD" w:rsidP="00536724">
            <w:pPr>
              <w:pStyle w:val="Tabletext"/>
            </w:pPr>
            <w:r w:rsidRPr="00BC0ACB">
              <w:t>Ernst &amp; Young</w:t>
            </w:r>
          </w:p>
        </w:tc>
        <w:tc>
          <w:tcPr>
            <w:tcW w:w="3011" w:type="dxa"/>
            <w:hideMark/>
          </w:tcPr>
          <w:p w:rsidR="00826ADD" w:rsidRPr="00BC0ACB" w:rsidRDefault="00826ADD" w:rsidP="001B1449">
            <w:pPr>
              <w:pStyle w:val="Tabletext"/>
            </w:pPr>
            <w:r w:rsidRPr="00BC0ACB">
              <w:t xml:space="preserve">Commercial and transaction advice (Stage two </w:t>
            </w:r>
            <w:r w:rsidR="00E9038C" w:rsidRPr="00BC0ACB">
              <w:t>market-led</w:t>
            </w:r>
            <w:r w:rsidRPr="00BC0ACB">
              <w:t xml:space="preserve"> proposal)</w:t>
            </w:r>
          </w:p>
        </w:tc>
        <w:tc>
          <w:tcPr>
            <w:tcW w:w="1332" w:type="dxa"/>
            <w:noWrap/>
            <w:hideMark/>
          </w:tcPr>
          <w:p w:rsidR="00826ADD" w:rsidRPr="00BC0ACB" w:rsidRDefault="00826ADD" w:rsidP="00536724">
            <w:pPr>
              <w:pStyle w:val="Tabletextright"/>
            </w:pPr>
            <w:r w:rsidRPr="00BC0ACB">
              <w:t xml:space="preserve"> 70</w:t>
            </w:r>
            <w:r w:rsidR="00AC6DA5" w:rsidRPr="00BC0ACB">
              <w:t xml:space="preserve"> </w:t>
            </w:r>
            <w:r w:rsidRPr="00BC0ACB">
              <w:t xml:space="preserve">450 </w:t>
            </w:r>
          </w:p>
        </w:tc>
        <w:tc>
          <w:tcPr>
            <w:tcW w:w="1274" w:type="dxa"/>
            <w:noWrap/>
            <w:hideMark/>
          </w:tcPr>
          <w:p w:rsidR="00826ADD" w:rsidRPr="00BC0ACB" w:rsidRDefault="00826ADD" w:rsidP="00536724">
            <w:pPr>
              <w:pStyle w:val="Tabletextright"/>
            </w:pPr>
            <w:r w:rsidRPr="00BC0ACB">
              <w:t xml:space="preserve"> 70</w:t>
            </w:r>
            <w:r w:rsidR="00AC6DA5" w:rsidRPr="00BC0ACB">
              <w:t xml:space="preserve"> </w:t>
            </w:r>
            <w:r w:rsidRPr="00BC0ACB">
              <w:t xml:space="preserve">450 </w:t>
            </w:r>
          </w:p>
        </w:tc>
        <w:tc>
          <w:tcPr>
            <w:tcW w:w="1274" w:type="dxa"/>
            <w:noWrap/>
            <w:hideMark/>
          </w:tcPr>
          <w:p w:rsidR="00826ADD" w:rsidRPr="00BC0ACB" w:rsidRDefault="00826ADD" w:rsidP="00536724">
            <w:pPr>
              <w:pStyle w:val="Tabletextright"/>
            </w:pPr>
            <w:r w:rsidRPr="00BC0ACB">
              <w:t xml:space="preserve"> </w:t>
            </w:r>
            <w:r w:rsidR="00536724" w:rsidRPr="00BC0ACB">
              <w:rPr>
                <w:rFonts w:eastAsia="Times New Roman"/>
              </w:rPr>
              <w:t>–</w:t>
            </w:r>
            <w:r w:rsidRPr="00BC0ACB">
              <w:t xml:space="preserve"> </w:t>
            </w:r>
          </w:p>
        </w:tc>
      </w:tr>
      <w:tr w:rsidR="00826ADD" w:rsidRPr="00BC0ACB" w:rsidTr="008438C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396" w:type="dxa"/>
            <w:hideMark/>
          </w:tcPr>
          <w:p w:rsidR="00826ADD" w:rsidRPr="00BC0ACB" w:rsidRDefault="00826ADD" w:rsidP="00536724">
            <w:pPr>
              <w:pStyle w:val="Tabletext"/>
            </w:pPr>
            <w:r w:rsidRPr="00BC0ACB">
              <w:t>Ernst &amp; Young</w:t>
            </w:r>
          </w:p>
        </w:tc>
        <w:tc>
          <w:tcPr>
            <w:tcW w:w="3011" w:type="dxa"/>
            <w:hideMark/>
          </w:tcPr>
          <w:p w:rsidR="00826ADD" w:rsidRPr="00BC0ACB" w:rsidRDefault="00826ADD" w:rsidP="00536724">
            <w:pPr>
              <w:pStyle w:val="Tabletext"/>
            </w:pPr>
            <w:r w:rsidRPr="00BC0ACB">
              <w:t>Commercial and transaction advice (Snowy Hydro Project)</w:t>
            </w:r>
          </w:p>
        </w:tc>
        <w:tc>
          <w:tcPr>
            <w:tcW w:w="1332" w:type="dxa"/>
            <w:noWrap/>
            <w:hideMark/>
          </w:tcPr>
          <w:p w:rsidR="00826ADD" w:rsidRPr="00BC0ACB" w:rsidRDefault="00300ECD" w:rsidP="00BC0ACB">
            <w:pPr>
              <w:pStyle w:val="Tabletextright"/>
              <w:rPr>
                <w:strike/>
              </w:rPr>
            </w:pPr>
            <w:r w:rsidRPr="00BC0ACB">
              <w:t>210 682</w:t>
            </w:r>
          </w:p>
        </w:tc>
        <w:tc>
          <w:tcPr>
            <w:tcW w:w="1274" w:type="dxa"/>
            <w:noWrap/>
            <w:hideMark/>
          </w:tcPr>
          <w:p w:rsidR="00826ADD" w:rsidRPr="00BC0ACB" w:rsidRDefault="00826ADD" w:rsidP="00536724">
            <w:pPr>
              <w:pStyle w:val="Tabletextright"/>
            </w:pPr>
            <w:r w:rsidRPr="00BC0ACB">
              <w:t xml:space="preserve"> 180</w:t>
            </w:r>
            <w:r w:rsidR="00AC6DA5" w:rsidRPr="00BC0ACB">
              <w:t xml:space="preserve"> </w:t>
            </w:r>
            <w:r w:rsidRPr="00BC0ACB">
              <w:t xml:space="preserve">909 </w:t>
            </w:r>
          </w:p>
        </w:tc>
        <w:tc>
          <w:tcPr>
            <w:tcW w:w="1274" w:type="dxa"/>
            <w:noWrap/>
            <w:hideMark/>
          </w:tcPr>
          <w:p w:rsidR="00826ADD" w:rsidRPr="00BC0ACB" w:rsidRDefault="00826ADD" w:rsidP="00536724">
            <w:pPr>
              <w:pStyle w:val="Tabletextright"/>
            </w:pPr>
            <w:r w:rsidRPr="00BC0ACB">
              <w:t xml:space="preserve"> </w:t>
            </w:r>
            <w:r w:rsidR="00536724" w:rsidRPr="00BC0ACB">
              <w:rPr>
                <w:rFonts w:eastAsia="Times New Roman"/>
              </w:rPr>
              <w:t>–</w:t>
            </w:r>
            <w:r w:rsidRPr="00BC0ACB">
              <w:t xml:space="preserve"> </w:t>
            </w:r>
          </w:p>
        </w:tc>
      </w:tr>
      <w:tr w:rsidR="00826ADD" w:rsidRPr="00BC0ACB" w:rsidTr="008438C2">
        <w:tc>
          <w:tcPr>
            <w:tcW w:w="2396" w:type="dxa"/>
            <w:hideMark/>
          </w:tcPr>
          <w:p w:rsidR="00826ADD" w:rsidRPr="00BC0ACB" w:rsidRDefault="00826ADD" w:rsidP="00536724">
            <w:pPr>
              <w:pStyle w:val="Tabletext"/>
            </w:pPr>
            <w:r w:rsidRPr="00BC0ACB">
              <w:t>Firecone Ventures P/L</w:t>
            </w:r>
          </w:p>
        </w:tc>
        <w:tc>
          <w:tcPr>
            <w:tcW w:w="3011" w:type="dxa"/>
            <w:hideMark/>
          </w:tcPr>
          <w:p w:rsidR="00826ADD" w:rsidRPr="00BC0ACB" w:rsidRDefault="00826ADD" w:rsidP="00536724">
            <w:pPr>
              <w:pStyle w:val="Tabletext"/>
            </w:pPr>
            <w:r w:rsidRPr="00BC0ACB">
              <w:t>Commercial and transaction advice (West Gate Tunnel Project)</w:t>
            </w:r>
          </w:p>
        </w:tc>
        <w:tc>
          <w:tcPr>
            <w:tcW w:w="1332" w:type="dxa"/>
            <w:noWrap/>
            <w:hideMark/>
          </w:tcPr>
          <w:p w:rsidR="00826ADD" w:rsidRPr="00BC0ACB" w:rsidRDefault="00826ADD" w:rsidP="00536724">
            <w:pPr>
              <w:pStyle w:val="Tabletextright"/>
            </w:pPr>
            <w:r w:rsidRPr="00BC0ACB">
              <w:t xml:space="preserve"> 912</w:t>
            </w:r>
            <w:r w:rsidR="00AC6DA5" w:rsidRPr="00BC0ACB">
              <w:t xml:space="preserve"> </w:t>
            </w:r>
            <w:r w:rsidRPr="00BC0ACB">
              <w:t xml:space="preserve">280 </w:t>
            </w:r>
          </w:p>
        </w:tc>
        <w:tc>
          <w:tcPr>
            <w:tcW w:w="1274" w:type="dxa"/>
            <w:noWrap/>
            <w:hideMark/>
          </w:tcPr>
          <w:p w:rsidR="00826ADD" w:rsidRPr="00BC0ACB" w:rsidRDefault="00826ADD" w:rsidP="00536724">
            <w:pPr>
              <w:pStyle w:val="Tabletextright"/>
            </w:pPr>
            <w:r w:rsidRPr="00BC0ACB">
              <w:t xml:space="preserve"> 272</w:t>
            </w:r>
            <w:r w:rsidR="00AC6DA5" w:rsidRPr="00BC0ACB">
              <w:t xml:space="preserve"> </w:t>
            </w:r>
            <w:r w:rsidRPr="00BC0ACB">
              <w:t xml:space="preserve">164 </w:t>
            </w:r>
          </w:p>
        </w:tc>
        <w:tc>
          <w:tcPr>
            <w:tcW w:w="1274" w:type="dxa"/>
            <w:noWrap/>
            <w:hideMark/>
          </w:tcPr>
          <w:p w:rsidR="00826ADD" w:rsidRPr="00BC0ACB" w:rsidRDefault="00826ADD" w:rsidP="00536724">
            <w:pPr>
              <w:pStyle w:val="Tabletextright"/>
            </w:pPr>
            <w:r w:rsidRPr="00BC0ACB">
              <w:t xml:space="preserve"> </w:t>
            </w:r>
            <w:r w:rsidR="00536724" w:rsidRPr="00BC0ACB">
              <w:rPr>
                <w:rFonts w:eastAsia="Times New Roman"/>
              </w:rPr>
              <w:t>–</w:t>
            </w:r>
            <w:r w:rsidRPr="00BC0ACB">
              <w:t xml:space="preserve"> </w:t>
            </w:r>
          </w:p>
        </w:tc>
      </w:tr>
      <w:tr w:rsidR="00826ADD" w:rsidRPr="00BC0ACB" w:rsidTr="008438C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396" w:type="dxa"/>
            <w:hideMark/>
          </w:tcPr>
          <w:p w:rsidR="00826ADD" w:rsidRPr="00BC0ACB" w:rsidRDefault="00826ADD" w:rsidP="00536724">
            <w:pPr>
              <w:pStyle w:val="Tabletext"/>
            </w:pPr>
            <w:r w:rsidRPr="00BC0ACB">
              <w:t>Flagstaff Consulting Group Pty Ltd</w:t>
            </w:r>
          </w:p>
        </w:tc>
        <w:tc>
          <w:tcPr>
            <w:tcW w:w="3011" w:type="dxa"/>
            <w:hideMark/>
          </w:tcPr>
          <w:p w:rsidR="00826ADD" w:rsidRPr="00BC0ACB" w:rsidRDefault="00826ADD" w:rsidP="00536724">
            <w:pPr>
              <w:pStyle w:val="Tabletext"/>
            </w:pPr>
            <w:r w:rsidRPr="00BC0ACB">
              <w:t>Review of structure, process and practice (Governance review)</w:t>
            </w:r>
          </w:p>
        </w:tc>
        <w:tc>
          <w:tcPr>
            <w:tcW w:w="1332" w:type="dxa"/>
            <w:noWrap/>
            <w:hideMark/>
          </w:tcPr>
          <w:p w:rsidR="00826ADD" w:rsidRPr="00BC0ACB" w:rsidRDefault="00826ADD" w:rsidP="00536724">
            <w:pPr>
              <w:pStyle w:val="Tabletextright"/>
            </w:pPr>
            <w:r w:rsidRPr="00BC0ACB">
              <w:t xml:space="preserve"> 43</w:t>
            </w:r>
            <w:r w:rsidR="00AC6DA5" w:rsidRPr="00BC0ACB">
              <w:t xml:space="preserve"> </w:t>
            </w:r>
            <w:r w:rsidRPr="00BC0ACB">
              <w:t xml:space="preserve">374 </w:t>
            </w:r>
          </w:p>
        </w:tc>
        <w:tc>
          <w:tcPr>
            <w:tcW w:w="1274" w:type="dxa"/>
            <w:noWrap/>
            <w:hideMark/>
          </w:tcPr>
          <w:p w:rsidR="00826ADD" w:rsidRPr="00BC0ACB" w:rsidRDefault="00826ADD" w:rsidP="00536724">
            <w:pPr>
              <w:pStyle w:val="Tabletextright"/>
            </w:pPr>
            <w:r w:rsidRPr="00BC0ACB">
              <w:t xml:space="preserve"> 43</w:t>
            </w:r>
            <w:r w:rsidR="00AC6DA5" w:rsidRPr="00BC0ACB">
              <w:t xml:space="preserve"> </w:t>
            </w:r>
            <w:r w:rsidRPr="00BC0ACB">
              <w:t xml:space="preserve">374 </w:t>
            </w:r>
          </w:p>
        </w:tc>
        <w:tc>
          <w:tcPr>
            <w:tcW w:w="1274" w:type="dxa"/>
            <w:noWrap/>
            <w:hideMark/>
          </w:tcPr>
          <w:p w:rsidR="00826ADD" w:rsidRPr="00BC0ACB" w:rsidRDefault="00826ADD" w:rsidP="00536724">
            <w:pPr>
              <w:pStyle w:val="Tabletextright"/>
            </w:pPr>
            <w:r w:rsidRPr="00BC0ACB">
              <w:t xml:space="preserve"> </w:t>
            </w:r>
            <w:r w:rsidR="00536724" w:rsidRPr="00BC0ACB">
              <w:rPr>
                <w:rFonts w:eastAsia="Times New Roman"/>
              </w:rPr>
              <w:t>–</w:t>
            </w:r>
            <w:r w:rsidRPr="00BC0ACB">
              <w:t xml:space="preserve"> </w:t>
            </w:r>
          </w:p>
        </w:tc>
      </w:tr>
      <w:tr w:rsidR="00826ADD" w:rsidRPr="00BC0ACB" w:rsidTr="008438C2">
        <w:tc>
          <w:tcPr>
            <w:tcW w:w="2396" w:type="dxa"/>
            <w:hideMark/>
          </w:tcPr>
          <w:p w:rsidR="00826ADD" w:rsidRPr="00BC0ACB" w:rsidRDefault="00826ADD" w:rsidP="00536724">
            <w:pPr>
              <w:pStyle w:val="Tabletext"/>
            </w:pPr>
            <w:r w:rsidRPr="00BC0ACB">
              <w:t>Flagstaff Partners Pty Ltd</w:t>
            </w:r>
          </w:p>
        </w:tc>
        <w:tc>
          <w:tcPr>
            <w:tcW w:w="3011" w:type="dxa"/>
            <w:hideMark/>
          </w:tcPr>
          <w:p w:rsidR="00826ADD" w:rsidRPr="00BC0ACB" w:rsidRDefault="00826ADD" w:rsidP="00536724">
            <w:pPr>
              <w:pStyle w:val="Tabletext"/>
            </w:pPr>
            <w:r w:rsidRPr="00BC0ACB">
              <w:t>Commercial and transaction advice (</w:t>
            </w:r>
            <w:r w:rsidR="00E9038C" w:rsidRPr="00BC0ACB">
              <w:t>Commercialisation of land titles and registry functions of Land Use Victoria</w:t>
            </w:r>
            <w:r w:rsidRPr="00BC0ACB">
              <w:t>)</w:t>
            </w:r>
          </w:p>
        </w:tc>
        <w:tc>
          <w:tcPr>
            <w:tcW w:w="1332" w:type="dxa"/>
            <w:noWrap/>
            <w:hideMark/>
          </w:tcPr>
          <w:p w:rsidR="00826ADD" w:rsidRPr="00BC0ACB" w:rsidRDefault="00826ADD" w:rsidP="00BC0ACB">
            <w:pPr>
              <w:pStyle w:val="Tabletextright"/>
              <w:rPr>
                <w:strike/>
              </w:rPr>
            </w:pPr>
            <w:r w:rsidRPr="00BC0ACB">
              <w:t xml:space="preserve"> </w:t>
            </w:r>
            <w:r w:rsidR="00300ECD" w:rsidRPr="00BC0ACB">
              <w:t>89 673</w:t>
            </w:r>
          </w:p>
        </w:tc>
        <w:tc>
          <w:tcPr>
            <w:tcW w:w="1274" w:type="dxa"/>
            <w:noWrap/>
            <w:hideMark/>
          </w:tcPr>
          <w:p w:rsidR="00826ADD" w:rsidRPr="00BC0ACB" w:rsidRDefault="00826ADD" w:rsidP="00536724">
            <w:pPr>
              <w:pStyle w:val="Tabletextright"/>
            </w:pPr>
            <w:r w:rsidRPr="00BC0ACB">
              <w:t xml:space="preserve"> 62</w:t>
            </w:r>
            <w:r w:rsidR="00AC6DA5" w:rsidRPr="00BC0ACB">
              <w:t xml:space="preserve"> </w:t>
            </w:r>
            <w:r w:rsidRPr="00BC0ACB">
              <w:t xml:space="preserve">400 </w:t>
            </w:r>
          </w:p>
        </w:tc>
        <w:tc>
          <w:tcPr>
            <w:tcW w:w="1274" w:type="dxa"/>
            <w:noWrap/>
            <w:hideMark/>
          </w:tcPr>
          <w:p w:rsidR="00826ADD" w:rsidRPr="00BC0ACB" w:rsidRDefault="00826ADD" w:rsidP="00536724">
            <w:pPr>
              <w:pStyle w:val="Tabletextright"/>
            </w:pPr>
            <w:r w:rsidRPr="00BC0ACB">
              <w:t xml:space="preserve"> </w:t>
            </w:r>
            <w:r w:rsidR="00536724" w:rsidRPr="00BC0ACB">
              <w:rPr>
                <w:rFonts w:eastAsia="Times New Roman"/>
              </w:rPr>
              <w:t>–</w:t>
            </w:r>
            <w:r w:rsidRPr="00BC0ACB">
              <w:t xml:space="preserve"> </w:t>
            </w:r>
          </w:p>
        </w:tc>
      </w:tr>
      <w:tr w:rsidR="00826ADD" w:rsidRPr="00BC0ACB" w:rsidTr="008438C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396" w:type="dxa"/>
            <w:hideMark/>
          </w:tcPr>
          <w:p w:rsidR="00826ADD" w:rsidRPr="00BC0ACB" w:rsidRDefault="00826ADD" w:rsidP="00536724">
            <w:pPr>
              <w:pStyle w:val="Tabletext"/>
            </w:pPr>
            <w:r w:rsidRPr="00BC0ACB">
              <w:lastRenderedPageBreak/>
              <w:t>Flagstaff Partners Pty Ltd</w:t>
            </w:r>
          </w:p>
        </w:tc>
        <w:tc>
          <w:tcPr>
            <w:tcW w:w="3011" w:type="dxa"/>
            <w:hideMark/>
          </w:tcPr>
          <w:p w:rsidR="00826ADD" w:rsidRPr="00BC0ACB" w:rsidRDefault="00826ADD" w:rsidP="00536724">
            <w:pPr>
              <w:pStyle w:val="Tabletext"/>
            </w:pPr>
            <w:r w:rsidRPr="00BC0ACB">
              <w:t>Commercial and transaction advice (</w:t>
            </w:r>
            <w:r w:rsidR="00E9038C" w:rsidRPr="00BC0ACB">
              <w:t>Commercialisation of land titles and registry functions of Land Use Victoria</w:t>
            </w:r>
            <w:r w:rsidRPr="00BC0ACB">
              <w:t>)</w:t>
            </w:r>
          </w:p>
        </w:tc>
        <w:tc>
          <w:tcPr>
            <w:tcW w:w="1332" w:type="dxa"/>
            <w:noWrap/>
            <w:hideMark/>
          </w:tcPr>
          <w:p w:rsidR="00826ADD" w:rsidRPr="00BC0ACB" w:rsidRDefault="00826ADD" w:rsidP="00536724">
            <w:pPr>
              <w:pStyle w:val="Tabletextright"/>
            </w:pPr>
            <w:r w:rsidRPr="00BC0ACB">
              <w:t xml:space="preserve"> 850</w:t>
            </w:r>
            <w:r w:rsidR="00AC6DA5" w:rsidRPr="00BC0ACB">
              <w:t xml:space="preserve"> </w:t>
            </w:r>
            <w:r w:rsidRPr="00BC0ACB">
              <w:t xml:space="preserve">000 </w:t>
            </w:r>
          </w:p>
        </w:tc>
        <w:tc>
          <w:tcPr>
            <w:tcW w:w="1274" w:type="dxa"/>
            <w:noWrap/>
            <w:hideMark/>
          </w:tcPr>
          <w:p w:rsidR="00826ADD" w:rsidRPr="00BC0ACB" w:rsidRDefault="00826ADD" w:rsidP="00536724">
            <w:pPr>
              <w:pStyle w:val="Tabletextright"/>
            </w:pPr>
            <w:r w:rsidRPr="00BC0ACB">
              <w:t xml:space="preserve"> 112</w:t>
            </w:r>
            <w:r w:rsidR="00AC6DA5" w:rsidRPr="00BC0ACB">
              <w:t xml:space="preserve"> </w:t>
            </w:r>
            <w:r w:rsidRPr="00BC0ACB">
              <w:t xml:space="preserve">500 </w:t>
            </w:r>
          </w:p>
        </w:tc>
        <w:tc>
          <w:tcPr>
            <w:tcW w:w="1274" w:type="dxa"/>
            <w:noWrap/>
            <w:hideMark/>
          </w:tcPr>
          <w:p w:rsidR="00826ADD" w:rsidRPr="00BC0ACB" w:rsidRDefault="00826ADD" w:rsidP="00536724">
            <w:pPr>
              <w:pStyle w:val="Tabletextright"/>
            </w:pPr>
            <w:r w:rsidRPr="00BC0ACB">
              <w:t xml:space="preserve"> 737</w:t>
            </w:r>
            <w:r w:rsidR="00AC6DA5" w:rsidRPr="00BC0ACB">
              <w:t xml:space="preserve"> </w:t>
            </w:r>
            <w:r w:rsidRPr="00BC0ACB">
              <w:t xml:space="preserve">500 </w:t>
            </w:r>
          </w:p>
        </w:tc>
      </w:tr>
      <w:tr w:rsidR="00826ADD" w:rsidRPr="00BC0ACB" w:rsidTr="008438C2">
        <w:tc>
          <w:tcPr>
            <w:tcW w:w="2396" w:type="dxa"/>
            <w:hideMark/>
          </w:tcPr>
          <w:p w:rsidR="00826ADD" w:rsidRPr="00BC0ACB" w:rsidRDefault="00826ADD" w:rsidP="00536724">
            <w:pPr>
              <w:pStyle w:val="Tabletext"/>
            </w:pPr>
            <w:r w:rsidRPr="00BC0ACB">
              <w:t>Frontier Economics Pty Ltd</w:t>
            </w:r>
          </w:p>
        </w:tc>
        <w:tc>
          <w:tcPr>
            <w:tcW w:w="3011" w:type="dxa"/>
            <w:hideMark/>
          </w:tcPr>
          <w:p w:rsidR="00826ADD" w:rsidRPr="00BC0ACB" w:rsidRDefault="00826ADD" w:rsidP="00536724">
            <w:pPr>
              <w:pStyle w:val="Tabletext"/>
            </w:pPr>
            <w:r w:rsidRPr="00BC0ACB">
              <w:t>General professional services (Financial advice on road asset management)</w:t>
            </w:r>
          </w:p>
        </w:tc>
        <w:tc>
          <w:tcPr>
            <w:tcW w:w="1332" w:type="dxa"/>
            <w:noWrap/>
            <w:hideMark/>
          </w:tcPr>
          <w:p w:rsidR="00826ADD" w:rsidRPr="00BC0ACB" w:rsidRDefault="00826ADD" w:rsidP="00536724">
            <w:pPr>
              <w:pStyle w:val="Tabletextright"/>
            </w:pPr>
            <w:r w:rsidRPr="00BC0ACB">
              <w:t xml:space="preserve"> 83</w:t>
            </w:r>
            <w:r w:rsidR="00AC6DA5" w:rsidRPr="00BC0ACB">
              <w:t xml:space="preserve"> </w:t>
            </w:r>
            <w:r w:rsidRPr="00BC0ACB">
              <w:t xml:space="preserve">050 </w:t>
            </w:r>
          </w:p>
        </w:tc>
        <w:tc>
          <w:tcPr>
            <w:tcW w:w="1274" w:type="dxa"/>
            <w:noWrap/>
            <w:hideMark/>
          </w:tcPr>
          <w:p w:rsidR="00826ADD" w:rsidRPr="00BC0ACB" w:rsidRDefault="00826ADD" w:rsidP="00536724">
            <w:pPr>
              <w:pStyle w:val="Tabletextright"/>
            </w:pPr>
            <w:r w:rsidRPr="00BC0ACB">
              <w:t xml:space="preserve"> 16</w:t>
            </w:r>
            <w:r w:rsidR="00AC6DA5" w:rsidRPr="00BC0ACB">
              <w:t xml:space="preserve"> </w:t>
            </w:r>
            <w:r w:rsidRPr="00BC0ACB">
              <w:t xml:space="preserve">610 </w:t>
            </w:r>
          </w:p>
        </w:tc>
        <w:tc>
          <w:tcPr>
            <w:tcW w:w="1274" w:type="dxa"/>
            <w:noWrap/>
            <w:hideMark/>
          </w:tcPr>
          <w:p w:rsidR="00826ADD" w:rsidRPr="00BC0ACB" w:rsidRDefault="00826ADD" w:rsidP="00536724">
            <w:pPr>
              <w:pStyle w:val="Tabletextright"/>
            </w:pPr>
            <w:r w:rsidRPr="00BC0ACB">
              <w:t xml:space="preserve"> </w:t>
            </w:r>
            <w:r w:rsidR="00536724" w:rsidRPr="00BC0ACB">
              <w:rPr>
                <w:rFonts w:eastAsia="Times New Roman"/>
              </w:rPr>
              <w:t>–</w:t>
            </w:r>
            <w:r w:rsidRPr="00BC0ACB">
              <w:t xml:space="preserve"> </w:t>
            </w:r>
          </w:p>
        </w:tc>
      </w:tr>
      <w:tr w:rsidR="00826ADD" w:rsidRPr="00BC0ACB" w:rsidTr="008438C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396" w:type="dxa"/>
            <w:hideMark/>
          </w:tcPr>
          <w:p w:rsidR="00826ADD" w:rsidRPr="00BC0ACB" w:rsidRDefault="00826ADD" w:rsidP="00536724">
            <w:pPr>
              <w:pStyle w:val="Tabletext"/>
            </w:pPr>
            <w:r w:rsidRPr="00BC0ACB">
              <w:t>Gemma Varley Pty Ltd</w:t>
            </w:r>
          </w:p>
        </w:tc>
        <w:tc>
          <w:tcPr>
            <w:tcW w:w="3011" w:type="dxa"/>
            <w:hideMark/>
          </w:tcPr>
          <w:p w:rsidR="00826ADD" w:rsidRPr="00BC0ACB" w:rsidRDefault="00826ADD" w:rsidP="00536724">
            <w:pPr>
              <w:pStyle w:val="Tabletext"/>
            </w:pPr>
            <w:r w:rsidRPr="00BC0ACB">
              <w:t>Commercial and transaction advice (West Gate Tunnel Project)</w:t>
            </w:r>
          </w:p>
        </w:tc>
        <w:tc>
          <w:tcPr>
            <w:tcW w:w="1332" w:type="dxa"/>
            <w:noWrap/>
            <w:hideMark/>
          </w:tcPr>
          <w:p w:rsidR="00826ADD" w:rsidRPr="00BC0ACB" w:rsidRDefault="00826ADD" w:rsidP="00536724">
            <w:pPr>
              <w:pStyle w:val="Tabletextright"/>
            </w:pPr>
            <w:r w:rsidRPr="00BC0ACB">
              <w:t xml:space="preserve"> 22</w:t>
            </w:r>
            <w:r w:rsidR="00AC6DA5" w:rsidRPr="00BC0ACB">
              <w:t xml:space="preserve"> </w:t>
            </w:r>
            <w:r w:rsidRPr="00BC0ACB">
              <w:t xml:space="preserve">955 </w:t>
            </w:r>
          </w:p>
        </w:tc>
        <w:tc>
          <w:tcPr>
            <w:tcW w:w="1274" w:type="dxa"/>
            <w:noWrap/>
            <w:hideMark/>
          </w:tcPr>
          <w:p w:rsidR="00826ADD" w:rsidRPr="00BC0ACB" w:rsidRDefault="00826ADD" w:rsidP="00536724">
            <w:pPr>
              <w:pStyle w:val="Tabletextright"/>
            </w:pPr>
            <w:r w:rsidRPr="00BC0ACB">
              <w:t xml:space="preserve"> 22</w:t>
            </w:r>
            <w:r w:rsidR="00AC6DA5" w:rsidRPr="00BC0ACB">
              <w:t xml:space="preserve"> </w:t>
            </w:r>
            <w:r w:rsidRPr="00BC0ACB">
              <w:t xml:space="preserve">955 </w:t>
            </w:r>
          </w:p>
        </w:tc>
        <w:tc>
          <w:tcPr>
            <w:tcW w:w="1274" w:type="dxa"/>
            <w:noWrap/>
            <w:hideMark/>
          </w:tcPr>
          <w:p w:rsidR="00826ADD" w:rsidRPr="00BC0ACB" w:rsidRDefault="00826ADD" w:rsidP="00536724">
            <w:pPr>
              <w:pStyle w:val="Tabletextright"/>
            </w:pPr>
            <w:r w:rsidRPr="00BC0ACB">
              <w:t xml:space="preserve"> </w:t>
            </w:r>
            <w:r w:rsidR="00536724" w:rsidRPr="00BC0ACB">
              <w:rPr>
                <w:rFonts w:eastAsia="Times New Roman"/>
              </w:rPr>
              <w:t>–</w:t>
            </w:r>
            <w:r w:rsidRPr="00BC0ACB">
              <w:t xml:space="preserve"> </w:t>
            </w:r>
          </w:p>
        </w:tc>
      </w:tr>
      <w:tr w:rsidR="008438C2" w:rsidRPr="00BC0ACB" w:rsidTr="008438C2">
        <w:tc>
          <w:tcPr>
            <w:tcW w:w="2396" w:type="dxa"/>
            <w:hideMark/>
          </w:tcPr>
          <w:p w:rsidR="008438C2" w:rsidRPr="00BC0ACB" w:rsidRDefault="008438C2" w:rsidP="00AF6D81">
            <w:pPr>
              <w:pStyle w:val="Tabletext"/>
            </w:pPr>
            <w:r w:rsidRPr="00BC0ACB">
              <w:t>Ian K Munro Advisory Services</w:t>
            </w:r>
          </w:p>
        </w:tc>
        <w:tc>
          <w:tcPr>
            <w:tcW w:w="3011" w:type="dxa"/>
            <w:hideMark/>
          </w:tcPr>
          <w:p w:rsidR="008438C2" w:rsidRPr="00BC0ACB" w:rsidRDefault="008438C2" w:rsidP="00AF6D81">
            <w:pPr>
              <w:pStyle w:val="Tabletext"/>
            </w:pPr>
            <w:r w:rsidRPr="00BC0ACB">
              <w:t>General professional services (Procurement options overview)</w:t>
            </w:r>
          </w:p>
        </w:tc>
        <w:tc>
          <w:tcPr>
            <w:tcW w:w="1332" w:type="dxa"/>
            <w:noWrap/>
            <w:hideMark/>
          </w:tcPr>
          <w:p w:rsidR="008438C2" w:rsidRPr="00BC0ACB" w:rsidRDefault="008438C2" w:rsidP="00AF6D81">
            <w:pPr>
              <w:pStyle w:val="Tabletextright"/>
            </w:pPr>
            <w:r w:rsidRPr="00BC0ACB">
              <w:t xml:space="preserve"> 51 927 </w:t>
            </w:r>
          </w:p>
        </w:tc>
        <w:tc>
          <w:tcPr>
            <w:tcW w:w="1274" w:type="dxa"/>
            <w:noWrap/>
            <w:hideMark/>
          </w:tcPr>
          <w:p w:rsidR="008438C2" w:rsidRPr="00BC0ACB" w:rsidRDefault="008438C2" w:rsidP="00AF6D81">
            <w:pPr>
              <w:pStyle w:val="Tabletextright"/>
            </w:pPr>
            <w:r w:rsidRPr="00BC0ACB">
              <w:t xml:space="preserve"> 51 927 </w:t>
            </w:r>
          </w:p>
        </w:tc>
        <w:tc>
          <w:tcPr>
            <w:tcW w:w="1274" w:type="dxa"/>
            <w:noWrap/>
            <w:hideMark/>
          </w:tcPr>
          <w:p w:rsidR="008438C2" w:rsidRPr="00BC0ACB" w:rsidRDefault="008438C2" w:rsidP="00AF6D81">
            <w:pPr>
              <w:pStyle w:val="Tabletextright"/>
            </w:pPr>
            <w:r w:rsidRPr="00BC0ACB">
              <w:t xml:space="preserve"> </w:t>
            </w:r>
            <w:r w:rsidRPr="00BC0ACB">
              <w:rPr>
                <w:rFonts w:eastAsia="Times New Roman"/>
              </w:rPr>
              <w:t>–</w:t>
            </w:r>
            <w:r w:rsidRPr="00BC0ACB">
              <w:t xml:space="preserve"> </w:t>
            </w:r>
          </w:p>
        </w:tc>
      </w:tr>
      <w:tr w:rsidR="00826ADD" w:rsidRPr="00BC0ACB" w:rsidTr="008438C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396" w:type="dxa"/>
            <w:hideMark/>
          </w:tcPr>
          <w:p w:rsidR="00826ADD" w:rsidRPr="00BC0ACB" w:rsidRDefault="00826ADD" w:rsidP="00536724">
            <w:pPr>
              <w:pStyle w:val="Tabletext"/>
            </w:pPr>
            <w:r w:rsidRPr="00BC0ACB">
              <w:t>Ironstone Capital Advisory Pty Ltd</w:t>
            </w:r>
          </w:p>
        </w:tc>
        <w:tc>
          <w:tcPr>
            <w:tcW w:w="3011" w:type="dxa"/>
            <w:hideMark/>
          </w:tcPr>
          <w:p w:rsidR="00826ADD" w:rsidRPr="00BC0ACB" w:rsidRDefault="00826ADD" w:rsidP="00536724">
            <w:pPr>
              <w:pStyle w:val="Tabletext"/>
            </w:pPr>
            <w:r w:rsidRPr="00BC0ACB">
              <w:t>Commercial and transaction advice (Implementation of Victorian Social Housing Growth Fund)</w:t>
            </w:r>
          </w:p>
        </w:tc>
        <w:tc>
          <w:tcPr>
            <w:tcW w:w="1332" w:type="dxa"/>
            <w:noWrap/>
            <w:hideMark/>
          </w:tcPr>
          <w:p w:rsidR="00826ADD" w:rsidRPr="00BC0ACB" w:rsidRDefault="00826ADD" w:rsidP="00536724">
            <w:pPr>
              <w:pStyle w:val="Tabletextright"/>
            </w:pPr>
            <w:r w:rsidRPr="00BC0ACB">
              <w:t xml:space="preserve"> 611</w:t>
            </w:r>
            <w:r w:rsidR="00AC6DA5" w:rsidRPr="00BC0ACB">
              <w:t xml:space="preserve"> </w:t>
            </w:r>
            <w:r w:rsidRPr="00BC0ACB">
              <w:t xml:space="preserve">818 </w:t>
            </w:r>
          </w:p>
        </w:tc>
        <w:tc>
          <w:tcPr>
            <w:tcW w:w="1274" w:type="dxa"/>
            <w:noWrap/>
            <w:hideMark/>
          </w:tcPr>
          <w:p w:rsidR="00826ADD" w:rsidRPr="00BC0ACB" w:rsidRDefault="00826ADD" w:rsidP="00536724">
            <w:pPr>
              <w:pStyle w:val="Tabletextright"/>
            </w:pPr>
            <w:r w:rsidRPr="00BC0ACB">
              <w:t xml:space="preserve"> 581</w:t>
            </w:r>
            <w:r w:rsidR="00AC6DA5" w:rsidRPr="00BC0ACB">
              <w:t xml:space="preserve"> </w:t>
            </w:r>
            <w:r w:rsidRPr="00BC0ACB">
              <w:t xml:space="preserve">818 </w:t>
            </w:r>
          </w:p>
        </w:tc>
        <w:tc>
          <w:tcPr>
            <w:tcW w:w="1274" w:type="dxa"/>
            <w:noWrap/>
            <w:hideMark/>
          </w:tcPr>
          <w:p w:rsidR="00826ADD" w:rsidRPr="00BC0ACB" w:rsidRDefault="00826ADD" w:rsidP="00536724">
            <w:pPr>
              <w:pStyle w:val="Tabletextright"/>
            </w:pPr>
            <w:r w:rsidRPr="00BC0ACB">
              <w:t xml:space="preserve"> </w:t>
            </w:r>
            <w:r w:rsidR="00536724" w:rsidRPr="00BC0ACB">
              <w:rPr>
                <w:rFonts w:eastAsia="Times New Roman"/>
              </w:rPr>
              <w:t>–</w:t>
            </w:r>
            <w:r w:rsidRPr="00BC0ACB">
              <w:t xml:space="preserve"> </w:t>
            </w:r>
          </w:p>
        </w:tc>
      </w:tr>
      <w:tr w:rsidR="00826ADD" w:rsidRPr="00BC0ACB" w:rsidTr="008438C2">
        <w:tc>
          <w:tcPr>
            <w:tcW w:w="2396" w:type="dxa"/>
            <w:hideMark/>
          </w:tcPr>
          <w:p w:rsidR="00826ADD" w:rsidRPr="00BC0ACB" w:rsidRDefault="00826ADD" w:rsidP="00536724">
            <w:pPr>
              <w:pStyle w:val="Tabletext"/>
            </w:pPr>
            <w:r w:rsidRPr="00BC0ACB">
              <w:t>King &amp; Wood Mallesons</w:t>
            </w:r>
          </w:p>
        </w:tc>
        <w:tc>
          <w:tcPr>
            <w:tcW w:w="3011" w:type="dxa"/>
            <w:hideMark/>
          </w:tcPr>
          <w:p w:rsidR="00915D59" w:rsidRPr="00BC0ACB" w:rsidRDefault="00826ADD" w:rsidP="00915D59">
            <w:pPr>
              <w:pStyle w:val="Tabletext"/>
            </w:pPr>
            <w:r w:rsidRPr="00BC0ACB">
              <w:t>Com</w:t>
            </w:r>
            <w:r w:rsidR="00960C1C" w:rsidRPr="00BC0ACB">
              <w:t>mercial and transaction advice</w:t>
            </w:r>
            <w:r w:rsidR="00915D59" w:rsidRPr="00BC0ACB">
              <w:t xml:space="preserve"> (Social impact bonds)</w:t>
            </w:r>
          </w:p>
        </w:tc>
        <w:tc>
          <w:tcPr>
            <w:tcW w:w="1332" w:type="dxa"/>
            <w:noWrap/>
            <w:hideMark/>
          </w:tcPr>
          <w:p w:rsidR="00826ADD" w:rsidRPr="00BC0ACB" w:rsidRDefault="00826ADD" w:rsidP="00536724">
            <w:pPr>
              <w:pStyle w:val="Tabletextright"/>
            </w:pPr>
            <w:r w:rsidRPr="00BC0ACB">
              <w:t xml:space="preserve"> 195</w:t>
            </w:r>
            <w:r w:rsidR="00AC6DA5" w:rsidRPr="00BC0ACB">
              <w:t xml:space="preserve"> </w:t>
            </w:r>
            <w:r w:rsidRPr="00BC0ACB">
              <w:t xml:space="preserve">455 </w:t>
            </w:r>
          </w:p>
        </w:tc>
        <w:tc>
          <w:tcPr>
            <w:tcW w:w="1274" w:type="dxa"/>
            <w:noWrap/>
            <w:hideMark/>
          </w:tcPr>
          <w:p w:rsidR="00826ADD" w:rsidRPr="00BC0ACB" w:rsidRDefault="00826ADD" w:rsidP="00536724">
            <w:pPr>
              <w:pStyle w:val="Tabletextright"/>
            </w:pPr>
            <w:r w:rsidRPr="00BC0ACB">
              <w:t xml:space="preserve"> 144</w:t>
            </w:r>
            <w:r w:rsidR="00AC6DA5" w:rsidRPr="00BC0ACB">
              <w:t xml:space="preserve"> </w:t>
            </w:r>
            <w:r w:rsidRPr="00BC0ACB">
              <w:t xml:space="preserve">277 </w:t>
            </w:r>
          </w:p>
        </w:tc>
        <w:tc>
          <w:tcPr>
            <w:tcW w:w="1274" w:type="dxa"/>
            <w:noWrap/>
            <w:hideMark/>
          </w:tcPr>
          <w:p w:rsidR="00826ADD" w:rsidRPr="00BC0ACB" w:rsidRDefault="00826ADD" w:rsidP="00536724">
            <w:pPr>
              <w:pStyle w:val="Tabletextright"/>
            </w:pPr>
            <w:r w:rsidRPr="00BC0ACB">
              <w:t xml:space="preserve"> 51</w:t>
            </w:r>
            <w:r w:rsidR="00AC6DA5" w:rsidRPr="00BC0ACB">
              <w:t xml:space="preserve"> </w:t>
            </w:r>
            <w:r w:rsidRPr="00BC0ACB">
              <w:t xml:space="preserve">178 </w:t>
            </w:r>
          </w:p>
        </w:tc>
      </w:tr>
      <w:tr w:rsidR="00826ADD" w:rsidRPr="00BC0ACB" w:rsidTr="008438C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396" w:type="dxa"/>
            <w:hideMark/>
          </w:tcPr>
          <w:p w:rsidR="00826ADD" w:rsidRPr="00BC0ACB" w:rsidRDefault="00826ADD" w:rsidP="00536724">
            <w:pPr>
              <w:pStyle w:val="Tabletext"/>
            </w:pPr>
            <w:r w:rsidRPr="00BC0ACB">
              <w:t>KPMG</w:t>
            </w:r>
          </w:p>
        </w:tc>
        <w:tc>
          <w:tcPr>
            <w:tcW w:w="3011" w:type="dxa"/>
            <w:hideMark/>
          </w:tcPr>
          <w:p w:rsidR="00826ADD" w:rsidRPr="00BC0ACB" w:rsidRDefault="00826ADD" w:rsidP="00536724">
            <w:pPr>
              <w:pStyle w:val="Tabletext"/>
            </w:pPr>
            <w:r w:rsidRPr="00BC0ACB">
              <w:t xml:space="preserve">Commercial and transaction advice (Implementation of </w:t>
            </w:r>
            <w:r w:rsidR="00E9038C" w:rsidRPr="00BC0ACB">
              <w:rPr>
                <w:i/>
              </w:rPr>
              <w:t>HomesVic</w:t>
            </w:r>
            <w:r w:rsidRPr="00BC0ACB">
              <w:t>)</w:t>
            </w:r>
          </w:p>
        </w:tc>
        <w:tc>
          <w:tcPr>
            <w:tcW w:w="1332" w:type="dxa"/>
            <w:noWrap/>
            <w:hideMark/>
          </w:tcPr>
          <w:p w:rsidR="00826ADD" w:rsidRPr="00BC0ACB" w:rsidRDefault="00826ADD" w:rsidP="00536724">
            <w:pPr>
              <w:pStyle w:val="Tabletextright"/>
            </w:pPr>
            <w:r w:rsidRPr="00BC0ACB">
              <w:t xml:space="preserve"> 495</w:t>
            </w:r>
            <w:r w:rsidR="00AC6DA5" w:rsidRPr="00BC0ACB">
              <w:t xml:space="preserve"> </w:t>
            </w:r>
            <w:r w:rsidRPr="00BC0ACB">
              <w:t xml:space="preserve">727 </w:t>
            </w:r>
          </w:p>
        </w:tc>
        <w:tc>
          <w:tcPr>
            <w:tcW w:w="1274" w:type="dxa"/>
            <w:noWrap/>
            <w:hideMark/>
          </w:tcPr>
          <w:p w:rsidR="00826ADD" w:rsidRPr="00BC0ACB" w:rsidRDefault="00826ADD" w:rsidP="00536724">
            <w:pPr>
              <w:pStyle w:val="Tabletextright"/>
            </w:pPr>
            <w:r w:rsidRPr="00BC0ACB">
              <w:t xml:space="preserve"> 495</w:t>
            </w:r>
            <w:r w:rsidR="00AC6DA5" w:rsidRPr="00BC0ACB">
              <w:t xml:space="preserve"> </w:t>
            </w:r>
            <w:r w:rsidRPr="00BC0ACB">
              <w:t xml:space="preserve">727 </w:t>
            </w:r>
          </w:p>
        </w:tc>
        <w:tc>
          <w:tcPr>
            <w:tcW w:w="1274" w:type="dxa"/>
            <w:noWrap/>
            <w:hideMark/>
          </w:tcPr>
          <w:p w:rsidR="00826ADD" w:rsidRPr="00BC0ACB" w:rsidRDefault="00826ADD" w:rsidP="00536724">
            <w:pPr>
              <w:pStyle w:val="Tabletextright"/>
            </w:pPr>
            <w:r w:rsidRPr="00BC0ACB">
              <w:t xml:space="preserve"> </w:t>
            </w:r>
            <w:r w:rsidR="00536724" w:rsidRPr="00BC0ACB">
              <w:rPr>
                <w:rFonts w:eastAsia="Times New Roman"/>
              </w:rPr>
              <w:t>–</w:t>
            </w:r>
            <w:r w:rsidRPr="00BC0ACB">
              <w:t xml:space="preserve"> </w:t>
            </w:r>
          </w:p>
        </w:tc>
      </w:tr>
      <w:tr w:rsidR="00826ADD" w:rsidRPr="00BC0ACB" w:rsidTr="008438C2">
        <w:tc>
          <w:tcPr>
            <w:tcW w:w="2396" w:type="dxa"/>
            <w:hideMark/>
          </w:tcPr>
          <w:p w:rsidR="00826ADD" w:rsidRPr="00BC0ACB" w:rsidRDefault="00826ADD" w:rsidP="00536724">
            <w:pPr>
              <w:pStyle w:val="Tabletext"/>
            </w:pPr>
            <w:r w:rsidRPr="00BC0ACB">
              <w:t>KPMG</w:t>
            </w:r>
          </w:p>
        </w:tc>
        <w:tc>
          <w:tcPr>
            <w:tcW w:w="3011" w:type="dxa"/>
            <w:hideMark/>
          </w:tcPr>
          <w:p w:rsidR="00826ADD" w:rsidRPr="00BC0ACB" w:rsidRDefault="00826ADD" w:rsidP="00960C1C">
            <w:pPr>
              <w:pStyle w:val="Tabletext"/>
            </w:pPr>
            <w:r w:rsidRPr="00BC0ACB">
              <w:t>Com</w:t>
            </w:r>
            <w:r w:rsidR="00960C1C" w:rsidRPr="00BC0ACB">
              <w:t xml:space="preserve">mercial and transaction advice </w:t>
            </w:r>
          </w:p>
        </w:tc>
        <w:tc>
          <w:tcPr>
            <w:tcW w:w="1332" w:type="dxa"/>
            <w:noWrap/>
            <w:hideMark/>
          </w:tcPr>
          <w:p w:rsidR="00826ADD" w:rsidRPr="00BC0ACB" w:rsidRDefault="00826ADD" w:rsidP="00536724">
            <w:pPr>
              <w:pStyle w:val="Tabletextright"/>
            </w:pPr>
            <w:r w:rsidRPr="00BC0ACB">
              <w:t xml:space="preserve"> 500</w:t>
            </w:r>
            <w:r w:rsidR="00AC6DA5" w:rsidRPr="00BC0ACB">
              <w:t xml:space="preserve"> </w:t>
            </w:r>
            <w:r w:rsidRPr="00BC0ACB">
              <w:t xml:space="preserve">000 </w:t>
            </w:r>
          </w:p>
        </w:tc>
        <w:tc>
          <w:tcPr>
            <w:tcW w:w="1274" w:type="dxa"/>
            <w:noWrap/>
            <w:hideMark/>
          </w:tcPr>
          <w:p w:rsidR="00826ADD" w:rsidRPr="00BC0ACB" w:rsidRDefault="00826ADD" w:rsidP="00536724">
            <w:pPr>
              <w:pStyle w:val="Tabletextright"/>
            </w:pPr>
            <w:r w:rsidRPr="00BC0ACB">
              <w:t xml:space="preserve"> 305</w:t>
            </w:r>
            <w:r w:rsidR="00AC6DA5" w:rsidRPr="00BC0ACB">
              <w:t xml:space="preserve"> </w:t>
            </w:r>
            <w:r w:rsidRPr="00BC0ACB">
              <w:t xml:space="preserve">000 </w:t>
            </w:r>
          </w:p>
        </w:tc>
        <w:tc>
          <w:tcPr>
            <w:tcW w:w="1274" w:type="dxa"/>
            <w:noWrap/>
            <w:hideMark/>
          </w:tcPr>
          <w:p w:rsidR="00826ADD" w:rsidRPr="00BC0ACB" w:rsidRDefault="00826ADD" w:rsidP="00536724">
            <w:pPr>
              <w:pStyle w:val="Tabletextright"/>
            </w:pPr>
            <w:r w:rsidRPr="00BC0ACB">
              <w:t xml:space="preserve"> </w:t>
            </w:r>
            <w:r w:rsidR="00536724" w:rsidRPr="00BC0ACB">
              <w:rPr>
                <w:rFonts w:eastAsia="Times New Roman"/>
              </w:rPr>
              <w:t>–</w:t>
            </w:r>
            <w:r w:rsidRPr="00BC0ACB">
              <w:t xml:space="preserve"> </w:t>
            </w:r>
          </w:p>
        </w:tc>
      </w:tr>
      <w:tr w:rsidR="00826ADD" w:rsidRPr="00BC0ACB" w:rsidTr="008438C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396" w:type="dxa"/>
            <w:hideMark/>
          </w:tcPr>
          <w:p w:rsidR="00826ADD" w:rsidRPr="00BC0ACB" w:rsidRDefault="00826ADD" w:rsidP="00536724">
            <w:pPr>
              <w:pStyle w:val="Tabletext"/>
            </w:pPr>
            <w:r w:rsidRPr="00BC0ACB">
              <w:t>KPMG</w:t>
            </w:r>
          </w:p>
        </w:tc>
        <w:tc>
          <w:tcPr>
            <w:tcW w:w="3011" w:type="dxa"/>
            <w:hideMark/>
          </w:tcPr>
          <w:p w:rsidR="00826ADD" w:rsidRPr="00BC0ACB" w:rsidRDefault="00826ADD" w:rsidP="00536724">
            <w:pPr>
              <w:pStyle w:val="Tabletext"/>
            </w:pPr>
            <w:r w:rsidRPr="00BC0ACB">
              <w:t xml:space="preserve">General professional services (Procurement </w:t>
            </w:r>
            <w:r w:rsidR="00E9038C" w:rsidRPr="00BC0ACB">
              <w:t xml:space="preserve">savings </w:t>
            </w:r>
            <w:r w:rsidRPr="00BC0ACB">
              <w:t>opportunities)</w:t>
            </w:r>
          </w:p>
        </w:tc>
        <w:tc>
          <w:tcPr>
            <w:tcW w:w="1332" w:type="dxa"/>
            <w:noWrap/>
            <w:hideMark/>
          </w:tcPr>
          <w:p w:rsidR="00826ADD" w:rsidRPr="00BC0ACB" w:rsidRDefault="00826ADD" w:rsidP="00536724">
            <w:pPr>
              <w:pStyle w:val="Tabletextright"/>
            </w:pPr>
            <w:r w:rsidRPr="00BC0ACB">
              <w:t xml:space="preserve"> 173</w:t>
            </w:r>
            <w:r w:rsidR="00AC6DA5" w:rsidRPr="00BC0ACB">
              <w:t xml:space="preserve"> </w:t>
            </w:r>
            <w:r w:rsidRPr="00BC0ACB">
              <w:t xml:space="preserve">696 </w:t>
            </w:r>
          </w:p>
        </w:tc>
        <w:tc>
          <w:tcPr>
            <w:tcW w:w="1274" w:type="dxa"/>
            <w:noWrap/>
            <w:hideMark/>
          </w:tcPr>
          <w:p w:rsidR="00826ADD" w:rsidRPr="00BC0ACB" w:rsidRDefault="00826ADD" w:rsidP="00536724">
            <w:pPr>
              <w:pStyle w:val="Tabletextright"/>
            </w:pPr>
            <w:r w:rsidRPr="00BC0ACB">
              <w:t xml:space="preserve"> 173</w:t>
            </w:r>
            <w:r w:rsidR="00AC6DA5" w:rsidRPr="00BC0ACB">
              <w:t xml:space="preserve"> </w:t>
            </w:r>
            <w:r w:rsidRPr="00BC0ACB">
              <w:t xml:space="preserve">696 </w:t>
            </w:r>
          </w:p>
        </w:tc>
        <w:tc>
          <w:tcPr>
            <w:tcW w:w="1274" w:type="dxa"/>
            <w:noWrap/>
            <w:hideMark/>
          </w:tcPr>
          <w:p w:rsidR="00826ADD" w:rsidRPr="00BC0ACB" w:rsidRDefault="00826ADD" w:rsidP="00536724">
            <w:pPr>
              <w:pStyle w:val="Tabletextright"/>
            </w:pPr>
            <w:r w:rsidRPr="00BC0ACB">
              <w:t xml:space="preserve"> </w:t>
            </w:r>
            <w:r w:rsidR="00536724" w:rsidRPr="00BC0ACB">
              <w:rPr>
                <w:rFonts w:eastAsia="Times New Roman"/>
              </w:rPr>
              <w:t>–</w:t>
            </w:r>
            <w:r w:rsidRPr="00BC0ACB">
              <w:t xml:space="preserve"> </w:t>
            </w:r>
          </w:p>
        </w:tc>
      </w:tr>
      <w:tr w:rsidR="00826ADD" w:rsidRPr="00BC0ACB" w:rsidTr="008438C2">
        <w:tc>
          <w:tcPr>
            <w:tcW w:w="2396" w:type="dxa"/>
            <w:hideMark/>
          </w:tcPr>
          <w:p w:rsidR="00826ADD" w:rsidRPr="00BC0ACB" w:rsidRDefault="00826ADD" w:rsidP="00536724">
            <w:pPr>
              <w:pStyle w:val="Tabletext"/>
            </w:pPr>
            <w:r w:rsidRPr="00BC0ACB">
              <w:t>KPMG</w:t>
            </w:r>
          </w:p>
        </w:tc>
        <w:tc>
          <w:tcPr>
            <w:tcW w:w="3011" w:type="dxa"/>
            <w:hideMark/>
          </w:tcPr>
          <w:p w:rsidR="00826ADD" w:rsidRPr="00BC0ACB" w:rsidRDefault="00826ADD" w:rsidP="00536724">
            <w:pPr>
              <w:pStyle w:val="Tabletext"/>
            </w:pPr>
            <w:r w:rsidRPr="00BC0ACB">
              <w:t>Commercial and tra</w:t>
            </w:r>
            <w:r w:rsidR="00CE2230" w:rsidRPr="00BC0ACB">
              <w:t>nsaction advice (Review of high</w:t>
            </w:r>
            <w:r w:rsidR="00CE2230" w:rsidRPr="00BC0ACB">
              <w:noBreakHyphen/>
            </w:r>
            <w:r w:rsidRPr="00BC0ACB">
              <w:t xml:space="preserve">performing private </w:t>
            </w:r>
            <w:r w:rsidR="00E9038C" w:rsidRPr="00BC0ACB">
              <w:t>registered training organisations</w:t>
            </w:r>
            <w:r w:rsidRPr="00BC0ACB">
              <w:t xml:space="preserve"> of </w:t>
            </w:r>
            <w:r w:rsidR="00E9038C" w:rsidRPr="00BC0ACB">
              <w:t xml:space="preserve">Vocational Education and Training </w:t>
            </w:r>
            <w:r w:rsidRPr="00BC0ACB">
              <w:t>market reform)</w:t>
            </w:r>
          </w:p>
        </w:tc>
        <w:tc>
          <w:tcPr>
            <w:tcW w:w="1332" w:type="dxa"/>
            <w:noWrap/>
            <w:hideMark/>
          </w:tcPr>
          <w:p w:rsidR="00826ADD" w:rsidRPr="00BC0ACB" w:rsidRDefault="00826ADD" w:rsidP="00536724">
            <w:pPr>
              <w:pStyle w:val="Tabletextright"/>
            </w:pPr>
            <w:r w:rsidRPr="00BC0ACB">
              <w:t xml:space="preserve"> 54</w:t>
            </w:r>
            <w:r w:rsidR="00AC6DA5" w:rsidRPr="00BC0ACB">
              <w:t xml:space="preserve"> </w:t>
            </w:r>
            <w:r w:rsidRPr="00BC0ACB">
              <w:t xml:space="preserve">519 </w:t>
            </w:r>
          </w:p>
        </w:tc>
        <w:tc>
          <w:tcPr>
            <w:tcW w:w="1274" w:type="dxa"/>
            <w:noWrap/>
            <w:hideMark/>
          </w:tcPr>
          <w:p w:rsidR="00826ADD" w:rsidRPr="00BC0ACB" w:rsidRDefault="00826ADD" w:rsidP="00536724">
            <w:pPr>
              <w:pStyle w:val="Tabletextright"/>
            </w:pPr>
            <w:r w:rsidRPr="00BC0ACB">
              <w:t xml:space="preserve"> 54</w:t>
            </w:r>
            <w:r w:rsidR="00AC6DA5" w:rsidRPr="00BC0ACB">
              <w:t xml:space="preserve"> </w:t>
            </w:r>
            <w:r w:rsidRPr="00BC0ACB">
              <w:t xml:space="preserve">519 </w:t>
            </w:r>
          </w:p>
        </w:tc>
        <w:tc>
          <w:tcPr>
            <w:tcW w:w="1274" w:type="dxa"/>
            <w:noWrap/>
            <w:hideMark/>
          </w:tcPr>
          <w:p w:rsidR="00826ADD" w:rsidRPr="00BC0ACB" w:rsidRDefault="00826ADD" w:rsidP="00536724">
            <w:pPr>
              <w:pStyle w:val="Tabletextright"/>
            </w:pPr>
            <w:r w:rsidRPr="00BC0ACB">
              <w:t xml:space="preserve"> </w:t>
            </w:r>
            <w:r w:rsidR="00536724" w:rsidRPr="00BC0ACB">
              <w:rPr>
                <w:rFonts w:eastAsia="Times New Roman"/>
              </w:rPr>
              <w:t>–</w:t>
            </w:r>
            <w:r w:rsidRPr="00BC0ACB">
              <w:t xml:space="preserve"> </w:t>
            </w:r>
          </w:p>
        </w:tc>
      </w:tr>
      <w:tr w:rsidR="00826ADD" w:rsidRPr="00BC0ACB" w:rsidTr="008438C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396" w:type="dxa"/>
            <w:hideMark/>
          </w:tcPr>
          <w:p w:rsidR="00826ADD" w:rsidRPr="00BC0ACB" w:rsidRDefault="00826ADD" w:rsidP="00536724">
            <w:pPr>
              <w:pStyle w:val="Tabletext"/>
            </w:pPr>
            <w:r w:rsidRPr="00BC0ACB">
              <w:t>KPMG</w:t>
            </w:r>
          </w:p>
        </w:tc>
        <w:tc>
          <w:tcPr>
            <w:tcW w:w="3011" w:type="dxa"/>
            <w:hideMark/>
          </w:tcPr>
          <w:p w:rsidR="00826ADD" w:rsidRPr="00BC0ACB" w:rsidRDefault="00826ADD" w:rsidP="00960C1C">
            <w:pPr>
              <w:pStyle w:val="Tabletext"/>
            </w:pPr>
            <w:r w:rsidRPr="00BC0ACB">
              <w:t>Co</w:t>
            </w:r>
            <w:r w:rsidR="00960C1C" w:rsidRPr="00BC0ACB">
              <w:t>mmercial and transaction advice</w:t>
            </w:r>
          </w:p>
        </w:tc>
        <w:tc>
          <w:tcPr>
            <w:tcW w:w="1332" w:type="dxa"/>
            <w:noWrap/>
            <w:hideMark/>
          </w:tcPr>
          <w:p w:rsidR="00826ADD" w:rsidRPr="00BC0ACB" w:rsidRDefault="00826ADD" w:rsidP="00536724">
            <w:pPr>
              <w:pStyle w:val="Tabletextright"/>
            </w:pPr>
            <w:r w:rsidRPr="00BC0ACB">
              <w:t xml:space="preserve"> 363</w:t>
            </w:r>
            <w:r w:rsidR="00AC6DA5" w:rsidRPr="00BC0ACB">
              <w:t xml:space="preserve"> </w:t>
            </w:r>
            <w:r w:rsidRPr="00BC0ACB">
              <w:t xml:space="preserve">636 </w:t>
            </w:r>
          </w:p>
        </w:tc>
        <w:tc>
          <w:tcPr>
            <w:tcW w:w="1274" w:type="dxa"/>
            <w:noWrap/>
            <w:hideMark/>
          </w:tcPr>
          <w:p w:rsidR="00826ADD" w:rsidRPr="00BC0ACB" w:rsidRDefault="00826ADD" w:rsidP="00536724">
            <w:pPr>
              <w:pStyle w:val="Tabletextright"/>
            </w:pPr>
            <w:r w:rsidRPr="00BC0ACB">
              <w:t xml:space="preserve"> 95</w:t>
            </w:r>
            <w:r w:rsidR="00AC6DA5" w:rsidRPr="00BC0ACB">
              <w:t xml:space="preserve"> </w:t>
            </w:r>
            <w:r w:rsidRPr="00BC0ACB">
              <w:t xml:space="preserve">000 </w:t>
            </w:r>
          </w:p>
        </w:tc>
        <w:tc>
          <w:tcPr>
            <w:tcW w:w="1274" w:type="dxa"/>
            <w:noWrap/>
            <w:hideMark/>
          </w:tcPr>
          <w:p w:rsidR="00826ADD" w:rsidRPr="00BC0ACB" w:rsidRDefault="00826ADD" w:rsidP="00536724">
            <w:pPr>
              <w:pStyle w:val="Tabletextright"/>
            </w:pPr>
            <w:r w:rsidRPr="00BC0ACB">
              <w:t xml:space="preserve"> </w:t>
            </w:r>
            <w:r w:rsidR="00536724" w:rsidRPr="00BC0ACB">
              <w:rPr>
                <w:rFonts w:eastAsia="Times New Roman"/>
              </w:rPr>
              <w:t>–</w:t>
            </w:r>
            <w:r w:rsidRPr="00BC0ACB">
              <w:t xml:space="preserve"> </w:t>
            </w:r>
          </w:p>
        </w:tc>
      </w:tr>
      <w:tr w:rsidR="00826ADD" w:rsidRPr="00BC0ACB" w:rsidTr="008438C2">
        <w:tc>
          <w:tcPr>
            <w:tcW w:w="2396" w:type="dxa"/>
            <w:hideMark/>
          </w:tcPr>
          <w:p w:rsidR="00826ADD" w:rsidRPr="00BC0ACB" w:rsidRDefault="00826ADD" w:rsidP="00536724">
            <w:pPr>
              <w:pStyle w:val="Tabletext"/>
            </w:pPr>
            <w:r w:rsidRPr="00BC0ACB">
              <w:t>KPMG</w:t>
            </w:r>
          </w:p>
        </w:tc>
        <w:tc>
          <w:tcPr>
            <w:tcW w:w="3011" w:type="dxa"/>
            <w:hideMark/>
          </w:tcPr>
          <w:p w:rsidR="00826ADD" w:rsidRPr="00BC0ACB" w:rsidRDefault="00826ADD" w:rsidP="00536724">
            <w:pPr>
              <w:pStyle w:val="Tabletext"/>
            </w:pPr>
            <w:r w:rsidRPr="00BC0ACB">
              <w:t>Commercial and transaction advice (</w:t>
            </w:r>
            <w:r w:rsidR="00E9038C" w:rsidRPr="00BC0ACB">
              <w:t>Commercialisation of land titles and registry functions of Land Use Victoria</w:t>
            </w:r>
            <w:r w:rsidRPr="00BC0ACB">
              <w:t>)</w:t>
            </w:r>
          </w:p>
        </w:tc>
        <w:tc>
          <w:tcPr>
            <w:tcW w:w="1332" w:type="dxa"/>
            <w:noWrap/>
            <w:hideMark/>
          </w:tcPr>
          <w:p w:rsidR="00826ADD" w:rsidRPr="00BC0ACB" w:rsidRDefault="00826ADD" w:rsidP="00536724">
            <w:pPr>
              <w:pStyle w:val="Tabletextright"/>
            </w:pPr>
            <w:r w:rsidRPr="00BC0ACB">
              <w:t xml:space="preserve"> 4</w:t>
            </w:r>
            <w:r w:rsidR="00AC6DA5" w:rsidRPr="00BC0ACB">
              <w:t xml:space="preserve"> </w:t>
            </w:r>
            <w:r w:rsidRPr="00BC0ACB">
              <w:t>810</w:t>
            </w:r>
            <w:r w:rsidR="00AC6DA5" w:rsidRPr="00BC0ACB">
              <w:t xml:space="preserve"> </w:t>
            </w:r>
            <w:r w:rsidRPr="00BC0ACB">
              <w:t xml:space="preserve">305 </w:t>
            </w:r>
          </w:p>
        </w:tc>
        <w:tc>
          <w:tcPr>
            <w:tcW w:w="1274" w:type="dxa"/>
            <w:noWrap/>
            <w:hideMark/>
          </w:tcPr>
          <w:p w:rsidR="00826ADD" w:rsidRPr="00BC0ACB" w:rsidRDefault="00826ADD" w:rsidP="00536724">
            <w:pPr>
              <w:pStyle w:val="Tabletextright"/>
            </w:pPr>
            <w:r w:rsidRPr="00BC0ACB">
              <w:t xml:space="preserve"> 2</w:t>
            </w:r>
            <w:r w:rsidR="00AC6DA5" w:rsidRPr="00BC0ACB">
              <w:t xml:space="preserve"> </w:t>
            </w:r>
            <w:r w:rsidRPr="00BC0ACB">
              <w:t>582</w:t>
            </w:r>
            <w:r w:rsidR="00AC6DA5" w:rsidRPr="00BC0ACB">
              <w:t xml:space="preserve"> </w:t>
            </w:r>
            <w:r w:rsidRPr="00BC0ACB">
              <w:t xml:space="preserve">416 </w:t>
            </w:r>
          </w:p>
        </w:tc>
        <w:tc>
          <w:tcPr>
            <w:tcW w:w="1274" w:type="dxa"/>
            <w:noWrap/>
            <w:hideMark/>
          </w:tcPr>
          <w:p w:rsidR="00826ADD" w:rsidRPr="00BC0ACB" w:rsidRDefault="00826ADD" w:rsidP="00536724">
            <w:pPr>
              <w:pStyle w:val="Tabletextright"/>
            </w:pPr>
            <w:r w:rsidRPr="00BC0ACB">
              <w:t xml:space="preserve"> 2</w:t>
            </w:r>
            <w:r w:rsidR="00AC6DA5" w:rsidRPr="00BC0ACB">
              <w:t xml:space="preserve"> </w:t>
            </w:r>
            <w:r w:rsidRPr="00BC0ACB">
              <w:t>227</w:t>
            </w:r>
            <w:r w:rsidR="00AC6DA5" w:rsidRPr="00BC0ACB">
              <w:t xml:space="preserve"> </w:t>
            </w:r>
            <w:r w:rsidRPr="00BC0ACB">
              <w:t xml:space="preserve">889 </w:t>
            </w:r>
          </w:p>
        </w:tc>
      </w:tr>
      <w:tr w:rsidR="00826ADD" w:rsidRPr="00BC0ACB" w:rsidTr="008438C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396" w:type="dxa"/>
            <w:hideMark/>
          </w:tcPr>
          <w:p w:rsidR="00826ADD" w:rsidRPr="00BC0ACB" w:rsidRDefault="00826ADD" w:rsidP="00536724">
            <w:pPr>
              <w:pStyle w:val="Tabletext"/>
            </w:pPr>
            <w:r w:rsidRPr="00BC0ACB">
              <w:t>List A Barristers</w:t>
            </w:r>
          </w:p>
        </w:tc>
        <w:tc>
          <w:tcPr>
            <w:tcW w:w="3011" w:type="dxa"/>
            <w:hideMark/>
          </w:tcPr>
          <w:p w:rsidR="00826ADD" w:rsidRPr="00BC0ACB" w:rsidRDefault="00826ADD" w:rsidP="00536724">
            <w:pPr>
              <w:pStyle w:val="Tabletext"/>
            </w:pPr>
            <w:r w:rsidRPr="00BC0ACB">
              <w:t>Commercial and transaction advice (West Gate Tunnel Project)</w:t>
            </w:r>
          </w:p>
        </w:tc>
        <w:tc>
          <w:tcPr>
            <w:tcW w:w="1332" w:type="dxa"/>
            <w:noWrap/>
            <w:hideMark/>
          </w:tcPr>
          <w:p w:rsidR="00826ADD" w:rsidRPr="00BC0ACB" w:rsidRDefault="00826ADD" w:rsidP="00536724">
            <w:pPr>
              <w:pStyle w:val="Tabletextright"/>
            </w:pPr>
            <w:r w:rsidRPr="00BC0ACB">
              <w:t xml:space="preserve"> 1</w:t>
            </w:r>
            <w:r w:rsidR="00AC6DA5" w:rsidRPr="00BC0ACB">
              <w:t xml:space="preserve"> </w:t>
            </w:r>
            <w:r w:rsidRPr="00BC0ACB">
              <w:t>622</w:t>
            </w:r>
            <w:r w:rsidR="00AC6DA5" w:rsidRPr="00BC0ACB">
              <w:t xml:space="preserve"> </w:t>
            </w:r>
            <w:r w:rsidRPr="00BC0ACB">
              <w:t xml:space="preserve">200 </w:t>
            </w:r>
          </w:p>
        </w:tc>
        <w:tc>
          <w:tcPr>
            <w:tcW w:w="1274" w:type="dxa"/>
            <w:noWrap/>
            <w:hideMark/>
          </w:tcPr>
          <w:p w:rsidR="00826ADD" w:rsidRPr="00BC0ACB" w:rsidRDefault="00826ADD" w:rsidP="00536724">
            <w:pPr>
              <w:pStyle w:val="Tabletextright"/>
            </w:pPr>
            <w:r w:rsidRPr="00BC0ACB">
              <w:t xml:space="preserve"> 1</w:t>
            </w:r>
            <w:r w:rsidR="00AC6DA5" w:rsidRPr="00BC0ACB">
              <w:t xml:space="preserve"> </w:t>
            </w:r>
            <w:r w:rsidRPr="00BC0ACB">
              <w:t>622</w:t>
            </w:r>
            <w:r w:rsidR="00AC6DA5" w:rsidRPr="00BC0ACB">
              <w:t xml:space="preserve"> </w:t>
            </w:r>
            <w:r w:rsidRPr="00BC0ACB">
              <w:t xml:space="preserve">200 </w:t>
            </w:r>
          </w:p>
        </w:tc>
        <w:tc>
          <w:tcPr>
            <w:tcW w:w="1274" w:type="dxa"/>
            <w:noWrap/>
            <w:hideMark/>
          </w:tcPr>
          <w:p w:rsidR="00826ADD" w:rsidRPr="00BC0ACB" w:rsidRDefault="00826ADD" w:rsidP="00536724">
            <w:pPr>
              <w:pStyle w:val="Tabletextright"/>
            </w:pPr>
            <w:r w:rsidRPr="00BC0ACB">
              <w:t xml:space="preserve"> </w:t>
            </w:r>
            <w:r w:rsidR="00536724" w:rsidRPr="00BC0ACB">
              <w:rPr>
                <w:rFonts w:eastAsia="Times New Roman"/>
              </w:rPr>
              <w:t>–</w:t>
            </w:r>
            <w:r w:rsidRPr="00BC0ACB">
              <w:t xml:space="preserve"> </w:t>
            </w:r>
          </w:p>
        </w:tc>
      </w:tr>
      <w:tr w:rsidR="00826ADD" w:rsidRPr="00BC0ACB" w:rsidTr="008438C2">
        <w:tc>
          <w:tcPr>
            <w:tcW w:w="2396" w:type="dxa"/>
            <w:hideMark/>
          </w:tcPr>
          <w:p w:rsidR="00826ADD" w:rsidRPr="00BC0ACB" w:rsidRDefault="00826ADD" w:rsidP="00536724">
            <w:pPr>
              <w:pStyle w:val="Tabletext"/>
            </w:pPr>
            <w:r w:rsidRPr="00BC0ACB">
              <w:t>M21 Advisory Pty Ltd</w:t>
            </w:r>
          </w:p>
        </w:tc>
        <w:tc>
          <w:tcPr>
            <w:tcW w:w="3011" w:type="dxa"/>
            <w:hideMark/>
          </w:tcPr>
          <w:p w:rsidR="00826ADD" w:rsidRPr="00BC0ACB" w:rsidRDefault="00826ADD" w:rsidP="00536724">
            <w:pPr>
              <w:pStyle w:val="Tabletext"/>
            </w:pPr>
            <w:r w:rsidRPr="00BC0ACB">
              <w:t xml:space="preserve">Framework development and policy research (Establishment of </w:t>
            </w:r>
            <w:r w:rsidR="00E9038C" w:rsidRPr="00BC0ACB">
              <w:t>the Office of Projects Victoria</w:t>
            </w:r>
            <w:r w:rsidRPr="00BC0ACB">
              <w:t xml:space="preserve"> function and capability)</w:t>
            </w:r>
          </w:p>
        </w:tc>
        <w:tc>
          <w:tcPr>
            <w:tcW w:w="1332" w:type="dxa"/>
            <w:noWrap/>
            <w:hideMark/>
          </w:tcPr>
          <w:p w:rsidR="00826ADD" w:rsidRPr="00BC0ACB" w:rsidRDefault="00826ADD" w:rsidP="00536724">
            <w:pPr>
              <w:pStyle w:val="Tabletextright"/>
            </w:pPr>
            <w:r w:rsidRPr="00BC0ACB">
              <w:t xml:space="preserve"> 234</w:t>
            </w:r>
            <w:r w:rsidR="00AC6DA5" w:rsidRPr="00BC0ACB">
              <w:t xml:space="preserve"> </w:t>
            </w:r>
            <w:r w:rsidRPr="00BC0ACB">
              <w:t xml:space="preserve">545 </w:t>
            </w:r>
          </w:p>
        </w:tc>
        <w:tc>
          <w:tcPr>
            <w:tcW w:w="1274" w:type="dxa"/>
            <w:noWrap/>
            <w:hideMark/>
          </w:tcPr>
          <w:p w:rsidR="00826ADD" w:rsidRPr="00BC0ACB" w:rsidRDefault="00826ADD" w:rsidP="00536724">
            <w:pPr>
              <w:pStyle w:val="Tabletextright"/>
            </w:pPr>
            <w:r w:rsidRPr="00BC0ACB">
              <w:t xml:space="preserve"> 207</w:t>
            </w:r>
            <w:r w:rsidR="00AC6DA5" w:rsidRPr="00BC0ACB">
              <w:t xml:space="preserve"> </w:t>
            </w:r>
            <w:r w:rsidRPr="00BC0ACB">
              <w:t xml:space="preserve">954 </w:t>
            </w:r>
          </w:p>
        </w:tc>
        <w:tc>
          <w:tcPr>
            <w:tcW w:w="1274" w:type="dxa"/>
            <w:noWrap/>
            <w:hideMark/>
          </w:tcPr>
          <w:p w:rsidR="00826ADD" w:rsidRPr="00BC0ACB" w:rsidRDefault="00826ADD" w:rsidP="00536724">
            <w:pPr>
              <w:pStyle w:val="Tabletextright"/>
            </w:pPr>
            <w:r w:rsidRPr="00BC0ACB">
              <w:t xml:space="preserve"> </w:t>
            </w:r>
            <w:r w:rsidR="00536724" w:rsidRPr="00BC0ACB">
              <w:rPr>
                <w:rFonts w:eastAsia="Times New Roman"/>
              </w:rPr>
              <w:t>–</w:t>
            </w:r>
            <w:r w:rsidRPr="00BC0ACB">
              <w:t xml:space="preserve"> </w:t>
            </w:r>
          </w:p>
        </w:tc>
      </w:tr>
      <w:tr w:rsidR="00826ADD" w:rsidRPr="00BC0ACB" w:rsidTr="008438C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396" w:type="dxa"/>
            <w:hideMark/>
          </w:tcPr>
          <w:p w:rsidR="00826ADD" w:rsidRPr="00BC0ACB" w:rsidRDefault="00826ADD" w:rsidP="00536724">
            <w:pPr>
              <w:pStyle w:val="Tabletext"/>
            </w:pPr>
            <w:r w:rsidRPr="00BC0ACB">
              <w:t>Mallen Investments Pty Ltd</w:t>
            </w:r>
          </w:p>
        </w:tc>
        <w:tc>
          <w:tcPr>
            <w:tcW w:w="3011" w:type="dxa"/>
            <w:hideMark/>
          </w:tcPr>
          <w:p w:rsidR="00826ADD" w:rsidRPr="00BC0ACB" w:rsidRDefault="00826ADD" w:rsidP="00536724">
            <w:pPr>
              <w:pStyle w:val="Tabletext"/>
            </w:pPr>
            <w:r w:rsidRPr="00BC0ACB">
              <w:t xml:space="preserve">General professional services (Working </w:t>
            </w:r>
            <w:r w:rsidR="00E9038C" w:rsidRPr="00BC0ACB">
              <w:t xml:space="preserve">capital </w:t>
            </w:r>
            <w:r w:rsidRPr="00BC0ACB">
              <w:t>review)</w:t>
            </w:r>
          </w:p>
        </w:tc>
        <w:tc>
          <w:tcPr>
            <w:tcW w:w="1332" w:type="dxa"/>
            <w:noWrap/>
            <w:hideMark/>
          </w:tcPr>
          <w:p w:rsidR="00826ADD" w:rsidRPr="00BC0ACB" w:rsidRDefault="00826ADD" w:rsidP="00536724">
            <w:pPr>
              <w:pStyle w:val="Tabletextright"/>
            </w:pPr>
            <w:r w:rsidRPr="00BC0ACB">
              <w:t xml:space="preserve"> 329</w:t>
            </w:r>
            <w:r w:rsidR="00AC6DA5" w:rsidRPr="00BC0ACB">
              <w:t xml:space="preserve"> </w:t>
            </w:r>
            <w:r w:rsidRPr="00BC0ACB">
              <w:t xml:space="preserve">727 </w:t>
            </w:r>
          </w:p>
        </w:tc>
        <w:tc>
          <w:tcPr>
            <w:tcW w:w="1274" w:type="dxa"/>
            <w:noWrap/>
            <w:hideMark/>
          </w:tcPr>
          <w:p w:rsidR="00826ADD" w:rsidRPr="00BC0ACB" w:rsidRDefault="00826ADD" w:rsidP="00536724">
            <w:pPr>
              <w:pStyle w:val="Tabletextright"/>
            </w:pPr>
            <w:r w:rsidRPr="00BC0ACB">
              <w:t xml:space="preserve"> 253</w:t>
            </w:r>
            <w:r w:rsidR="00AC6DA5" w:rsidRPr="00BC0ACB">
              <w:t xml:space="preserve"> </w:t>
            </w:r>
            <w:r w:rsidRPr="00BC0ACB">
              <w:t xml:space="preserve">500 </w:t>
            </w:r>
          </w:p>
        </w:tc>
        <w:tc>
          <w:tcPr>
            <w:tcW w:w="1274" w:type="dxa"/>
            <w:noWrap/>
            <w:hideMark/>
          </w:tcPr>
          <w:p w:rsidR="00826ADD" w:rsidRPr="00BC0ACB" w:rsidRDefault="00826ADD" w:rsidP="00536724">
            <w:pPr>
              <w:pStyle w:val="Tabletextright"/>
            </w:pPr>
            <w:r w:rsidRPr="00BC0ACB">
              <w:t xml:space="preserve"> </w:t>
            </w:r>
            <w:r w:rsidR="00536724" w:rsidRPr="00BC0ACB">
              <w:rPr>
                <w:rFonts w:eastAsia="Times New Roman"/>
              </w:rPr>
              <w:t>–</w:t>
            </w:r>
            <w:r w:rsidRPr="00BC0ACB">
              <w:t xml:space="preserve"> </w:t>
            </w:r>
          </w:p>
        </w:tc>
      </w:tr>
      <w:tr w:rsidR="00826ADD" w:rsidRPr="00BC0ACB" w:rsidTr="008438C2">
        <w:tc>
          <w:tcPr>
            <w:tcW w:w="2396" w:type="dxa"/>
            <w:hideMark/>
          </w:tcPr>
          <w:p w:rsidR="00826ADD" w:rsidRPr="00BC0ACB" w:rsidRDefault="00826ADD" w:rsidP="00536724">
            <w:pPr>
              <w:pStyle w:val="Tabletext"/>
            </w:pPr>
            <w:r w:rsidRPr="00BC0ACB">
              <w:t>Mercer Consulting (Australia) Pty Ltd</w:t>
            </w:r>
          </w:p>
        </w:tc>
        <w:tc>
          <w:tcPr>
            <w:tcW w:w="3011" w:type="dxa"/>
            <w:hideMark/>
          </w:tcPr>
          <w:p w:rsidR="00826ADD" w:rsidRPr="00BC0ACB" w:rsidRDefault="00826ADD" w:rsidP="00536724">
            <w:pPr>
              <w:pStyle w:val="Tabletext"/>
            </w:pPr>
            <w:r w:rsidRPr="00BC0ACB">
              <w:t>General professional services (Emergency Services Defined Benefit Scheme)</w:t>
            </w:r>
          </w:p>
        </w:tc>
        <w:tc>
          <w:tcPr>
            <w:tcW w:w="1332" w:type="dxa"/>
            <w:noWrap/>
            <w:hideMark/>
          </w:tcPr>
          <w:p w:rsidR="00826ADD" w:rsidRPr="00BC0ACB" w:rsidRDefault="00826ADD" w:rsidP="00536724">
            <w:pPr>
              <w:pStyle w:val="Tabletextright"/>
            </w:pPr>
            <w:r w:rsidRPr="00BC0ACB">
              <w:t xml:space="preserve"> 139</w:t>
            </w:r>
            <w:r w:rsidR="00AC6DA5" w:rsidRPr="00BC0ACB">
              <w:t xml:space="preserve"> </w:t>
            </w:r>
            <w:r w:rsidRPr="00BC0ACB">
              <w:t xml:space="preserve">300 </w:t>
            </w:r>
          </w:p>
        </w:tc>
        <w:tc>
          <w:tcPr>
            <w:tcW w:w="1274" w:type="dxa"/>
            <w:noWrap/>
            <w:hideMark/>
          </w:tcPr>
          <w:p w:rsidR="00826ADD" w:rsidRPr="00BC0ACB" w:rsidRDefault="00826ADD" w:rsidP="00536724">
            <w:pPr>
              <w:pStyle w:val="Tabletextright"/>
            </w:pPr>
            <w:r w:rsidRPr="00BC0ACB">
              <w:t xml:space="preserve"> 16</w:t>
            </w:r>
            <w:r w:rsidR="00AC6DA5" w:rsidRPr="00BC0ACB">
              <w:t xml:space="preserve"> </w:t>
            </w:r>
            <w:r w:rsidRPr="00BC0ACB">
              <w:t xml:space="preserve">050 </w:t>
            </w:r>
          </w:p>
        </w:tc>
        <w:tc>
          <w:tcPr>
            <w:tcW w:w="1274" w:type="dxa"/>
            <w:noWrap/>
            <w:hideMark/>
          </w:tcPr>
          <w:p w:rsidR="00826ADD" w:rsidRPr="00BC0ACB" w:rsidRDefault="00826ADD" w:rsidP="00536724">
            <w:pPr>
              <w:pStyle w:val="Tabletextright"/>
            </w:pPr>
            <w:r w:rsidRPr="00BC0ACB">
              <w:t xml:space="preserve"> </w:t>
            </w:r>
            <w:r w:rsidR="00536724" w:rsidRPr="00BC0ACB">
              <w:rPr>
                <w:rFonts w:eastAsia="Times New Roman"/>
              </w:rPr>
              <w:t>–</w:t>
            </w:r>
            <w:r w:rsidRPr="00BC0ACB">
              <w:t xml:space="preserve"> </w:t>
            </w:r>
          </w:p>
        </w:tc>
      </w:tr>
      <w:tr w:rsidR="00826ADD" w:rsidRPr="00BC0ACB" w:rsidTr="008438C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396" w:type="dxa"/>
            <w:hideMark/>
          </w:tcPr>
          <w:p w:rsidR="00826ADD" w:rsidRPr="00BC0ACB" w:rsidRDefault="00826ADD" w:rsidP="00536724">
            <w:pPr>
              <w:pStyle w:val="Tabletext"/>
            </w:pPr>
            <w:r w:rsidRPr="00BC0ACB">
              <w:t>Michael Green P/L</w:t>
            </w:r>
          </w:p>
        </w:tc>
        <w:tc>
          <w:tcPr>
            <w:tcW w:w="3011" w:type="dxa"/>
            <w:hideMark/>
          </w:tcPr>
          <w:p w:rsidR="00826ADD" w:rsidRPr="00BC0ACB" w:rsidRDefault="00826ADD" w:rsidP="00536724">
            <w:pPr>
              <w:pStyle w:val="Tabletext"/>
            </w:pPr>
            <w:r w:rsidRPr="00BC0ACB">
              <w:t>Commercial and transaction advice (West Gate Tunnel Project)</w:t>
            </w:r>
          </w:p>
        </w:tc>
        <w:tc>
          <w:tcPr>
            <w:tcW w:w="1332" w:type="dxa"/>
            <w:noWrap/>
            <w:hideMark/>
          </w:tcPr>
          <w:p w:rsidR="00826ADD" w:rsidRPr="00BC0ACB" w:rsidRDefault="00826ADD" w:rsidP="00536724">
            <w:pPr>
              <w:pStyle w:val="Tabletextright"/>
            </w:pPr>
            <w:r w:rsidRPr="00BC0ACB">
              <w:t xml:space="preserve"> 204</w:t>
            </w:r>
            <w:r w:rsidR="00AC6DA5" w:rsidRPr="00BC0ACB">
              <w:t xml:space="preserve"> </w:t>
            </w:r>
            <w:r w:rsidRPr="00BC0ACB">
              <w:t xml:space="preserve">750 </w:t>
            </w:r>
          </w:p>
        </w:tc>
        <w:tc>
          <w:tcPr>
            <w:tcW w:w="1274" w:type="dxa"/>
            <w:noWrap/>
            <w:hideMark/>
          </w:tcPr>
          <w:p w:rsidR="00826ADD" w:rsidRPr="00BC0ACB" w:rsidRDefault="00826ADD" w:rsidP="00536724">
            <w:pPr>
              <w:pStyle w:val="Tabletextright"/>
            </w:pPr>
            <w:r w:rsidRPr="00BC0ACB">
              <w:t xml:space="preserve"> 204</w:t>
            </w:r>
            <w:r w:rsidR="00AC6DA5" w:rsidRPr="00BC0ACB">
              <w:t xml:space="preserve"> </w:t>
            </w:r>
            <w:r w:rsidRPr="00BC0ACB">
              <w:t xml:space="preserve">750 </w:t>
            </w:r>
          </w:p>
        </w:tc>
        <w:tc>
          <w:tcPr>
            <w:tcW w:w="1274" w:type="dxa"/>
            <w:noWrap/>
            <w:hideMark/>
          </w:tcPr>
          <w:p w:rsidR="00826ADD" w:rsidRPr="00BC0ACB" w:rsidRDefault="00826ADD" w:rsidP="00536724">
            <w:pPr>
              <w:pStyle w:val="Tabletextright"/>
            </w:pPr>
            <w:r w:rsidRPr="00BC0ACB">
              <w:t xml:space="preserve"> </w:t>
            </w:r>
            <w:r w:rsidR="00536724" w:rsidRPr="00BC0ACB">
              <w:rPr>
                <w:rFonts w:eastAsia="Times New Roman"/>
              </w:rPr>
              <w:t>–</w:t>
            </w:r>
            <w:r w:rsidRPr="00BC0ACB">
              <w:t xml:space="preserve"> </w:t>
            </w:r>
          </w:p>
        </w:tc>
      </w:tr>
      <w:tr w:rsidR="00826ADD" w:rsidRPr="00BC0ACB" w:rsidTr="008438C2">
        <w:tc>
          <w:tcPr>
            <w:tcW w:w="2396" w:type="dxa"/>
            <w:hideMark/>
          </w:tcPr>
          <w:p w:rsidR="00826ADD" w:rsidRPr="00BC0ACB" w:rsidRDefault="00826ADD" w:rsidP="00536724">
            <w:pPr>
              <w:pStyle w:val="Tabletext"/>
            </w:pPr>
            <w:r w:rsidRPr="00BC0ACB">
              <w:t>Minter Ellison</w:t>
            </w:r>
          </w:p>
        </w:tc>
        <w:tc>
          <w:tcPr>
            <w:tcW w:w="3011" w:type="dxa"/>
            <w:hideMark/>
          </w:tcPr>
          <w:p w:rsidR="00826ADD" w:rsidRPr="00BC0ACB" w:rsidRDefault="00826ADD" w:rsidP="00536724">
            <w:pPr>
              <w:pStyle w:val="Tabletext"/>
            </w:pPr>
            <w:r w:rsidRPr="00BC0ACB">
              <w:t>Commercial and transaction advice (</w:t>
            </w:r>
            <w:r w:rsidR="0027638A" w:rsidRPr="00BC0ACB">
              <w:t>Australian Sustainable Hardwoods</w:t>
            </w:r>
            <w:r w:rsidRPr="00BC0ACB">
              <w:t>)</w:t>
            </w:r>
          </w:p>
        </w:tc>
        <w:tc>
          <w:tcPr>
            <w:tcW w:w="1332" w:type="dxa"/>
            <w:noWrap/>
            <w:hideMark/>
          </w:tcPr>
          <w:p w:rsidR="00826ADD" w:rsidRPr="00BC0ACB" w:rsidRDefault="00826ADD" w:rsidP="00536724">
            <w:pPr>
              <w:pStyle w:val="Tabletextright"/>
            </w:pPr>
            <w:r w:rsidRPr="00BC0ACB">
              <w:t xml:space="preserve"> 426</w:t>
            </w:r>
            <w:r w:rsidR="00AC6DA5" w:rsidRPr="00BC0ACB">
              <w:t xml:space="preserve"> </w:t>
            </w:r>
            <w:r w:rsidRPr="00BC0ACB">
              <w:t xml:space="preserve">614 </w:t>
            </w:r>
          </w:p>
        </w:tc>
        <w:tc>
          <w:tcPr>
            <w:tcW w:w="1274" w:type="dxa"/>
            <w:noWrap/>
            <w:hideMark/>
          </w:tcPr>
          <w:p w:rsidR="00826ADD" w:rsidRPr="00BC0ACB" w:rsidRDefault="00826ADD" w:rsidP="00536724">
            <w:pPr>
              <w:pStyle w:val="Tabletextright"/>
            </w:pPr>
            <w:r w:rsidRPr="00BC0ACB">
              <w:t xml:space="preserve"> 426</w:t>
            </w:r>
            <w:r w:rsidR="00AC6DA5" w:rsidRPr="00BC0ACB">
              <w:t xml:space="preserve"> </w:t>
            </w:r>
            <w:r w:rsidRPr="00BC0ACB">
              <w:t xml:space="preserve">661 </w:t>
            </w:r>
          </w:p>
        </w:tc>
        <w:tc>
          <w:tcPr>
            <w:tcW w:w="1274" w:type="dxa"/>
            <w:noWrap/>
            <w:hideMark/>
          </w:tcPr>
          <w:p w:rsidR="00826ADD" w:rsidRPr="00BC0ACB" w:rsidRDefault="008438C2" w:rsidP="00536724">
            <w:pPr>
              <w:pStyle w:val="Tabletextright"/>
            </w:pPr>
            <w:r w:rsidRPr="00BC0ACB">
              <w:t>–</w:t>
            </w:r>
          </w:p>
        </w:tc>
      </w:tr>
      <w:tr w:rsidR="00826ADD" w:rsidRPr="00BC0ACB" w:rsidTr="008438C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396" w:type="dxa"/>
            <w:hideMark/>
          </w:tcPr>
          <w:p w:rsidR="00826ADD" w:rsidRPr="00BC0ACB" w:rsidRDefault="00826ADD" w:rsidP="00536724">
            <w:pPr>
              <w:pStyle w:val="Tabletext"/>
            </w:pPr>
            <w:r w:rsidRPr="00BC0ACB">
              <w:lastRenderedPageBreak/>
              <w:t>Minter Ellison</w:t>
            </w:r>
          </w:p>
        </w:tc>
        <w:tc>
          <w:tcPr>
            <w:tcW w:w="3011" w:type="dxa"/>
            <w:hideMark/>
          </w:tcPr>
          <w:p w:rsidR="00826ADD" w:rsidRPr="00BC0ACB" w:rsidRDefault="00826ADD" w:rsidP="00536724">
            <w:pPr>
              <w:pStyle w:val="Tabletext"/>
            </w:pPr>
            <w:r w:rsidRPr="00BC0ACB">
              <w:t>Commercial and transaction advice (Legal services for the Western Roads Upgrade Project)</w:t>
            </w:r>
          </w:p>
        </w:tc>
        <w:tc>
          <w:tcPr>
            <w:tcW w:w="1332" w:type="dxa"/>
            <w:noWrap/>
            <w:hideMark/>
          </w:tcPr>
          <w:p w:rsidR="00826ADD" w:rsidRPr="00BC0ACB" w:rsidRDefault="00826ADD" w:rsidP="00536724">
            <w:pPr>
              <w:pStyle w:val="Tabletextright"/>
            </w:pPr>
            <w:r w:rsidRPr="00BC0ACB">
              <w:t xml:space="preserve"> 1</w:t>
            </w:r>
            <w:r w:rsidR="00AC6DA5" w:rsidRPr="00BC0ACB">
              <w:t xml:space="preserve"> </w:t>
            </w:r>
            <w:r w:rsidRPr="00BC0ACB">
              <w:t>890</w:t>
            </w:r>
            <w:r w:rsidR="00AC6DA5" w:rsidRPr="00BC0ACB">
              <w:t xml:space="preserve"> </w:t>
            </w:r>
            <w:r w:rsidRPr="00BC0ACB">
              <w:t xml:space="preserve">000 </w:t>
            </w:r>
          </w:p>
        </w:tc>
        <w:tc>
          <w:tcPr>
            <w:tcW w:w="1274" w:type="dxa"/>
            <w:noWrap/>
            <w:hideMark/>
          </w:tcPr>
          <w:p w:rsidR="00826ADD" w:rsidRPr="00BC0ACB" w:rsidRDefault="00826ADD" w:rsidP="00536724">
            <w:pPr>
              <w:pStyle w:val="Tabletextright"/>
            </w:pPr>
            <w:r w:rsidRPr="00BC0ACB">
              <w:t xml:space="preserve"> 262</w:t>
            </w:r>
            <w:r w:rsidR="00AC6DA5" w:rsidRPr="00BC0ACB">
              <w:t xml:space="preserve"> </w:t>
            </w:r>
            <w:r w:rsidRPr="00BC0ACB">
              <w:t xml:space="preserve">625 </w:t>
            </w:r>
          </w:p>
        </w:tc>
        <w:tc>
          <w:tcPr>
            <w:tcW w:w="1274" w:type="dxa"/>
            <w:noWrap/>
            <w:hideMark/>
          </w:tcPr>
          <w:p w:rsidR="00826ADD" w:rsidRPr="00BC0ACB" w:rsidRDefault="00826ADD" w:rsidP="00536724">
            <w:pPr>
              <w:pStyle w:val="Tabletextright"/>
            </w:pPr>
            <w:r w:rsidRPr="00BC0ACB">
              <w:t xml:space="preserve"> </w:t>
            </w:r>
            <w:r w:rsidR="00536724" w:rsidRPr="00BC0ACB">
              <w:rPr>
                <w:rFonts w:eastAsia="Times New Roman"/>
              </w:rPr>
              <w:t>–</w:t>
            </w:r>
            <w:r w:rsidRPr="00BC0ACB">
              <w:t xml:space="preserve"> </w:t>
            </w:r>
          </w:p>
        </w:tc>
      </w:tr>
      <w:tr w:rsidR="00826ADD" w:rsidRPr="00BC0ACB" w:rsidTr="008438C2">
        <w:tc>
          <w:tcPr>
            <w:tcW w:w="2396" w:type="dxa"/>
            <w:hideMark/>
          </w:tcPr>
          <w:p w:rsidR="00826ADD" w:rsidRPr="00BC0ACB" w:rsidRDefault="00826ADD" w:rsidP="00536724">
            <w:pPr>
              <w:pStyle w:val="Tabletext"/>
            </w:pPr>
            <w:r w:rsidRPr="00BC0ACB">
              <w:t>Minter Ellison</w:t>
            </w:r>
          </w:p>
        </w:tc>
        <w:tc>
          <w:tcPr>
            <w:tcW w:w="3011" w:type="dxa"/>
            <w:hideMark/>
          </w:tcPr>
          <w:p w:rsidR="00826ADD" w:rsidRPr="00BC0ACB" w:rsidRDefault="00826ADD" w:rsidP="00536724">
            <w:pPr>
              <w:pStyle w:val="Tabletext"/>
            </w:pPr>
            <w:r w:rsidRPr="00BC0ACB">
              <w:t>Commercial and transaction advice (Royal Women's Hospital refinancing project)</w:t>
            </w:r>
          </w:p>
        </w:tc>
        <w:tc>
          <w:tcPr>
            <w:tcW w:w="1332" w:type="dxa"/>
            <w:noWrap/>
            <w:hideMark/>
          </w:tcPr>
          <w:p w:rsidR="00826ADD" w:rsidRPr="00BC0ACB" w:rsidRDefault="00826ADD" w:rsidP="00536724">
            <w:pPr>
              <w:pStyle w:val="Tabletextright"/>
            </w:pPr>
            <w:r w:rsidRPr="00BC0ACB">
              <w:t xml:space="preserve"> 22</w:t>
            </w:r>
            <w:r w:rsidR="00AC6DA5" w:rsidRPr="00BC0ACB">
              <w:t xml:space="preserve"> </w:t>
            </w:r>
            <w:r w:rsidRPr="00BC0ACB">
              <w:t xml:space="preserve">000 </w:t>
            </w:r>
          </w:p>
        </w:tc>
        <w:tc>
          <w:tcPr>
            <w:tcW w:w="1274" w:type="dxa"/>
            <w:noWrap/>
            <w:hideMark/>
          </w:tcPr>
          <w:p w:rsidR="00826ADD" w:rsidRPr="00BC0ACB" w:rsidRDefault="00826ADD" w:rsidP="00536724">
            <w:pPr>
              <w:pStyle w:val="Tabletextright"/>
            </w:pPr>
            <w:r w:rsidRPr="00BC0ACB">
              <w:t xml:space="preserve"> 12</w:t>
            </w:r>
            <w:r w:rsidR="00AC6DA5" w:rsidRPr="00BC0ACB">
              <w:t xml:space="preserve"> </w:t>
            </w:r>
            <w:r w:rsidRPr="00BC0ACB">
              <w:t xml:space="preserve">094 </w:t>
            </w:r>
          </w:p>
        </w:tc>
        <w:tc>
          <w:tcPr>
            <w:tcW w:w="1274" w:type="dxa"/>
            <w:noWrap/>
            <w:hideMark/>
          </w:tcPr>
          <w:p w:rsidR="00826ADD" w:rsidRPr="00BC0ACB" w:rsidRDefault="00826ADD" w:rsidP="00536724">
            <w:pPr>
              <w:pStyle w:val="Tabletextright"/>
            </w:pPr>
            <w:r w:rsidRPr="00BC0ACB">
              <w:t xml:space="preserve"> </w:t>
            </w:r>
            <w:r w:rsidR="00536724" w:rsidRPr="00BC0ACB">
              <w:rPr>
                <w:rFonts w:eastAsia="Times New Roman"/>
              </w:rPr>
              <w:t>–</w:t>
            </w:r>
            <w:r w:rsidRPr="00BC0ACB">
              <w:t xml:space="preserve"> </w:t>
            </w:r>
          </w:p>
        </w:tc>
      </w:tr>
      <w:tr w:rsidR="00826ADD" w:rsidRPr="00BC0ACB" w:rsidTr="008438C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396" w:type="dxa"/>
            <w:hideMark/>
          </w:tcPr>
          <w:p w:rsidR="00826ADD" w:rsidRPr="00BC0ACB" w:rsidRDefault="00826ADD" w:rsidP="00536724">
            <w:pPr>
              <w:pStyle w:val="Tabletext"/>
            </w:pPr>
            <w:r w:rsidRPr="00BC0ACB">
              <w:t>Minter Ellison</w:t>
            </w:r>
          </w:p>
        </w:tc>
        <w:tc>
          <w:tcPr>
            <w:tcW w:w="3011" w:type="dxa"/>
            <w:hideMark/>
          </w:tcPr>
          <w:p w:rsidR="00826ADD" w:rsidRPr="00BC0ACB" w:rsidRDefault="00826ADD" w:rsidP="00536724">
            <w:pPr>
              <w:pStyle w:val="Tabletext"/>
            </w:pPr>
            <w:r w:rsidRPr="00BC0ACB">
              <w:t xml:space="preserve">Commercial and transaction advice (Implementation of </w:t>
            </w:r>
            <w:r w:rsidR="00E9038C" w:rsidRPr="00BC0ACB">
              <w:rPr>
                <w:i/>
              </w:rPr>
              <w:t>HomesVic</w:t>
            </w:r>
            <w:r w:rsidRPr="00BC0ACB">
              <w:t>)</w:t>
            </w:r>
          </w:p>
        </w:tc>
        <w:tc>
          <w:tcPr>
            <w:tcW w:w="1332" w:type="dxa"/>
            <w:noWrap/>
            <w:hideMark/>
          </w:tcPr>
          <w:p w:rsidR="00826ADD" w:rsidRPr="00BC0ACB" w:rsidRDefault="00826ADD" w:rsidP="00536724">
            <w:pPr>
              <w:pStyle w:val="Tabletextright"/>
            </w:pPr>
            <w:r w:rsidRPr="00BC0ACB">
              <w:t xml:space="preserve"> 285</w:t>
            </w:r>
            <w:r w:rsidR="00AC6DA5" w:rsidRPr="00BC0ACB">
              <w:t xml:space="preserve"> </w:t>
            </w:r>
            <w:r w:rsidRPr="00BC0ACB">
              <w:t xml:space="preserve">000 </w:t>
            </w:r>
          </w:p>
        </w:tc>
        <w:tc>
          <w:tcPr>
            <w:tcW w:w="1274" w:type="dxa"/>
            <w:noWrap/>
            <w:hideMark/>
          </w:tcPr>
          <w:p w:rsidR="00826ADD" w:rsidRPr="00BC0ACB" w:rsidRDefault="00826ADD" w:rsidP="00536724">
            <w:pPr>
              <w:pStyle w:val="Tabletextright"/>
            </w:pPr>
            <w:r w:rsidRPr="00BC0ACB">
              <w:t xml:space="preserve"> 275</w:t>
            </w:r>
            <w:r w:rsidR="00AC6DA5" w:rsidRPr="00BC0ACB">
              <w:t xml:space="preserve"> </w:t>
            </w:r>
            <w:r w:rsidRPr="00BC0ACB">
              <w:t xml:space="preserve">000 </w:t>
            </w:r>
          </w:p>
        </w:tc>
        <w:tc>
          <w:tcPr>
            <w:tcW w:w="1274" w:type="dxa"/>
            <w:noWrap/>
            <w:hideMark/>
          </w:tcPr>
          <w:p w:rsidR="00826ADD" w:rsidRPr="00BC0ACB" w:rsidRDefault="00826ADD" w:rsidP="00536724">
            <w:pPr>
              <w:pStyle w:val="Tabletextright"/>
            </w:pPr>
            <w:r w:rsidRPr="00BC0ACB">
              <w:t xml:space="preserve"> </w:t>
            </w:r>
            <w:r w:rsidR="00536724" w:rsidRPr="00BC0ACB">
              <w:rPr>
                <w:rFonts w:eastAsia="Times New Roman"/>
              </w:rPr>
              <w:t>–</w:t>
            </w:r>
            <w:r w:rsidRPr="00BC0ACB">
              <w:t xml:space="preserve"> </w:t>
            </w:r>
          </w:p>
        </w:tc>
      </w:tr>
      <w:tr w:rsidR="00826ADD" w:rsidRPr="00BC0ACB" w:rsidTr="008438C2">
        <w:tc>
          <w:tcPr>
            <w:tcW w:w="2396" w:type="dxa"/>
            <w:shd w:val="clear" w:color="auto" w:fill="FFFFFF" w:themeFill="background1"/>
            <w:hideMark/>
          </w:tcPr>
          <w:p w:rsidR="00826ADD" w:rsidRPr="00BC0ACB" w:rsidRDefault="00826ADD" w:rsidP="00536724">
            <w:pPr>
              <w:pStyle w:val="Tabletext"/>
            </w:pPr>
            <w:r w:rsidRPr="00BC0ACB">
              <w:t>Minter Ellison</w:t>
            </w:r>
          </w:p>
        </w:tc>
        <w:tc>
          <w:tcPr>
            <w:tcW w:w="3011" w:type="dxa"/>
            <w:shd w:val="clear" w:color="auto" w:fill="FFFFFF" w:themeFill="background1"/>
            <w:hideMark/>
          </w:tcPr>
          <w:p w:rsidR="00826ADD" w:rsidRPr="00BC0ACB" w:rsidRDefault="00826ADD" w:rsidP="00536724">
            <w:pPr>
              <w:pStyle w:val="Tabletext"/>
            </w:pPr>
            <w:r w:rsidRPr="00BC0ACB">
              <w:t>Commercial and transaction advice (</w:t>
            </w:r>
            <w:r w:rsidR="00E9038C" w:rsidRPr="00BC0ACB">
              <w:t>Commercialisation of land titles and registry functions of Land Use Victoria</w:t>
            </w:r>
            <w:r w:rsidRPr="00BC0ACB">
              <w:t>)</w:t>
            </w:r>
          </w:p>
        </w:tc>
        <w:tc>
          <w:tcPr>
            <w:tcW w:w="1332" w:type="dxa"/>
            <w:shd w:val="clear" w:color="auto" w:fill="FFFFFF" w:themeFill="background1"/>
            <w:noWrap/>
            <w:hideMark/>
          </w:tcPr>
          <w:p w:rsidR="00826ADD" w:rsidRPr="00BC0ACB" w:rsidRDefault="00826ADD" w:rsidP="00536724">
            <w:pPr>
              <w:pStyle w:val="Tabletextright"/>
            </w:pPr>
            <w:r w:rsidRPr="00BC0ACB">
              <w:t xml:space="preserve"> 3</w:t>
            </w:r>
            <w:r w:rsidR="00AC6DA5" w:rsidRPr="00BC0ACB">
              <w:t xml:space="preserve"> </w:t>
            </w:r>
            <w:r w:rsidRPr="00BC0ACB">
              <w:t>830</w:t>
            </w:r>
            <w:r w:rsidR="00AC6DA5" w:rsidRPr="00BC0ACB">
              <w:t xml:space="preserve"> </w:t>
            </w:r>
            <w:r w:rsidRPr="00BC0ACB">
              <w:t xml:space="preserve">000 </w:t>
            </w:r>
          </w:p>
        </w:tc>
        <w:tc>
          <w:tcPr>
            <w:tcW w:w="1274" w:type="dxa"/>
            <w:shd w:val="clear" w:color="auto" w:fill="FFFFFF" w:themeFill="background1"/>
            <w:noWrap/>
            <w:hideMark/>
          </w:tcPr>
          <w:p w:rsidR="00826ADD" w:rsidRPr="00BC0ACB" w:rsidRDefault="00826ADD" w:rsidP="00536724">
            <w:pPr>
              <w:pStyle w:val="Tabletextright"/>
            </w:pPr>
            <w:r w:rsidRPr="00BC0ACB">
              <w:t xml:space="preserve"> </w:t>
            </w:r>
            <w:r w:rsidR="007A155D" w:rsidRPr="00BC0ACB">
              <w:t>1 402 017</w:t>
            </w:r>
            <w:r w:rsidRPr="00BC0ACB">
              <w:t xml:space="preserve"> </w:t>
            </w:r>
          </w:p>
        </w:tc>
        <w:tc>
          <w:tcPr>
            <w:tcW w:w="1274" w:type="dxa"/>
            <w:shd w:val="clear" w:color="auto" w:fill="FFFFFF" w:themeFill="background1"/>
            <w:noWrap/>
            <w:hideMark/>
          </w:tcPr>
          <w:p w:rsidR="00826ADD" w:rsidRPr="00BC0ACB" w:rsidRDefault="00300ECD" w:rsidP="00BC0ACB">
            <w:pPr>
              <w:pStyle w:val="Tabletextright"/>
              <w:rPr>
                <w:strike/>
              </w:rPr>
            </w:pPr>
            <w:r w:rsidRPr="00BC0ACB">
              <w:t>2 427 983</w:t>
            </w:r>
          </w:p>
        </w:tc>
      </w:tr>
      <w:tr w:rsidR="00826ADD" w:rsidRPr="00BC0ACB" w:rsidTr="008438C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396" w:type="dxa"/>
            <w:hideMark/>
          </w:tcPr>
          <w:p w:rsidR="00826ADD" w:rsidRPr="00BC0ACB" w:rsidRDefault="00826ADD" w:rsidP="00536724">
            <w:pPr>
              <w:pStyle w:val="Tabletext"/>
            </w:pPr>
            <w:r w:rsidRPr="00BC0ACB">
              <w:t>Ontoit Global Pty Ltd</w:t>
            </w:r>
          </w:p>
        </w:tc>
        <w:tc>
          <w:tcPr>
            <w:tcW w:w="3011" w:type="dxa"/>
            <w:hideMark/>
          </w:tcPr>
          <w:p w:rsidR="00826ADD" w:rsidRPr="00BC0ACB" w:rsidRDefault="00826ADD" w:rsidP="00536724">
            <w:pPr>
              <w:pStyle w:val="Tabletext"/>
            </w:pPr>
            <w:r w:rsidRPr="00BC0ACB">
              <w:t>Review of structure, process and practice (Assessment of foreign construction firms in Vic</w:t>
            </w:r>
            <w:r w:rsidR="005667B3" w:rsidRPr="00BC0ACB">
              <w:t>torian</w:t>
            </w:r>
            <w:r w:rsidRPr="00BC0ACB">
              <w:t xml:space="preserve"> infrastructure projects)</w:t>
            </w:r>
          </w:p>
        </w:tc>
        <w:tc>
          <w:tcPr>
            <w:tcW w:w="1332" w:type="dxa"/>
            <w:noWrap/>
            <w:hideMark/>
          </w:tcPr>
          <w:p w:rsidR="00826ADD" w:rsidRPr="00BC0ACB" w:rsidRDefault="00826ADD" w:rsidP="00536724">
            <w:pPr>
              <w:pStyle w:val="Tabletextright"/>
            </w:pPr>
            <w:r w:rsidRPr="00BC0ACB">
              <w:t xml:space="preserve"> 50</w:t>
            </w:r>
            <w:r w:rsidR="00AC6DA5" w:rsidRPr="00BC0ACB">
              <w:t xml:space="preserve"> </w:t>
            </w:r>
            <w:r w:rsidRPr="00BC0ACB">
              <w:t xml:space="preserve">050 </w:t>
            </w:r>
          </w:p>
        </w:tc>
        <w:tc>
          <w:tcPr>
            <w:tcW w:w="1274" w:type="dxa"/>
            <w:noWrap/>
            <w:hideMark/>
          </w:tcPr>
          <w:p w:rsidR="00826ADD" w:rsidRPr="00BC0ACB" w:rsidRDefault="00826ADD" w:rsidP="00536724">
            <w:pPr>
              <w:pStyle w:val="Tabletextright"/>
            </w:pPr>
            <w:r w:rsidRPr="00BC0ACB">
              <w:t xml:space="preserve"> 53</w:t>
            </w:r>
            <w:r w:rsidR="00AC6DA5" w:rsidRPr="00BC0ACB">
              <w:t xml:space="preserve"> </w:t>
            </w:r>
            <w:r w:rsidRPr="00BC0ACB">
              <w:t xml:space="preserve">070 </w:t>
            </w:r>
          </w:p>
        </w:tc>
        <w:tc>
          <w:tcPr>
            <w:tcW w:w="1274" w:type="dxa"/>
            <w:noWrap/>
            <w:hideMark/>
          </w:tcPr>
          <w:p w:rsidR="00826ADD" w:rsidRPr="00BC0ACB" w:rsidRDefault="00826ADD" w:rsidP="00536724">
            <w:pPr>
              <w:pStyle w:val="Tabletextright"/>
            </w:pPr>
            <w:r w:rsidRPr="00BC0ACB">
              <w:t xml:space="preserve"> </w:t>
            </w:r>
            <w:r w:rsidR="00536724" w:rsidRPr="00BC0ACB">
              <w:rPr>
                <w:rFonts w:eastAsia="Times New Roman"/>
              </w:rPr>
              <w:t>–</w:t>
            </w:r>
            <w:r w:rsidRPr="00BC0ACB">
              <w:t xml:space="preserve"> </w:t>
            </w:r>
          </w:p>
        </w:tc>
      </w:tr>
      <w:tr w:rsidR="00826ADD" w:rsidRPr="00BC0ACB" w:rsidTr="008438C2">
        <w:tc>
          <w:tcPr>
            <w:tcW w:w="2396" w:type="dxa"/>
            <w:hideMark/>
          </w:tcPr>
          <w:p w:rsidR="00826ADD" w:rsidRPr="00BC0ACB" w:rsidRDefault="00826ADD" w:rsidP="00536724">
            <w:pPr>
              <w:pStyle w:val="Tabletext"/>
            </w:pPr>
            <w:r w:rsidRPr="00BC0ACB">
              <w:t>PPB Advisory Pty Ltd</w:t>
            </w:r>
          </w:p>
        </w:tc>
        <w:tc>
          <w:tcPr>
            <w:tcW w:w="3011" w:type="dxa"/>
            <w:hideMark/>
          </w:tcPr>
          <w:p w:rsidR="00826ADD" w:rsidRPr="00BC0ACB" w:rsidRDefault="00826ADD" w:rsidP="00536724">
            <w:pPr>
              <w:pStyle w:val="Tabletext"/>
            </w:pPr>
            <w:r w:rsidRPr="00BC0ACB">
              <w:t>Commercial transaction advice (Victoria's municipal recycling industry and advice)</w:t>
            </w:r>
          </w:p>
        </w:tc>
        <w:tc>
          <w:tcPr>
            <w:tcW w:w="1332" w:type="dxa"/>
            <w:noWrap/>
            <w:hideMark/>
          </w:tcPr>
          <w:p w:rsidR="00826ADD" w:rsidRPr="00BC0ACB" w:rsidRDefault="00826ADD" w:rsidP="00536724">
            <w:pPr>
              <w:pStyle w:val="Tabletextright"/>
            </w:pPr>
            <w:r w:rsidRPr="00BC0ACB">
              <w:t xml:space="preserve"> 46</w:t>
            </w:r>
            <w:r w:rsidR="00AC6DA5" w:rsidRPr="00BC0ACB">
              <w:t xml:space="preserve"> </w:t>
            </w:r>
            <w:r w:rsidRPr="00BC0ACB">
              <w:t xml:space="preserve">000 </w:t>
            </w:r>
          </w:p>
        </w:tc>
        <w:tc>
          <w:tcPr>
            <w:tcW w:w="1274" w:type="dxa"/>
            <w:noWrap/>
            <w:hideMark/>
          </w:tcPr>
          <w:p w:rsidR="00826ADD" w:rsidRPr="00BC0ACB" w:rsidRDefault="00826ADD" w:rsidP="00536724">
            <w:pPr>
              <w:pStyle w:val="Tabletextright"/>
            </w:pPr>
            <w:r w:rsidRPr="00BC0ACB">
              <w:t xml:space="preserve"> 46</w:t>
            </w:r>
            <w:r w:rsidR="00AC6DA5" w:rsidRPr="00BC0ACB">
              <w:t xml:space="preserve"> </w:t>
            </w:r>
            <w:r w:rsidRPr="00BC0ACB">
              <w:t xml:space="preserve">000 </w:t>
            </w:r>
          </w:p>
        </w:tc>
        <w:tc>
          <w:tcPr>
            <w:tcW w:w="1274" w:type="dxa"/>
            <w:noWrap/>
            <w:hideMark/>
          </w:tcPr>
          <w:p w:rsidR="00826ADD" w:rsidRPr="00BC0ACB" w:rsidRDefault="00826ADD" w:rsidP="00536724">
            <w:pPr>
              <w:pStyle w:val="Tabletextright"/>
            </w:pPr>
            <w:r w:rsidRPr="00BC0ACB">
              <w:t xml:space="preserve"> </w:t>
            </w:r>
            <w:r w:rsidR="00536724" w:rsidRPr="00BC0ACB">
              <w:rPr>
                <w:rFonts w:eastAsia="Times New Roman"/>
              </w:rPr>
              <w:t>–</w:t>
            </w:r>
            <w:r w:rsidRPr="00BC0ACB">
              <w:t xml:space="preserve"> </w:t>
            </w:r>
          </w:p>
        </w:tc>
      </w:tr>
      <w:tr w:rsidR="00826ADD" w:rsidRPr="00BC0ACB" w:rsidTr="008438C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396" w:type="dxa"/>
            <w:hideMark/>
          </w:tcPr>
          <w:p w:rsidR="00826ADD" w:rsidRPr="00BC0ACB" w:rsidRDefault="00826ADD" w:rsidP="00536724">
            <w:pPr>
              <w:pStyle w:val="Tabletext"/>
            </w:pPr>
            <w:r w:rsidRPr="00BC0ACB">
              <w:t>PricewaterhouseCoopers</w:t>
            </w:r>
          </w:p>
        </w:tc>
        <w:tc>
          <w:tcPr>
            <w:tcW w:w="3011" w:type="dxa"/>
            <w:hideMark/>
          </w:tcPr>
          <w:p w:rsidR="00826ADD" w:rsidRPr="00BC0ACB" w:rsidRDefault="00826ADD" w:rsidP="00536724">
            <w:pPr>
              <w:pStyle w:val="Tabletext"/>
            </w:pPr>
            <w:r w:rsidRPr="00BC0ACB">
              <w:t>Commercial and transaction advice (Commercial and financial advisory services for the West Gate Tunnel Project)</w:t>
            </w:r>
          </w:p>
        </w:tc>
        <w:tc>
          <w:tcPr>
            <w:tcW w:w="1332" w:type="dxa"/>
            <w:noWrap/>
            <w:hideMark/>
          </w:tcPr>
          <w:p w:rsidR="00826ADD" w:rsidRPr="00BC0ACB" w:rsidRDefault="00826ADD" w:rsidP="00536724">
            <w:pPr>
              <w:pStyle w:val="Tabletextright"/>
            </w:pPr>
            <w:r w:rsidRPr="00BC0ACB">
              <w:t xml:space="preserve"> 13</w:t>
            </w:r>
            <w:r w:rsidR="00AC6DA5" w:rsidRPr="00BC0ACB">
              <w:t xml:space="preserve"> </w:t>
            </w:r>
            <w:r w:rsidRPr="00BC0ACB">
              <w:t>892</w:t>
            </w:r>
            <w:r w:rsidR="00AC6DA5" w:rsidRPr="00BC0ACB">
              <w:t xml:space="preserve"> </w:t>
            </w:r>
            <w:r w:rsidRPr="00BC0ACB">
              <w:t xml:space="preserve">727 </w:t>
            </w:r>
          </w:p>
        </w:tc>
        <w:tc>
          <w:tcPr>
            <w:tcW w:w="1274" w:type="dxa"/>
            <w:noWrap/>
            <w:hideMark/>
          </w:tcPr>
          <w:p w:rsidR="00826ADD" w:rsidRPr="00BC0ACB" w:rsidRDefault="00826ADD" w:rsidP="00536724">
            <w:pPr>
              <w:pStyle w:val="Tabletextright"/>
            </w:pPr>
            <w:r w:rsidRPr="00BC0ACB">
              <w:t xml:space="preserve"> 5</w:t>
            </w:r>
            <w:r w:rsidR="00AC6DA5" w:rsidRPr="00BC0ACB">
              <w:t xml:space="preserve"> </w:t>
            </w:r>
            <w:r w:rsidRPr="00BC0ACB">
              <w:t>497</w:t>
            </w:r>
            <w:r w:rsidR="00AC6DA5" w:rsidRPr="00BC0ACB">
              <w:t xml:space="preserve"> </w:t>
            </w:r>
            <w:r w:rsidRPr="00BC0ACB">
              <w:t xml:space="preserve">971 </w:t>
            </w:r>
          </w:p>
        </w:tc>
        <w:tc>
          <w:tcPr>
            <w:tcW w:w="1274" w:type="dxa"/>
            <w:noWrap/>
            <w:hideMark/>
          </w:tcPr>
          <w:p w:rsidR="00826ADD" w:rsidRPr="00BC0ACB" w:rsidRDefault="00826ADD" w:rsidP="00536724">
            <w:pPr>
              <w:pStyle w:val="Tabletextright"/>
            </w:pPr>
            <w:r w:rsidRPr="00BC0ACB">
              <w:t xml:space="preserve"> </w:t>
            </w:r>
            <w:r w:rsidR="00536724" w:rsidRPr="00BC0ACB">
              <w:rPr>
                <w:rFonts w:eastAsia="Times New Roman"/>
              </w:rPr>
              <w:t>–</w:t>
            </w:r>
            <w:r w:rsidRPr="00BC0ACB">
              <w:t xml:space="preserve"> </w:t>
            </w:r>
          </w:p>
        </w:tc>
      </w:tr>
      <w:tr w:rsidR="00826ADD" w:rsidRPr="00BC0ACB" w:rsidTr="008438C2">
        <w:tc>
          <w:tcPr>
            <w:tcW w:w="2396" w:type="dxa"/>
            <w:hideMark/>
          </w:tcPr>
          <w:p w:rsidR="00826ADD" w:rsidRPr="00BC0ACB" w:rsidRDefault="00826ADD" w:rsidP="00536724">
            <w:pPr>
              <w:pStyle w:val="Tabletext"/>
            </w:pPr>
            <w:r w:rsidRPr="00BC0ACB">
              <w:t>PricewaterhouseCoopers</w:t>
            </w:r>
          </w:p>
        </w:tc>
        <w:tc>
          <w:tcPr>
            <w:tcW w:w="3011" w:type="dxa"/>
            <w:hideMark/>
          </w:tcPr>
          <w:p w:rsidR="00826ADD" w:rsidRPr="00BC0ACB" w:rsidRDefault="00826ADD" w:rsidP="00536724">
            <w:pPr>
              <w:pStyle w:val="Tabletext"/>
            </w:pPr>
            <w:r w:rsidRPr="00BC0ACB">
              <w:t>Commercial and transaction advice (Implementation of Building Financial Capacity of Housing Associations)</w:t>
            </w:r>
          </w:p>
        </w:tc>
        <w:tc>
          <w:tcPr>
            <w:tcW w:w="1332" w:type="dxa"/>
            <w:noWrap/>
            <w:hideMark/>
          </w:tcPr>
          <w:p w:rsidR="00826ADD" w:rsidRPr="00BC0ACB" w:rsidRDefault="00826ADD" w:rsidP="00536724">
            <w:pPr>
              <w:pStyle w:val="Tabletextright"/>
            </w:pPr>
            <w:r w:rsidRPr="00BC0ACB">
              <w:t xml:space="preserve"> 525</w:t>
            </w:r>
            <w:r w:rsidR="00AC6DA5" w:rsidRPr="00BC0ACB">
              <w:t xml:space="preserve"> </w:t>
            </w:r>
            <w:r w:rsidRPr="00BC0ACB">
              <w:t xml:space="preserve">350 </w:t>
            </w:r>
          </w:p>
        </w:tc>
        <w:tc>
          <w:tcPr>
            <w:tcW w:w="1274" w:type="dxa"/>
            <w:noWrap/>
            <w:hideMark/>
          </w:tcPr>
          <w:p w:rsidR="00826ADD" w:rsidRPr="00BC0ACB" w:rsidRDefault="00826ADD" w:rsidP="00536724">
            <w:pPr>
              <w:pStyle w:val="Tabletextright"/>
            </w:pPr>
            <w:r w:rsidRPr="00BC0ACB">
              <w:t xml:space="preserve"> 525</w:t>
            </w:r>
            <w:r w:rsidR="00AC6DA5" w:rsidRPr="00BC0ACB">
              <w:t xml:space="preserve"> </w:t>
            </w:r>
            <w:r w:rsidRPr="00BC0ACB">
              <w:t xml:space="preserve">350 </w:t>
            </w:r>
          </w:p>
        </w:tc>
        <w:tc>
          <w:tcPr>
            <w:tcW w:w="1274" w:type="dxa"/>
            <w:noWrap/>
            <w:hideMark/>
          </w:tcPr>
          <w:p w:rsidR="00826ADD" w:rsidRPr="00BC0ACB" w:rsidRDefault="00826ADD" w:rsidP="00536724">
            <w:pPr>
              <w:pStyle w:val="Tabletextright"/>
            </w:pPr>
            <w:r w:rsidRPr="00BC0ACB">
              <w:t xml:space="preserve"> </w:t>
            </w:r>
            <w:r w:rsidR="00536724" w:rsidRPr="00BC0ACB">
              <w:rPr>
                <w:rFonts w:eastAsia="Times New Roman"/>
              </w:rPr>
              <w:t>–</w:t>
            </w:r>
            <w:r w:rsidRPr="00BC0ACB">
              <w:t xml:space="preserve"> </w:t>
            </w:r>
          </w:p>
        </w:tc>
      </w:tr>
      <w:tr w:rsidR="00826ADD" w:rsidRPr="00BC0ACB" w:rsidTr="008438C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396" w:type="dxa"/>
            <w:hideMark/>
          </w:tcPr>
          <w:p w:rsidR="00826ADD" w:rsidRPr="00BC0ACB" w:rsidRDefault="00826ADD" w:rsidP="00536724">
            <w:pPr>
              <w:pStyle w:val="Tabletext"/>
            </w:pPr>
            <w:r w:rsidRPr="00BC0ACB">
              <w:t>PricewaterhouseCoopers</w:t>
            </w:r>
          </w:p>
        </w:tc>
        <w:tc>
          <w:tcPr>
            <w:tcW w:w="3011" w:type="dxa"/>
            <w:hideMark/>
          </w:tcPr>
          <w:p w:rsidR="00826ADD" w:rsidRPr="00BC0ACB" w:rsidRDefault="00826ADD" w:rsidP="00536724">
            <w:pPr>
              <w:pStyle w:val="Tabletext"/>
            </w:pPr>
            <w:r w:rsidRPr="00BC0ACB">
              <w:t>General professional services (Emergency Services Defined Benefit Scheme enhancements)</w:t>
            </w:r>
          </w:p>
        </w:tc>
        <w:tc>
          <w:tcPr>
            <w:tcW w:w="1332" w:type="dxa"/>
            <w:noWrap/>
            <w:hideMark/>
          </w:tcPr>
          <w:p w:rsidR="00826ADD" w:rsidRPr="00BC0ACB" w:rsidRDefault="00826ADD" w:rsidP="00536724">
            <w:pPr>
              <w:pStyle w:val="Tabletextright"/>
            </w:pPr>
            <w:r w:rsidRPr="00BC0ACB">
              <w:t xml:space="preserve"> 3</w:t>
            </w:r>
            <w:r w:rsidR="00AC6DA5" w:rsidRPr="00BC0ACB">
              <w:t xml:space="preserve"> </w:t>
            </w:r>
            <w:r w:rsidRPr="00BC0ACB">
              <w:t xml:space="preserve">060 </w:t>
            </w:r>
          </w:p>
        </w:tc>
        <w:tc>
          <w:tcPr>
            <w:tcW w:w="1274" w:type="dxa"/>
            <w:noWrap/>
            <w:hideMark/>
          </w:tcPr>
          <w:p w:rsidR="00826ADD" w:rsidRPr="00BC0ACB" w:rsidRDefault="00826ADD" w:rsidP="00536724">
            <w:pPr>
              <w:pStyle w:val="Tabletextright"/>
            </w:pPr>
            <w:r w:rsidRPr="00BC0ACB">
              <w:t xml:space="preserve"> 24</w:t>
            </w:r>
            <w:r w:rsidR="00AC6DA5" w:rsidRPr="00BC0ACB">
              <w:t xml:space="preserve"> </w:t>
            </w:r>
            <w:r w:rsidRPr="00BC0ACB">
              <w:t xml:space="preserve">060 </w:t>
            </w:r>
          </w:p>
        </w:tc>
        <w:tc>
          <w:tcPr>
            <w:tcW w:w="1274" w:type="dxa"/>
            <w:noWrap/>
            <w:hideMark/>
          </w:tcPr>
          <w:p w:rsidR="00826ADD" w:rsidRPr="00BC0ACB" w:rsidRDefault="00826ADD" w:rsidP="00536724">
            <w:pPr>
              <w:pStyle w:val="Tabletextright"/>
            </w:pPr>
            <w:r w:rsidRPr="00BC0ACB">
              <w:t xml:space="preserve"> </w:t>
            </w:r>
            <w:r w:rsidR="00536724" w:rsidRPr="00BC0ACB">
              <w:rPr>
                <w:rFonts w:eastAsia="Times New Roman"/>
              </w:rPr>
              <w:t>–</w:t>
            </w:r>
            <w:r w:rsidRPr="00BC0ACB">
              <w:t xml:space="preserve"> </w:t>
            </w:r>
          </w:p>
        </w:tc>
      </w:tr>
      <w:tr w:rsidR="00826ADD" w:rsidRPr="00BC0ACB" w:rsidTr="008438C2">
        <w:tc>
          <w:tcPr>
            <w:tcW w:w="2396" w:type="dxa"/>
            <w:hideMark/>
          </w:tcPr>
          <w:p w:rsidR="00826ADD" w:rsidRPr="00BC0ACB" w:rsidRDefault="00826ADD" w:rsidP="00536724">
            <w:pPr>
              <w:pStyle w:val="Tabletext"/>
            </w:pPr>
            <w:r w:rsidRPr="00BC0ACB">
              <w:t>PricewaterhouseCoopers</w:t>
            </w:r>
          </w:p>
        </w:tc>
        <w:tc>
          <w:tcPr>
            <w:tcW w:w="3011" w:type="dxa"/>
            <w:hideMark/>
          </w:tcPr>
          <w:p w:rsidR="00826ADD" w:rsidRPr="00BC0ACB" w:rsidRDefault="00826ADD" w:rsidP="00536724">
            <w:pPr>
              <w:pStyle w:val="Tabletext"/>
            </w:pPr>
            <w:r w:rsidRPr="00BC0ACB">
              <w:t>Commercial and transaction advice (Port of Melbourne)</w:t>
            </w:r>
          </w:p>
        </w:tc>
        <w:tc>
          <w:tcPr>
            <w:tcW w:w="1332" w:type="dxa"/>
            <w:noWrap/>
            <w:hideMark/>
          </w:tcPr>
          <w:p w:rsidR="00826ADD" w:rsidRPr="00BC0ACB" w:rsidRDefault="00826ADD" w:rsidP="00536724">
            <w:pPr>
              <w:pStyle w:val="Tabletextright"/>
            </w:pPr>
            <w:r w:rsidRPr="00BC0ACB">
              <w:t xml:space="preserve"> 8</w:t>
            </w:r>
            <w:r w:rsidR="00AC6DA5" w:rsidRPr="00BC0ACB">
              <w:t xml:space="preserve"> </w:t>
            </w:r>
            <w:r w:rsidRPr="00BC0ACB">
              <w:t>845</w:t>
            </w:r>
            <w:r w:rsidR="00AC6DA5" w:rsidRPr="00BC0ACB">
              <w:t xml:space="preserve"> </w:t>
            </w:r>
            <w:r w:rsidRPr="00BC0ACB">
              <w:t xml:space="preserve">308 </w:t>
            </w:r>
          </w:p>
        </w:tc>
        <w:tc>
          <w:tcPr>
            <w:tcW w:w="1274" w:type="dxa"/>
            <w:noWrap/>
            <w:hideMark/>
          </w:tcPr>
          <w:p w:rsidR="00826ADD" w:rsidRPr="00BC0ACB" w:rsidRDefault="00826ADD" w:rsidP="00536724">
            <w:pPr>
              <w:pStyle w:val="Tabletextright"/>
            </w:pPr>
            <w:r w:rsidRPr="00BC0ACB">
              <w:t xml:space="preserve"> 29</w:t>
            </w:r>
            <w:r w:rsidR="00AC6DA5" w:rsidRPr="00BC0ACB">
              <w:t xml:space="preserve"> </w:t>
            </w:r>
            <w:r w:rsidRPr="00BC0ACB">
              <w:t xml:space="preserve">527 </w:t>
            </w:r>
          </w:p>
        </w:tc>
        <w:tc>
          <w:tcPr>
            <w:tcW w:w="1274" w:type="dxa"/>
            <w:noWrap/>
            <w:hideMark/>
          </w:tcPr>
          <w:p w:rsidR="00826ADD" w:rsidRPr="00BC0ACB" w:rsidRDefault="00826ADD" w:rsidP="00536724">
            <w:pPr>
              <w:pStyle w:val="Tabletextright"/>
            </w:pPr>
            <w:r w:rsidRPr="00BC0ACB">
              <w:t xml:space="preserve"> </w:t>
            </w:r>
            <w:r w:rsidR="00536724" w:rsidRPr="00BC0ACB">
              <w:rPr>
                <w:rFonts w:eastAsia="Times New Roman"/>
              </w:rPr>
              <w:t>–</w:t>
            </w:r>
            <w:r w:rsidRPr="00BC0ACB">
              <w:t xml:space="preserve"> </w:t>
            </w:r>
          </w:p>
        </w:tc>
      </w:tr>
      <w:tr w:rsidR="00826ADD" w:rsidRPr="00BC0ACB" w:rsidTr="008438C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396" w:type="dxa"/>
            <w:hideMark/>
          </w:tcPr>
          <w:p w:rsidR="00826ADD" w:rsidRPr="00BC0ACB" w:rsidRDefault="00826ADD" w:rsidP="00536724">
            <w:pPr>
              <w:pStyle w:val="Tabletext"/>
            </w:pPr>
            <w:r w:rsidRPr="00BC0ACB">
              <w:t>PricewaterhouseCoopers</w:t>
            </w:r>
          </w:p>
        </w:tc>
        <w:tc>
          <w:tcPr>
            <w:tcW w:w="3011" w:type="dxa"/>
            <w:hideMark/>
          </w:tcPr>
          <w:p w:rsidR="00826ADD" w:rsidRPr="00BC0ACB" w:rsidRDefault="00826ADD" w:rsidP="00960C1C">
            <w:pPr>
              <w:pStyle w:val="Tabletext"/>
            </w:pPr>
            <w:r w:rsidRPr="00BC0ACB">
              <w:t xml:space="preserve">Commercial and transaction advice (Stage two </w:t>
            </w:r>
            <w:r w:rsidR="00E9038C" w:rsidRPr="00BC0ACB">
              <w:t>market-led</w:t>
            </w:r>
            <w:r w:rsidRPr="00BC0ACB">
              <w:t xml:space="preserve"> proposal)</w:t>
            </w:r>
          </w:p>
        </w:tc>
        <w:tc>
          <w:tcPr>
            <w:tcW w:w="1332" w:type="dxa"/>
            <w:noWrap/>
            <w:hideMark/>
          </w:tcPr>
          <w:p w:rsidR="00826ADD" w:rsidRPr="00BC0ACB" w:rsidRDefault="00826ADD" w:rsidP="00536724">
            <w:pPr>
              <w:pStyle w:val="Tabletextright"/>
            </w:pPr>
            <w:r w:rsidRPr="00BC0ACB">
              <w:t xml:space="preserve"> 118</w:t>
            </w:r>
            <w:r w:rsidR="00AC6DA5" w:rsidRPr="00BC0ACB">
              <w:t xml:space="preserve"> </w:t>
            </w:r>
            <w:r w:rsidRPr="00BC0ACB">
              <w:t xml:space="preserve">227 </w:t>
            </w:r>
          </w:p>
        </w:tc>
        <w:tc>
          <w:tcPr>
            <w:tcW w:w="1274" w:type="dxa"/>
            <w:noWrap/>
            <w:hideMark/>
          </w:tcPr>
          <w:p w:rsidR="00826ADD" w:rsidRPr="00BC0ACB" w:rsidRDefault="00826ADD" w:rsidP="00536724">
            <w:pPr>
              <w:pStyle w:val="Tabletextright"/>
            </w:pPr>
            <w:r w:rsidRPr="00BC0ACB">
              <w:t xml:space="preserve"> 118</w:t>
            </w:r>
            <w:r w:rsidR="00AC6DA5" w:rsidRPr="00BC0ACB">
              <w:t xml:space="preserve"> </w:t>
            </w:r>
            <w:r w:rsidRPr="00BC0ACB">
              <w:t xml:space="preserve">227 </w:t>
            </w:r>
          </w:p>
        </w:tc>
        <w:tc>
          <w:tcPr>
            <w:tcW w:w="1274" w:type="dxa"/>
            <w:noWrap/>
            <w:hideMark/>
          </w:tcPr>
          <w:p w:rsidR="00826ADD" w:rsidRPr="00BC0ACB" w:rsidRDefault="00826ADD" w:rsidP="00536724">
            <w:pPr>
              <w:pStyle w:val="Tabletextright"/>
            </w:pPr>
            <w:r w:rsidRPr="00BC0ACB">
              <w:t xml:space="preserve"> </w:t>
            </w:r>
            <w:r w:rsidR="00536724" w:rsidRPr="00BC0ACB">
              <w:rPr>
                <w:rFonts w:eastAsia="Times New Roman"/>
              </w:rPr>
              <w:t>–</w:t>
            </w:r>
            <w:r w:rsidRPr="00BC0ACB">
              <w:t xml:space="preserve"> </w:t>
            </w:r>
          </w:p>
        </w:tc>
      </w:tr>
      <w:tr w:rsidR="00826ADD" w:rsidRPr="00BC0ACB" w:rsidTr="008438C2">
        <w:tc>
          <w:tcPr>
            <w:tcW w:w="2396" w:type="dxa"/>
            <w:hideMark/>
          </w:tcPr>
          <w:p w:rsidR="00826ADD" w:rsidRPr="00BC0ACB" w:rsidRDefault="00826ADD" w:rsidP="00536724">
            <w:pPr>
              <w:pStyle w:val="Tabletext"/>
            </w:pPr>
            <w:r w:rsidRPr="00BC0ACB">
              <w:t>PricewaterhouseCoopers</w:t>
            </w:r>
          </w:p>
        </w:tc>
        <w:tc>
          <w:tcPr>
            <w:tcW w:w="3011" w:type="dxa"/>
            <w:hideMark/>
          </w:tcPr>
          <w:p w:rsidR="00826ADD" w:rsidRPr="00BC0ACB" w:rsidRDefault="00826ADD" w:rsidP="00536724">
            <w:pPr>
              <w:pStyle w:val="Tabletext"/>
            </w:pPr>
            <w:r w:rsidRPr="00BC0ACB">
              <w:t>Framework development and policy research (Corporate Group structure and the Victorian Regulatory Framework)</w:t>
            </w:r>
          </w:p>
        </w:tc>
        <w:tc>
          <w:tcPr>
            <w:tcW w:w="1332" w:type="dxa"/>
            <w:noWrap/>
            <w:hideMark/>
          </w:tcPr>
          <w:p w:rsidR="00826ADD" w:rsidRPr="00BC0ACB" w:rsidRDefault="00826ADD" w:rsidP="00536724">
            <w:pPr>
              <w:pStyle w:val="Tabletextright"/>
            </w:pPr>
            <w:r w:rsidRPr="00BC0ACB">
              <w:t xml:space="preserve"> 58</w:t>
            </w:r>
            <w:r w:rsidR="00AC6DA5" w:rsidRPr="00BC0ACB">
              <w:t xml:space="preserve"> </w:t>
            </w:r>
            <w:r w:rsidRPr="00BC0ACB">
              <w:t xml:space="preserve">977 </w:t>
            </w:r>
          </w:p>
        </w:tc>
        <w:tc>
          <w:tcPr>
            <w:tcW w:w="1274" w:type="dxa"/>
            <w:noWrap/>
            <w:hideMark/>
          </w:tcPr>
          <w:p w:rsidR="00826ADD" w:rsidRPr="00BC0ACB" w:rsidRDefault="00826ADD" w:rsidP="00536724">
            <w:pPr>
              <w:pStyle w:val="Tabletextright"/>
            </w:pPr>
            <w:r w:rsidRPr="00BC0ACB">
              <w:t xml:space="preserve"> 41</w:t>
            </w:r>
            <w:r w:rsidR="00AC6DA5" w:rsidRPr="00BC0ACB">
              <w:t xml:space="preserve"> </w:t>
            </w:r>
            <w:r w:rsidRPr="00BC0ACB">
              <w:t xml:space="preserve">284 </w:t>
            </w:r>
          </w:p>
        </w:tc>
        <w:tc>
          <w:tcPr>
            <w:tcW w:w="1274" w:type="dxa"/>
            <w:noWrap/>
            <w:hideMark/>
          </w:tcPr>
          <w:p w:rsidR="00826ADD" w:rsidRPr="00BC0ACB" w:rsidRDefault="00826ADD" w:rsidP="00536724">
            <w:pPr>
              <w:pStyle w:val="Tabletextright"/>
            </w:pPr>
            <w:r w:rsidRPr="00BC0ACB">
              <w:t xml:space="preserve"> </w:t>
            </w:r>
            <w:r w:rsidR="00536724" w:rsidRPr="00BC0ACB">
              <w:rPr>
                <w:rFonts w:eastAsia="Times New Roman"/>
              </w:rPr>
              <w:t>–</w:t>
            </w:r>
            <w:r w:rsidRPr="00BC0ACB">
              <w:t xml:space="preserve"> </w:t>
            </w:r>
          </w:p>
        </w:tc>
      </w:tr>
      <w:tr w:rsidR="00826ADD" w:rsidRPr="00BC0ACB" w:rsidTr="008438C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396" w:type="dxa"/>
            <w:hideMark/>
          </w:tcPr>
          <w:p w:rsidR="00826ADD" w:rsidRPr="00BC0ACB" w:rsidRDefault="00826ADD" w:rsidP="00536724">
            <w:pPr>
              <w:pStyle w:val="Tabletext"/>
            </w:pPr>
            <w:r w:rsidRPr="00BC0ACB">
              <w:t>PricewaterhouseCoopers</w:t>
            </w:r>
          </w:p>
        </w:tc>
        <w:tc>
          <w:tcPr>
            <w:tcW w:w="3011" w:type="dxa"/>
            <w:hideMark/>
          </w:tcPr>
          <w:p w:rsidR="00826ADD" w:rsidRPr="00BC0ACB" w:rsidRDefault="00826ADD" w:rsidP="00960C1C">
            <w:pPr>
              <w:pStyle w:val="Tabletext"/>
            </w:pPr>
            <w:r w:rsidRPr="00BC0ACB">
              <w:t>Commercial and transaction advice (</w:t>
            </w:r>
            <w:r w:rsidR="00127591" w:rsidRPr="00BC0ACB">
              <w:t>Stage two market-led proposal</w:t>
            </w:r>
            <w:r w:rsidRPr="00BC0ACB">
              <w:t>)</w:t>
            </w:r>
          </w:p>
        </w:tc>
        <w:tc>
          <w:tcPr>
            <w:tcW w:w="1332" w:type="dxa"/>
            <w:noWrap/>
            <w:hideMark/>
          </w:tcPr>
          <w:p w:rsidR="00826ADD" w:rsidRPr="00BC0ACB" w:rsidRDefault="00826ADD" w:rsidP="00536724">
            <w:pPr>
              <w:pStyle w:val="Tabletextright"/>
            </w:pPr>
            <w:r w:rsidRPr="00BC0ACB">
              <w:t xml:space="preserve"> 86</w:t>
            </w:r>
            <w:r w:rsidR="00AC6DA5" w:rsidRPr="00BC0ACB">
              <w:t xml:space="preserve"> </w:t>
            </w:r>
            <w:r w:rsidRPr="00BC0ACB">
              <w:t xml:space="preserve">700 </w:t>
            </w:r>
          </w:p>
        </w:tc>
        <w:tc>
          <w:tcPr>
            <w:tcW w:w="1274" w:type="dxa"/>
            <w:noWrap/>
            <w:hideMark/>
          </w:tcPr>
          <w:p w:rsidR="00826ADD" w:rsidRPr="00BC0ACB" w:rsidRDefault="00826ADD" w:rsidP="00536724">
            <w:pPr>
              <w:pStyle w:val="Tabletextright"/>
            </w:pPr>
            <w:r w:rsidRPr="00BC0ACB">
              <w:t xml:space="preserve"> 86</w:t>
            </w:r>
            <w:r w:rsidR="00AC6DA5" w:rsidRPr="00BC0ACB">
              <w:t xml:space="preserve"> </w:t>
            </w:r>
            <w:r w:rsidRPr="00BC0ACB">
              <w:t xml:space="preserve">700 </w:t>
            </w:r>
          </w:p>
        </w:tc>
        <w:tc>
          <w:tcPr>
            <w:tcW w:w="1274" w:type="dxa"/>
            <w:noWrap/>
            <w:hideMark/>
          </w:tcPr>
          <w:p w:rsidR="00826ADD" w:rsidRPr="00BC0ACB" w:rsidRDefault="00826ADD" w:rsidP="00536724">
            <w:pPr>
              <w:pStyle w:val="Tabletextright"/>
            </w:pPr>
            <w:r w:rsidRPr="00BC0ACB">
              <w:t xml:space="preserve"> </w:t>
            </w:r>
            <w:r w:rsidR="00536724" w:rsidRPr="00BC0ACB">
              <w:rPr>
                <w:rFonts w:eastAsia="Times New Roman"/>
              </w:rPr>
              <w:t>–</w:t>
            </w:r>
            <w:r w:rsidRPr="00BC0ACB">
              <w:t xml:space="preserve"> </w:t>
            </w:r>
          </w:p>
        </w:tc>
      </w:tr>
      <w:tr w:rsidR="00826ADD" w:rsidRPr="00BC0ACB" w:rsidTr="008438C2">
        <w:tc>
          <w:tcPr>
            <w:tcW w:w="2396" w:type="dxa"/>
            <w:hideMark/>
          </w:tcPr>
          <w:p w:rsidR="00826ADD" w:rsidRPr="00BC0ACB" w:rsidRDefault="00826ADD" w:rsidP="00536724">
            <w:pPr>
              <w:pStyle w:val="Tabletext"/>
            </w:pPr>
            <w:r w:rsidRPr="00BC0ACB">
              <w:t>PricewaterhouseCoopers Consulting (Australia) Pty Limited</w:t>
            </w:r>
          </w:p>
        </w:tc>
        <w:tc>
          <w:tcPr>
            <w:tcW w:w="3011" w:type="dxa"/>
            <w:hideMark/>
          </w:tcPr>
          <w:p w:rsidR="00826ADD" w:rsidRPr="00BC0ACB" w:rsidRDefault="00826ADD" w:rsidP="00536724">
            <w:pPr>
              <w:pStyle w:val="Tabletext"/>
            </w:pPr>
            <w:r w:rsidRPr="00BC0ACB">
              <w:t xml:space="preserve">General professional services (Advisory service for </w:t>
            </w:r>
            <w:r w:rsidR="00E9038C" w:rsidRPr="00BC0ACB">
              <w:t>Victorian public service</w:t>
            </w:r>
            <w:r w:rsidRPr="00BC0ACB">
              <w:t xml:space="preserve"> demand forecasting review)</w:t>
            </w:r>
          </w:p>
        </w:tc>
        <w:tc>
          <w:tcPr>
            <w:tcW w:w="1332" w:type="dxa"/>
            <w:noWrap/>
            <w:hideMark/>
          </w:tcPr>
          <w:p w:rsidR="00826ADD" w:rsidRPr="00BC0ACB" w:rsidRDefault="00826ADD" w:rsidP="00536724">
            <w:pPr>
              <w:pStyle w:val="Tabletextright"/>
            </w:pPr>
            <w:r w:rsidRPr="00BC0ACB">
              <w:t xml:space="preserve"> 149</w:t>
            </w:r>
            <w:r w:rsidR="00AC6DA5" w:rsidRPr="00BC0ACB">
              <w:t xml:space="preserve"> </w:t>
            </w:r>
            <w:r w:rsidRPr="00BC0ACB">
              <w:t xml:space="preserve">532 </w:t>
            </w:r>
          </w:p>
        </w:tc>
        <w:tc>
          <w:tcPr>
            <w:tcW w:w="1274" w:type="dxa"/>
            <w:noWrap/>
            <w:hideMark/>
          </w:tcPr>
          <w:p w:rsidR="00826ADD" w:rsidRPr="00BC0ACB" w:rsidRDefault="00826ADD" w:rsidP="00536724">
            <w:pPr>
              <w:pStyle w:val="Tabletextright"/>
            </w:pPr>
            <w:r w:rsidRPr="00BC0ACB">
              <w:t xml:space="preserve"> 56</w:t>
            </w:r>
            <w:r w:rsidR="00AC6DA5" w:rsidRPr="00BC0ACB">
              <w:t xml:space="preserve"> </w:t>
            </w:r>
            <w:r w:rsidRPr="00BC0ACB">
              <w:t xml:space="preserve">686 </w:t>
            </w:r>
          </w:p>
        </w:tc>
        <w:tc>
          <w:tcPr>
            <w:tcW w:w="1274" w:type="dxa"/>
            <w:noWrap/>
            <w:hideMark/>
          </w:tcPr>
          <w:p w:rsidR="00826ADD" w:rsidRPr="00BC0ACB" w:rsidRDefault="00826ADD" w:rsidP="00536724">
            <w:pPr>
              <w:pStyle w:val="Tabletextright"/>
            </w:pPr>
            <w:r w:rsidRPr="00BC0ACB">
              <w:t xml:space="preserve"> 92</w:t>
            </w:r>
            <w:r w:rsidR="00AC6DA5" w:rsidRPr="00BC0ACB">
              <w:t xml:space="preserve"> </w:t>
            </w:r>
            <w:r w:rsidRPr="00BC0ACB">
              <w:t xml:space="preserve">846 </w:t>
            </w:r>
          </w:p>
        </w:tc>
      </w:tr>
      <w:tr w:rsidR="00826ADD" w:rsidRPr="00BC0ACB" w:rsidTr="008438C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396" w:type="dxa"/>
            <w:hideMark/>
          </w:tcPr>
          <w:p w:rsidR="00826ADD" w:rsidRPr="00BC0ACB" w:rsidRDefault="00826ADD" w:rsidP="00536724">
            <w:pPr>
              <w:pStyle w:val="Tabletext"/>
            </w:pPr>
            <w:r w:rsidRPr="00BC0ACB">
              <w:t>Rothschild Australia Ltd</w:t>
            </w:r>
          </w:p>
        </w:tc>
        <w:tc>
          <w:tcPr>
            <w:tcW w:w="3011" w:type="dxa"/>
            <w:hideMark/>
          </w:tcPr>
          <w:p w:rsidR="00826ADD" w:rsidRPr="00BC0ACB" w:rsidRDefault="00826ADD" w:rsidP="00536724">
            <w:pPr>
              <w:pStyle w:val="Tabletext"/>
            </w:pPr>
            <w:r w:rsidRPr="00BC0ACB">
              <w:t>Commercial and transaction advice (Trends for toll road demand risk transfer and implication for the Victorian Infrastructure context)</w:t>
            </w:r>
          </w:p>
        </w:tc>
        <w:tc>
          <w:tcPr>
            <w:tcW w:w="1332" w:type="dxa"/>
            <w:noWrap/>
            <w:hideMark/>
          </w:tcPr>
          <w:p w:rsidR="00826ADD" w:rsidRPr="00BC0ACB" w:rsidRDefault="00826ADD" w:rsidP="00536724">
            <w:pPr>
              <w:pStyle w:val="Tabletextright"/>
            </w:pPr>
            <w:r w:rsidRPr="00BC0ACB">
              <w:t xml:space="preserve"> 110</w:t>
            </w:r>
            <w:r w:rsidR="00AC6DA5" w:rsidRPr="00BC0ACB">
              <w:t xml:space="preserve"> </w:t>
            </w:r>
            <w:r w:rsidRPr="00BC0ACB">
              <w:t xml:space="preserve">000 </w:t>
            </w:r>
          </w:p>
        </w:tc>
        <w:tc>
          <w:tcPr>
            <w:tcW w:w="1274" w:type="dxa"/>
            <w:noWrap/>
            <w:hideMark/>
          </w:tcPr>
          <w:p w:rsidR="00826ADD" w:rsidRPr="00BC0ACB" w:rsidRDefault="00826ADD" w:rsidP="00536724">
            <w:pPr>
              <w:pStyle w:val="Tabletextright"/>
            </w:pPr>
            <w:r w:rsidRPr="00BC0ACB">
              <w:t xml:space="preserve"> 91</w:t>
            </w:r>
            <w:r w:rsidR="00AC6DA5" w:rsidRPr="00BC0ACB">
              <w:t xml:space="preserve"> </w:t>
            </w:r>
            <w:r w:rsidRPr="00BC0ACB">
              <w:t xml:space="preserve">509 </w:t>
            </w:r>
          </w:p>
        </w:tc>
        <w:tc>
          <w:tcPr>
            <w:tcW w:w="1274" w:type="dxa"/>
            <w:noWrap/>
            <w:hideMark/>
          </w:tcPr>
          <w:p w:rsidR="00826ADD" w:rsidRPr="00BC0ACB" w:rsidRDefault="00826ADD" w:rsidP="00536724">
            <w:pPr>
              <w:pStyle w:val="Tabletextright"/>
            </w:pPr>
            <w:r w:rsidRPr="00BC0ACB">
              <w:t xml:space="preserve"> </w:t>
            </w:r>
            <w:r w:rsidR="00536724" w:rsidRPr="00BC0ACB">
              <w:rPr>
                <w:rFonts w:eastAsia="Times New Roman"/>
              </w:rPr>
              <w:t>–</w:t>
            </w:r>
            <w:r w:rsidRPr="00BC0ACB">
              <w:t xml:space="preserve"> </w:t>
            </w:r>
          </w:p>
        </w:tc>
      </w:tr>
      <w:tr w:rsidR="00826ADD" w:rsidRPr="00BC0ACB" w:rsidTr="008438C2">
        <w:tc>
          <w:tcPr>
            <w:tcW w:w="2396" w:type="dxa"/>
            <w:hideMark/>
          </w:tcPr>
          <w:p w:rsidR="00826ADD" w:rsidRPr="00BC0ACB" w:rsidRDefault="00826ADD" w:rsidP="00536724">
            <w:pPr>
              <w:pStyle w:val="Tabletext"/>
            </w:pPr>
            <w:r w:rsidRPr="00BC0ACB">
              <w:t>Rothschild Australia Ltd</w:t>
            </w:r>
          </w:p>
        </w:tc>
        <w:tc>
          <w:tcPr>
            <w:tcW w:w="3011" w:type="dxa"/>
            <w:hideMark/>
          </w:tcPr>
          <w:p w:rsidR="00826ADD" w:rsidRPr="00BC0ACB" w:rsidRDefault="00826ADD" w:rsidP="00536724">
            <w:pPr>
              <w:pStyle w:val="Tabletext"/>
            </w:pPr>
            <w:r w:rsidRPr="00BC0ACB">
              <w:t>General professional services (North East Link Project)</w:t>
            </w:r>
          </w:p>
        </w:tc>
        <w:tc>
          <w:tcPr>
            <w:tcW w:w="1332" w:type="dxa"/>
            <w:noWrap/>
            <w:hideMark/>
          </w:tcPr>
          <w:p w:rsidR="00826ADD" w:rsidRPr="00BC0ACB" w:rsidRDefault="00826ADD" w:rsidP="00536724">
            <w:pPr>
              <w:pStyle w:val="Tabletextright"/>
            </w:pPr>
            <w:r w:rsidRPr="00BC0ACB">
              <w:t xml:space="preserve"> 427</w:t>
            </w:r>
            <w:r w:rsidR="00AC6DA5" w:rsidRPr="00BC0ACB">
              <w:t xml:space="preserve"> </w:t>
            </w:r>
            <w:r w:rsidRPr="00BC0ACB">
              <w:t xml:space="preserve">273 </w:t>
            </w:r>
          </w:p>
        </w:tc>
        <w:tc>
          <w:tcPr>
            <w:tcW w:w="1274" w:type="dxa"/>
            <w:noWrap/>
            <w:hideMark/>
          </w:tcPr>
          <w:p w:rsidR="00826ADD" w:rsidRPr="00BC0ACB" w:rsidRDefault="00826ADD" w:rsidP="00536724">
            <w:pPr>
              <w:pStyle w:val="Tabletextright"/>
            </w:pPr>
            <w:r w:rsidRPr="00BC0ACB">
              <w:t xml:space="preserve"> 380</w:t>
            </w:r>
            <w:r w:rsidR="00AC6DA5" w:rsidRPr="00BC0ACB">
              <w:t xml:space="preserve"> </w:t>
            </w:r>
            <w:r w:rsidRPr="00BC0ACB">
              <w:t xml:space="preserve">869 </w:t>
            </w:r>
          </w:p>
        </w:tc>
        <w:tc>
          <w:tcPr>
            <w:tcW w:w="1274" w:type="dxa"/>
            <w:noWrap/>
            <w:hideMark/>
          </w:tcPr>
          <w:p w:rsidR="00826ADD" w:rsidRPr="00BC0ACB" w:rsidRDefault="00826ADD" w:rsidP="00536724">
            <w:pPr>
              <w:pStyle w:val="Tabletextright"/>
            </w:pPr>
            <w:r w:rsidRPr="00BC0ACB">
              <w:t xml:space="preserve"> 41</w:t>
            </w:r>
            <w:r w:rsidR="00AC6DA5" w:rsidRPr="00BC0ACB">
              <w:t xml:space="preserve"> </w:t>
            </w:r>
            <w:r w:rsidRPr="00BC0ACB">
              <w:t xml:space="preserve">858 </w:t>
            </w:r>
          </w:p>
        </w:tc>
      </w:tr>
      <w:tr w:rsidR="00826ADD" w:rsidRPr="00BC0ACB" w:rsidTr="008438C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396" w:type="dxa"/>
            <w:hideMark/>
          </w:tcPr>
          <w:p w:rsidR="00826ADD" w:rsidRPr="00BC0ACB" w:rsidRDefault="00826ADD" w:rsidP="00536724">
            <w:pPr>
              <w:pStyle w:val="Tabletext"/>
            </w:pPr>
            <w:r w:rsidRPr="00BC0ACB">
              <w:lastRenderedPageBreak/>
              <w:t>Smedley Technical &amp; Strategic Pty Ltd</w:t>
            </w:r>
          </w:p>
        </w:tc>
        <w:tc>
          <w:tcPr>
            <w:tcW w:w="3011" w:type="dxa"/>
            <w:hideMark/>
          </w:tcPr>
          <w:p w:rsidR="00826ADD" w:rsidRPr="00BC0ACB" w:rsidRDefault="00826ADD" w:rsidP="00536724">
            <w:pPr>
              <w:pStyle w:val="Tabletext"/>
            </w:pPr>
            <w:r w:rsidRPr="00BC0ACB">
              <w:t>Commercial and transaction advice (West Gate Tunnel Project</w:t>
            </w:r>
            <w:r w:rsidR="00E9038C" w:rsidRPr="00BC0ACB">
              <w:t xml:space="preserve"> – </w:t>
            </w:r>
            <w:r w:rsidRPr="00BC0ACB">
              <w:t>provision of tolling and technical services)</w:t>
            </w:r>
          </w:p>
        </w:tc>
        <w:tc>
          <w:tcPr>
            <w:tcW w:w="1332" w:type="dxa"/>
            <w:noWrap/>
            <w:hideMark/>
          </w:tcPr>
          <w:p w:rsidR="00826ADD" w:rsidRPr="00BC0ACB" w:rsidRDefault="00826ADD" w:rsidP="00536724">
            <w:pPr>
              <w:pStyle w:val="Tabletextright"/>
            </w:pPr>
            <w:r w:rsidRPr="00BC0ACB">
              <w:t xml:space="preserve"> 1</w:t>
            </w:r>
            <w:r w:rsidR="00AC6DA5" w:rsidRPr="00BC0ACB">
              <w:t xml:space="preserve"> </w:t>
            </w:r>
            <w:r w:rsidRPr="00BC0ACB">
              <w:t>692</w:t>
            </w:r>
            <w:r w:rsidR="00AC6DA5" w:rsidRPr="00BC0ACB">
              <w:t xml:space="preserve"> </w:t>
            </w:r>
            <w:r w:rsidRPr="00BC0ACB">
              <w:t xml:space="preserve">364 </w:t>
            </w:r>
          </w:p>
        </w:tc>
        <w:tc>
          <w:tcPr>
            <w:tcW w:w="1274" w:type="dxa"/>
            <w:noWrap/>
            <w:hideMark/>
          </w:tcPr>
          <w:p w:rsidR="00826ADD" w:rsidRPr="00BC0ACB" w:rsidRDefault="00826ADD" w:rsidP="00536724">
            <w:pPr>
              <w:pStyle w:val="Tabletextright"/>
            </w:pPr>
            <w:r w:rsidRPr="00BC0ACB">
              <w:t xml:space="preserve"> 70</w:t>
            </w:r>
            <w:r w:rsidR="00AC6DA5" w:rsidRPr="00BC0ACB">
              <w:t xml:space="preserve"> </w:t>
            </w:r>
            <w:r w:rsidRPr="00BC0ACB">
              <w:t xml:space="preserve">988 </w:t>
            </w:r>
          </w:p>
        </w:tc>
        <w:tc>
          <w:tcPr>
            <w:tcW w:w="1274" w:type="dxa"/>
            <w:noWrap/>
            <w:hideMark/>
          </w:tcPr>
          <w:p w:rsidR="00826ADD" w:rsidRPr="00BC0ACB" w:rsidRDefault="00826ADD" w:rsidP="00536724">
            <w:pPr>
              <w:pStyle w:val="Tabletextright"/>
            </w:pPr>
            <w:r w:rsidRPr="00BC0ACB">
              <w:t xml:space="preserve"> </w:t>
            </w:r>
            <w:r w:rsidR="00536724" w:rsidRPr="00BC0ACB">
              <w:rPr>
                <w:rFonts w:eastAsia="Times New Roman"/>
              </w:rPr>
              <w:t>–</w:t>
            </w:r>
            <w:r w:rsidRPr="00BC0ACB">
              <w:t xml:space="preserve"> </w:t>
            </w:r>
          </w:p>
        </w:tc>
      </w:tr>
      <w:tr w:rsidR="00826ADD" w:rsidRPr="00BC0ACB" w:rsidTr="008438C2">
        <w:tc>
          <w:tcPr>
            <w:tcW w:w="2396" w:type="dxa"/>
            <w:shd w:val="clear" w:color="auto" w:fill="FFFFFF" w:themeFill="background1"/>
            <w:hideMark/>
          </w:tcPr>
          <w:p w:rsidR="00826ADD" w:rsidRPr="00BC0ACB" w:rsidRDefault="00826ADD" w:rsidP="00536724">
            <w:pPr>
              <w:pStyle w:val="Tabletext"/>
            </w:pPr>
            <w:r w:rsidRPr="00BC0ACB">
              <w:t>Smedley Technical &amp; Strategic Pty Ltd</w:t>
            </w:r>
          </w:p>
        </w:tc>
        <w:tc>
          <w:tcPr>
            <w:tcW w:w="3011" w:type="dxa"/>
            <w:shd w:val="clear" w:color="auto" w:fill="FFFFFF" w:themeFill="background1"/>
            <w:hideMark/>
          </w:tcPr>
          <w:p w:rsidR="00826ADD" w:rsidRPr="00BC0ACB" w:rsidRDefault="00826ADD" w:rsidP="00536724">
            <w:pPr>
              <w:pStyle w:val="Tabletext"/>
            </w:pPr>
            <w:r w:rsidRPr="00BC0ACB">
              <w:t xml:space="preserve">Commercial and transaction advice (PPP specialist technical advisory services for the Western Roads Upgrade </w:t>
            </w:r>
            <w:r w:rsidR="00E9038C" w:rsidRPr="00BC0ACB">
              <w:t>project</w:t>
            </w:r>
            <w:r w:rsidRPr="00BC0ACB">
              <w:t>)</w:t>
            </w:r>
          </w:p>
        </w:tc>
        <w:tc>
          <w:tcPr>
            <w:tcW w:w="1332" w:type="dxa"/>
            <w:shd w:val="clear" w:color="auto" w:fill="FFFFFF" w:themeFill="background1"/>
            <w:noWrap/>
            <w:hideMark/>
          </w:tcPr>
          <w:p w:rsidR="00826ADD" w:rsidRPr="00BC0ACB" w:rsidRDefault="00826ADD" w:rsidP="00536724">
            <w:pPr>
              <w:pStyle w:val="Tabletextright"/>
            </w:pPr>
            <w:r w:rsidRPr="00BC0ACB">
              <w:t xml:space="preserve"> 901</w:t>
            </w:r>
            <w:r w:rsidR="00AC6DA5" w:rsidRPr="00BC0ACB">
              <w:t xml:space="preserve"> </w:t>
            </w:r>
            <w:r w:rsidRPr="00BC0ACB">
              <w:t xml:space="preserve">025 </w:t>
            </w:r>
          </w:p>
        </w:tc>
        <w:tc>
          <w:tcPr>
            <w:tcW w:w="1274" w:type="dxa"/>
            <w:shd w:val="clear" w:color="auto" w:fill="FFFFFF" w:themeFill="background1"/>
            <w:noWrap/>
            <w:hideMark/>
          </w:tcPr>
          <w:p w:rsidR="00826ADD" w:rsidRPr="00BC0ACB" w:rsidRDefault="00826ADD" w:rsidP="00536724">
            <w:pPr>
              <w:pStyle w:val="Tabletextright"/>
            </w:pPr>
            <w:r w:rsidRPr="00BC0ACB">
              <w:t xml:space="preserve"> 121</w:t>
            </w:r>
            <w:r w:rsidR="00AC6DA5" w:rsidRPr="00BC0ACB">
              <w:t xml:space="preserve"> </w:t>
            </w:r>
            <w:r w:rsidRPr="00BC0ACB">
              <w:t xml:space="preserve">413 </w:t>
            </w:r>
          </w:p>
        </w:tc>
        <w:tc>
          <w:tcPr>
            <w:tcW w:w="1274" w:type="dxa"/>
            <w:shd w:val="clear" w:color="auto" w:fill="FFFFFF" w:themeFill="background1"/>
            <w:noWrap/>
            <w:hideMark/>
          </w:tcPr>
          <w:p w:rsidR="00826ADD" w:rsidRPr="00BC0ACB" w:rsidRDefault="00826ADD" w:rsidP="00536724">
            <w:pPr>
              <w:pStyle w:val="Tabletextright"/>
            </w:pPr>
            <w:r w:rsidRPr="00BC0ACB">
              <w:t xml:space="preserve"> </w:t>
            </w:r>
            <w:r w:rsidR="00536724" w:rsidRPr="00BC0ACB">
              <w:rPr>
                <w:rFonts w:eastAsia="Times New Roman"/>
              </w:rPr>
              <w:t>–</w:t>
            </w:r>
            <w:r w:rsidRPr="00BC0ACB">
              <w:t xml:space="preserve"> </w:t>
            </w:r>
          </w:p>
        </w:tc>
      </w:tr>
      <w:tr w:rsidR="00826ADD" w:rsidRPr="00BC0ACB" w:rsidTr="008438C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396" w:type="dxa"/>
            <w:hideMark/>
          </w:tcPr>
          <w:p w:rsidR="00826ADD" w:rsidRPr="00BC0ACB" w:rsidRDefault="00826ADD" w:rsidP="00536724">
            <w:pPr>
              <w:pStyle w:val="Tabletext"/>
            </w:pPr>
            <w:r w:rsidRPr="00BC0ACB">
              <w:t>SNC-Lavalin Rail &amp; Transit Pty Ltd</w:t>
            </w:r>
          </w:p>
        </w:tc>
        <w:tc>
          <w:tcPr>
            <w:tcW w:w="3011" w:type="dxa"/>
            <w:hideMark/>
          </w:tcPr>
          <w:p w:rsidR="00826ADD" w:rsidRPr="00BC0ACB" w:rsidRDefault="00826ADD" w:rsidP="00536724">
            <w:pPr>
              <w:pStyle w:val="Tabletext"/>
            </w:pPr>
            <w:r w:rsidRPr="00BC0ACB">
              <w:t>General professional services (Independent review of the Metro Tunnel systems integration and interface risk)</w:t>
            </w:r>
          </w:p>
        </w:tc>
        <w:tc>
          <w:tcPr>
            <w:tcW w:w="1332" w:type="dxa"/>
            <w:noWrap/>
            <w:hideMark/>
          </w:tcPr>
          <w:p w:rsidR="00826ADD" w:rsidRPr="00BC0ACB" w:rsidRDefault="00826ADD" w:rsidP="00536724">
            <w:pPr>
              <w:pStyle w:val="Tabletextright"/>
            </w:pPr>
            <w:r w:rsidRPr="00BC0ACB">
              <w:t xml:space="preserve"> 119</w:t>
            </w:r>
            <w:r w:rsidR="00AC6DA5" w:rsidRPr="00BC0ACB">
              <w:t xml:space="preserve"> </w:t>
            </w:r>
            <w:r w:rsidRPr="00BC0ACB">
              <w:t xml:space="preserve">189 </w:t>
            </w:r>
          </w:p>
        </w:tc>
        <w:tc>
          <w:tcPr>
            <w:tcW w:w="1274" w:type="dxa"/>
            <w:noWrap/>
            <w:hideMark/>
          </w:tcPr>
          <w:p w:rsidR="00826ADD" w:rsidRPr="00BC0ACB" w:rsidRDefault="00826ADD" w:rsidP="00536724">
            <w:pPr>
              <w:pStyle w:val="Tabletextright"/>
            </w:pPr>
            <w:r w:rsidRPr="00BC0ACB">
              <w:t xml:space="preserve"> 119</w:t>
            </w:r>
            <w:r w:rsidR="00AC6DA5" w:rsidRPr="00BC0ACB">
              <w:t xml:space="preserve"> </w:t>
            </w:r>
            <w:r w:rsidRPr="00BC0ACB">
              <w:t xml:space="preserve">189 </w:t>
            </w:r>
          </w:p>
        </w:tc>
        <w:tc>
          <w:tcPr>
            <w:tcW w:w="1274" w:type="dxa"/>
            <w:noWrap/>
            <w:hideMark/>
          </w:tcPr>
          <w:p w:rsidR="00826ADD" w:rsidRPr="00BC0ACB" w:rsidRDefault="00826ADD" w:rsidP="00536724">
            <w:pPr>
              <w:pStyle w:val="Tabletextright"/>
            </w:pPr>
            <w:r w:rsidRPr="00BC0ACB">
              <w:t xml:space="preserve"> </w:t>
            </w:r>
            <w:r w:rsidR="00536724" w:rsidRPr="00BC0ACB">
              <w:rPr>
                <w:rFonts w:eastAsia="Times New Roman"/>
              </w:rPr>
              <w:t>–</w:t>
            </w:r>
            <w:r w:rsidRPr="00BC0ACB">
              <w:t xml:space="preserve"> </w:t>
            </w:r>
          </w:p>
        </w:tc>
      </w:tr>
      <w:tr w:rsidR="00826ADD" w:rsidRPr="00BC0ACB" w:rsidTr="008438C2">
        <w:tc>
          <w:tcPr>
            <w:tcW w:w="2396" w:type="dxa"/>
            <w:shd w:val="clear" w:color="auto" w:fill="FFFFFF" w:themeFill="background1"/>
            <w:hideMark/>
          </w:tcPr>
          <w:p w:rsidR="00826ADD" w:rsidRPr="00BC0ACB" w:rsidRDefault="00826ADD" w:rsidP="00536724">
            <w:pPr>
              <w:pStyle w:val="Tabletext"/>
            </w:pPr>
            <w:r w:rsidRPr="00BC0ACB">
              <w:t>The Boston Consulting Group Limited</w:t>
            </w:r>
          </w:p>
        </w:tc>
        <w:tc>
          <w:tcPr>
            <w:tcW w:w="3011" w:type="dxa"/>
            <w:shd w:val="clear" w:color="auto" w:fill="FFFFFF" w:themeFill="background1"/>
            <w:hideMark/>
          </w:tcPr>
          <w:p w:rsidR="00826ADD" w:rsidRPr="00BC0ACB" w:rsidRDefault="00826ADD" w:rsidP="00536724">
            <w:pPr>
              <w:pStyle w:val="Tabletext"/>
            </w:pPr>
            <w:r w:rsidRPr="00BC0ACB">
              <w:t xml:space="preserve">Framework development and policy research (Pricing framework for Victorian Government </w:t>
            </w:r>
            <w:r w:rsidR="00E9038C" w:rsidRPr="00BC0ACB">
              <w:t>entities</w:t>
            </w:r>
            <w:r w:rsidRPr="00BC0ACB">
              <w:t>)</w:t>
            </w:r>
          </w:p>
        </w:tc>
        <w:tc>
          <w:tcPr>
            <w:tcW w:w="1332" w:type="dxa"/>
            <w:shd w:val="clear" w:color="auto" w:fill="FFFFFF" w:themeFill="background1"/>
            <w:noWrap/>
            <w:hideMark/>
          </w:tcPr>
          <w:p w:rsidR="00826ADD" w:rsidRPr="00BC0ACB" w:rsidRDefault="00826ADD" w:rsidP="00536724">
            <w:pPr>
              <w:pStyle w:val="Tabletextright"/>
            </w:pPr>
            <w:r w:rsidRPr="00BC0ACB">
              <w:t xml:space="preserve"> 790</w:t>
            </w:r>
            <w:r w:rsidR="00AC6DA5" w:rsidRPr="00BC0ACB">
              <w:t xml:space="preserve"> </w:t>
            </w:r>
            <w:r w:rsidRPr="00BC0ACB">
              <w:t xml:space="preserve">909 </w:t>
            </w:r>
          </w:p>
        </w:tc>
        <w:tc>
          <w:tcPr>
            <w:tcW w:w="1274" w:type="dxa"/>
            <w:shd w:val="clear" w:color="auto" w:fill="FFFFFF" w:themeFill="background1"/>
            <w:noWrap/>
            <w:hideMark/>
          </w:tcPr>
          <w:p w:rsidR="00826ADD" w:rsidRPr="00BC0ACB" w:rsidRDefault="00826ADD" w:rsidP="00536724">
            <w:pPr>
              <w:pStyle w:val="Tabletextright"/>
            </w:pPr>
            <w:r w:rsidRPr="00BC0ACB">
              <w:t xml:space="preserve"> 790</w:t>
            </w:r>
            <w:r w:rsidR="00AC6DA5" w:rsidRPr="00BC0ACB">
              <w:t xml:space="preserve"> </w:t>
            </w:r>
            <w:r w:rsidRPr="00BC0ACB">
              <w:t xml:space="preserve">909 </w:t>
            </w:r>
          </w:p>
        </w:tc>
        <w:tc>
          <w:tcPr>
            <w:tcW w:w="1274" w:type="dxa"/>
            <w:shd w:val="clear" w:color="auto" w:fill="FFFFFF" w:themeFill="background1"/>
            <w:noWrap/>
            <w:hideMark/>
          </w:tcPr>
          <w:p w:rsidR="00826ADD" w:rsidRPr="00BC0ACB" w:rsidRDefault="00826ADD" w:rsidP="00536724">
            <w:pPr>
              <w:pStyle w:val="Tabletextright"/>
            </w:pPr>
            <w:r w:rsidRPr="00BC0ACB">
              <w:t xml:space="preserve"> </w:t>
            </w:r>
            <w:r w:rsidR="00536724" w:rsidRPr="00BC0ACB">
              <w:rPr>
                <w:rFonts w:eastAsia="Times New Roman"/>
              </w:rPr>
              <w:t>–</w:t>
            </w:r>
            <w:r w:rsidRPr="00BC0ACB">
              <w:t xml:space="preserve"> </w:t>
            </w:r>
          </w:p>
        </w:tc>
      </w:tr>
      <w:tr w:rsidR="00826ADD" w:rsidRPr="00BC0ACB" w:rsidTr="008438C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396" w:type="dxa"/>
            <w:hideMark/>
          </w:tcPr>
          <w:p w:rsidR="00826ADD" w:rsidRPr="00BC0ACB" w:rsidRDefault="00826ADD" w:rsidP="00536724">
            <w:pPr>
              <w:pStyle w:val="Tabletext"/>
            </w:pPr>
            <w:r w:rsidRPr="00BC0ACB">
              <w:t>The Boston Consulting Group Limited</w:t>
            </w:r>
          </w:p>
        </w:tc>
        <w:tc>
          <w:tcPr>
            <w:tcW w:w="3011" w:type="dxa"/>
            <w:hideMark/>
          </w:tcPr>
          <w:p w:rsidR="00826ADD" w:rsidRPr="00BC0ACB" w:rsidRDefault="00826ADD" w:rsidP="00960C1C">
            <w:pPr>
              <w:pStyle w:val="Tabletext"/>
            </w:pPr>
            <w:r w:rsidRPr="00BC0ACB">
              <w:t>Framework development and policy research (Optimising Victorian regulatory services)</w:t>
            </w:r>
          </w:p>
        </w:tc>
        <w:tc>
          <w:tcPr>
            <w:tcW w:w="1332" w:type="dxa"/>
            <w:noWrap/>
            <w:hideMark/>
          </w:tcPr>
          <w:p w:rsidR="00826ADD" w:rsidRPr="00BC0ACB" w:rsidRDefault="00826ADD" w:rsidP="00536724">
            <w:pPr>
              <w:pStyle w:val="Tabletextright"/>
            </w:pPr>
            <w:r w:rsidRPr="00BC0ACB">
              <w:t xml:space="preserve"> 220</w:t>
            </w:r>
            <w:r w:rsidR="00AC6DA5" w:rsidRPr="00BC0ACB">
              <w:t xml:space="preserve"> </w:t>
            </w:r>
            <w:r w:rsidRPr="00BC0ACB">
              <w:t xml:space="preserve">000 </w:t>
            </w:r>
          </w:p>
        </w:tc>
        <w:tc>
          <w:tcPr>
            <w:tcW w:w="1274" w:type="dxa"/>
            <w:noWrap/>
            <w:hideMark/>
          </w:tcPr>
          <w:p w:rsidR="00826ADD" w:rsidRPr="00BC0ACB" w:rsidRDefault="00826ADD" w:rsidP="00536724">
            <w:pPr>
              <w:pStyle w:val="Tabletextright"/>
            </w:pPr>
            <w:r w:rsidRPr="00BC0ACB">
              <w:t xml:space="preserve"> 200</w:t>
            </w:r>
            <w:r w:rsidR="00AC6DA5" w:rsidRPr="00BC0ACB">
              <w:t xml:space="preserve"> </w:t>
            </w:r>
            <w:r w:rsidRPr="00BC0ACB">
              <w:t xml:space="preserve">000 </w:t>
            </w:r>
          </w:p>
        </w:tc>
        <w:tc>
          <w:tcPr>
            <w:tcW w:w="1274" w:type="dxa"/>
            <w:noWrap/>
            <w:hideMark/>
          </w:tcPr>
          <w:p w:rsidR="00826ADD" w:rsidRPr="00BC0ACB" w:rsidRDefault="00826ADD" w:rsidP="00536724">
            <w:pPr>
              <w:pStyle w:val="Tabletextright"/>
            </w:pPr>
            <w:r w:rsidRPr="00BC0ACB">
              <w:t xml:space="preserve"> </w:t>
            </w:r>
            <w:r w:rsidR="00536724" w:rsidRPr="00BC0ACB">
              <w:rPr>
                <w:rFonts w:eastAsia="Times New Roman"/>
              </w:rPr>
              <w:t>–</w:t>
            </w:r>
            <w:r w:rsidRPr="00BC0ACB">
              <w:t xml:space="preserve"> </w:t>
            </w:r>
          </w:p>
        </w:tc>
      </w:tr>
      <w:tr w:rsidR="00826ADD" w:rsidRPr="00BC0ACB" w:rsidTr="008438C2">
        <w:tc>
          <w:tcPr>
            <w:tcW w:w="2396" w:type="dxa"/>
            <w:hideMark/>
          </w:tcPr>
          <w:p w:rsidR="00826ADD" w:rsidRPr="00BC0ACB" w:rsidRDefault="00826ADD" w:rsidP="00536724">
            <w:pPr>
              <w:pStyle w:val="Tabletext"/>
            </w:pPr>
            <w:r w:rsidRPr="00BC0ACB">
              <w:t>Towers Watson Australia Pty Ltd</w:t>
            </w:r>
          </w:p>
        </w:tc>
        <w:tc>
          <w:tcPr>
            <w:tcW w:w="3011" w:type="dxa"/>
            <w:hideMark/>
          </w:tcPr>
          <w:p w:rsidR="00826ADD" w:rsidRPr="00BC0ACB" w:rsidRDefault="00826ADD" w:rsidP="00536724">
            <w:pPr>
              <w:pStyle w:val="Tabletext"/>
            </w:pPr>
            <w:r w:rsidRPr="00BC0ACB">
              <w:t>Commercial and transaction advice (</w:t>
            </w:r>
            <w:r w:rsidR="00E9038C" w:rsidRPr="00BC0ACB">
              <w:t>Commercialisation of land titles and registry functions of Land Use Victoria</w:t>
            </w:r>
            <w:r w:rsidRPr="00BC0ACB">
              <w:t>)</w:t>
            </w:r>
          </w:p>
        </w:tc>
        <w:tc>
          <w:tcPr>
            <w:tcW w:w="1332" w:type="dxa"/>
            <w:noWrap/>
            <w:hideMark/>
          </w:tcPr>
          <w:p w:rsidR="00826ADD" w:rsidRPr="00BC0ACB" w:rsidRDefault="00300ECD" w:rsidP="00BC0ACB">
            <w:pPr>
              <w:pStyle w:val="Tabletextright"/>
              <w:rPr>
                <w:strike/>
              </w:rPr>
            </w:pPr>
            <w:r w:rsidRPr="00BC0ACB">
              <w:t>36 364</w:t>
            </w:r>
          </w:p>
        </w:tc>
        <w:tc>
          <w:tcPr>
            <w:tcW w:w="1274" w:type="dxa"/>
            <w:noWrap/>
            <w:hideMark/>
          </w:tcPr>
          <w:p w:rsidR="00826ADD" w:rsidRPr="00BC0ACB" w:rsidRDefault="00826ADD" w:rsidP="00536724">
            <w:pPr>
              <w:pStyle w:val="Tabletextright"/>
            </w:pPr>
            <w:r w:rsidRPr="00BC0ACB">
              <w:t xml:space="preserve"> 17</w:t>
            </w:r>
            <w:r w:rsidR="00AC6DA5" w:rsidRPr="00BC0ACB">
              <w:t xml:space="preserve"> </w:t>
            </w:r>
            <w:r w:rsidRPr="00BC0ACB">
              <w:t xml:space="preserve">526 </w:t>
            </w:r>
          </w:p>
        </w:tc>
        <w:tc>
          <w:tcPr>
            <w:tcW w:w="1274" w:type="dxa"/>
            <w:noWrap/>
            <w:hideMark/>
          </w:tcPr>
          <w:p w:rsidR="00826ADD" w:rsidRPr="00BC0ACB" w:rsidRDefault="00826ADD" w:rsidP="00536724">
            <w:pPr>
              <w:pStyle w:val="Tabletextright"/>
            </w:pPr>
            <w:r w:rsidRPr="00BC0ACB">
              <w:t xml:space="preserve"> 18</w:t>
            </w:r>
            <w:r w:rsidR="00AC6DA5" w:rsidRPr="00BC0ACB">
              <w:t xml:space="preserve"> </w:t>
            </w:r>
            <w:r w:rsidRPr="00BC0ACB">
              <w:t xml:space="preserve">838 </w:t>
            </w:r>
          </w:p>
        </w:tc>
      </w:tr>
      <w:tr w:rsidR="00EE7303" w:rsidRPr="00BC0ACB" w:rsidTr="008438C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396" w:type="dxa"/>
            <w:hideMark/>
          </w:tcPr>
          <w:p w:rsidR="00EE7303" w:rsidRPr="00BC0ACB" w:rsidRDefault="00EE7303" w:rsidP="00EE7303">
            <w:pPr>
              <w:pStyle w:val="Tabletext"/>
            </w:pPr>
            <w:r w:rsidRPr="00BC0ACB">
              <w:t>Towers Watson Australia Pty Ltd</w:t>
            </w:r>
          </w:p>
        </w:tc>
        <w:tc>
          <w:tcPr>
            <w:tcW w:w="3011" w:type="dxa"/>
            <w:hideMark/>
          </w:tcPr>
          <w:p w:rsidR="00EE7303" w:rsidRPr="00BC0ACB" w:rsidRDefault="00EE7303" w:rsidP="00EE7303">
            <w:pPr>
              <w:pStyle w:val="Tabletext"/>
            </w:pPr>
            <w:r w:rsidRPr="00BC0ACB">
              <w:t>Commercial and transaction advice (Commercialisation of land titles and registry functions of Land Use Victoria)</w:t>
            </w:r>
          </w:p>
        </w:tc>
        <w:tc>
          <w:tcPr>
            <w:tcW w:w="1332" w:type="dxa"/>
            <w:noWrap/>
            <w:hideMark/>
          </w:tcPr>
          <w:p w:rsidR="00EE7303" w:rsidRPr="00BC0ACB" w:rsidRDefault="00EE7303" w:rsidP="00EE7303">
            <w:pPr>
              <w:pStyle w:val="Tabletextright"/>
            </w:pPr>
            <w:r w:rsidRPr="00BC0ACB">
              <w:t>86 364</w:t>
            </w:r>
          </w:p>
        </w:tc>
        <w:tc>
          <w:tcPr>
            <w:tcW w:w="1274" w:type="dxa"/>
            <w:noWrap/>
            <w:hideMark/>
          </w:tcPr>
          <w:p w:rsidR="00EE7303" w:rsidRPr="00BC0ACB" w:rsidRDefault="009F2E9E" w:rsidP="00EE7303">
            <w:pPr>
              <w:pStyle w:val="Tabletextright"/>
            </w:pPr>
            <w:r>
              <w:t>–</w:t>
            </w:r>
          </w:p>
        </w:tc>
        <w:tc>
          <w:tcPr>
            <w:tcW w:w="1274" w:type="dxa"/>
            <w:noWrap/>
            <w:hideMark/>
          </w:tcPr>
          <w:p w:rsidR="00EE7303" w:rsidRPr="00BC0ACB" w:rsidRDefault="00EE7303" w:rsidP="00EE7303">
            <w:pPr>
              <w:pStyle w:val="Tabletextright"/>
            </w:pPr>
            <w:r w:rsidRPr="00BC0ACB">
              <w:t>86 364</w:t>
            </w:r>
          </w:p>
        </w:tc>
      </w:tr>
      <w:tr w:rsidR="00D46619" w:rsidRPr="00826ADD" w:rsidTr="00A90B54">
        <w:tc>
          <w:tcPr>
            <w:tcW w:w="2396" w:type="dxa"/>
            <w:hideMark/>
          </w:tcPr>
          <w:p w:rsidR="00D46619" w:rsidRPr="00826ADD" w:rsidRDefault="00D46619" w:rsidP="00A90B54">
            <w:pPr>
              <w:pStyle w:val="Tabletext"/>
            </w:pPr>
            <w:r w:rsidRPr="00826ADD">
              <w:t>Turner &amp; Townsend Pty Ltd</w:t>
            </w:r>
          </w:p>
        </w:tc>
        <w:tc>
          <w:tcPr>
            <w:tcW w:w="3011" w:type="dxa"/>
            <w:hideMark/>
          </w:tcPr>
          <w:p w:rsidR="00D46619" w:rsidRPr="00826ADD" w:rsidRDefault="00D46619" w:rsidP="00A90B54">
            <w:pPr>
              <w:pStyle w:val="Tabletext"/>
            </w:pPr>
            <w:r w:rsidRPr="00826ADD">
              <w:t>Commercial and transaction advice (North East Link Project)</w:t>
            </w:r>
          </w:p>
        </w:tc>
        <w:tc>
          <w:tcPr>
            <w:tcW w:w="1332" w:type="dxa"/>
            <w:noWrap/>
            <w:hideMark/>
          </w:tcPr>
          <w:p w:rsidR="00D46619" w:rsidRPr="00826ADD" w:rsidRDefault="00D46619" w:rsidP="00A90B54">
            <w:pPr>
              <w:pStyle w:val="Tabletextright"/>
            </w:pPr>
            <w:r>
              <w:t xml:space="preserve"> </w:t>
            </w:r>
            <w:r w:rsidRPr="00826ADD">
              <w:t>204</w:t>
            </w:r>
            <w:r>
              <w:t xml:space="preserve"> </w:t>
            </w:r>
            <w:r w:rsidRPr="00826ADD">
              <w:t xml:space="preserve">044 </w:t>
            </w:r>
          </w:p>
        </w:tc>
        <w:tc>
          <w:tcPr>
            <w:tcW w:w="1274" w:type="dxa"/>
            <w:noWrap/>
            <w:hideMark/>
          </w:tcPr>
          <w:p w:rsidR="00D46619" w:rsidRPr="00826ADD" w:rsidRDefault="00D46619" w:rsidP="00A90B54">
            <w:pPr>
              <w:pStyle w:val="Tabletextright"/>
            </w:pPr>
            <w:r>
              <w:t xml:space="preserve"> </w:t>
            </w:r>
            <w:r w:rsidRPr="00826ADD">
              <w:t>164</w:t>
            </w:r>
            <w:r>
              <w:t xml:space="preserve"> </w:t>
            </w:r>
            <w:r w:rsidRPr="00826ADD">
              <w:t xml:space="preserve">794 </w:t>
            </w:r>
          </w:p>
        </w:tc>
        <w:tc>
          <w:tcPr>
            <w:tcW w:w="1274" w:type="dxa"/>
            <w:noWrap/>
            <w:hideMark/>
          </w:tcPr>
          <w:p w:rsidR="00D46619" w:rsidRPr="00826ADD" w:rsidRDefault="00D46619" w:rsidP="00A90B54">
            <w:pPr>
              <w:pStyle w:val="Tabletextright"/>
            </w:pPr>
            <w:r>
              <w:t xml:space="preserve"> </w:t>
            </w:r>
            <w:r w:rsidRPr="00826ADD">
              <w:t>39</w:t>
            </w:r>
            <w:r>
              <w:t xml:space="preserve"> </w:t>
            </w:r>
            <w:r w:rsidRPr="00826ADD">
              <w:t xml:space="preserve">249 </w:t>
            </w:r>
          </w:p>
        </w:tc>
      </w:tr>
      <w:tr w:rsidR="00EE7303" w:rsidRPr="00BC0ACB" w:rsidTr="008438C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396" w:type="dxa"/>
            <w:hideMark/>
          </w:tcPr>
          <w:p w:rsidR="00EE7303" w:rsidRPr="00BC0ACB" w:rsidRDefault="00EE7303" w:rsidP="00EE7303">
            <w:pPr>
              <w:pStyle w:val="Tabletext"/>
            </w:pPr>
            <w:bookmarkStart w:id="1" w:name="_GoBack"/>
            <w:bookmarkEnd w:id="1"/>
            <w:r w:rsidRPr="00BC0ACB">
              <w:t>Turner &amp; Townsend Pty Ltd</w:t>
            </w:r>
          </w:p>
        </w:tc>
        <w:tc>
          <w:tcPr>
            <w:tcW w:w="3011" w:type="dxa"/>
            <w:hideMark/>
          </w:tcPr>
          <w:p w:rsidR="00EE7303" w:rsidRPr="00BC0ACB" w:rsidRDefault="00EE7303" w:rsidP="00EE7303">
            <w:pPr>
              <w:pStyle w:val="Tabletext"/>
            </w:pPr>
            <w:r w:rsidRPr="00BC0ACB">
              <w:t>Commercial and transaction advice (Assessment of rates used on major infrastructure projects to improve project planning)</w:t>
            </w:r>
          </w:p>
        </w:tc>
        <w:tc>
          <w:tcPr>
            <w:tcW w:w="1332" w:type="dxa"/>
            <w:noWrap/>
            <w:hideMark/>
          </w:tcPr>
          <w:p w:rsidR="00EE7303" w:rsidRPr="00BC0ACB" w:rsidRDefault="00EE7303" w:rsidP="00EE7303">
            <w:pPr>
              <w:pStyle w:val="Tabletextright"/>
            </w:pPr>
            <w:r w:rsidRPr="00BC0ACB">
              <w:t xml:space="preserve"> 42 870 </w:t>
            </w:r>
          </w:p>
        </w:tc>
        <w:tc>
          <w:tcPr>
            <w:tcW w:w="1274" w:type="dxa"/>
            <w:noWrap/>
            <w:hideMark/>
          </w:tcPr>
          <w:p w:rsidR="00EE7303" w:rsidRPr="00BC0ACB" w:rsidRDefault="00EE7303" w:rsidP="00EE7303">
            <w:pPr>
              <w:pStyle w:val="Tabletextright"/>
            </w:pPr>
            <w:r w:rsidRPr="00BC0ACB">
              <w:t xml:space="preserve">35 140 </w:t>
            </w:r>
          </w:p>
        </w:tc>
        <w:tc>
          <w:tcPr>
            <w:tcW w:w="1274" w:type="dxa"/>
            <w:noWrap/>
            <w:hideMark/>
          </w:tcPr>
          <w:p w:rsidR="00EE7303" w:rsidRPr="00BC0ACB" w:rsidRDefault="00EE7303" w:rsidP="00EE7303">
            <w:pPr>
              <w:pStyle w:val="Tabletextright"/>
            </w:pPr>
            <w:r w:rsidRPr="00BC0ACB">
              <w:t xml:space="preserve"> </w:t>
            </w:r>
            <w:r w:rsidRPr="00BC0ACB">
              <w:rPr>
                <w:rFonts w:eastAsia="Times New Roman"/>
              </w:rPr>
              <w:t>–</w:t>
            </w:r>
            <w:r w:rsidRPr="00BC0ACB">
              <w:t xml:space="preserve"> </w:t>
            </w:r>
          </w:p>
        </w:tc>
      </w:tr>
      <w:tr w:rsidR="00EE7303" w:rsidRPr="00BC0ACB" w:rsidTr="008438C2">
        <w:tc>
          <w:tcPr>
            <w:tcW w:w="2396" w:type="dxa"/>
          </w:tcPr>
          <w:p w:rsidR="00EE7303" w:rsidRPr="00BC0ACB" w:rsidRDefault="00EE7303" w:rsidP="00EE7303">
            <w:pPr>
              <w:pStyle w:val="Tabletext"/>
            </w:pPr>
            <w:r w:rsidRPr="00BC0ACB">
              <w:t>UBS</w:t>
            </w:r>
          </w:p>
        </w:tc>
        <w:tc>
          <w:tcPr>
            <w:tcW w:w="3011" w:type="dxa"/>
          </w:tcPr>
          <w:p w:rsidR="00EE7303" w:rsidRPr="00BC0ACB" w:rsidRDefault="00EE7303" w:rsidP="00EE7303">
            <w:pPr>
              <w:pStyle w:val="Tabletext"/>
            </w:pPr>
            <w:r w:rsidRPr="00BC0ACB">
              <w:t>Commercial and transaction advice (Commercialisation of land titles and registry functions of Land Use Victoria)</w:t>
            </w:r>
          </w:p>
        </w:tc>
        <w:tc>
          <w:tcPr>
            <w:tcW w:w="1332" w:type="dxa"/>
            <w:noWrap/>
          </w:tcPr>
          <w:p w:rsidR="00EE7303" w:rsidRPr="00BC0ACB" w:rsidRDefault="00EE7303" w:rsidP="00EE7303">
            <w:pPr>
              <w:pStyle w:val="Tabletextright"/>
            </w:pPr>
            <w:r w:rsidRPr="00BC0ACB">
              <w:t>735 909</w:t>
            </w:r>
          </w:p>
        </w:tc>
        <w:tc>
          <w:tcPr>
            <w:tcW w:w="1274" w:type="dxa"/>
            <w:noWrap/>
          </w:tcPr>
          <w:p w:rsidR="00EE7303" w:rsidRPr="00BC0ACB" w:rsidRDefault="009F2E9E" w:rsidP="00EE7303">
            <w:pPr>
              <w:pStyle w:val="Tabletextright"/>
            </w:pPr>
            <w:r>
              <w:t>–</w:t>
            </w:r>
          </w:p>
        </w:tc>
        <w:tc>
          <w:tcPr>
            <w:tcW w:w="1274" w:type="dxa"/>
            <w:noWrap/>
          </w:tcPr>
          <w:p w:rsidR="00EE7303" w:rsidRPr="00BC0ACB" w:rsidRDefault="00EE7303" w:rsidP="00EE7303">
            <w:pPr>
              <w:pStyle w:val="Tabletextright"/>
            </w:pPr>
            <w:r w:rsidRPr="00BC0ACB">
              <w:t>735 909</w:t>
            </w:r>
          </w:p>
        </w:tc>
      </w:tr>
      <w:tr w:rsidR="00EE7303" w:rsidRPr="00BC0ACB" w:rsidTr="008438C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396" w:type="dxa"/>
          </w:tcPr>
          <w:p w:rsidR="00EE7303" w:rsidRPr="00BC0ACB" w:rsidRDefault="00EE7303" w:rsidP="00EE7303">
            <w:pPr>
              <w:pStyle w:val="Tabletext"/>
            </w:pPr>
            <w:r w:rsidRPr="00BC0ACB">
              <w:t>UBS</w:t>
            </w:r>
          </w:p>
        </w:tc>
        <w:tc>
          <w:tcPr>
            <w:tcW w:w="3011" w:type="dxa"/>
          </w:tcPr>
          <w:p w:rsidR="00EE7303" w:rsidRPr="00BC0ACB" w:rsidRDefault="00EE7303" w:rsidP="00EE7303">
            <w:pPr>
              <w:pStyle w:val="Tabletext"/>
            </w:pPr>
            <w:r w:rsidRPr="00BC0ACB">
              <w:t>Commercial and transaction advice (Commercialisation of land titles and registry functions of Land Use Victoria)</w:t>
            </w:r>
          </w:p>
        </w:tc>
        <w:tc>
          <w:tcPr>
            <w:tcW w:w="1332" w:type="dxa"/>
            <w:noWrap/>
          </w:tcPr>
          <w:p w:rsidR="00EE7303" w:rsidRPr="00BC0ACB" w:rsidRDefault="00EE7303" w:rsidP="00EE7303">
            <w:pPr>
              <w:pStyle w:val="Tabletextright"/>
            </w:pPr>
            <w:r w:rsidRPr="00BC0ACB">
              <w:t>4 500 000</w:t>
            </w:r>
          </w:p>
        </w:tc>
        <w:tc>
          <w:tcPr>
            <w:tcW w:w="1274" w:type="dxa"/>
            <w:noWrap/>
          </w:tcPr>
          <w:p w:rsidR="00EE7303" w:rsidRPr="00BC0ACB" w:rsidRDefault="009F2E9E" w:rsidP="00EE7303">
            <w:pPr>
              <w:pStyle w:val="Tabletextright"/>
            </w:pPr>
            <w:r>
              <w:t>–</w:t>
            </w:r>
          </w:p>
        </w:tc>
        <w:tc>
          <w:tcPr>
            <w:tcW w:w="1274" w:type="dxa"/>
            <w:noWrap/>
          </w:tcPr>
          <w:p w:rsidR="00EE7303" w:rsidRPr="00BC0ACB" w:rsidRDefault="00EE7303" w:rsidP="00EE7303">
            <w:pPr>
              <w:pStyle w:val="Tabletextright"/>
            </w:pPr>
            <w:r w:rsidRPr="00BC0ACB">
              <w:t>4 500 000</w:t>
            </w:r>
          </w:p>
        </w:tc>
      </w:tr>
      <w:tr w:rsidR="00EE7303" w:rsidRPr="00BC0ACB" w:rsidTr="008438C2">
        <w:tc>
          <w:tcPr>
            <w:tcW w:w="2396" w:type="dxa"/>
            <w:hideMark/>
          </w:tcPr>
          <w:p w:rsidR="00EE7303" w:rsidRPr="00BC0ACB" w:rsidRDefault="00EE7303" w:rsidP="00EE7303">
            <w:pPr>
              <w:pStyle w:val="Tabletext"/>
            </w:pPr>
            <w:r w:rsidRPr="00BC0ACB">
              <w:t>Victoria University</w:t>
            </w:r>
          </w:p>
        </w:tc>
        <w:tc>
          <w:tcPr>
            <w:tcW w:w="3011" w:type="dxa"/>
            <w:hideMark/>
          </w:tcPr>
          <w:p w:rsidR="00EE7303" w:rsidRPr="00BC0ACB" w:rsidRDefault="00EE7303" w:rsidP="00EE7303">
            <w:pPr>
              <w:pStyle w:val="Tabletext"/>
            </w:pPr>
            <w:r w:rsidRPr="00BC0ACB">
              <w:t>Business need and system design (Building macroeconomic and taxation modelling)</w:t>
            </w:r>
          </w:p>
        </w:tc>
        <w:tc>
          <w:tcPr>
            <w:tcW w:w="1332" w:type="dxa"/>
            <w:noWrap/>
            <w:hideMark/>
          </w:tcPr>
          <w:p w:rsidR="00EE7303" w:rsidRPr="00BC0ACB" w:rsidRDefault="00EE7303" w:rsidP="00EE7303">
            <w:pPr>
              <w:pStyle w:val="Tabletextright"/>
            </w:pPr>
            <w:r w:rsidRPr="00BC0ACB">
              <w:t xml:space="preserve"> 89 009 </w:t>
            </w:r>
          </w:p>
        </w:tc>
        <w:tc>
          <w:tcPr>
            <w:tcW w:w="1274" w:type="dxa"/>
            <w:noWrap/>
            <w:hideMark/>
          </w:tcPr>
          <w:p w:rsidR="00EE7303" w:rsidRPr="00BC0ACB" w:rsidRDefault="00EE7303" w:rsidP="00EE7303">
            <w:pPr>
              <w:pStyle w:val="Tabletextright"/>
            </w:pPr>
            <w:r w:rsidRPr="00BC0ACB">
              <w:t xml:space="preserve"> 89 009 </w:t>
            </w:r>
          </w:p>
        </w:tc>
        <w:tc>
          <w:tcPr>
            <w:tcW w:w="1274" w:type="dxa"/>
            <w:noWrap/>
            <w:hideMark/>
          </w:tcPr>
          <w:p w:rsidR="00EE7303" w:rsidRPr="00BC0ACB" w:rsidRDefault="00EE7303" w:rsidP="00EE7303">
            <w:pPr>
              <w:pStyle w:val="Tabletextright"/>
            </w:pPr>
            <w:r w:rsidRPr="00BC0ACB">
              <w:t xml:space="preserve"> </w:t>
            </w:r>
            <w:r w:rsidRPr="00BC0ACB">
              <w:rPr>
                <w:rFonts w:eastAsia="Times New Roman"/>
              </w:rPr>
              <w:t>–</w:t>
            </w:r>
            <w:r w:rsidRPr="00BC0ACB">
              <w:t xml:space="preserve"> </w:t>
            </w:r>
          </w:p>
        </w:tc>
      </w:tr>
      <w:tr w:rsidR="00EE7303" w:rsidRPr="00BC0ACB" w:rsidTr="008438C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396" w:type="dxa"/>
            <w:hideMark/>
          </w:tcPr>
          <w:p w:rsidR="00EE7303" w:rsidRPr="00BC0ACB" w:rsidRDefault="00EE7303" w:rsidP="00EE7303">
            <w:pPr>
              <w:pStyle w:val="Tabletext"/>
            </w:pPr>
            <w:r w:rsidRPr="00BC0ACB">
              <w:t>Victoria University</w:t>
            </w:r>
          </w:p>
        </w:tc>
        <w:tc>
          <w:tcPr>
            <w:tcW w:w="3011" w:type="dxa"/>
            <w:hideMark/>
          </w:tcPr>
          <w:p w:rsidR="00EE7303" w:rsidRPr="00BC0ACB" w:rsidRDefault="00EE7303" w:rsidP="00EE7303">
            <w:pPr>
              <w:pStyle w:val="Tabletext"/>
            </w:pPr>
            <w:r w:rsidRPr="00BC0ACB">
              <w:t xml:space="preserve">Business need and system design (Economic modelling for sensitivity analysis included in the </w:t>
            </w:r>
            <w:r w:rsidRPr="00BC0ACB">
              <w:rPr>
                <w:i/>
              </w:rPr>
              <w:t>2018-19 Budget</w:t>
            </w:r>
            <w:r w:rsidRPr="00BC0ACB">
              <w:t>)</w:t>
            </w:r>
          </w:p>
        </w:tc>
        <w:tc>
          <w:tcPr>
            <w:tcW w:w="1332" w:type="dxa"/>
            <w:noWrap/>
            <w:hideMark/>
          </w:tcPr>
          <w:p w:rsidR="00EE7303" w:rsidRPr="00BC0ACB" w:rsidRDefault="00EE7303" w:rsidP="00EE7303">
            <w:pPr>
              <w:pStyle w:val="Tabletextright"/>
            </w:pPr>
            <w:r w:rsidRPr="00BC0ACB">
              <w:t xml:space="preserve"> 19 248 </w:t>
            </w:r>
          </w:p>
        </w:tc>
        <w:tc>
          <w:tcPr>
            <w:tcW w:w="1274" w:type="dxa"/>
            <w:noWrap/>
            <w:hideMark/>
          </w:tcPr>
          <w:p w:rsidR="00EE7303" w:rsidRPr="00BC0ACB" w:rsidRDefault="00EE7303" w:rsidP="00EE7303">
            <w:pPr>
              <w:pStyle w:val="Tabletextright"/>
            </w:pPr>
            <w:r w:rsidRPr="00BC0ACB">
              <w:t xml:space="preserve"> 13 748 </w:t>
            </w:r>
          </w:p>
        </w:tc>
        <w:tc>
          <w:tcPr>
            <w:tcW w:w="1274" w:type="dxa"/>
            <w:noWrap/>
            <w:hideMark/>
          </w:tcPr>
          <w:p w:rsidR="00EE7303" w:rsidRPr="00BC0ACB" w:rsidRDefault="00EE7303" w:rsidP="00EE7303">
            <w:pPr>
              <w:pStyle w:val="Tabletextright"/>
            </w:pPr>
            <w:r w:rsidRPr="00BC0ACB">
              <w:t xml:space="preserve"> 5 000 </w:t>
            </w:r>
          </w:p>
        </w:tc>
      </w:tr>
      <w:tr w:rsidR="00EE7303" w:rsidRPr="00BC0ACB" w:rsidTr="008438C2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2396" w:type="dxa"/>
            <w:hideMark/>
          </w:tcPr>
          <w:p w:rsidR="00EE7303" w:rsidRPr="00BC0ACB" w:rsidRDefault="00EE7303" w:rsidP="00EE7303">
            <w:pPr>
              <w:pStyle w:val="Tabletextboldwhite"/>
              <w:rPr>
                <w:b/>
              </w:rPr>
            </w:pPr>
            <w:r w:rsidRPr="00BC0ACB">
              <w:rPr>
                <w:b/>
              </w:rPr>
              <w:t>Total</w:t>
            </w:r>
          </w:p>
        </w:tc>
        <w:tc>
          <w:tcPr>
            <w:tcW w:w="3011" w:type="dxa"/>
            <w:hideMark/>
          </w:tcPr>
          <w:p w:rsidR="00EE7303" w:rsidRPr="00BC0ACB" w:rsidRDefault="00EE7303" w:rsidP="00EE7303">
            <w:pPr>
              <w:pStyle w:val="Tabletextboldwhite"/>
              <w:rPr>
                <w:b/>
              </w:rPr>
            </w:pPr>
            <w:r w:rsidRPr="00BC0ACB">
              <w:rPr>
                <w:b/>
              </w:rPr>
              <w:t>78 consultancies</w:t>
            </w:r>
          </w:p>
        </w:tc>
        <w:tc>
          <w:tcPr>
            <w:tcW w:w="1332" w:type="dxa"/>
            <w:hideMark/>
          </w:tcPr>
          <w:p w:rsidR="00EE7303" w:rsidRPr="00BC0ACB" w:rsidRDefault="00EE7303" w:rsidP="00BC0ACB">
            <w:pPr>
              <w:pStyle w:val="Tabletextrightbold"/>
              <w:rPr>
                <w:b/>
                <w:strike/>
              </w:rPr>
            </w:pPr>
            <w:r w:rsidRPr="00BC0ACB">
              <w:rPr>
                <w:b/>
              </w:rPr>
              <w:t>85 800 657</w:t>
            </w:r>
          </w:p>
        </w:tc>
        <w:tc>
          <w:tcPr>
            <w:tcW w:w="1274" w:type="dxa"/>
            <w:hideMark/>
          </w:tcPr>
          <w:p w:rsidR="00EE7303" w:rsidRPr="00BC0ACB" w:rsidRDefault="00EE7303" w:rsidP="00EE7303">
            <w:pPr>
              <w:pStyle w:val="Tabletextrightbold"/>
              <w:rPr>
                <w:b/>
              </w:rPr>
            </w:pPr>
            <w:r w:rsidRPr="00BC0ACB">
              <w:rPr>
                <w:b/>
              </w:rPr>
              <w:t>34 041 081</w:t>
            </w:r>
          </w:p>
        </w:tc>
        <w:tc>
          <w:tcPr>
            <w:tcW w:w="1274" w:type="dxa"/>
            <w:hideMark/>
          </w:tcPr>
          <w:p w:rsidR="00EE7303" w:rsidRPr="00BC0ACB" w:rsidRDefault="00EE7303" w:rsidP="00BC0ACB">
            <w:pPr>
              <w:pStyle w:val="Tabletextrightbold"/>
              <w:rPr>
                <w:b/>
                <w:strike/>
              </w:rPr>
            </w:pPr>
            <w:r w:rsidRPr="00BC0ACB">
              <w:rPr>
                <w:b/>
              </w:rPr>
              <w:t>11 865 853</w:t>
            </w:r>
          </w:p>
        </w:tc>
      </w:tr>
    </w:tbl>
    <w:p w:rsidR="003D6D85" w:rsidRPr="00BC0ACB" w:rsidRDefault="003D6D85" w:rsidP="00536724">
      <w:pPr>
        <w:pStyle w:val="Heading3"/>
      </w:pPr>
      <w:r w:rsidRPr="00BC0ACB">
        <w:lastRenderedPageBreak/>
        <w:t>Details of individual consultancies (valued at less than $10 000)</w:t>
      </w:r>
    </w:p>
    <w:tbl>
      <w:tblPr>
        <w:tblStyle w:val="DTFtexttable"/>
        <w:tblW w:w="9287" w:type="dxa"/>
        <w:tblLook w:val="0460" w:firstRow="1" w:lastRow="1" w:firstColumn="0" w:lastColumn="0" w:noHBand="0" w:noVBand="1"/>
      </w:tblPr>
      <w:tblGrid>
        <w:gridCol w:w="2462"/>
        <w:gridCol w:w="2818"/>
        <w:gridCol w:w="1349"/>
        <w:gridCol w:w="1327"/>
        <w:gridCol w:w="1331"/>
      </w:tblGrid>
      <w:tr w:rsidR="00BE3C07" w:rsidRPr="00BC0ACB" w:rsidTr="0053672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00"/>
        </w:trPr>
        <w:tc>
          <w:tcPr>
            <w:tcW w:w="2462" w:type="dxa"/>
            <w:hideMark/>
          </w:tcPr>
          <w:p w:rsidR="00BE3C07" w:rsidRPr="00BC0ACB" w:rsidRDefault="00BE3C07" w:rsidP="00536724">
            <w:pPr>
              <w:pStyle w:val="Tableheader"/>
              <w:rPr>
                <w:b/>
              </w:rPr>
            </w:pPr>
            <w:r w:rsidRPr="00BC0ACB">
              <w:rPr>
                <w:b/>
              </w:rPr>
              <w:t>Consultant engaged</w:t>
            </w:r>
          </w:p>
        </w:tc>
        <w:tc>
          <w:tcPr>
            <w:tcW w:w="2818" w:type="dxa"/>
            <w:hideMark/>
          </w:tcPr>
          <w:p w:rsidR="00BE3C07" w:rsidRPr="00BC0ACB" w:rsidRDefault="00BE3C07" w:rsidP="00536724">
            <w:pPr>
              <w:pStyle w:val="Tableheader"/>
              <w:rPr>
                <w:b/>
              </w:rPr>
            </w:pPr>
            <w:r w:rsidRPr="00BC0ACB">
              <w:rPr>
                <w:b/>
              </w:rPr>
              <w:t>Purpose of consultancy</w:t>
            </w:r>
          </w:p>
        </w:tc>
        <w:tc>
          <w:tcPr>
            <w:tcW w:w="1349" w:type="dxa"/>
            <w:hideMark/>
          </w:tcPr>
          <w:p w:rsidR="00BE3C07" w:rsidRPr="00BC0ACB" w:rsidRDefault="00536724" w:rsidP="00536724">
            <w:pPr>
              <w:pStyle w:val="Tableheader"/>
              <w:jc w:val="right"/>
              <w:rPr>
                <w:b/>
              </w:rPr>
            </w:pPr>
            <w:r w:rsidRPr="00BC0ACB">
              <w:rPr>
                <w:b/>
              </w:rPr>
              <w:t xml:space="preserve">Total approved project </w:t>
            </w:r>
            <w:r w:rsidR="00BE3C07" w:rsidRPr="00BC0ACB">
              <w:rPr>
                <w:b/>
              </w:rPr>
              <w:t>fee (excl. GST)</w:t>
            </w:r>
          </w:p>
        </w:tc>
        <w:tc>
          <w:tcPr>
            <w:tcW w:w="1327" w:type="dxa"/>
            <w:hideMark/>
          </w:tcPr>
          <w:p w:rsidR="00BE3C07" w:rsidRPr="00BC0ACB" w:rsidRDefault="00BE3C07" w:rsidP="00536724">
            <w:pPr>
              <w:pStyle w:val="Tableheader"/>
              <w:jc w:val="right"/>
              <w:rPr>
                <w:b/>
              </w:rPr>
            </w:pPr>
            <w:r w:rsidRPr="00BC0ACB">
              <w:rPr>
                <w:b/>
              </w:rPr>
              <w:t>Expenditure 2017-18</w:t>
            </w:r>
            <w:r w:rsidRPr="00BC0ACB">
              <w:rPr>
                <w:b/>
              </w:rPr>
              <w:br/>
              <w:t>(excl. GST)</w:t>
            </w:r>
          </w:p>
        </w:tc>
        <w:tc>
          <w:tcPr>
            <w:tcW w:w="1331" w:type="dxa"/>
            <w:hideMark/>
          </w:tcPr>
          <w:p w:rsidR="00BE3C07" w:rsidRPr="00BC0ACB" w:rsidRDefault="00BE3C07" w:rsidP="00536724">
            <w:pPr>
              <w:pStyle w:val="Tableheader"/>
              <w:jc w:val="right"/>
              <w:rPr>
                <w:b/>
              </w:rPr>
            </w:pPr>
            <w:r w:rsidRPr="00BC0ACB">
              <w:rPr>
                <w:b/>
              </w:rPr>
              <w:t>Future expenditure</w:t>
            </w:r>
            <w:r w:rsidRPr="00BC0ACB">
              <w:rPr>
                <w:b/>
              </w:rPr>
              <w:br/>
              <w:t>(excl. GST)</w:t>
            </w:r>
          </w:p>
        </w:tc>
      </w:tr>
      <w:tr w:rsidR="00BE3C07" w:rsidRPr="00BC0ACB" w:rsidTr="00536724">
        <w:trPr>
          <w:trHeight w:val="600"/>
        </w:trPr>
        <w:tc>
          <w:tcPr>
            <w:tcW w:w="2462" w:type="dxa"/>
            <w:hideMark/>
          </w:tcPr>
          <w:p w:rsidR="00BE3C07" w:rsidRPr="00BC0ACB" w:rsidRDefault="00BE3C07" w:rsidP="00536724">
            <w:pPr>
              <w:pStyle w:val="Tabletext"/>
            </w:pPr>
            <w:r w:rsidRPr="00BC0ACB">
              <w:t>Environmental Resources Management Australia Pty Ltd</w:t>
            </w:r>
          </w:p>
        </w:tc>
        <w:tc>
          <w:tcPr>
            <w:tcW w:w="2818" w:type="dxa"/>
            <w:hideMark/>
          </w:tcPr>
          <w:p w:rsidR="00BE3C07" w:rsidRPr="00BC0ACB" w:rsidRDefault="00BE3C07" w:rsidP="00536724">
            <w:pPr>
              <w:pStyle w:val="Tabletext"/>
            </w:pPr>
            <w:r w:rsidRPr="00BC0ACB">
              <w:t>Commercial and transaction advice (Port of Melbourne)</w:t>
            </w:r>
          </w:p>
        </w:tc>
        <w:tc>
          <w:tcPr>
            <w:tcW w:w="1349" w:type="dxa"/>
            <w:noWrap/>
            <w:hideMark/>
          </w:tcPr>
          <w:p w:rsidR="00BE3C07" w:rsidRPr="00BC0ACB" w:rsidRDefault="00300ECD" w:rsidP="00BC0ACB">
            <w:pPr>
              <w:pStyle w:val="Tabletextright"/>
              <w:rPr>
                <w:strike/>
              </w:rPr>
            </w:pPr>
            <w:r w:rsidRPr="00BC0ACB">
              <w:t>4 051 265</w:t>
            </w:r>
          </w:p>
        </w:tc>
        <w:tc>
          <w:tcPr>
            <w:tcW w:w="1327" w:type="dxa"/>
            <w:noWrap/>
            <w:hideMark/>
          </w:tcPr>
          <w:p w:rsidR="00BE3C07" w:rsidRPr="00BC0ACB" w:rsidRDefault="00B31F14" w:rsidP="00536724">
            <w:pPr>
              <w:pStyle w:val="Tabletextright"/>
            </w:pPr>
            <w:r w:rsidRPr="00BC0ACB">
              <w:t xml:space="preserve"> </w:t>
            </w:r>
            <w:r w:rsidR="00BE3C07" w:rsidRPr="00BC0ACB">
              <w:t>6</w:t>
            </w:r>
            <w:r w:rsidR="00D51831" w:rsidRPr="00BC0ACB">
              <w:t xml:space="preserve"> </w:t>
            </w:r>
            <w:r w:rsidR="00BE3C07" w:rsidRPr="00BC0ACB">
              <w:t xml:space="preserve">383 </w:t>
            </w:r>
          </w:p>
        </w:tc>
        <w:tc>
          <w:tcPr>
            <w:tcW w:w="1331" w:type="dxa"/>
            <w:noWrap/>
            <w:hideMark/>
          </w:tcPr>
          <w:p w:rsidR="00BE3C07" w:rsidRPr="00BC0ACB" w:rsidRDefault="00B31F14" w:rsidP="00536724">
            <w:pPr>
              <w:pStyle w:val="Tabletextright"/>
            </w:pPr>
            <w:r w:rsidRPr="00BC0ACB">
              <w:t xml:space="preserve"> </w:t>
            </w:r>
            <w:r w:rsidR="00536724" w:rsidRPr="00BC0ACB">
              <w:rPr>
                <w:rFonts w:eastAsia="Times New Roman"/>
              </w:rPr>
              <w:t>–</w:t>
            </w:r>
            <w:r w:rsidRPr="00BC0ACB">
              <w:t xml:space="preserve"> </w:t>
            </w:r>
          </w:p>
        </w:tc>
      </w:tr>
      <w:tr w:rsidR="00BE3C07" w:rsidRPr="00BC0ACB" w:rsidTr="0053672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tcW w:w="2462" w:type="dxa"/>
            <w:hideMark/>
          </w:tcPr>
          <w:p w:rsidR="00BE3C07" w:rsidRPr="00BC0ACB" w:rsidRDefault="00BE3C07" w:rsidP="00536724">
            <w:pPr>
              <w:pStyle w:val="Tabletext"/>
            </w:pPr>
            <w:r w:rsidRPr="00BC0ACB">
              <w:t>List G Pty Ltd</w:t>
            </w:r>
          </w:p>
        </w:tc>
        <w:tc>
          <w:tcPr>
            <w:tcW w:w="2818" w:type="dxa"/>
            <w:hideMark/>
          </w:tcPr>
          <w:p w:rsidR="00BE3C07" w:rsidRPr="00BC0ACB" w:rsidRDefault="00BE3C07" w:rsidP="00536724">
            <w:pPr>
              <w:pStyle w:val="Tabletext"/>
            </w:pPr>
            <w:r w:rsidRPr="00BC0ACB">
              <w:t>Commercial and transaction advice (West Gate Tunnel Project)</w:t>
            </w:r>
          </w:p>
        </w:tc>
        <w:tc>
          <w:tcPr>
            <w:tcW w:w="1349" w:type="dxa"/>
            <w:noWrap/>
            <w:hideMark/>
          </w:tcPr>
          <w:p w:rsidR="00BE3C07" w:rsidRPr="00BC0ACB" w:rsidRDefault="00B31F14" w:rsidP="00536724">
            <w:pPr>
              <w:pStyle w:val="Tabletextright"/>
            </w:pPr>
            <w:r w:rsidRPr="00BC0ACB">
              <w:t xml:space="preserve"> </w:t>
            </w:r>
            <w:r w:rsidR="00BE3C07" w:rsidRPr="00BC0ACB">
              <w:t>4</w:t>
            </w:r>
            <w:r w:rsidR="00D51831" w:rsidRPr="00BC0ACB">
              <w:t xml:space="preserve"> </w:t>
            </w:r>
            <w:r w:rsidR="00BE3C07" w:rsidRPr="00BC0ACB">
              <w:t xml:space="preserve">800 </w:t>
            </w:r>
          </w:p>
        </w:tc>
        <w:tc>
          <w:tcPr>
            <w:tcW w:w="1327" w:type="dxa"/>
            <w:noWrap/>
            <w:hideMark/>
          </w:tcPr>
          <w:p w:rsidR="00BE3C07" w:rsidRPr="00BC0ACB" w:rsidRDefault="00B31F14" w:rsidP="00536724">
            <w:pPr>
              <w:pStyle w:val="Tabletextright"/>
            </w:pPr>
            <w:r w:rsidRPr="00BC0ACB">
              <w:t xml:space="preserve"> </w:t>
            </w:r>
            <w:r w:rsidR="00BE3C07" w:rsidRPr="00BC0ACB">
              <w:t>4</w:t>
            </w:r>
            <w:r w:rsidR="00D51831" w:rsidRPr="00BC0ACB">
              <w:t xml:space="preserve"> </w:t>
            </w:r>
            <w:r w:rsidR="00BE3C07" w:rsidRPr="00BC0ACB">
              <w:t xml:space="preserve">800 </w:t>
            </w:r>
          </w:p>
        </w:tc>
        <w:tc>
          <w:tcPr>
            <w:tcW w:w="1331" w:type="dxa"/>
            <w:noWrap/>
            <w:hideMark/>
          </w:tcPr>
          <w:p w:rsidR="00BE3C07" w:rsidRPr="00BC0ACB" w:rsidRDefault="00944FE2" w:rsidP="00536724">
            <w:pPr>
              <w:pStyle w:val="Tabletextright"/>
            </w:pPr>
            <w:r w:rsidRPr="00BC0ACB">
              <w:t>–</w:t>
            </w:r>
          </w:p>
        </w:tc>
      </w:tr>
      <w:tr w:rsidR="00B90EF2" w:rsidRPr="00BC0ACB" w:rsidTr="00536724">
        <w:trPr>
          <w:trHeight w:val="600"/>
        </w:trPr>
        <w:tc>
          <w:tcPr>
            <w:tcW w:w="2462" w:type="dxa"/>
            <w:hideMark/>
          </w:tcPr>
          <w:p w:rsidR="00B90EF2" w:rsidRPr="00BC0ACB" w:rsidRDefault="00B90EF2" w:rsidP="00536724">
            <w:pPr>
              <w:pStyle w:val="Tabletext"/>
            </w:pPr>
            <w:r w:rsidRPr="00BC0ACB">
              <w:t>Minter Ellison</w:t>
            </w:r>
          </w:p>
        </w:tc>
        <w:tc>
          <w:tcPr>
            <w:tcW w:w="2818" w:type="dxa"/>
            <w:hideMark/>
          </w:tcPr>
          <w:p w:rsidR="00B90EF2" w:rsidRPr="00BC0ACB" w:rsidRDefault="00B90EF2" w:rsidP="00536724">
            <w:pPr>
              <w:pStyle w:val="Tabletext"/>
            </w:pPr>
            <w:r w:rsidRPr="00BC0ACB">
              <w:t xml:space="preserve">Commercial and transaction advice (Review of </w:t>
            </w:r>
            <w:r w:rsidR="00E9038C" w:rsidRPr="00BC0ACB">
              <w:t>market-led</w:t>
            </w:r>
            <w:r w:rsidRPr="00BC0ACB">
              <w:t xml:space="preserve"> proposals)</w:t>
            </w:r>
          </w:p>
        </w:tc>
        <w:tc>
          <w:tcPr>
            <w:tcW w:w="1349" w:type="dxa"/>
            <w:noWrap/>
            <w:hideMark/>
          </w:tcPr>
          <w:p w:rsidR="00B90EF2" w:rsidRPr="00BC0ACB" w:rsidRDefault="00B90EF2" w:rsidP="00536724">
            <w:pPr>
              <w:pStyle w:val="Tabletextright"/>
            </w:pPr>
            <w:r w:rsidRPr="00BC0ACB">
              <w:t xml:space="preserve"> 6 500 </w:t>
            </w:r>
          </w:p>
        </w:tc>
        <w:tc>
          <w:tcPr>
            <w:tcW w:w="1327" w:type="dxa"/>
            <w:noWrap/>
            <w:hideMark/>
          </w:tcPr>
          <w:p w:rsidR="00B90EF2" w:rsidRPr="00BC0ACB" w:rsidRDefault="00B90EF2" w:rsidP="00536724">
            <w:pPr>
              <w:pStyle w:val="Tabletextright"/>
            </w:pPr>
            <w:r w:rsidRPr="00BC0ACB">
              <w:t xml:space="preserve"> 6 500 </w:t>
            </w:r>
          </w:p>
        </w:tc>
        <w:tc>
          <w:tcPr>
            <w:tcW w:w="1331" w:type="dxa"/>
            <w:noWrap/>
            <w:hideMark/>
          </w:tcPr>
          <w:p w:rsidR="00B90EF2" w:rsidRPr="00BC0ACB" w:rsidRDefault="00B90EF2" w:rsidP="00536724">
            <w:pPr>
              <w:pStyle w:val="Tabletextright"/>
            </w:pPr>
            <w:r w:rsidRPr="00BC0ACB">
              <w:t xml:space="preserve"> </w:t>
            </w:r>
            <w:r w:rsidR="00536724" w:rsidRPr="00BC0ACB">
              <w:rPr>
                <w:rFonts w:eastAsia="Times New Roman"/>
              </w:rPr>
              <w:t>–</w:t>
            </w:r>
            <w:r w:rsidRPr="00BC0ACB">
              <w:t xml:space="preserve"> </w:t>
            </w:r>
          </w:p>
        </w:tc>
      </w:tr>
      <w:tr w:rsidR="00D0398F" w:rsidRPr="00BC0ACB" w:rsidTr="0053672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0"/>
        </w:trPr>
        <w:tc>
          <w:tcPr>
            <w:tcW w:w="2462" w:type="dxa"/>
            <w:hideMark/>
          </w:tcPr>
          <w:p w:rsidR="00D0398F" w:rsidRPr="00BC0ACB" w:rsidRDefault="00D0398F" w:rsidP="00536724">
            <w:pPr>
              <w:pStyle w:val="Tabletext"/>
            </w:pPr>
            <w:r w:rsidRPr="00BC0ACB">
              <w:t>Minter Ellison</w:t>
            </w:r>
          </w:p>
        </w:tc>
        <w:tc>
          <w:tcPr>
            <w:tcW w:w="2818" w:type="dxa"/>
            <w:hideMark/>
          </w:tcPr>
          <w:p w:rsidR="00D0398F" w:rsidRPr="00BC0ACB" w:rsidRDefault="00D0398F" w:rsidP="00536724">
            <w:pPr>
              <w:pStyle w:val="Tabletext"/>
            </w:pPr>
            <w:r w:rsidRPr="00BC0ACB">
              <w:t>Commercial and transaction advice (Port of Melbourne)</w:t>
            </w:r>
          </w:p>
        </w:tc>
        <w:tc>
          <w:tcPr>
            <w:tcW w:w="1349" w:type="dxa"/>
            <w:noWrap/>
            <w:hideMark/>
          </w:tcPr>
          <w:p w:rsidR="00D0398F" w:rsidRPr="00BC0ACB" w:rsidRDefault="00D0398F" w:rsidP="00536724">
            <w:pPr>
              <w:pStyle w:val="Tabletextright"/>
            </w:pPr>
            <w:r w:rsidRPr="00BC0ACB">
              <w:t xml:space="preserve"> 12 700 923 </w:t>
            </w:r>
          </w:p>
        </w:tc>
        <w:tc>
          <w:tcPr>
            <w:tcW w:w="1327" w:type="dxa"/>
            <w:noWrap/>
            <w:hideMark/>
          </w:tcPr>
          <w:p w:rsidR="00D0398F" w:rsidRPr="00BC0ACB" w:rsidRDefault="00D0398F" w:rsidP="00536724">
            <w:pPr>
              <w:pStyle w:val="Tabletextright"/>
            </w:pPr>
            <w:r w:rsidRPr="00BC0ACB">
              <w:t xml:space="preserve"> 6 930 </w:t>
            </w:r>
          </w:p>
        </w:tc>
        <w:tc>
          <w:tcPr>
            <w:tcW w:w="1331" w:type="dxa"/>
            <w:noWrap/>
            <w:hideMark/>
          </w:tcPr>
          <w:p w:rsidR="00D0398F" w:rsidRPr="00BC0ACB" w:rsidRDefault="00D0398F" w:rsidP="00536724">
            <w:pPr>
              <w:pStyle w:val="Tabletextright"/>
            </w:pPr>
            <w:r w:rsidRPr="00BC0ACB">
              <w:t xml:space="preserve"> </w:t>
            </w:r>
            <w:r w:rsidR="00536724" w:rsidRPr="00BC0ACB">
              <w:rPr>
                <w:rFonts w:eastAsia="Times New Roman"/>
              </w:rPr>
              <w:t>–</w:t>
            </w:r>
            <w:r w:rsidRPr="00BC0ACB">
              <w:t xml:space="preserve"> </w:t>
            </w:r>
          </w:p>
        </w:tc>
      </w:tr>
      <w:tr w:rsidR="00D0398F" w:rsidRPr="00BC0ACB" w:rsidTr="00536724">
        <w:trPr>
          <w:trHeight w:val="300"/>
        </w:trPr>
        <w:tc>
          <w:tcPr>
            <w:tcW w:w="2462" w:type="dxa"/>
            <w:hideMark/>
          </w:tcPr>
          <w:p w:rsidR="00D0398F" w:rsidRPr="00BC0ACB" w:rsidRDefault="00D0398F" w:rsidP="00536724">
            <w:pPr>
              <w:pStyle w:val="Tabletext"/>
            </w:pPr>
            <w:r w:rsidRPr="00BC0ACB">
              <w:t>Minter Ellison</w:t>
            </w:r>
          </w:p>
        </w:tc>
        <w:tc>
          <w:tcPr>
            <w:tcW w:w="2818" w:type="dxa"/>
            <w:hideMark/>
          </w:tcPr>
          <w:p w:rsidR="00D0398F" w:rsidRPr="00BC0ACB" w:rsidRDefault="00D0398F" w:rsidP="00536724">
            <w:pPr>
              <w:pStyle w:val="Tabletext"/>
            </w:pPr>
            <w:r w:rsidRPr="00BC0ACB">
              <w:t>Commercial and transaction advice (Asset reform)</w:t>
            </w:r>
          </w:p>
        </w:tc>
        <w:tc>
          <w:tcPr>
            <w:tcW w:w="1349" w:type="dxa"/>
            <w:noWrap/>
            <w:hideMark/>
          </w:tcPr>
          <w:p w:rsidR="00D0398F" w:rsidRPr="00BC0ACB" w:rsidRDefault="00D0398F" w:rsidP="00536724">
            <w:pPr>
              <w:pStyle w:val="Tabletextright"/>
            </w:pPr>
            <w:r w:rsidRPr="00BC0ACB">
              <w:t xml:space="preserve"> 3 200 </w:t>
            </w:r>
          </w:p>
        </w:tc>
        <w:tc>
          <w:tcPr>
            <w:tcW w:w="1327" w:type="dxa"/>
            <w:noWrap/>
            <w:hideMark/>
          </w:tcPr>
          <w:p w:rsidR="00D0398F" w:rsidRPr="00BC0ACB" w:rsidRDefault="00D0398F" w:rsidP="00536724">
            <w:pPr>
              <w:pStyle w:val="Tabletextright"/>
            </w:pPr>
            <w:r w:rsidRPr="00BC0ACB">
              <w:t xml:space="preserve"> 3 200 </w:t>
            </w:r>
          </w:p>
        </w:tc>
        <w:tc>
          <w:tcPr>
            <w:tcW w:w="1331" w:type="dxa"/>
            <w:noWrap/>
            <w:hideMark/>
          </w:tcPr>
          <w:p w:rsidR="00D0398F" w:rsidRPr="00BC0ACB" w:rsidRDefault="00D0398F" w:rsidP="00536724">
            <w:pPr>
              <w:pStyle w:val="Tabletextright"/>
            </w:pPr>
            <w:r w:rsidRPr="00BC0ACB">
              <w:t xml:space="preserve"> </w:t>
            </w:r>
            <w:r w:rsidR="00536724" w:rsidRPr="00BC0ACB">
              <w:rPr>
                <w:rFonts w:eastAsia="Times New Roman"/>
              </w:rPr>
              <w:t>–</w:t>
            </w:r>
            <w:r w:rsidRPr="00BC0ACB">
              <w:t xml:space="preserve"> </w:t>
            </w:r>
          </w:p>
        </w:tc>
      </w:tr>
      <w:tr w:rsidR="00D0398F" w:rsidRPr="00BC0ACB" w:rsidTr="0053672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tcW w:w="2462" w:type="dxa"/>
            <w:hideMark/>
          </w:tcPr>
          <w:p w:rsidR="00D0398F" w:rsidRPr="00BC0ACB" w:rsidRDefault="00D0398F" w:rsidP="00536724">
            <w:pPr>
              <w:pStyle w:val="Tabletext"/>
            </w:pPr>
            <w:r w:rsidRPr="00BC0ACB">
              <w:t>Minter Ellison</w:t>
            </w:r>
          </w:p>
        </w:tc>
        <w:tc>
          <w:tcPr>
            <w:tcW w:w="2818" w:type="dxa"/>
            <w:hideMark/>
          </w:tcPr>
          <w:p w:rsidR="00D0398F" w:rsidRPr="00BC0ACB" w:rsidRDefault="00D0398F" w:rsidP="00536724">
            <w:pPr>
              <w:pStyle w:val="Tabletext"/>
            </w:pPr>
            <w:r w:rsidRPr="00BC0ACB">
              <w:t>Commercial and transaction advice (</w:t>
            </w:r>
            <w:r w:rsidR="00E9038C" w:rsidRPr="00BC0ACB">
              <w:t>Commercialisation of land titles and registry functions of Land Use Victoria</w:t>
            </w:r>
            <w:r w:rsidRPr="00BC0ACB">
              <w:t>)</w:t>
            </w:r>
          </w:p>
        </w:tc>
        <w:tc>
          <w:tcPr>
            <w:tcW w:w="1349" w:type="dxa"/>
            <w:noWrap/>
            <w:hideMark/>
          </w:tcPr>
          <w:p w:rsidR="00D0398F" w:rsidRPr="00BC0ACB" w:rsidRDefault="00D0398F" w:rsidP="00536724">
            <w:pPr>
              <w:pStyle w:val="Tabletextright"/>
            </w:pPr>
            <w:r w:rsidRPr="00BC0ACB">
              <w:t xml:space="preserve"> 9 800 </w:t>
            </w:r>
          </w:p>
        </w:tc>
        <w:tc>
          <w:tcPr>
            <w:tcW w:w="1327" w:type="dxa"/>
            <w:noWrap/>
            <w:hideMark/>
          </w:tcPr>
          <w:p w:rsidR="00D0398F" w:rsidRPr="00BC0ACB" w:rsidRDefault="00D0398F" w:rsidP="00536724">
            <w:pPr>
              <w:pStyle w:val="Tabletextright"/>
            </w:pPr>
            <w:r w:rsidRPr="00BC0ACB">
              <w:t xml:space="preserve"> 9 800 </w:t>
            </w:r>
          </w:p>
        </w:tc>
        <w:tc>
          <w:tcPr>
            <w:tcW w:w="1331" w:type="dxa"/>
            <w:noWrap/>
            <w:hideMark/>
          </w:tcPr>
          <w:p w:rsidR="00D0398F" w:rsidRPr="00BC0ACB" w:rsidRDefault="00D0398F" w:rsidP="00536724">
            <w:pPr>
              <w:pStyle w:val="Tabletextright"/>
            </w:pPr>
            <w:r w:rsidRPr="00BC0ACB">
              <w:t xml:space="preserve"> </w:t>
            </w:r>
            <w:r w:rsidR="00536724" w:rsidRPr="00BC0ACB">
              <w:rPr>
                <w:rFonts w:eastAsia="Times New Roman"/>
              </w:rPr>
              <w:t>–</w:t>
            </w:r>
            <w:r w:rsidRPr="00BC0ACB">
              <w:t xml:space="preserve"> </w:t>
            </w:r>
          </w:p>
        </w:tc>
      </w:tr>
      <w:tr w:rsidR="00D0398F" w:rsidRPr="00BC0ACB" w:rsidTr="00536724">
        <w:trPr>
          <w:trHeight w:val="600"/>
        </w:trPr>
        <w:tc>
          <w:tcPr>
            <w:tcW w:w="2462" w:type="dxa"/>
            <w:hideMark/>
          </w:tcPr>
          <w:p w:rsidR="00D0398F" w:rsidRPr="00BC0ACB" w:rsidRDefault="00D0398F" w:rsidP="00536724">
            <w:pPr>
              <w:pStyle w:val="Tabletext"/>
            </w:pPr>
            <w:r w:rsidRPr="00BC0ACB">
              <w:t>P I Research Pty Ltd</w:t>
            </w:r>
          </w:p>
        </w:tc>
        <w:tc>
          <w:tcPr>
            <w:tcW w:w="2818" w:type="dxa"/>
            <w:hideMark/>
          </w:tcPr>
          <w:p w:rsidR="00D0398F" w:rsidRPr="00BC0ACB" w:rsidRDefault="0064339C" w:rsidP="00536724">
            <w:pPr>
              <w:pStyle w:val="Tabletext"/>
            </w:pPr>
            <w:r w:rsidRPr="00BC0ACB">
              <w:t>General professional services (National Disability Insurance Scheme worker registration and accreditation)</w:t>
            </w:r>
          </w:p>
        </w:tc>
        <w:tc>
          <w:tcPr>
            <w:tcW w:w="1349" w:type="dxa"/>
            <w:noWrap/>
            <w:hideMark/>
          </w:tcPr>
          <w:p w:rsidR="00D0398F" w:rsidRPr="00BC0ACB" w:rsidRDefault="00D0398F" w:rsidP="00536724">
            <w:pPr>
              <w:pStyle w:val="Tabletextright"/>
            </w:pPr>
            <w:r w:rsidRPr="00BC0ACB">
              <w:t xml:space="preserve"> 8 785 </w:t>
            </w:r>
          </w:p>
        </w:tc>
        <w:tc>
          <w:tcPr>
            <w:tcW w:w="1327" w:type="dxa"/>
            <w:noWrap/>
            <w:hideMark/>
          </w:tcPr>
          <w:p w:rsidR="00D0398F" w:rsidRPr="00BC0ACB" w:rsidRDefault="00D0398F" w:rsidP="00536724">
            <w:pPr>
              <w:pStyle w:val="Tabletextright"/>
            </w:pPr>
            <w:r w:rsidRPr="00BC0ACB">
              <w:t xml:space="preserve"> 4 550 </w:t>
            </w:r>
          </w:p>
        </w:tc>
        <w:tc>
          <w:tcPr>
            <w:tcW w:w="1331" w:type="dxa"/>
            <w:noWrap/>
            <w:hideMark/>
          </w:tcPr>
          <w:p w:rsidR="00D0398F" w:rsidRPr="00BC0ACB" w:rsidRDefault="00D0398F" w:rsidP="00536724">
            <w:pPr>
              <w:pStyle w:val="Tabletextright"/>
            </w:pPr>
            <w:r w:rsidRPr="00BC0ACB">
              <w:t xml:space="preserve"> </w:t>
            </w:r>
            <w:r w:rsidR="00536724" w:rsidRPr="00BC0ACB">
              <w:rPr>
                <w:rFonts w:eastAsia="Times New Roman"/>
              </w:rPr>
              <w:t>–</w:t>
            </w:r>
            <w:r w:rsidRPr="00BC0ACB">
              <w:t xml:space="preserve"> </w:t>
            </w:r>
          </w:p>
        </w:tc>
      </w:tr>
      <w:tr w:rsidR="00D0398F" w:rsidRPr="00BC0ACB" w:rsidTr="0053672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0"/>
        </w:trPr>
        <w:tc>
          <w:tcPr>
            <w:tcW w:w="2462" w:type="dxa"/>
            <w:hideMark/>
          </w:tcPr>
          <w:p w:rsidR="00D0398F" w:rsidRPr="00BC0ACB" w:rsidRDefault="00D0398F" w:rsidP="00536724">
            <w:pPr>
              <w:pStyle w:val="Tabletext"/>
            </w:pPr>
            <w:r w:rsidRPr="00BC0ACB">
              <w:t>PricewaterhouseCoopers Indigenous Consulting Pty Limited</w:t>
            </w:r>
          </w:p>
        </w:tc>
        <w:tc>
          <w:tcPr>
            <w:tcW w:w="2818" w:type="dxa"/>
            <w:hideMark/>
          </w:tcPr>
          <w:p w:rsidR="00D0398F" w:rsidRPr="00BC0ACB" w:rsidRDefault="00D0398F" w:rsidP="00536724">
            <w:pPr>
              <w:pStyle w:val="Tabletext"/>
            </w:pPr>
            <w:r w:rsidRPr="00BC0ACB">
              <w:t>General professional services (Professional actuarial services)</w:t>
            </w:r>
          </w:p>
        </w:tc>
        <w:tc>
          <w:tcPr>
            <w:tcW w:w="1349" w:type="dxa"/>
            <w:noWrap/>
            <w:hideMark/>
          </w:tcPr>
          <w:p w:rsidR="00D0398F" w:rsidRPr="00BC0ACB" w:rsidRDefault="00D0398F" w:rsidP="00536724">
            <w:pPr>
              <w:pStyle w:val="Tabletextright"/>
            </w:pPr>
            <w:r w:rsidRPr="00BC0ACB">
              <w:t xml:space="preserve"> 8 000 </w:t>
            </w:r>
          </w:p>
        </w:tc>
        <w:tc>
          <w:tcPr>
            <w:tcW w:w="1327" w:type="dxa"/>
            <w:noWrap/>
            <w:hideMark/>
          </w:tcPr>
          <w:p w:rsidR="00D0398F" w:rsidRPr="00BC0ACB" w:rsidRDefault="00D0398F" w:rsidP="00536724">
            <w:pPr>
              <w:pStyle w:val="Tabletextright"/>
            </w:pPr>
            <w:r w:rsidRPr="00BC0ACB">
              <w:t xml:space="preserve"> 8 000 </w:t>
            </w:r>
          </w:p>
        </w:tc>
        <w:tc>
          <w:tcPr>
            <w:tcW w:w="1331" w:type="dxa"/>
            <w:noWrap/>
            <w:hideMark/>
          </w:tcPr>
          <w:p w:rsidR="00D0398F" w:rsidRPr="00BC0ACB" w:rsidRDefault="00D0398F" w:rsidP="00536724">
            <w:pPr>
              <w:pStyle w:val="Tabletextright"/>
            </w:pPr>
            <w:r w:rsidRPr="00BC0ACB">
              <w:t xml:space="preserve"> </w:t>
            </w:r>
            <w:r w:rsidR="00536724" w:rsidRPr="00BC0ACB">
              <w:rPr>
                <w:rFonts w:eastAsia="Times New Roman"/>
              </w:rPr>
              <w:t>–</w:t>
            </w:r>
            <w:r w:rsidRPr="00BC0ACB">
              <w:t xml:space="preserve"> </w:t>
            </w:r>
          </w:p>
        </w:tc>
      </w:tr>
      <w:tr w:rsidR="00D0398F" w:rsidRPr="00BC0ACB" w:rsidTr="00536724">
        <w:trPr>
          <w:trHeight w:val="600"/>
        </w:trPr>
        <w:tc>
          <w:tcPr>
            <w:tcW w:w="2462" w:type="dxa"/>
            <w:hideMark/>
          </w:tcPr>
          <w:p w:rsidR="00D0398F" w:rsidRPr="00BC0ACB" w:rsidRDefault="00D0398F" w:rsidP="00536724">
            <w:pPr>
              <w:pStyle w:val="Tabletext"/>
            </w:pPr>
            <w:r w:rsidRPr="00BC0ACB">
              <w:t>PS Projects Pty Ltd</w:t>
            </w:r>
          </w:p>
        </w:tc>
        <w:tc>
          <w:tcPr>
            <w:tcW w:w="2818" w:type="dxa"/>
            <w:hideMark/>
          </w:tcPr>
          <w:p w:rsidR="00D0398F" w:rsidRPr="00BC0ACB" w:rsidRDefault="00D0398F" w:rsidP="00536724">
            <w:pPr>
              <w:pStyle w:val="Tabletext"/>
            </w:pPr>
            <w:r w:rsidRPr="00BC0ACB">
              <w:t xml:space="preserve">General professional services (Royal Victorian Ear and Eye Hospital </w:t>
            </w:r>
            <w:r w:rsidR="00E9038C" w:rsidRPr="00BC0ACB">
              <w:t xml:space="preserve">peer </w:t>
            </w:r>
            <w:r w:rsidRPr="00BC0ACB">
              <w:t>review)</w:t>
            </w:r>
          </w:p>
        </w:tc>
        <w:tc>
          <w:tcPr>
            <w:tcW w:w="1349" w:type="dxa"/>
            <w:noWrap/>
            <w:hideMark/>
          </w:tcPr>
          <w:p w:rsidR="00D0398F" w:rsidRPr="00BC0ACB" w:rsidRDefault="00D0398F" w:rsidP="00536724">
            <w:pPr>
              <w:pStyle w:val="Tabletextright"/>
            </w:pPr>
            <w:r w:rsidRPr="00BC0ACB">
              <w:t xml:space="preserve"> 6 750 </w:t>
            </w:r>
          </w:p>
        </w:tc>
        <w:tc>
          <w:tcPr>
            <w:tcW w:w="1327" w:type="dxa"/>
            <w:noWrap/>
            <w:hideMark/>
          </w:tcPr>
          <w:p w:rsidR="00D0398F" w:rsidRPr="00BC0ACB" w:rsidRDefault="00D0398F" w:rsidP="00536724">
            <w:pPr>
              <w:pStyle w:val="Tabletextright"/>
            </w:pPr>
            <w:r w:rsidRPr="00BC0ACB">
              <w:t xml:space="preserve"> 6 750 </w:t>
            </w:r>
          </w:p>
        </w:tc>
        <w:tc>
          <w:tcPr>
            <w:tcW w:w="1331" w:type="dxa"/>
            <w:noWrap/>
            <w:hideMark/>
          </w:tcPr>
          <w:p w:rsidR="00D0398F" w:rsidRPr="00BC0ACB" w:rsidRDefault="00D0398F" w:rsidP="00536724">
            <w:pPr>
              <w:pStyle w:val="Tabletextright"/>
            </w:pPr>
            <w:r w:rsidRPr="00BC0ACB">
              <w:t xml:space="preserve"> </w:t>
            </w:r>
            <w:r w:rsidR="00536724" w:rsidRPr="00BC0ACB">
              <w:rPr>
                <w:rFonts w:eastAsia="Times New Roman"/>
              </w:rPr>
              <w:t>–</w:t>
            </w:r>
            <w:r w:rsidRPr="00BC0ACB">
              <w:t xml:space="preserve"> </w:t>
            </w:r>
          </w:p>
        </w:tc>
      </w:tr>
      <w:tr w:rsidR="00D0398F" w:rsidRPr="00BC0ACB" w:rsidTr="0053672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0"/>
        </w:trPr>
        <w:tc>
          <w:tcPr>
            <w:tcW w:w="2462" w:type="dxa"/>
            <w:hideMark/>
          </w:tcPr>
          <w:p w:rsidR="00D0398F" w:rsidRPr="00BC0ACB" w:rsidRDefault="00D0398F" w:rsidP="00536724">
            <w:pPr>
              <w:pStyle w:val="Tabletext"/>
            </w:pPr>
            <w:r w:rsidRPr="00BC0ACB">
              <w:t>Victorian Government Solicitor's Office</w:t>
            </w:r>
          </w:p>
        </w:tc>
        <w:tc>
          <w:tcPr>
            <w:tcW w:w="2818" w:type="dxa"/>
            <w:hideMark/>
          </w:tcPr>
          <w:p w:rsidR="00D0398F" w:rsidRPr="00BC0ACB" w:rsidRDefault="00D0398F" w:rsidP="00536724">
            <w:pPr>
              <w:pStyle w:val="Tabletext"/>
            </w:pPr>
            <w:r w:rsidRPr="00BC0ACB">
              <w:t xml:space="preserve">Commercial and transaction advice (Implementation of </w:t>
            </w:r>
            <w:r w:rsidR="00E9038C" w:rsidRPr="00BC0ACB">
              <w:rPr>
                <w:i/>
              </w:rPr>
              <w:t>HomesVic</w:t>
            </w:r>
            <w:r w:rsidRPr="00BC0ACB">
              <w:t>)</w:t>
            </w:r>
          </w:p>
        </w:tc>
        <w:tc>
          <w:tcPr>
            <w:tcW w:w="1349" w:type="dxa"/>
            <w:noWrap/>
            <w:hideMark/>
          </w:tcPr>
          <w:p w:rsidR="00D0398F" w:rsidRPr="00BC0ACB" w:rsidRDefault="00D0398F" w:rsidP="00536724">
            <w:pPr>
              <w:pStyle w:val="Tabletextright"/>
            </w:pPr>
            <w:r w:rsidRPr="00BC0ACB">
              <w:t xml:space="preserve"> 7 453 </w:t>
            </w:r>
          </w:p>
        </w:tc>
        <w:tc>
          <w:tcPr>
            <w:tcW w:w="1327" w:type="dxa"/>
            <w:noWrap/>
            <w:hideMark/>
          </w:tcPr>
          <w:p w:rsidR="00D0398F" w:rsidRPr="00BC0ACB" w:rsidRDefault="00D0398F" w:rsidP="00536724">
            <w:pPr>
              <w:pStyle w:val="Tabletextright"/>
            </w:pPr>
            <w:r w:rsidRPr="00BC0ACB">
              <w:t xml:space="preserve"> 7 453 </w:t>
            </w:r>
          </w:p>
        </w:tc>
        <w:tc>
          <w:tcPr>
            <w:tcW w:w="1331" w:type="dxa"/>
            <w:noWrap/>
            <w:hideMark/>
          </w:tcPr>
          <w:p w:rsidR="00D0398F" w:rsidRPr="00BC0ACB" w:rsidRDefault="00D0398F" w:rsidP="00536724">
            <w:pPr>
              <w:pStyle w:val="Tabletextright"/>
            </w:pPr>
            <w:r w:rsidRPr="00BC0ACB">
              <w:t xml:space="preserve"> </w:t>
            </w:r>
            <w:r w:rsidR="00536724" w:rsidRPr="00BC0ACB">
              <w:rPr>
                <w:rFonts w:eastAsia="Times New Roman"/>
              </w:rPr>
              <w:t>–</w:t>
            </w:r>
            <w:r w:rsidRPr="00BC0ACB">
              <w:t xml:space="preserve"> </w:t>
            </w:r>
          </w:p>
        </w:tc>
      </w:tr>
      <w:tr w:rsidR="00D0398F" w:rsidRPr="00BC0ACB" w:rsidTr="00536724">
        <w:trPr>
          <w:trHeight w:val="600"/>
        </w:trPr>
        <w:tc>
          <w:tcPr>
            <w:tcW w:w="2462" w:type="dxa"/>
            <w:hideMark/>
          </w:tcPr>
          <w:p w:rsidR="00D0398F" w:rsidRPr="00BC0ACB" w:rsidRDefault="00D0398F" w:rsidP="00536724">
            <w:pPr>
              <w:pStyle w:val="Tabletext"/>
            </w:pPr>
            <w:r w:rsidRPr="00BC0ACB">
              <w:t>Victorian Government Solicitor's Office</w:t>
            </w:r>
          </w:p>
        </w:tc>
        <w:tc>
          <w:tcPr>
            <w:tcW w:w="2818" w:type="dxa"/>
            <w:hideMark/>
          </w:tcPr>
          <w:p w:rsidR="00D0398F" w:rsidRPr="00BC0ACB" w:rsidRDefault="00D0398F" w:rsidP="00536724">
            <w:pPr>
              <w:pStyle w:val="Tabletext"/>
            </w:pPr>
            <w:r w:rsidRPr="00BC0ACB">
              <w:t>Commercial and transaction advice (West Gate Tunnel Project)</w:t>
            </w:r>
          </w:p>
        </w:tc>
        <w:tc>
          <w:tcPr>
            <w:tcW w:w="1349" w:type="dxa"/>
            <w:noWrap/>
            <w:hideMark/>
          </w:tcPr>
          <w:p w:rsidR="00D0398F" w:rsidRPr="00BC0ACB" w:rsidRDefault="00D0398F" w:rsidP="00536724">
            <w:pPr>
              <w:pStyle w:val="Tabletextright"/>
            </w:pPr>
            <w:r w:rsidRPr="00BC0ACB">
              <w:t xml:space="preserve"> 2 681 </w:t>
            </w:r>
          </w:p>
        </w:tc>
        <w:tc>
          <w:tcPr>
            <w:tcW w:w="1327" w:type="dxa"/>
            <w:noWrap/>
            <w:hideMark/>
          </w:tcPr>
          <w:p w:rsidR="00D0398F" w:rsidRPr="00BC0ACB" w:rsidRDefault="00D0398F" w:rsidP="00536724">
            <w:pPr>
              <w:pStyle w:val="Tabletextright"/>
            </w:pPr>
            <w:r w:rsidRPr="00BC0ACB">
              <w:t xml:space="preserve"> 2 681 </w:t>
            </w:r>
          </w:p>
        </w:tc>
        <w:tc>
          <w:tcPr>
            <w:tcW w:w="1331" w:type="dxa"/>
            <w:noWrap/>
            <w:hideMark/>
          </w:tcPr>
          <w:p w:rsidR="00D0398F" w:rsidRPr="00BC0ACB" w:rsidRDefault="00D0398F" w:rsidP="00536724">
            <w:pPr>
              <w:pStyle w:val="Tabletextright"/>
            </w:pPr>
            <w:r w:rsidRPr="00BC0ACB">
              <w:t xml:space="preserve"> </w:t>
            </w:r>
            <w:r w:rsidR="00536724" w:rsidRPr="00BC0ACB">
              <w:rPr>
                <w:rFonts w:eastAsia="Times New Roman"/>
              </w:rPr>
              <w:t>–</w:t>
            </w:r>
            <w:r w:rsidRPr="00BC0ACB">
              <w:t xml:space="preserve"> </w:t>
            </w:r>
          </w:p>
        </w:tc>
      </w:tr>
      <w:tr w:rsidR="00536724" w:rsidRPr="00BC0ACB" w:rsidTr="00536724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tcW w:w="2462" w:type="dxa"/>
            <w:hideMark/>
          </w:tcPr>
          <w:p w:rsidR="00BE3C07" w:rsidRPr="00BC0ACB" w:rsidRDefault="00BE3C07" w:rsidP="00536724">
            <w:pPr>
              <w:pStyle w:val="Tabletextboldwhite"/>
              <w:rPr>
                <w:b/>
              </w:rPr>
            </w:pPr>
            <w:r w:rsidRPr="00BC0ACB">
              <w:rPr>
                <w:b/>
              </w:rPr>
              <w:t>Total</w:t>
            </w:r>
          </w:p>
        </w:tc>
        <w:tc>
          <w:tcPr>
            <w:tcW w:w="2818" w:type="dxa"/>
            <w:hideMark/>
          </w:tcPr>
          <w:p w:rsidR="00BE3C07" w:rsidRPr="00BC0ACB" w:rsidRDefault="00BE3C07" w:rsidP="00536724">
            <w:pPr>
              <w:pStyle w:val="Tabletextboldwhite"/>
              <w:rPr>
                <w:b/>
              </w:rPr>
            </w:pPr>
            <w:r w:rsidRPr="00BC0ACB">
              <w:rPr>
                <w:b/>
              </w:rPr>
              <w:t>1</w:t>
            </w:r>
            <w:r w:rsidR="00D0398F" w:rsidRPr="00BC0ACB">
              <w:rPr>
                <w:b/>
              </w:rPr>
              <w:t>1</w:t>
            </w:r>
            <w:r w:rsidRPr="00BC0ACB">
              <w:rPr>
                <w:b/>
              </w:rPr>
              <w:t xml:space="preserve"> consultancies</w:t>
            </w:r>
          </w:p>
        </w:tc>
        <w:tc>
          <w:tcPr>
            <w:tcW w:w="1349" w:type="dxa"/>
            <w:hideMark/>
          </w:tcPr>
          <w:p w:rsidR="00BE3C07" w:rsidRPr="00BC0ACB" w:rsidRDefault="00541BDE" w:rsidP="000A54AA">
            <w:pPr>
              <w:pStyle w:val="Tabletextrightbold"/>
              <w:rPr>
                <w:b/>
                <w:strike/>
              </w:rPr>
            </w:pPr>
            <w:r w:rsidRPr="00BC0ACB">
              <w:rPr>
                <w:b/>
              </w:rPr>
              <w:t>16 810 157</w:t>
            </w:r>
          </w:p>
        </w:tc>
        <w:tc>
          <w:tcPr>
            <w:tcW w:w="1327" w:type="dxa"/>
            <w:hideMark/>
          </w:tcPr>
          <w:p w:rsidR="00BE3C07" w:rsidRPr="00BC0ACB" w:rsidRDefault="00B31F14" w:rsidP="00536724">
            <w:pPr>
              <w:pStyle w:val="Tabletextrightbold"/>
              <w:rPr>
                <w:b/>
              </w:rPr>
            </w:pPr>
            <w:r w:rsidRPr="00BC0ACB">
              <w:rPr>
                <w:b/>
              </w:rPr>
              <w:t xml:space="preserve"> </w:t>
            </w:r>
            <w:r w:rsidR="00D0398F" w:rsidRPr="00BC0ACB">
              <w:rPr>
                <w:b/>
              </w:rPr>
              <w:t>67</w:t>
            </w:r>
            <w:r w:rsidR="00D51831" w:rsidRPr="00BC0ACB">
              <w:rPr>
                <w:b/>
              </w:rPr>
              <w:t xml:space="preserve"> </w:t>
            </w:r>
            <w:r w:rsidR="00D0398F" w:rsidRPr="00BC0ACB">
              <w:rPr>
                <w:b/>
              </w:rPr>
              <w:t>047</w:t>
            </w:r>
            <w:r w:rsidR="00BE3C07" w:rsidRPr="00BC0ACB">
              <w:rPr>
                <w:b/>
              </w:rPr>
              <w:t xml:space="preserve"> </w:t>
            </w:r>
          </w:p>
        </w:tc>
        <w:tc>
          <w:tcPr>
            <w:tcW w:w="1331" w:type="dxa"/>
            <w:hideMark/>
          </w:tcPr>
          <w:p w:rsidR="00BE3C07" w:rsidRPr="00BC0ACB" w:rsidRDefault="00B31F14" w:rsidP="00536724">
            <w:pPr>
              <w:pStyle w:val="Tabletextrightbold"/>
              <w:rPr>
                <w:b/>
              </w:rPr>
            </w:pPr>
            <w:r w:rsidRPr="00BC0ACB">
              <w:rPr>
                <w:b/>
              </w:rPr>
              <w:t xml:space="preserve"> </w:t>
            </w:r>
            <w:r w:rsidR="00536724" w:rsidRPr="00BC0ACB">
              <w:t>–</w:t>
            </w:r>
            <w:r w:rsidRPr="00BC0ACB">
              <w:rPr>
                <w:b/>
              </w:rPr>
              <w:t xml:space="preserve"> </w:t>
            </w:r>
          </w:p>
        </w:tc>
      </w:tr>
    </w:tbl>
    <w:p w:rsidR="00D0398F" w:rsidRPr="00BC0ACB" w:rsidRDefault="00D0398F" w:rsidP="00536724">
      <w:pPr>
        <w:rPr>
          <w:rFonts w:eastAsiaTheme="majorEastAsia"/>
        </w:rPr>
      </w:pPr>
    </w:p>
    <w:bookmarkEnd w:id="0"/>
    <w:sectPr w:rsidR="00D0398F" w:rsidRPr="00BC0ACB" w:rsidSect="00BD6EE3">
      <w:headerReference w:type="default" r:id="rId8"/>
      <w:footerReference w:type="default" r:id="rId9"/>
      <w:pgSz w:w="11906" w:h="16838" w:code="9"/>
      <w:pgMar w:top="2160" w:right="1440" w:bottom="990" w:left="1440" w:header="706" w:footer="4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7A8A" w:rsidRDefault="00E97A8A" w:rsidP="002D711A">
      <w:pPr>
        <w:spacing w:after="0" w:line="240" w:lineRule="auto"/>
      </w:pPr>
      <w:r>
        <w:separator/>
      </w:r>
    </w:p>
  </w:endnote>
  <w:endnote w:type="continuationSeparator" w:id="0">
    <w:p w:rsidR="00E97A8A" w:rsidRDefault="00E97A8A" w:rsidP="002D71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7A8A" w:rsidRDefault="00E97A8A" w:rsidP="004669E3">
    <w:pPr>
      <w:pStyle w:val="Spacer"/>
    </w:pPr>
  </w:p>
  <w:p w:rsidR="00E97A8A" w:rsidRPr="00C022F9" w:rsidRDefault="00E97A8A" w:rsidP="0041689E">
    <w:pPr>
      <w:pStyle w:val="Footer"/>
    </w:pPr>
    <w:r w:rsidRPr="00C022F9">
      <w:rPr>
        <w:b/>
        <w:noProof w:val="0"/>
        <w:color w:val="0063A6" w:themeColor="accent1"/>
      </w:rPr>
      <w:fldChar w:fldCharType="begin"/>
    </w:r>
    <w:r w:rsidRPr="00C022F9">
      <w:rPr>
        <w:b/>
        <w:color w:val="0063A6" w:themeColor="accent1"/>
      </w:rPr>
      <w:instrText xml:space="preserve"> StyleRef “Title” </w:instrText>
    </w:r>
    <w:r w:rsidRPr="00C022F9">
      <w:rPr>
        <w:b/>
        <w:noProof w:val="0"/>
        <w:color w:val="0063A6" w:themeColor="accent1"/>
      </w:rPr>
      <w:fldChar w:fldCharType="separate"/>
    </w:r>
    <w:r w:rsidR="00D46619">
      <w:rPr>
        <w:b/>
        <w:color w:val="0063A6" w:themeColor="accent1"/>
      </w:rPr>
      <w:t>Department of Treasury and Finance 2017–18 Annual Report</w:t>
    </w:r>
    <w:r w:rsidRPr="00C022F9">
      <w:rPr>
        <w:b/>
        <w:color w:val="0063A6" w:themeColor="accent1"/>
      </w:rPr>
      <w:fldChar w:fldCharType="end"/>
    </w:r>
    <w:r>
      <w:t xml:space="preserve"> </w:t>
    </w:r>
    <w:r>
      <w:tab/>
    </w:r>
    <w:r w:rsidRPr="00C022F9">
      <w:t xml:space="preserve">Page </w:t>
    </w:r>
    <w:r w:rsidRPr="00DE60CC">
      <w:rPr>
        <w:rStyle w:val="PageNumber"/>
      </w:rPr>
      <w:fldChar w:fldCharType="begin"/>
    </w:r>
    <w:r w:rsidRPr="00DE60CC">
      <w:rPr>
        <w:rStyle w:val="PageNumber"/>
      </w:rPr>
      <w:instrText xml:space="preserve"> Page </w:instrText>
    </w:r>
    <w:r w:rsidRPr="00DE60CC">
      <w:rPr>
        <w:rStyle w:val="PageNumber"/>
      </w:rPr>
      <w:fldChar w:fldCharType="separate"/>
    </w:r>
    <w:r w:rsidR="004819E6">
      <w:rPr>
        <w:rStyle w:val="PageNumber"/>
      </w:rPr>
      <w:t>7</w:t>
    </w:r>
    <w:r w:rsidRPr="00DE60CC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7A8A" w:rsidRDefault="00E97A8A" w:rsidP="002D711A">
      <w:pPr>
        <w:spacing w:after="0" w:line="240" w:lineRule="auto"/>
      </w:pPr>
      <w:r>
        <w:separator/>
      </w:r>
    </w:p>
  </w:footnote>
  <w:footnote w:type="continuationSeparator" w:id="0">
    <w:p w:rsidR="00E97A8A" w:rsidRDefault="00E97A8A" w:rsidP="002D71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7A8A" w:rsidRPr="0041689E" w:rsidRDefault="00E97A8A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5C5DEC9" wp14:editId="4300B423">
          <wp:simplePos x="0" y="0"/>
          <wp:positionH relativeFrom="column">
            <wp:posOffset>-319405</wp:posOffset>
          </wp:positionH>
          <wp:positionV relativeFrom="page">
            <wp:posOffset>299085</wp:posOffset>
          </wp:positionV>
          <wp:extent cx="1380490" cy="411480"/>
          <wp:effectExtent l="0" t="0" r="0" b="762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ictoria State Gov DTF right reverse 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0490" cy="411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 wp14:anchorId="0D0B8AF2" wp14:editId="0EDE0C6E">
          <wp:simplePos x="0" y="0"/>
          <wp:positionH relativeFrom="column">
            <wp:posOffset>-914400</wp:posOffset>
          </wp:positionH>
          <wp:positionV relativeFrom="page">
            <wp:posOffset>125095</wp:posOffset>
          </wp:positionV>
          <wp:extent cx="7589520" cy="740410"/>
          <wp:effectExtent l="0" t="0" r="0" b="2540"/>
          <wp:wrapNone/>
          <wp:docPr id="2" name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DIUM HEADER_9545 DTF Covers A4 Final_Blue5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9520" cy="740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5113C"/>
    <w:multiLevelType w:val="hybridMultilevel"/>
    <w:tmpl w:val="DB34E4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77F72"/>
    <w:multiLevelType w:val="hybridMultilevel"/>
    <w:tmpl w:val="AD620FF2"/>
    <w:lvl w:ilvl="0" w:tplc="0D502630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FE84A22"/>
    <w:multiLevelType w:val="hybridMultilevel"/>
    <w:tmpl w:val="C480F83C"/>
    <w:lvl w:ilvl="0" w:tplc="BE3EF5B8">
      <w:numFmt w:val="bullet"/>
      <w:lvlText w:val="-"/>
      <w:lvlJc w:val="left"/>
      <w:pPr>
        <w:ind w:left="639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35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7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79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1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3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5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7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399" w:hanging="360"/>
      </w:pPr>
      <w:rPr>
        <w:rFonts w:ascii="Wingdings" w:hAnsi="Wingdings" w:hint="default"/>
      </w:rPr>
    </w:lvl>
  </w:abstractNum>
  <w:abstractNum w:abstractNumId="3" w15:restartNumberingAfterBreak="0">
    <w:nsid w:val="23732AC6"/>
    <w:multiLevelType w:val="hybridMultilevel"/>
    <w:tmpl w:val="DDBE66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456FFD"/>
    <w:multiLevelType w:val="multilevel"/>
    <w:tmpl w:val="C0D2F066"/>
    <w:lvl w:ilvl="0">
      <w:start w:val="1"/>
      <w:numFmt w:val="bullet"/>
      <w:pStyle w:val="Tablebullet"/>
      <w:lvlText w:val=""/>
      <w:lvlJc w:val="left"/>
      <w:pPr>
        <w:ind w:left="288" w:hanging="288"/>
      </w:pPr>
      <w:rPr>
        <w:rFonts w:ascii="Symbol" w:hAnsi="Symbol" w:hint="default"/>
        <w:color w:val="auto"/>
      </w:rPr>
    </w:lvl>
    <w:lvl w:ilvl="1">
      <w:start w:val="1"/>
      <w:numFmt w:val="bullet"/>
      <w:pStyle w:val="Tabledash"/>
      <w:lvlText w:val="–"/>
      <w:lvlJc w:val="left"/>
      <w:pPr>
        <w:ind w:left="576" w:hanging="288"/>
      </w:pPr>
      <w:rPr>
        <w:rFonts w:ascii="Calibri" w:hAnsi="Calibri" w:hint="default"/>
        <w:color w:val="auto"/>
      </w:rPr>
    </w:lvl>
    <w:lvl w:ilvl="2">
      <w:start w:val="1"/>
      <w:numFmt w:val="decimal"/>
      <w:pStyle w:val="Tablenum1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lowerLetter"/>
      <w:pStyle w:val="Tablenum2"/>
      <w:lvlText w:val="(%4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351778A9"/>
    <w:multiLevelType w:val="hybridMultilevel"/>
    <w:tmpl w:val="85105B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C04211"/>
    <w:multiLevelType w:val="hybridMultilevel"/>
    <w:tmpl w:val="9B28D0CA"/>
    <w:lvl w:ilvl="0" w:tplc="0C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7" w15:restartNumberingAfterBreak="0">
    <w:nsid w:val="446D3A6A"/>
    <w:multiLevelType w:val="multilevel"/>
    <w:tmpl w:val="D6E00412"/>
    <w:lvl w:ilvl="0">
      <w:start w:val="1"/>
      <w:numFmt w:val="bullet"/>
      <w:pStyle w:val="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vanish w:val="0"/>
        <w:color w:val="auto"/>
        <w:sz w:val="22"/>
      </w:rPr>
    </w:lvl>
    <w:lvl w:ilvl="1">
      <w:start w:val="1"/>
      <w:numFmt w:val="bullet"/>
      <w:pStyle w:val="Bullet2"/>
      <w:lvlText w:val="–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 w:val="0"/>
        <w:i w:val="0"/>
        <w:vanish w:val="0"/>
        <w:color w:val="auto"/>
        <w:sz w:val="22"/>
      </w:rPr>
    </w:lvl>
    <w:lvl w:ilvl="2">
      <w:start w:val="1"/>
      <w:numFmt w:val="bullet"/>
      <w:pStyle w:val="Bulletinden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  <w:b w:val="0"/>
        <w:i w:val="0"/>
        <w:vanish w:val="0"/>
        <w:color w:val="auto"/>
        <w:sz w:val="22"/>
      </w:rPr>
    </w:lvl>
    <w:lvl w:ilvl="3">
      <w:start w:val="1"/>
      <w:numFmt w:val="bullet"/>
      <w:pStyle w:val="Bulletindent2"/>
      <w:lvlText w:val="–"/>
      <w:lvlJc w:val="left"/>
      <w:pPr>
        <w:tabs>
          <w:tab w:val="num" w:pos="1512"/>
        </w:tabs>
        <w:ind w:left="1512" w:hanging="360"/>
      </w:pPr>
      <w:rPr>
        <w:rFonts w:ascii="Calibri" w:hAnsi="Calibri" w:hint="default"/>
        <w:b w:val="0"/>
        <w:i w:val="0"/>
        <w:vanish w:val="0"/>
        <w:color w:val="auto"/>
        <w:sz w:val="22"/>
      </w:rPr>
    </w:lvl>
    <w:lvl w:ilvl="4">
      <w:start w:val="1"/>
      <w:numFmt w:val="bullet"/>
      <w:lvlText w:val=""/>
      <w:lvlJc w:val="left"/>
      <w:pPr>
        <w:tabs>
          <w:tab w:val="num" w:pos="2211"/>
        </w:tabs>
        <w:ind w:left="2211" w:hanging="283"/>
      </w:pPr>
      <w:rPr>
        <w:rFonts w:ascii="Symbol" w:hAnsi="Symbol" w:hint="default"/>
        <w:b w:val="0"/>
        <w:i w:val="0"/>
        <w:vanish w:val="0"/>
        <w:color w:val="auto"/>
        <w:sz w:val="22"/>
      </w:rPr>
    </w:lvl>
    <w:lvl w:ilvl="5">
      <w:start w:val="1"/>
      <w:numFmt w:val="bullet"/>
      <w:lvlText w:val=""/>
      <w:lvlJc w:val="left"/>
      <w:pPr>
        <w:tabs>
          <w:tab w:val="num" w:pos="2495"/>
        </w:tabs>
        <w:ind w:left="2495" w:hanging="284"/>
      </w:pPr>
      <w:rPr>
        <w:rFonts w:ascii="Symbol" w:hAnsi="Symbol" w:hint="default"/>
        <w:b w:val="0"/>
        <w:i w:val="0"/>
        <w:vanish w:val="0"/>
        <w:color w:val="auto"/>
        <w:sz w:val="22"/>
      </w:rPr>
    </w:lvl>
    <w:lvl w:ilvl="6">
      <w:start w:val="1"/>
      <w:numFmt w:val="bullet"/>
      <w:lvlText w:val=""/>
      <w:lvlJc w:val="left"/>
      <w:pPr>
        <w:tabs>
          <w:tab w:val="num" w:pos="2778"/>
        </w:tabs>
        <w:ind w:left="2778" w:hanging="283"/>
      </w:pPr>
      <w:rPr>
        <w:rFonts w:ascii="Symbol" w:hAnsi="Symbol" w:hint="default"/>
        <w:b w:val="0"/>
        <w:i w:val="0"/>
        <w:vanish w:val="0"/>
        <w:color w:val="auto"/>
        <w:sz w:val="22"/>
      </w:rPr>
    </w:lvl>
    <w:lvl w:ilvl="7">
      <w:start w:val="1"/>
      <w:numFmt w:val="bullet"/>
      <w:lvlText w:val=""/>
      <w:lvlJc w:val="left"/>
      <w:pPr>
        <w:tabs>
          <w:tab w:val="num" w:pos="3062"/>
        </w:tabs>
        <w:ind w:left="3062" w:hanging="284"/>
      </w:pPr>
      <w:rPr>
        <w:rFonts w:ascii="Symbol" w:hAnsi="Symbol" w:hint="default"/>
        <w:b w:val="0"/>
        <w:i w:val="0"/>
        <w:vanish w:val="0"/>
        <w:color w:val="auto"/>
        <w:sz w:val="22"/>
      </w:rPr>
    </w:lvl>
    <w:lvl w:ilvl="8">
      <w:start w:val="1"/>
      <w:numFmt w:val="bullet"/>
      <w:lvlText w:val=""/>
      <w:lvlJc w:val="left"/>
      <w:pPr>
        <w:tabs>
          <w:tab w:val="num" w:pos="3345"/>
        </w:tabs>
        <w:ind w:left="3345" w:hanging="283"/>
      </w:pPr>
      <w:rPr>
        <w:rFonts w:ascii="Symbol" w:hAnsi="Symbol" w:hint="default"/>
        <w:b w:val="0"/>
        <w:i w:val="0"/>
        <w:vanish w:val="0"/>
        <w:color w:val="auto"/>
        <w:sz w:val="22"/>
      </w:rPr>
    </w:lvl>
  </w:abstractNum>
  <w:abstractNum w:abstractNumId="8" w15:restartNumberingAfterBreak="0">
    <w:nsid w:val="48E8331D"/>
    <w:multiLevelType w:val="hybridMultilevel"/>
    <w:tmpl w:val="EE1AFE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551A1C"/>
    <w:multiLevelType w:val="multilevel"/>
    <w:tmpl w:val="394A3B24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cs="Calibri" w:hint="default"/>
        <w:b w:val="0"/>
        <w:i w:val="0"/>
        <w:sz w:val="18"/>
      </w:rPr>
    </w:lvl>
    <w:lvl w:ilvl="1">
      <w:start w:val="1"/>
      <w:numFmt w:val="bullet"/>
      <w:pStyle w:val="TableBulletDash"/>
      <w:lvlText w:val="–"/>
      <w:lvlJc w:val="left"/>
      <w:pPr>
        <w:tabs>
          <w:tab w:val="num" w:pos="454"/>
        </w:tabs>
        <w:ind w:left="454" w:hanging="227"/>
      </w:pPr>
      <w:rPr>
        <w:rFonts w:ascii="Calibri" w:hAnsi="Calibri" w:cs="Calibri" w:hint="default"/>
        <w:b w:val="0"/>
        <w:i w:val="0"/>
        <w:sz w:val="18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cs="Calibri" w:hint="default"/>
        <w:b w:val="0"/>
        <w:i w:val="0"/>
        <w:sz w:val="18"/>
      </w:rPr>
    </w:lvl>
    <w:lvl w:ilvl="3">
      <w:start w:val="1"/>
      <w:numFmt w:val="bullet"/>
      <w:lvlText w:val=""/>
      <w:lvlJc w:val="left"/>
      <w:pPr>
        <w:tabs>
          <w:tab w:val="num" w:pos="907"/>
        </w:tabs>
        <w:ind w:left="907" w:hanging="227"/>
      </w:pPr>
      <w:rPr>
        <w:rFonts w:ascii="Symbol" w:hAnsi="Symbol" w:cs="Calibri" w:hint="default"/>
        <w:b w:val="0"/>
        <w:i w:val="0"/>
        <w:sz w:val="18"/>
      </w:rPr>
    </w:lvl>
    <w:lvl w:ilvl="4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cs="Calibri" w:hint="default"/>
        <w:b w:val="0"/>
        <w:i w:val="0"/>
        <w:sz w:val="18"/>
      </w:rPr>
    </w:lvl>
    <w:lvl w:ilvl="5">
      <w:start w:val="1"/>
      <w:numFmt w:val="bullet"/>
      <w:lvlText w:val=""/>
      <w:lvlJc w:val="left"/>
      <w:pPr>
        <w:tabs>
          <w:tab w:val="num" w:pos="1361"/>
        </w:tabs>
        <w:ind w:left="1361" w:hanging="227"/>
      </w:pPr>
      <w:rPr>
        <w:rFonts w:ascii="Symbol" w:hAnsi="Symbol" w:cs="Calibri" w:hint="default"/>
        <w:b w:val="0"/>
        <w:i w:val="0"/>
        <w:sz w:val="18"/>
      </w:rPr>
    </w:lvl>
    <w:lvl w:ilvl="6">
      <w:start w:val="1"/>
      <w:numFmt w:val="bullet"/>
      <w:lvlText w:val=""/>
      <w:lvlJc w:val="left"/>
      <w:pPr>
        <w:tabs>
          <w:tab w:val="num" w:pos="1587"/>
        </w:tabs>
        <w:ind w:left="1587" w:hanging="226"/>
      </w:pPr>
      <w:rPr>
        <w:rFonts w:ascii="Symbol" w:hAnsi="Symbol" w:cs="Calibri" w:hint="default"/>
        <w:b w:val="0"/>
        <w:i w:val="0"/>
        <w:sz w:val="18"/>
      </w:rPr>
    </w:lvl>
    <w:lvl w:ilvl="7">
      <w:start w:val="1"/>
      <w:numFmt w:val="bullet"/>
      <w:lvlText w:val=""/>
      <w:lvlJc w:val="left"/>
      <w:pPr>
        <w:tabs>
          <w:tab w:val="num" w:pos="1814"/>
        </w:tabs>
        <w:ind w:left="1814" w:hanging="227"/>
      </w:pPr>
      <w:rPr>
        <w:rFonts w:ascii="Symbol" w:hAnsi="Symbol" w:cs="Calibri" w:hint="default"/>
        <w:b w:val="0"/>
        <w:i w:val="0"/>
        <w:sz w:val="18"/>
      </w:rPr>
    </w:lvl>
    <w:lvl w:ilvl="8">
      <w:start w:val="1"/>
      <w:numFmt w:val="bullet"/>
      <w:lvlText w:val=""/>
      <w:lvlJc w:val="left"/>
      <w:pPr>
        <w:tabs>
          <w:tab w:val="num" w:pos="2041"/>
        </w:tabs>
        <w:ind w:left="2041" w:hanging="227"/>
      </w:pPr>
      <w:rPr>
        <w:rFonts w:ascii="Symbol" w:hAnsi="Symbol" w:cs="Calibri" w:hint="default"/>
        <w:b w:val="0"/>
        <w:i w:val="0"/>
        <w:sz w:val="18"/>
      </w:rPr>
    </w:lvl>
  </w:abstractNum>
  <w:abstractNum w:abstractNumId="10" w15:restartNumberingAfterBreak="0">
    <w:nsid w:val="6F87598C"/>
    <w:multiLevelType w:val="hybridMultilevel"/>
    <w:tmpl w:val="7806F6AC"/>
    <w:lvl w:ilvl="0" w:tplc="D974E9F2">
      <w:start w:val="1"/>
      <w:numFmt w:val="bullet"/>
      <w:pStyle w:val="Tableheaderbullet"/>
      <w:lvlText w:val=""/>
      <w:lvlJc w:val="left"/>
      <w:pPr>
        <w:ind w:left="720" w:hanging="360"/>
      </w:pPr>
      <w:rPr>
        <w:rFonts w:ascii="Symbol" w:hAnsi="Symbol" w:hint="default"/>
        <w:sz w:val="14"/>
        <w:szCs w:val="1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B452E5"/>
    <w:multiLevelType w:val="hybridMultilevel"/>
    <w:tmpl w:val="49DC06FA"/>
    <w:lvl w:ilvl="0" w:tplc="EB84B8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7E12E5"/>
    <w:multiLevelType w:val="hybridMultilevel"/>
    <w:tmpl w:val="3A5E8A9C"/>
    <w:lvl w:ilvl="0" w:tplc="D52C8DEE">
      <w:start w:val="1"/>
      <w:numFmt w:val="decimal"/>
      <w:pStyle w:val="Numpara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D44514"/>
    <w:multiLevelType w:val="multilevel"/>
    <w:tmpl w:val="3E300802"/>
    <w:lvl w:ilvl="0">
      <w:start w:val="1"/>
      <w:numFmt w:val="lowerLetter"/>
      <w:pStyle w:val="Listnum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Roman"/>
      <w:pStyle w:val="Listnum2"/>
      <w:lvlText w:val="(%2)"/>
      <w:lvlJc w:val="left"/>
      <w:pPr>
        <w:tabs>
          <w:tab w:val="num" w:pos="864"/>
        </w:tabs>
        <w:ind w:left="720" w:hanging="360"/>
      </w:pPr>
      <w:rPr>
        <w:rFonts w:hint="default"/>
      </w:rPr>
    </w:lvl>
    <w:lvl w:ilvl="2">
      <w:start w:val="1"/>
      <w:numFmt w:val="decimal"/>
      <w:pStyle w:val="Heading1numbered"/>
      <w:lvlText w:val="%3.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3">
      <w:start w:val="1"/>
      <w:numFmt w:val="decimal"/>
      <w:pStyle w:val="Heading2numbered"/>
      <w:lvlText w:val="%3.%4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4">
      <w:start w:val="1"/>
      <w:numFmt w:val="decimal"/>
      <w:lvlRestart w:val="1"/>
      <w:pStyle w:val="Heading3numbered"/>
      <w:lvlText w:val="%3.%4.%5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5">
      <w:start w:val="1"/>
      <w:numFmt w:val="decimal"/>
      <w:pStyle w:val="Heading4numbered"/>
      <w:lvlText w:val="%3.%4.%5.%6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6">
      <w:start w:val="1"/>
      <w:numFmt w:val="lowerLetter"/>
      <w:pStyle w:val="Listnumindent"/>
      <w:lvlText w:val="(%7)"/>
      <w:lvlJc w:val="left"/>
      <w:pPr>
        <w:tabs>
          <w:tab w:val="num" w:pos="1296"/>
        </w:tabs>
        <w:ind w:left="1296" w:hanging="504"/>
      </w:pPr>
      <w:rPr>
        <w:rFonts w:hint="default"/>
      </w:rPr>
    </w:lvl>
    <w:lvl w:ilvl="7">
      <w:start w:val="1"/>
      <w:numFmt w:val="lowerRoman"/>
      <w:pStyle w:val="Listnumindent2"/>
      <w:lvlText w:val="(%8)"/>
      <w:lvlJc w:val="left"/>
      <w:pPr>
        <w:tabs>
          <w:tab w:val="num" w:pos="1800"/>
        </w:tabs>
        <w:ind w:left="1800" w:hanging="504"/>
      </w:pPr>
      <w:rPr>
        <w:rFonts w:hint="default"/>
      </w:rPr>
    </w:lvl>
    <w:lvl w:ilvl="8">
      <w:start w:val="1"/>
      <w:numFmt w:val="decimal"/>
      <w:pStyle w:val="Numparaindent"/>
      <w:lvlText w:val="%9."/>
      <w:lvlJc w:val="left"/>
      <w:pPr>
        <w:tabs>
          <w:tab w:val="num" w:pos="1296"/>
        </w:tabs>
        <w:ind w:left="1296" w:hanging="504"/>
      </w:pPr>
      <w:rPr>
        <w:rFonts w:hint="default"/>
      </w:rPr>
    </w:lvl>
  </w:abstractNum>
  <w:num w:numId="1">
    <w:abstractNumId w:val="7"/>
  </w:num>
  <w:num w:numId="2">
    <w:abstractNumId w:val="7"/>
  </w:num>
  <w:num w:numId="3">
    <w:abstractNumId w:val="7"/>
  </w:num>
  <w:num w:numId="4">
    <w:abstractNumId w:val="13"/>
  </w:num>
  <w:num w:numId="5">
    <w:abstractNumId w:val="7"/>
  </w:num>
  <w:num w:numId="6">
    <w:abstractNumId w:val="7"/>
  </w:num>
  <w:num w:numId="7">
    <w:abstractNumId w:val="7"/>
  </w:num>
  <w:num w:numId="8">
    <w:abstractNumId w:val="7"/>
  </w:num>
  <w:num w:numId="9">
    <w:abstractNumId w:val="13"/>
  </w:num>
  <w:num w:numId="10">
    <w:abstractNumId w:val="13"/>
  </w:num>
  <w:num w:numId="11">
    <w:abstractNumId w:val="13"/>
  </w:num>
  <w:num w:numId="12">
    <w:abstractNumId w:val="13"/>
  </w:num>
  <w:num w:numId="13">
    <w:abstractNumId w:val="13"/>
  </w:num>
  <w:num w:numId="14">
    <w:abstractNumId w:val="13"/>
  </w:num>
  <w:num w:numId="15">
    <w:abstractNumId w:val="13"/>
  </w:num>
  <w:num w:numId="16">
    <w:abstractNumId w:val="13"/>
  </w:num>
  <w:num w:numId="17">
    <w:abstractNumId w:val="4"/>
  </w:num>
  <w:num w:numId="18">
    <w:abstractNumId w:val="4"/>
  </w:num>
  <w:num w:numId="19">
    <w:abstractNumId w:val="12"/>
  </w:num>
  <w:num w:numId="20">
    <w:abstractNumId w:val="11"/>
  </w:num>
  <w:num w:numId="21">
    <w:abstractNumId w:val="1"/>
  </w:num>
  <w:num w:numId="22">
    <w:abstractNumId w:val="1"/>
  </w:num>
  <w:num w:numId="23">
    <w:abstractNumId w:val="1"/>
  </w:num>
  <w:num w:numId="24">
    <w:abstractNumId w:val="12"/>
  </w:num>
  <w:num w:numId="25">
    <w:abstractNumId w:val="13"/>
  </w:num>
  <w:num w:numId="26">
    <w:abstractNumId w:val="4"/>
  </w:num>
  <w:num w:numId="27">
    <w:abstractNumId w:val="4"/>
  </w:num>
  <w:num w:numId="28">
    <w:abstractNumId w:val="9"/>
  </w:num>
  <w:num w:numId="29">
    <w:abstractNumId w:val="3"/>
  </w:num>
  <w:num w:numId="30">
    <w:abstractNumId w:val="10"/>
  </w:num>
  <w:num w:numId="31">
    <w:abstractNumId w:val="6"/>
  </w:num>
  <w:num w:numId="32">
    <w:abstractNumId w:val="8"/>
  </w:num>
  <w:num w:numId="33">
    <w:abstractNumId w:val="2"/>
  </w:num>
  <w:num w:numId="34">
    <w:abstractNumId w:val="0"/>
  </w:num>
  <w:num w:numId="3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attachedTemplate r:id="rId1"/>
  <w:defaultTabStop w:val="720"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1977"/>
    <w:rsid w:val="00012F6F"/>
    <w:rsid w:val="00014213"/>
    <w:rsid w:val="00014B55"/>
    <w:rsid w:val="00020E3E"/>
    <w:rsid w:val="00023BF3"/>
    <w:rsid w:val="00026811"/>
    <w:rsid w:val="00043296"/>
    <w:rsid w:val="0004356D"/>
    <w:rsid w:val="00045296"/>
    <w:rsid w:val="00045A86"/>
    <w:rsid w:val="00073D18"/>
    <w:rsid w:val="0007595B"/>
    <w:rsid w:val="00075E6C"/>
    <w:rsid w:val="00075E96"/>
    <w:rsid w:val="000852F1"/>
    <w:rsid w:val="00085505"/>
    <w:rsid w:val="000A54AA"/>
    <w:rsid w:val="000B29AD"/>
    <w:rsid w:val="000B353F"/>
    <w:rsid w:val="000C6372"/>
    <w:rsid w:val="000D593F"/>
    <w:rsid w:val="000E392D"/>
    <w:rsid w:val="000F4288"/>
    <w:rsid w:val="000F7165"/>
    <w:rsid w:val="00102379"/>
    <w:rsid w:val="001065D6"/>
    <w:rsid w:val="00121252"/>
    <w:rsid w:val="00124609"/>
    <w:rsid w:val="001254CE"/>
    <w:rsid w:val="00126AF9"/>
    <w:rsid w:val="00127591"/>
    <w:rsid w:val="00134CEA"/>
    <w:rsid w:val="001422CC"/>
    <w:rsid w:val="001617B6"/>
    <w:rsid w:val="00165E66"/>
    <w:rsid w:val="0018794C"/>
    <w:rsid w:val="001A3DD1"/>
    <w:rsid w:val="001A60C0"/>
    <w:rsid w:val="001B1449"/>
    <w:rsid w:val="001B3270"/>
    <w:rsid w:val="001C7BAE"/>
    <w:rsid w:val="001D717E"/>
    <w:rsid w:val="001E1545"/>
    <w:rsid w:val="001E31FA"/>
    <w:rsid w:val="001E64F6"/>
    <w:rsid w:val="00217051"/>
    <w:rsid w:val="00222BEB"/>
    <w:rsid w:val="00225E60"/>
    <w:rsid w:val="0023202C"/>
    <w:rsid w:val="00236203"/>
    <w:rsid w:val="002373E8"/>
    <w:rsid w:val="002418A5"/>
    <w:rsid w:val="00245043"/>
    <w:rsid w:val="00257760"/>
    <w:rsid w:val="0027638A"/>
    <w:rsid w:val="00292D36"/>
    <w:rsid w:val="00297281"/>
    <w:rsid w:val="002A29CF"/>
    <w:rsid w:val="002C54E0"/>
    <w:rsid w:val="002D10F4"/>
    <w:rsid w:val="002D69EB"/>
    <w:rsid w:val="002D711A"/>
    <w:rsid w:val="002D7336"/>
    <w:rsid w:val="002E3396"/>
    <w:rsid w:val="00300ECD"/>
    <w:rsid w:val="0031149C"/>
    <w:rsid w:val="00320C38"/>
    <w:rsid w:val="00330917"/>
    <w:rsid w:val="00343AC1"/>
    <w:rsid w:val="0035319C"/>
    <w:rsid w:val="0038771C"/>
    <w:rsid w:val="00392A8F"/>
    <w:rsid w:val="0039405B"/>
    <w:rsid w:val="003A1C92"/>
    <w:rsid w:val="003A541A"/>
    <w:rsid w:val="003A6923"/>
    <w:rsid w:val="003C2C67"/>
    <w:rsid w:val="003C2EA2"/>
    <w:rsid w:val="003C5BA4"/>
    <w:rsid w:val="003D4856"/>
    <w:rsid w:val="003D6D85"/>
    <w:rsid w:val="003E0399"/>
    <w:rsid w:val="003E3E26"/>
    <w:rsid w:val="003F1295"/>
    <w:rsid w:val="003F76FC"/>
    <w:rsid w:val="004002EB"/>
    <w:rsid w:val="00405C57"/>
    <w:rsid w:val="00411A32"/>
    <w:rsid w:val="004164B1"/>
    <w:rsid w:val="0041689E"/>
    <w:rsid w:val="004236C8"/>
    <w:rsid w:val="00427681"/>
    <w:rsid w:val="00433DB7"/>
    <w:rsid w:val="00453750"/>
    <w:rsid w:val="00456941"/>
    <w:rsid w:val="004619B9"/>
    <w:rsid w:val="004669E3"/>
    <w:rsid w:val="004702EA"/>
    <w:rsid w:val="004819E6"/>
    <w:rsid w:val="00482D02"/>
    <w:rsid w:val="00484382"/>
    <w:rsid w:val="004A7519"/>
    <w:rsid w:val="004B41CA"/>
    <w:rsid w:val="004B50FD"/>
    <w:rsid w:val="004D3518"/>
    <w:rsid w:val="004D62D6"/>
    <w:rsid w:val="004E3A79"/>
    <w:rsid w:val="0053416C"/>
    <w:rsid w:val="00536724"/>
    <w:rsid w:val="00541BDE"/>
    <w:rsid w:val="00541C2F"/>
    <w:rsid w:val="00563527"/>
    <w:rsid w:val="005667B3"/>
    <w:rsid w:val="00572B0F"/>
    <w:rsid w:val="0058124E"/>
    <w:rsid w:val="00584301"/>
    <w:rsid w:val="0058466C"/>
    <w:rsid w:val="00584B8D"/>
    <w:rsid w:val="005875A3"/>
    <w:rsid w:val="005A3416"/>
    <w:rsid w:val="005B27FE"/>
    <w:rsid w:val="005C3E6D"/>
    <w:rsid w:val="005F61DF"/>
    <w:rsid w:val="005F7322"/>
    <w:rsid w:val="006023F9"/>
    <w:rsid w:val="00610559"/>
    <w:rsid w:val="00624F38"/>
    <w:rsid w:val="006332F6"/>
    <w:rsid w:val="006361E7"/>
    <w:rsid w:val="0064339C"/>
    <w:rsid w:val="006446CC"/>
    <w:rsid w:val="00652625"/>
    <w:rsid w:val="006534B2"/>
    <w:rsid w:val="0065615D"/>
    <w:rsid w:val="00657011"/>
    <w:rsid w:val="006650B5"/>
    <w:rsid w:val="006651B1"/>
    <w:rsid w:val="00665778"/>
    <w:rsid w:val="006738C4"/>
    <w:rsid w:val="00680BFC"/>
    <w:rsid w:val="006826D1"/>
    <w:rsid w:val="006A5B34"/>
    <w:rsid w:val="006A5F5B"/>
    <w:rsid w:val="006B0715"/>
    <w:rsid w:val="006C4323"/>
    <w:rsid w:val="006C77A9"/>
    <w:rsid w:val="006E2C89"/>
    <w:rsid w:val="006F58DA"/>
    <w:rsid w:val="006F6693"/>
    <w:rsid w:val="00700B9F"/>
    <w:rsid w:val="00707FE8"/>
    <w:rsid w:val="00717535"/>
    <w:rsid w:val="00723357"/>
    <w:rsid w:val="00724962"/>
    <w:rsid w:val="00724A0F"/>
    <w:rsid w:val="0073072C"/>
    <w:rsid w:val="007320B4"/>
    <w:rsid w:val="00732162"/>
    <w:rsid w:val="00736732"/>
    <w:rsid w:val="00750CBE"/>
    <w:rsid w:val="00766B5A"/>
    <w:rsid w:val="007834F2"/>
    <w:rsid w:val="00791020"/>
    <w:rsid w:val="00791AEF"/>
    <w:rsid w:val="007932B7"/>
    <w:rsid w:val="007A155D"/>
    <w:rsid w:val="007A34F2"/>
    <w:rsid w:val="007A5F82"/>
    <w:rsid w:val="007B0AC7"/>
    <w:rsid w:val="007B75A4"/>
    <w:rsid w:val="007C35C7"/>
    <w:rsid w:val="007F1A4C"/>
    <w:rsid w:val="00801314"/>
    <w:rsid w:val="008022C3"/>
    <w:rsid w:val="008041E6"/>
    <w:rsid w:val="008065D2"/>
    <w:rsid w:val="0082194C"/>
    <w:rsid w:val="008220C4"/>
    <w:rsid w:val="008222FF"/>
    <w:rsid w:val="008241FF"/>
    <w:rsid w:val="00826ADD"/>
    <w:rsid w:val="008411E5"/>
    <w:rsid w:val="008411E9"/>
    <w:rsid w:val="0084200F"/>
    <w:rsid w:val="008438C2"/>
    <w:rsid w:val="00843B2C"/>
    <w:rsid w:val="008471C4"/>
    <w:rsid w:val="00854A8E"/>
    <w:rsid w:val="00891CC4"/>
    <w:rsid w:val="008A0AC8"/>
    <w:rsid w:val="008A4900"/>
    <w:rsid w:val="008C3368"/>
    <w:rsid w:val="008D0281"/>
    <w:rsid w:val="008D315B"/>
    <w:rsid w:val="008E231F"/>
    <w:rsid w:val="008E3C4E"/>
    <w:rsid w:val="008F334C"/>
    <w:rsid w:val="008F6D45"/>
    <w:rsid w:val="00903F64"/>
    <w:rsid w:val="00912208"/>
    <w:rsid w:val="0091367A"/>
    <w:rsid w:val="00915D59"/>
    <w:rsid w:val="00944FE2"/>
    <w:rsid w:val="00960C1C"/>
    <w:rsid w:val="009834C0"/>
    <w:rsid w:val="00984C95"/>
    <w:rsid w:val="00986AAC"/>
    <w:rsid w:val="009A1DA2"/>
    <w:rsid w:val="009A3704"/>
    <w:rsid w:val="009A4739"/>
    <w:rsid w:val="009A674F"/>
    <w:rsid w:val="009B199C"/>
    <w:rsid w:val="009B54C8"/>
    <w:rsid w:val="009B61F1"/>
    <w:rsid w:val="009B62E0"/>
    <w:rsid w:val="009C3953"/>
    <w:rsid w:val="009C3D88"/>
    <w:rsid w:val="009C5843"/>
    <w:rsid w:val="009D650A"/>
    <w:rsid w:val="009E3858"/>
    <w:rsid w:val="009E70DD"/>
    <w:rsid w:val="009F2E9E"/>
    <w:rsid w:val="009F2ED9"/>
    <w:rsid w:val="009F3231"/>
    <w:rsid w:val="009F5C58"/>
    <w:rsid w:val="00A023A0"/>
    <w:rsid w:val="00A14DDB"/>
    <w:rsid w:val="00A1562B"/>
    <w:rsid w:val="00A170F4"/>
    <w:rsid w:val="00A2559E"/>
    <w:rsid w:val="00A25FD9"/>
    <w:rsid w:val="00A46BA8"/>
    <w:rsid w:val="00A47634"/>
    <w:rsid w:val="00A612FE"/>
    <w:rsid w:val="00A9320B"/>
    <w:rsid w:val="00AA26B8"/>
    <w:rsid w:val="00AA3B00"/>
    <w:rsid w:val="00AA6FB5"/>
    <w:rsid w:val="00AB3FE2"/>
    <w:rsid w:val="00AB557B"/>
    <w:rsid w:val="00AC6DA5"/>
    <w:rsid w:val="00AC72C9"/>
    <w:rsid w:val="00AD3322"/>
    <w:rsid w:val="00AD7E4E"/>
    <w:rsid w:val="00AF09F9"/>
    <w:rsid w:val="00AF34DE"/>
    <w:rsid w:val="00AF4D58"/>
    <w:rsid w:val="00AF6666"/>
    <w:rsid w:val="00AF6D81"/>
    <w:rsid w:val="00B02214"/>
    <w:rsid w:val="00B02F7F"/>
    <w:rsid w:val="00B10154"/>
    <w:rsid w:val="00B21839"/>
    <w:rsid w:val="00B23687"/>
    <w:rsid w:val="00B31DD0"/>
    <w:rsid w:val="00B31F14"/>
    <w:rsid w:val="00B63E83"/>
    <w:rsid w:val="00B809E3"/>
    <w:rsid w:val="00B81B44"/>
    <w:rsid w:val="00B9053B"/>
    <w:rsid w:val="00B90EF2"/>
    <w:rsid w:val="00B9292A"/>
    <w:rsid w:val="00BC0ACB"/>
    <w:rsid w:val="00BC3422"/>
    <w:rsid w:val="00BC5BF9"/>
    <w:rsid w:val="00BD2F85"/>
    <w:rsid w:val="00BD6EE3"/>
    <w:rsid w:val="00BE0BFF"/>
    <w:rsid w:val="00BE3C07"/>
    <w:rsid w:val="00C015B9"/>
    <w:rsid w:val="00C022F9"/>
    <w:rsid w:val="00C032EA"/>
    <w:rsid w:val="00C06EB5"/>
    <w:rsid w:val="00C1145F"/>
    <w:rsid w:val="00C44169"/>
    <w:rsid w:val="00C637E1"/>
    <w:rsid w:val="00C70D50"/>
    <w:rsid w:val="00C75EA6"/>
    <w:rsid w:val="00C76412"/>
    <w:rsid w:val="00C8243E"/>
    <w:rsid w:val="00C907D7"/>
    <w:rsid w:val="00C92338"/>
    <w:rsid w:val="00CA7C3A"/>
    <w:rsid w:val="00CC2DB2"/>
    <w:rsid w:val="00CD0307"/>
    <w:rsid w:val="00CD3D1B"/>
    <w:rsid w:val="00CE2230"/>
    <w:rsid w:val="00CE62B3"/>
    <w:rsid w:val="00CF7DCA"/>
    <w:rsid w:val="00D0398F"/>
    <w:rsid w:val="00D211E9"/>
    <w:rsid w:val="00D2312F"/>
    <w:rsid w:val="00D269C1"/>
    <w:rsid w:val="00D3141B"/>
    <w:rsid w:val="00D44953"/>
    <w:rsid w:val="00D46619"/>
    <w:rsid w:val="00D51831"/>
    <w:rsid w:val="00D542F3"/>
    <w:rsid w:val="00D543E5"/>
    <w:rsid w:val="00D5644B"/>
    <w:rsid w:val="00D56E25"/>
    <w:rsid w:val="00D71896"/>
    <w:rsid w:val="00D718D7"/>
    <w:rsid w:val="00D73212"/>
    <w:rsid w:val="00D814B7"/>
    <w:rsid w:val="00D90688"/>
    <w:rsid w:val="00D950AE"/>
    <w:rsid w:val="00DA3AAD"/>
    <w:rsid w:val="00DB312B"/>
    <w:rsid w:val="00DB5E12"/>
    <w:rsid w:val="00DC5654"/>
    <w:rsid w:val="00DC658F"/>
    <w:rsid w:val="00DE60CC"/>
    <w:rsid w:val="00DF7936"/>
    <w:rsid w:val="00E02A81"/>
    <w:rsid w:val="00E07EA4"/>
    <w:rsid w:val="00E11977"/>
    <w:rsid w:val="00E15569"/>
    <w:rsid w:val="00E24AD3"/>
    <w:rsid w:val="00E26B32"/>
    <w:rsid w:val="00E31444"/>
    <w:rsid w:val="00E407B6"/>
    <w:rsid w:val="00E41EF1"/>
    <w:rsid w:val="00E42942"/>
    <w:rsid w:val="00E468A6"/>
    <w:rsid w:val="00E53E32"/>
    <w:rsid w:val="00E71BDF"/>
    <w:rsid w:val="00E83CA7"/>
    <w:rsid w:val="00E9038C"/>
    <w:rsid w:val="00E97A8A"/>
    <w:rsid w:val="00EB0EEB"/>
    <w:rsid w:val="00EB6FFA"/>
    <w:rsid w:val="00EC171D"/>
    <w:rsid w:val="00EC4490"/>
    <w:rsid w:val="00ED487E"/>
    <w:rsid w:val="00EE2D9F"/>
    <w:rsid w:val="00EE7303"/>
    <w:rsid w:val="00EE7A0D"/>
    <w:rsid w:val="00EF0D21"/>
    <w:rsid w:val="00EF264C"/>
    <w:rsid w:val="00F15866"/>
    <w:rsid w:val="00F17CE1"/>
    <w:rsid w:val="00F2115C"/>
    <w:rsid w:val="00F22ABA"/>
    <w:rsid w:val="00F36B12"/>
    <w:rsid w:val="00F417C3"/>
    <w:rsid w:val="00F60F9F"/>
    <w:rsid w:val="00F64F08"/>
    <w:rsid w:val="00F652D2"/>
    <w:rsid w:val="00F734F5"/>
    <w:rsid w:val="00F966B1"/>
    <w:rsid w:val="00F97D48"/>
    <w:rsid w:val="00FA0311"/>
    <w:rsid w:val="00FC42E5"/>
    <w:rsid w:val="00FD640F"/>
    <w:rsid w:val="00FD6B4C"/>
    <w:rsid w:val="00FD6BE9"/>
    <w:rsid w:val="00FF4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/>
    <o:shapelayout v:ext="edit">
      <o:idmap v:ext="edit" data="1"/>
    </o:shapelayout>
  </w:shapeDefaults>
  <w:decimalSymbol w:val="."/>
  <w:listSeparator w:val=","/>
  <w15:docId w15:val="{192707C2-B6A1-4270-93CD-77A6CE379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unhideWhenUsed="1"/>
    <w:lsdException w:name="index 2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uiPriority="0" w:unhideWhenUsed="1" w:qFormat="1"/>
    <w:lsdException w:name="footnote text" w:semiHidden="1" w:unhideWhenUsed="1"/>
    <w:lsdException w:name="annotation text" w:semiHidden="1" w:unhideWhenUsed="1"/>
    <w:lsdException w:name="header" w:unhideWhenUsed="1"/>
    <w:lsdException w:name="footer" w:uiPriority="24" w:unhideWhenUsed="1"/>
    <w:lsdException w:name="index heading" w:unhideWhenUsed="1"/>
    <w:lsdException w:name="caption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4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/>
    <w:lsdException w:name="List Number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7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4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98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uiPriority="39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11977"/>
    <w:pPr>
      <w:spacing w:before="160" w:after="100"/>
    </w:pPr>
    <w:rPr>
      <w:spacing w:val="2"/>
    </w:rPr>
  </w:style>
  <w:style w:type="paragraph" w:styleId="Heading1">
    <w:name w:val="heading 1"/>
    <w:next w:val="Normal"/>
    <w:link w:val="Heading1Char"/>
    <w:qFormat/>
    <w:rsid w:val="00E11977"/>
    <w:pPr>
      <w:keepNext/>
      <w:keepLines/>
      <w:spacing w:before="600" w:after="600"/>
      <w:outlineLvl w:val="0"/>
    </w:pPr>
    <w:rPr>
      <w:rFonts w:asciiTheme="majorHAnsi" w:eastAsiaTheme="majorEastAsia" w:hAnsiTheme="majorHAnsi" w:cstheme="majorBidi"/>
      <w:b/>
      <w:bCs/>
      <w:color w:val="201547"/>
      <w:spacing w:val="-1"/>
      <w:sz w:val="36"/>
      <w:szCs w:val="28"/>
    </w:rPr>
  </w:style>
  <w:style w:type="paragraph" w:styleId="Heading2">
    <w:name w:val="heading 2"/>
    <w:basedOn w:val="Normal"/>
    <w:next w:val="Normal"/>
    <w:link w:val="Heading2Char"/>
    <w:qFormat/>
    <w:rsid w:val="004B50FD"/>
    <w:pPr>
      <w:keepNext/>
      <w:keepLines/>
      <w:spacing w:before="280" w:after="240"/>
      <w:outlineLvl w:val="1"/>
    </w:pPr>
    <w:rPr>
      <w:rFonts w:asciiTheme="majorHAnsi" w:eastAsiaTheme="majorEastAsia" w:hAnsiTheme="majorHAnsi" w:cstheme="majorBidi"/>
      <w:b/>
      <w:bCs/>
      <w:color w:val="0063A6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E11977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/>
      <w:bCs/>
      <w:color w:val="0063A6" w:themeColor="accent1"/>
      <w:sz w:val="22"/>
      <w:szCs w:val="22"/>
    </w:rPr>
  </w:style>
  <w:style w:type="paragraph" w:styleId="Heading4">
    <w:name w:val="heading 4"/>
    <w:basedOn w:val="Normal"/>
    <w:next w:val="Normal"/>
    <w:link w:val="Heading4Char"/>
    <w:qFormat/>
    <w:rsid w:val="00E1197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Cs/>
      <w:color w:val="53565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">
    <w:name w:val="Light Shading"/>
    <w:basedOn w:val="TableNormal"/>
    <w:uiPriority w:val="60"/>
    <w:rsid w:val="00E1197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leGrid">
    <w:name w:val="Table Grid"/>
    <w:basedOn w:val="TableNormal"/>
    <w:uiPriority w:val="59"/>
    <w:rsid w:val="00723357"/>
    <w:pPr>
      <w:spacing w:before="20" w:after="20" w:line="240" w:lineRule="auto"/>
      <w:jc w:val="right"/>
    </w:pPr>
    <w:rPr>
      <w:rFonts w:eastAsiaTheme="minorHAnsi"/>
      <w:spacing w:val="2"/>
      <w:sz w:val="17"/>
      <w:szCs w:val="21"/>
      <w:lang w:eastAsia="en-US"/>
    </w:rPr>
    <w:tblPr>
      <w:tblStyleRowBandSize w:val="1"/>
      <w:tblStyleColBandSize w:val="1"/>
      <w:tblBorders>
        <w:bottom w:val="single" w:sz="12" w:space="0" w:color="0063A6" w:themeColor="accent1"/>
      </w:tblBorders>
      <w:tblCellMar>
        <w:left w:w="57" w:type="dxa"/>
        <w:right w:w="57" w:type="dxa"/>
      </w:tblCellMar>
    </w:tblPr>
    <w:trPr>
      <w:cantSplit/>
    </w:trPr>
    <w:tblStylePr w:type="firstRow">
      <w:pPr>
        <w:keepNext/>
        <w:keepLines/>
        <w:widowControl/>
        <w:wordWrap/>
        <w:spacing w:beforeLines="0" w:before="120" w:beforeAutospacing="0" w:afterLines="0" w:after="30" w:afterAutospacing="0"/>
        <w:jc w:val="left"/>
      </w:pPr>
      <w:rPr>
        <w:i w:val="0"/>
        <w:color w:val="FFFFFF" w:themeColor="background1"/>
      </w:rPr>
      <w:tblPr/>
      <w:tcPr>
        <w:shd w:val="clear" w:color="auto" w:fill="0063A6" w:themeFill="accent1"/>
        <w:vAlign w:val="bottom"/>
      </w:tcPr>
    </w:tblStylePr>
    <w:tblStylePr w:type="lastRow">
      <w:rPr>
        <w:b/>
      </w:rPr>
      <w:tblPr/>
      <w:tcPr>
        <w:tcBorders>
          <w:top w:val="single" w:sz="6" w:space="0" w:color="0063A6" w:themeColor="accent1"/>
          <w:left w:val="nil"/>
          <w:bottom w:val="single" w:sz="12" w:space="0" w:color="0063A6" w:themeColor="accent1"/>
          <w:right w:val="nil"/>
          <w:insideV w:val="nil"/>
        </w:tcBorders>
      </w:tcPr>
    </w:tblStylePr>
    <w:tblStylePr w:type="firstCol">
      <w:pPr>
        <w:jc w:val="left"/>
      </w:pPr>
      <w:tblPr/>
      <w:tcPr>
        <w:shd w:val="clear" w:color="auto" w:fill="E3EBF4" w:themeFill="accent3" w:themeFillTint="33"/>
      </w:tcPr>
    </w:tblStylePr>
    <w:tblStylePr w:type="band1Vert">
      <w:pPr>
        <w:jc w:val="right"/>
      </w:pPr>
    </w:tblStylePr>
    <w:tblStylePr w:type="band2Vert">
      <w:pPr>
        <w:jc w:val="right"/>
      </w:pPr>
    </w:tblStylePr>
    <w:tblStylePr w:type="band2Horz">
      <w:tblPr/>
      <w:tcPr>
        <w:shd w:val="clear" w:color="auto" w:fill="E3EBF4" w:themeFill="accent3" w:themeFillTint="33"/>
      </w:tcPr>
    </w:tblStylePr>
  </w:style>
  <w:style w:type="table" w:styleId="LightList-Accent4">
    <w:name w:val="Light List Accent 4"/>
    <w:basedOn w:val="TableNormal"/>
    <w:uiPriority w:val="61"/>
    <w:rsid w:val="00E11977"/>
    <w:pPr>
      <w:spacing w:after="0" w:line="240" w:lineRule="auto"/>
    </w:pPr>
    <w:tblPr>
      <w:tblStyleRowBandSize w:val="1"/>
      <w:tblStyleColBandSize w:val="1"/>
      <w:tblBorders>
        <w:top w:val="single" w:sz="8" w:space="0" w:color="0072CE" w:themeColor="accent4"/>
        <w:left w:val="single" w:sz="8" w:space="0" w:color="0072CE" w:themeColor="accent4"/>
        <w:bottom w:val="single" w:sz="8" w:space="0" w:color="0072CE" w:themeColor="accent4"/>
        <w:right w:val="single" w:sz="8" w:space="0" w:color="0072CE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72C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2CE" w:themeColor="accent4"/>
          <w:left w:val="single" w:sz="8" w:space="0" w:color="0072CE" w:themeColor="accent4"/>
          <w:bottom w:val="single" w:sz="8" w:space="0" w:color="0072CE" w:themeColor="accent4"/>
          <w:right w:val="single" w:sz="8" w:space="0" w:color="0072C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2CE" w:themeColor="accent4"/>
          <w:left w:val="single" w:sz="8" w:space="0" w:color="0072CE" w:themeColor="accent4"/>
          <w:bottom w:val="single" w:sz="8" w:space="0" w:color="0072CE" w:themeColor="accent4"/>
          <w:right w:val="single" w:sz="8" w:space="0" w:color="0072CE" w:themeColor="accent4"/>
        </w:tcBorders>
      </w:tcPr>
    </w:tblStylePr>
    <w:tblStylePr w:type="band1Horz">
      <w:tblPr/>
      <w:tcPr>
        <w:tcBorders>
          <w:top w:val="single" w:sz="8" w:space="0" w:color="0072CE" w:themeColor="accent4"/>
          <w:left w:val="single" w:sz="8" w:space="0" w:color="0072CE" w:themeColor="accent4"/>
          <w:bottom w:val="single" w:sz="8" w:space="0" w:color="0072CE" w:themeColor="accent4"/>
          <w:right w:val="single" w:sz="8" w:space="0" w:color="0072CE" w:themeColor="accent4"/>
        </w:tcBorders>
      </w:tcPr>
    </w:tblStylePr>
  </w:style>
  <w:style w:type="table" w:styleId="LightList-Accent1">
    <w:name w:val="Light List Accent 1"/>
    <w:basedOn w:val="TableNormal"/>
    <w:uiPriority w:val="61"/>
    <w:rsid w:val="00E11977"/>
    <w:pPr>
      <w:spacing w:after="0" w:line="240" w:lineRule="auto"/>
    </w:pPr>
    <w:tblPr>
      <w:tblStyleRowBandSize w:val="1"/>
      <w:tblStyleColBandSize w:val="1"/>
      <w:tblBorders>
        <w:top w:val="single" w:sz="8" w:space="0" w:color="0063A6" w:themeColor="accent1"/>
        <w:left w:val="single" w:sz="8" w:space="0" w:color="0063A6" w:themeColor="accent1"/>
        <w:bottom w:val="single" w:sz="8" w:space="0" w:color="0063A6" w:themeColor="accent1"/>
        <w:right w:val="single" w:sz="8" w:space="0" w:color="0063A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63A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63A6" w:themeColor="accent1"/>
          <w:left w:val="single" w:sz="8" w:space="0" w:color="0063A6" w:themeColor="accent1"/>
          <w:bottom w:val="single" w:sz="8" w:space="0" w:color="0063A6" w:themeColor="accent1"/>
          <w:right w:val="single" w:sz="8" w:space="0" w:color="0063A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63A6" w:themeColor="accent1"/>
          <w:left w:val="single" w:sz="8" w:space="0" w:color="0063A6" w:themeColor="accent1"/>
          <w:bottom w:val="single" w:sz="8" w:space="0" w:color="0063A6" w:themeColor="accent1"/>
          <w:right w:val="single" w:sz="8" w:space="0" w:color="0063A6" w:themeColor="accent1"/>
        </w:tcBorders>
      </w:tcPr>
    </w:tblStylePr>
    <w:tblStylePr w:type="band1Horz">
      <w:tblPr/>
      <w:tcPr>
        <w:tcBorders>
          <w:top w:val="single" w:sz="8" w:space="0" w:color="0063A6" w:themeColor="accent1"/>
          <w:left w:val="single" w:sz="8" w:space="0" w:color="0063A6" w:themeColor="accent1"/>
          <w:bottom w:val="single" w:sz="8" w:space="0" w:color="0063A6" w:themeColor="accent1"/>
          <w:right w:val="single" w:sz="8" w:space="0" w:color="0063A6" w:themeColor="accent1"/>
        </w:tcBorders>
      </w:tcPr>
    </w:tblStylePr>
  </w:style>
  <w:style w:type="paragraph" w:styleId="TOC1">
    <w:name w:val="toc 1"/>
    <w:basedOn w:val="Normal"/>
    <w:next w:val="Normal"/>
    <w:uiPriority w:val="39"/>
    <w:rsid w:val="00E11977"/>
    <w:pPr>
      <w:tabs>
        <w:tab w:val="right" w:leader="dot" w:pos="9000"/>
      </w:tabs>
      <w:ind w:right="432"/>
    </w:pPr>
    <w:rPr>
      <w:sz w:val="24"/>
      <w:szCs w:val="24"/>
    </w:rPr>
  </w:style>
  <w:style w:type="paragraph" w:styleId="TOC2">
    <w:name w:val="toc 2"/>
    <w:next w:val="Normal"/>
    <w:uiPriority w:val="39"/>
    <w:rsid w:val="00E11977"/>
    <w:pPr>
      <w:tabs>
        <w:tab w:val="right" w:leader="dot" w:pos="9000"/>
      </w:tabs>
      <w:spacing w:after="100"/>
      <w:ind w:left="446" w:right="432"/>
      <w:contextualSpacing/>
    </w:pPr>
    <w:rPr>
      <w:noProof/>
      <w:spacing w:val="2"/>
    </w:rPr>
  </w:style>
  <w:style w:type="paragraph" w:styleId="TOC3">
    <w:name w:val="toc 3"/>
    <w:basedOn w:val="Normal"/>
    <w:next w:val="Normal"/>
    <w:uiPriority w:val="39"/>
    <w:rsid w:val="00E11977"/>
    <w:pPr>
      <w:tabs>
        <w:tab w:val="right" w:leader="dot" w:pos="9000"/>
      </w:tabs>
      <w:spacing w:before="0"/>
      <w:ind w:left="1080" w:right="432"/>
      <w:contextualSpacing/>
    </w:pPr>
    <w:rPr>
      <w:noProof/>
      <w:sz w:val="18"/>
      <w:szCs w:val="18"/>
    </w:rPr>
  </w:style>
  <w:style w:type="paragraph" w:styleId="Index1">
    <w:name w:val="index 1"/>
    <w:basedOn w:val="Normal"/>
    <w:next w:val="Normal"/>
    <w:uiPriority w:val="99"/>
    <w:semiHidden/>
    <w:rsid w:val="00E11977"/>
    <w:pPr>
      <w:spacing w:after="60" w:line="240" w:lineRule="auto"/>
    </w:pPr>
    <w:rPr>
      <w:sz w:val="16"/>
    </w:rPr>
  </w:style>
  <w:style w:type="paragraph" w:styleId="Index2">
    <w:name w:val="index 2"/>
    <w:basedOn w:val="Normal"/>
    <w:next w:val="Normal"/>
    <w:uiPriority w:val="99"/>
    <w:semiHidden/>
    <w:rsid w:val="00E11977"/>
    <w:pPr>
      <w:spacing w:after="0" w:line="240" w:lineRule="auto"/>
      <w:ind w:left="216"/>
    </w:pPr>
    <w:rPr>
      <w:sz w:val="16"/>
      <w:szCs w:val="16"/>
    </w:rPr>
  </w:style>
  <w:style w:type="character" w:styleId="Hyperlink">
    <w:name w:val="Hyperlink"/>
    <w:basedOn w:val="DefaultParagraphFont"/>
    <w:uiPriority w:val="99"/>
    <w:rsid w:val="00E11977"/>
    <w:rPr>
      <w:color w:val="53565A" w:themeColor="hyperlink"/>
      <w:u w:val="none"/>
    </w:rPr>
  </w:style>
  <w:style w:type="character" w:customStyle="1" w:styleId="Heading1Char">
    <w:name w:val="Heading 1 Char"/>
    <w:basedOn w:val="DefaultParagraphFont"/>
    <w:link w:val="Heading1"/>
    <w:rsid w:val="00E11977"/>
    <w:rPr>
      <w:rFonts w:asciiTheme="majorHAnsi" w:eastAsiaTheme="majorEastAsia" w:hAnsiTheme="majorHAnsi" w:cstheme="majorBidi"/>
      <w:b/>
      <w:bCs/>
      <w:color w:val="201547"/>
      <w:spacing w:val="-1"/>
      <w:sz w:val="36"/>
      <w:szCs w:val="28"/>
    </w:rPr>
  </w:style>
  <w:style w:type="character" w:customStyle="1" w:styleId="Heading2Char">
    <w:name w:val="Heading 2 Char"/>
    <w:basedOn w:val="DefaultParagraphFont"/>
    <w:link w:val="Heading2"/>
    <w:rsid w:val="004B50FD"/>
    <w:rPr>
      <w:rFonts w:asciiTheme="majorHAnsi" w:eastAsiaTheme="majorEastAsia" w:hAnsiTheme="majorHAnsi" w:cstheme="majorBidi"/>
      <w:b/>
      <w:bCs/>
      <w:color w:val="0063A6" w:themeColor="accent1"/>
      <w:spacing w:val="2"/>
      <w:sz w:val="26"/>
      <w:szCs w:val="26"/>
    </w:rPr>
  </w:style>
  <w:style w:type="paragraph" w:customStyle="1" w:styleId="Bullet1">
    <w:name w:val="Bullet 1"/>
    <w:uiPriority w:val="1"/>
    <w:qFormat/>
    <w:rsid w:val="00E11977"/>
    <w:pPr>
      <w:numPr>
        <w:numId w:val="1"/>
      </w:numPr>
      <w:spacing w:before="100" w:after="100" w:line="240" w:lineRule="auto"/>
    </w:pPr>
    <w:rPr>
      <w:rFonts w:eastAsia="Times New Roman" w:cs="Calibri"/>
      <w:spacing w:val="2"/>
    </w:rPr>
  </w:style>
  <w:style w:type="paragraph" w:customStyle="1" w:styleId="Bullet2">
    <w:name w:val="Bullet 2"/>
    <w:basedOn w:val="Bullet1"/>
    <w:uiPriority w:val="1"/>
    <w:qFormat/>
    <w:rsid w:val="00E11977"/>
    <w:pPr>
      <w:numPr>
        <w:ilvl w:val="1"/>
      </w:numPr>
    </w:pPr>
  </w:style>
  <w:style w:type="paragraph" w:customStyle="1" w:styleId="Bulletindent">
    <w:name w:val="Bullet indent"/>
    <w:basedOn w:val="Bullet2"/>
    <w:uiPriority w:val="9"/>
    <w:qFormat/>
    <w:rsid w:val="00E11977"/>
    <w:pPr>
      <w:numPr>
        <w:ilvl w:val="2"/>
      </w:numPr>
    </w:pPr>
  </w:style>
  <w:style w:type="paragraph" w:customStyle="1" w:styleId="Heading1numbered">
    <w:name w:val="Heading 1 numbered"/>
    <w:basedOn w:val="Heading1"/>
    <w:next w:val="NormalIndent"/>
    <w:uiPriority w:val="8"/>
    <w:qFormat/>
    <w:rsid w:val="00E11977"/>
    <w:pPr>
      <w:numPr>
        <w:ilvl w:val="2"/>
        <w:numId w:val="4"/>
      </w:numPr>
    </w:pPr>
  </w:style>
  <w:style w:type="paragraph" w:customStyle="1" w:styleId="Heading2numbered">
    <w:name w:val="Heading 2 numbered"/>
    <w:basedOn w:val="Heading2"/>
    <w:next w:val="NormalIndent"/>
    <w:uiPriority w:val="8"/>
    <w:qFormat/>
    <w:rsid w:val="00E11977"/>
    <w:pPr>
      <w:numPr>
        <w:ilvl w:val="3"/>
        <w:numId w:val="4"/>
      </w:numPr>
    </w:pPr>
  </w:style>
  <w:style w:type="paragraph" w:customStyle="1" w:styleId="Heading3numbered">
    <w:name w:val="Heading 3 numbered"/>
    <w:basedOn w:val="Heading3"/>
    <w:next w:val="NormalIndent"/>
    <w:uiPriority w:val="8"/>
    <w:qFormat/>
    <w:rsid w:val="00E11977"/>
    <w:pPr>
      <w:numPr>
        <w:ilvl w:val="4"/>
        <w:numId w:val="4"/>
      </w:numPr>
    </w:pPr>
  </w:style>
  <w:style w:type="character" w:customStyle="1" w:styleId="Heading3Char">
    <w:name w:val="Heading 3 Char"/>
    <w:basedOn w:val="DefaultParagraphFont"/>
    <w:link w:val="Heading3"/>
    <w:rsid w:val="00E11977"/>
    <w:rPr>
      <w:rFonts w:asciiTheme="majorHAnsi" w:eastAsiaTheme="majorEastAsia" w:hAnsiTheme="majorHAnsi" w:cstheme="majorBidi"/>
      <w:b/>
      <w:bCs/>
      <w:color w:val="0063A6" w:themeColor="accent1"/>
      <w:spacing w:val="2"/>
      <w:sz w:val="22"/>
      <w:szCs w:val="22"/>
    </w:rPr>
  </w:style>
  <w:style w:type="paragraph" w:customStyle="1" w:styleId="Heading4numbered">
    <w:name w:val="Heading 4 numbered"/>
    <w:basedOn w:val="Heading4"/>
    <w:next w:val="NormalIndent"/>
    <w:uiPriority w:val="8"/>
    <w:qFormat/>
    <w:rsid w:val="00E11977"/>
    <w:pPr>
      <w:numPr>
        <w:ilvl w:val="5"/>
        <w:numId w:val="4"/>
      </w:numPr>
    </w:pPr>
  </w:style>
  <w:style w:type="character" w:customStyle="1" w:styleId="Heading4Char">
    <w:name w:val="Heading 4 Char"/>
    <w:basedOn w:val="DefaultParagraphFont"/>
    <w:link w:val="Heading4"/>
    <w:rsid w:val="00E11977"/>
    <w:rPr>
      <w:rFonts w:asciiTheme="majorHAnsi" w:eastAsiaTheme="majorEastAsia" w:hAnsiTheme="majorHAnsi" w:cstheme="majorBidi"/>
      <w:b/>
      <w:bCs/>
      <w:iCs/>
      <w:color w:val="53565A"/>
      <w:spacing w:val="2"/>
    </w:rPr>
  </w:style>
  <w:style w:type="paragraph" w:styleId="NormalIndent">
    <w:name w:val="Normal Indent"/>
    <w:basedOn w:val="Normal"/>
    <w:qFormat/>
    <w:rsid w:val="00E11977"/>
    <w:pPr>
      <w:spacing w:line="252" w:lineRule="auto"/>
      <w:ind w:left="792"/>
    </w:pPr>
  </w:style>
  <w:style w:type="paragraph" w:customStyle="1" w:styleId="NoteNormal">
    <w:name w:val="Note Normal"/>
    <w:basedOn w:val="Normal"/>
    <w:uiPriority w:val="49"/>
    <w:rsid w:val="00E11977"/>
    <w:pPr>
      <w:keepNext/>
      <w:keepLines/>
      <w:spacing w:before="80" w:line="240" w:lineRule="auto"/>
    </w:pPr>
    <w:rPr>
      <w:rFonts w:eastAsia="Times New Roman" w:cstheme="minorHAnsi"/>
      <w:color w:val="000000"/>
      <w:spacing w:val="1"/>
      <w:sz w:val="16"/>
      <w:szCs w:val="16"/>
      <w:lang w:eastAsia="en-US"/>
    </w:rPr>
  </w:style>
  <w:style w:type="paragraph" w:customStyle="1" w:styleId="Spacer">
    <w:name w:val="Spacer"/>
    <w:basedOn w:val="Normal"/>
    <w:uiPriority w:val="13"/>
    <w:semiHidden/>
    <w:qFormat/>
    <w:rsid w:val="00E11977"/>
    <w:pPr>
      <w:spacing w:before="0" w:after="0" w:line="120" w:lineRule="atLeast"/>
    </w:pPr>
    <w:rPr>
      <w:rFonts w:eastAsia="Times New Roman" w:cs="Calibri"/>
      <w:spacing w:val="0"/>
      <w:sz w:val="10"/>
      <w:szCs w:val="22"/>
    </w:rPr>
  </w:style>
  <w:style w:type="paragraph" w:styleId="Subtitle">
    <w:name w:val="Subtitle"/>
    <w:link w:val="SubtitleChar"/>
    <w:uiPriority w:val="98"/>
    <w:rsid w:val="00E11977"/>
    <w:pPr>
      <w:spacing w:after="0" w:line="440" w:lineRule="exact"/>
    </w:pPr>
    <w:rPr>
      <w:rFonts w:asciiTheme="majorHAnsi" w:eastAsia="Times New Roman" w:hAnsiTheme="majorHAnsi" w:cstheme="majorHAnsi"/>
      <w:color w:val="0063A6" w:themeColor="accent1"/>
      <w:spacing w:val="-2"/>
      <w:sz w:val="40"/>
      <w:szCs w:val="24"/>
    </w:rPr>
  </w:style>
  <w:style w:type="character" w:customStyle="1" w:styleId="SubtitleChar">
    <w:name w:val="Subtitle Char"/>
    <w:basedOn w:val="DefaultParagraphFont"/>
    <w:link w:val="Subtitle"/>
    <w:uiPriority w:val="98"/>
    <w:rsid w:val="00E11977"/>
    <w:rPr>
      <w:rFonts w:asciiTheme="majorHAnsi" w:eastAsia="Times New Roman" w:hAnsiTheme="majorHAnsi" w:cstheme="majorHAnsi"/>
      <w:color w:val="0063A6" w:themeColor="accent1"/>
      <w:spacing w:val="-2"/>
      <w:sz w:val="40"/>
      <w:szCs w:val="24"/>
    </w:rPr>
  </w:style>
  <w:style w:type="paragraph" w:customStyle="1" w:styleId="TertiaryTitle">
    <w:name w:val="Tertiary Title"/>
    <w:next w:val="Normal"/>
    <w:uiPriority w:val="98"/>
    <w:rsid w:val="00E11977"/>
    <w:pPr>
      <w:spacing w:after="0" w:line="440" w:lineRule="exact"/>
    </w:pPr>
    <w:rPr>
      <w:rFonts w:asciiTheme="majorHAnsi" w:eastAsia="Times New Roman" w:hAnsiTheme="majorHAnsi" w:cstheme="majorHAnsi"/>
      <w:color w:val="0063A6" w:themeColor="accent1"/>
      <w:spacing w:val="-2"/>
      <w:sz w:val="22"/>
      <w:szCs w:val="40"/>
      <w:lang w:eastAsia="en-US"/>
    </w:rPr>
  </w:style>
  <w:style w:type="paragraph" w:styleId="Title">
    <w:name w:val="Title"/>
    <w:link w:val="TitleChar"/>
    <w:uiPriority w:val="97"/>
    <w:rsid w:val="00E11977"/>
    <w:pPr>
      <w:spacing w:after="300" w:line="252" w:lineRule="auto"/>
    </w:pPr>
    <w:rPr>
      <w:rFonts w:asciiTheme="majorHAnsi" w:eastAsia="Times New Roman" w:hAnsiTheme="majorHAnsi" w:cstheme="majorHAnsi"/>
      <w:b/>
      <w:color w:val="0063A6" w:themeColor="accent1"/>
      <w:spacing w:val="-2"/>
      <w:sz w:val="52"/>
      <w:szCs w:val="22"/>
    </w:rPr>
  </w:style>
  <w:style w:type="character" w:customStyle="1" w:styleId="TitleChar">
    <w:name w:val="Title Char"/>
    <w:basedOn w:val="DefaultParagraphFont"/>
    <w:link w:val="Title"/>
    <w:uiPriority w:val="97"/>
    <w:rsid w:val="00E11977"/>
    <w:rPr>
      <w:rFonts w:asciiTheme="majorHAnsi" w:eastAsia="Times New Roman" w:hAnsiTheme="majorHAnsi" w:cstheme="majorHAnsi"/>
      <w:b/>
      <w:color w:val="0063A6" w:themeColor="accent1"/>
      <w:spacing w:val="-2"/>
      <w:sz w:val="5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19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977"/>
    <w:rPr>
      <w:rFonts w:ascii="Tahoma" w:hAnsi="Tahoma" w:cs="Tahoma"/>
      <w:spacing w:val="2"/>
      <w:sz w:val="16"/>
      <w:szCs w:val="16"/>
    </w:rPr>
  </w:style>
  <w:style w:type="paragraph" w:customStyle="1" w:styleId="Bulletindent2">
    <w:name w:val="Bullet indent 2"/>
    <w:basedOn w:val="Normal"/>
    <w:uiPriority w:val="9"/>
    <w:qFormat/>
    <w:rsid w:val="00E11977"/>
    <w:pPr>
      <w:numPr>
        <w:ilvl w:val="3"/>
        <w:numId w:val="1"/>
      </w:numPr>
      <w:spacing w:before="100"/>
      <w:contextualSpacing/>
    </w:pPr>
  </w:style>
  <w:style w:type="paragraph" w:styleId="IndexHeading">
    <w:name w:val="index heading"/>
    <w:basedOn w:val="Normal"/>
    <w:next w:val="Index1"/>
    <w:uiPriority w:val="99"/>
    <w:semiHidden/>
    <w:rsid w:val="00E11977"/>
    <w:rPr>
      <w:rFonts w:asciiTheme="majorHAnsi" w:eastAsiaTheme="majorEastAsia" w:hAnsiTheme="majorHAnsi" w:cstheme="majorBidi"/>
      <w:b/>
      <w:bCs/>
    </w:rPr>
  </w:style>
  <w:style w:type="paragraph" w:styleId="Header">
    <w:name w:val="header"/>
    <w:basedOn w:val="Normal"/>
    <w:link w:val="HeaderChar"/>
    <w:uiPriority w:val="99"/>
    <w:semiHidden/>
    <w:rsid w:val="00E119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11977"/>
    <w:rPr>
      <w:spacing w:val="2"/>
    </w:rPr>
  </w:style>
  <w:style w:type="paragraph" w:styleId="Footer">
    <w:name w:val="footer"/>
    <w:basedOn w:val="Normal"/>
    <w:link w:val="FooterChar"/>
    <w:uiPriority w:val="24"/>
    <w:rsid w:val="00E11977"/>
    <w:pPr>
      <w:tabs>
        <w:tab w:val="right" w:pos="9026"/>
      </w:tabs>
      <w:spacing w:before="0" w:after="0" w:line="240" w:lineRule="auto"/>
    </w:pPr>
    <w:rPr>
      <w:noProof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24"/>
    <w:rsid w:val="00E11977"/>
    <w:rPr>
      <w:noProof/>
      <w:spacing w:val="2"/>
      <w:sz w:val="18"/>
      <w:szCs w:val="18"/>
    </w:rPr>
  </w:style>
  <w:style w:type="character" w:styleId="PageNumber">
    <w:name w:val="page number"/>
    <w:uiPriority w:val="49"/>
    <w:semiHidden/>
    <w:rsid w:val="00E11977"/>
    <w:rPr>
      <w:b w:val="0"/>
      <w:color w:val="000000" w:themeColor="text1"/>
    </w:rPr>
  </w:style>
  <w:style w:type="paragraph" w:styleId="TOCHeading">
    <w:name w:val="TOC Heading"/>
    <w:basedOn w:val="Heading1"/>
    <w:next w:val="Normal"/>
    <w:uiPriority w:val="39"/>
    <w:rsid w:val="00E11977"/>
    <w:pPr>
      <w:spacing w:before="480" w:after="720"/>
      <w:outlineLvl w:val="9"/>
    </w:pPr>
    <w:rPr>
      <w:spacing w:val="2"/>
    </w:rPr>
  </w:style>
  <w:style w:type="paragraph" w:customStyle="1" w:styleId="NormalTight">
    <w:name w:val="Normal Tight"/>
    <w:uiPriority w:val="99"/>
    <w:semiHidden/>
    <w:rsid w:val="00E11977"/>
    <w:pPr>
      <w:spacing w:after="0" w:line="240" w:lineRule="auto"/>
      <w:ind w:right="2366"/>
    </w:pPr>
    <w:rPr>
      <w:rFonts w:eastAsia="Times New Roman" w:cs="Calibri"/>
      <w:sz w:val="18"/>
      <w:szCs w:val="19"/>
      <w:lang w:eastAsia="en-US"/>
    </w:rPr>
  </w:style>
  <w:style w:type="paragraph" w:styleId="BodyText">
    <w:name w:val="Body Text"/>
    <w:basedOn w:val="Normal"/>
    <w:link w:val="BodyTextChar"/>
    <w:uiPriority w:val="49"/>
    <w:semiHidden/>
    <w:rsid w:val="00E11977"/>
    <w:pPr>
      <w:spacing w:before="100" w:line="240" w:lineRule="auto"/>
      <w:ind w:left="794"/>
    </w:pPr>
    <w:rPr>
      <w:rFonts w:ascii="Calibri" w:eastAsia="Times New Roman" w:hAnsi="Calibri" w:cs="Calibri"/>
      <w:spacing w:val="0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49"/>
    <w:semiHidden/>
    <w:rsid w:val="00E11977"/>
    <w:rPr>
      <w:rFonts w:ascii="Calibri" w:eastAsia="Times New Roman" w:hAnsi="Calibri" w:cs="Calibri"/>
      <w:sz w:val="22"/>
      <w:szCs w:val="22"/>
    </w:rPr>
  </w:style>
  <w:style w:type="paragraph" w:customStyle="1" w:styleId="Insidecoverspacer">
    <w:name w:val="Inside cover spacer"/>
    <w:basedOn w:val="NormalTight"/>
    <w:uiPriority w:val="99"/>
    <w:semiHidden/>
    <w:qFormat/>
    <w:rsid w:val="00E11977"/>
    <w:pPr>
      <w:spacing w:before="5800"/>
      <w:ind w:right="1382"/>
    </w:pPr>
  </w:style>
  <w:style w:type="paragraph" w:styleId="TOC4">
    <w:name w:val="toc 4"/>
    <w:basedOn w:val="TOC1"/>
    <w:next w:val="Normal"/>
    <w:uiPriority w:val="39"/>
    <w:rsid w:val="00E11977"/>
    <w:pPr>
      <w:ind w:left="450" w:hanging="450"/>
    </w:pPr>
    <w:rPr>
      <w:noProof/>
      <w:lang w:eastAsia="en-US"/>
    </w:rPr>
  </w:style>
  <w:style w:type="paragraph" w:styleId="TOC5">
    <w:name w:val="toc 5"/>
    <w:basedOn w:val="TOC2"/>
    <w:next w:val="Normal"/>
    <w:uiPriority w:val="39"/>
    <w:rsid w:val="00E11977"/>
    <w:pPr>
      <w:ind w:left="1080" w:hanging="634"/>
    </w:pPr>
    <w:rPr>
      <w:lang w:eastAsia="en-US"/>
    </w:rPr>
  </w:style>
  <w:style w:type="paragraph" w:styleId="TOC6">
    <w:name w:val="toc 6"/>
    <w:basedOn w:val="TOC3"/>
    <w:next w:val="Normal"/>
    <w:uiPriority w:val="39"/>
    <w:rsid w:val="00E11977"/>
    <w:pPr>
      <w:ind w:left="1800" w:hanging="720"/>
    </w:pPr>
    <w:rPr>
      <w:lang w:eastAsia="en-US"/>
    </w:rPr>
  </w:style>
  <w:style w:type="table" w:customStyle="1" w:styleId="DTFtexttable">
    <w:name w:val="DTF text table"/>
    <w:basedOn w:val="TableGrid"/>
    <w:uiPriority w:val="99"/>
    <w:rsid w:val="00723357"/>
    <w:pPr>
      <w:spacing w:before="30" w:after="30" w:line="264" w:lineRule="auto"/>
      <w:jc w:val="left"/>
    </w:pPr>
    <w:tblPr/>
    <w:tblStylePr w:type="firstRow">
      <w:pPr>
        <w:keepNext/>
        <w:keepLines/>
        <w:widowControl/>
        <w:wordWrap/>
        <w:spacing w:beforeLines="0" w:before="120" w:beforeAutospacing="0" w:afterLines="0" w:after="30" w:afterAutospacing="0"/>
        <w:jc w:val="left"/>
      </w:pPr>
      <w:rPr>
        <w:b/>
        <w:i w:val="0"/>
        <w:color w:val="FFFFFF" w:themeColor="background1"/>
      </w:rPr>
      <w:tblPr/>
      <w:tcPr>
        <w:shd w:val="clear" w:color="auto" w:fill="0063A6" w:themeFill="accent1"/>
        <w:vAlign w:val="bottom"/>
      </w:tcPr>
    </w:tblStylePr>
    <w:tblStylePr w:type="lastRow">
      <w:rPr>
        <w:b/>
        <w:color w:val="FFFFFF" w:themeColor="background1"/>
      </w:rPr>
      <w:tblPr/>
      <w:tcPr>
        <w:tcBorders>
          <w:top w:val="single" w:sz="6" w:space="0" w:color="0063A6" w:themeColor="accent1"/>
          <w:left w:val="nil"/>
          <w:bottom w:val="single" w:sz="12" w:space="0" w:color="0063A6" w:themeColor="accent1"/>
          <w:right w:val="nil"/>
          <w:insideV w:val="nil"/>
        </w:tcBorders>
        <w:shd w:val="clear" w:color="auto" w:fill="0063A6" w:themeFill="accent1"/>
      </w:tcPr>
    </w:tblStylePr>
    <w:tblStylePr w:type="firstCol">
      <w:pPr>
        <w:jc w:val="left"/>
      </w:pPr>
      <w:tblPr/>
      <w:tcPr>
        <w:shd w:val="clear" w:color="auto" w:fill="E3EBF4" w:themeFill="accent3" w:themeFillTint="33"/>
      </w:tcPr>
    </w:tblStylePr>
    <w:tblStylePr w:type="lastCol">
      <w:pPr>
        <w:jc w:val="left"/>
      </w:pPr>
    </w:tblStylePr>
    <w:tblStylePr w:type="band1Vert">
      <w:pPr>
        <w:jc w:val="left"/>
      </w:pPr>
    </w:tblStylePr>
    <w:tblStylePr w:type="band2Vert">
      <w:pPr>
        <w:jc w:val="left"/>
      </w:pPr>
    </w:tblStylePr>
    <w:tblStylePr w:type="band2Horz">
      <w:tblPr/>
      <w:tcPr>
        <w:shd w:val="clear" w:color="auto" w:fill="E3EBF4" w:themeFill="accent3" w:themeFillTint="33"/>
      </w:tcPr>
    </w:tblStylePr>
    <w:tblStylePr w:type="neCell">
      <w:pPr>
        <w:jc w:val="left"/>
      </w:pPr>
    </w:tblStylePr>
    <w:tblStylePr w:type="nwCell">
      <w:pPr>
        <w:jc w:val="left"/>
      </w:pPr>
    </w:tblStylePr>
    <w:tblStylePr w:type="seCell">
      <w:pPr>
        <w:jc w:val="left"/>
      </w:pPr>
    </w:tblStylePr>
    <w:tblStylePr w:type="swCell">
      <w:pPr>
        <w:jc w:val="left"/>
      </w:pPr>
    </w:tblStylePr>
  </w:style>
  <w:style w:type="table" w:customStyle="1" w:styleId="DTFfinancialtable">
    <w:name w:val="DTF financial table"/>
    <w:basedOn w:val="TableGrid"/>
    <w:uiPriority w:val="99"/>
    <w:rsid w:val="00E11977"/>
    <w:pPr>
      <w:spacing w:before="30" w:after="30" w:line="264" w:lineRule="auto"/>
    </w:pPr>
    <w:tblPr/>
    <w:tblStylePr w:type="firstRow">
      <w:pPr>
        <w:keepNext/>
        <w:keepLines/>
        <w:widowControl/>
        <w:wordWrap/>
        <w:spacing w:beforeLines="0" w:before="120" w:beforeAutospacing="0" w:afterLines="0" w:after="30" w:afterAutospacing="0"/>
        <w:jc w:val="right"/>
      </w:pPr>
      <w:rPr>
        <w:i w:val="0"/>
        <w:color w:val="FFFFFF" w:themeColor="background1"/>
      </w:rPr>
      <w:tblPr/>
      <w:tcPr>
        <w:shd w:val="clear" w:color="auto" w:fill="0063A6" w:themeFill="accent1"/>
        <w:vAlign w:val="bottom"/>
      </w:tcPr>
    </w:tblStylePr>
    <w:tblStylePr w:type="lastRow">
      <w:rPr>
        <w:b/>
      </w:rPr>
      <w:tblPr/>
      <w:tcPr>
        <w:tcBorders>
          <w:top w:val="single" w:sz="6" w:space="0" w:color="0063A6" w:themeColor="accent1"/>
          <w:left w:val="nil"/>
          <w:bottom w:val="single" w:sz="12" w:space="0" w:color="0063A6" w:themeColor="accent1"/>
          <w:right w:val="nil"/>
          <w:insideV w:val="nil"/>
        </w:tcBorders>
      </w:tcPr>
    </w:tblStylePr>
    <w:tblStylePr w:type="firstCol">
      <w:pPr>
        <w:jc w:val="left"/>
      </w:pPr>
      <w:tblPr/>
      <w:tcPr>
        <w:shd w:val="clear" w:color="auto" w:fill="E3EBF4" w:themeFill="accent3" w:themeFillTint="33"/>
      </w:tcPr>
    </w:tblStylePr>
    <w:tblStylePr w:type="band1Vert">
      <w:pPr>
        <w:jc w:val="right"/>
      </w:pPr>
    </w:tblStylePr>
    <w:tblStylePr w:type="band2Vert">
      <w:pPr>
        <w:jc w:val="right"/>
      </w:pPr>
    </w:tblStylePr>
    <w:tblStylePr w:type="band2Horz">
      <w:tblPr/>
      <w:tcPr>
        <w:shd w:val="clear" w:color="auto" w:fill="E3EBF4" w:themeFill="accent3" w:themeFillTint="33"/>
      </w:tcPr>
    </w:tblStylePr>
    <w:tblStylePr w:type="nwCell">
      <w:pPr>
        <w:jc w:val="left"/>
      </w:pPr>
      <w:tblPr/>
      <w:tcPr>
        <w:vAlign w:val="bottom"/>
      </w:tcPr>
    </w:tblStylePr>
  </w:style>
  <w:style w:type="paragraph" w:customStyle="1" w:styleId="Tabletext">
    <w:name w:val="Table text"/>
    <w:basedOn w:val="Normal"/>
    <w:uiPriority w:val="5"/>
    <w:qFormat/>
    <w:rsid w:val="00E11977"/>
    <w:pPr>
      <w:spacing w:before="60" w:after="60" w:line="264" w:lineRule="auto"/>
    </w:pPr>
    <w:rPr>
      <w:sz w:val="17"/>
    </w:rPr>
  </w:style>
  <w:style w:type="paragraph" w:customStyle="1" w:styleId="Tabletextright">
    <w:name w:val="Table text right"/>
    <w:basedOn w:val="Tabletext"/>
    <w:uiPriority w:val="5"/>
    <w:qFormat/>
    <w:rsid w:val="00E11977"/>
    <w:pPr>
      <w:jc w:val="right"/>
    </w:pPr>
  </w:style>
  <w:style w:type="paragraph" w:customStyle="1" w:styleId="Listnumindent2">
    <w:name w:val="List num indent 2"/>
    <w:basedOn w:val="Normal"/>
    <w:uiPriority w:val="9"/>
    <w:qFormat/>
    <w:rsid w:val="00E11977"/>
    <w:pPr>
      <w:numPr>
        <w:ilvl w:val="7"/>
        <w:numId w:val="4"/>
      </w:numPr>
      <w:spacing w:before="100"/>
      <w:contextualSpacing/>
    </w:pPr>
  </w:style>
  <w:style w:type="paragraph" w:customStyle="1" w:styleId="Listnumindent">
    <w:name w:val="List num indent"/>
    <w:basedOn w:val="Normal"/>
    <w:uiPriority w:val="9"/>
    <w:qFormat/>
    <w:rsid w:val="00E11977"/>
    <w:pPr>
      <w:numPr>
        <w:ilvl w:val="6"/>
        <w:numId w:val="4"/>
      </w:numPr>
      <w:spacing w:before="100"/>
    </w:pPr>
  </w:style>
  <w:style w:type="paragraph" w:customStyle="1" w:styleId="Listnum">
    <w:name w:val="List num"/>
    <w:basedOn w:val="Normal"/>
    <w:uiPriority w:val="1"/>
    <w:qFormat/>
    <w:rsid w:val="00E11977"/>
    <w:pPr>
      <w:numPr>
        <w:numId w:val="4"/>
      </w:numPr>
    </w:pPr>
  </w:style>
  <w:style w:type="paragraph" w:customStyle="1" w:styleId="Listnum2">
    <w:name w:val="List num 2"/>
    <w:basedOn w:val="Normal"/>
    <w:uiPriority w:val="1"/>
    <w:qFormat/>
    <w:rsid w:val="00E11977"/>
    <w:pPr>
      <w:numPr>
        <w:ilvl w:val="1"/>
        <w:numId w:val="4"/>
      </w:numPr>
    </w:pPr>
  </w:style>
  <w:style w:type="paragraph" w:customStyle="1" w:styleId="Tabletextcentred">
    <w:name w:val="Table text centred"/>
    <w:basedOn w:val="Tabletext"/>
    <w:uiPriority w:val="5"/>
    <w:qFormat/>
    <w:rsid w:val="00E11977"/>
    <w:pPr>
      <w:jc w:val="center"/>
    </w:pPr>
  </w:style>
  <w:style w:type="paragraph" w:customStyle="1" w:styleId="Tableheader">
    <w:name w:val="Table header"/>
    <w:basedOn w:val="Tabletext"/>
    <w:uiPriority w:val="5"/>
    <w:qFormat/>
    <w:rsid w:val="00536724"/>
    <w:pPr>
      <w:keepNext/>
      <w:keepLines/>
      <w:spacing w:before="120"/>
    </w:pPr>
    <w:rPr>
      <w:rFonts w:eastAsiaTheme="minorHAnsi"/>
      <w:b/>
      <w:color w:val="FFFFFF" w:themeColor="background1"/>
      <w:sz w:val="18"/>
      <w:szCs w:val="21"/>
      <w:lang w:eastAsia="en-US"/>
    </w:rPr>
  </w:style>
  <w:style w:type="paragraph" w:customStyle="1" w:styleId="Tablebullet">
    <w:name w:val="Table bullet"/>
    <w:basedOn w:val="Tabletext"/>
    <w:uiPriority w:val="6"/>
    <w:rsid w:val="00E11977"/>
    <w:pPr>
      <w:numPr>
        <w:numId w:val="17"/>
      </w:numPr>
    </w:pPr>
  </w:style>
  <w:style w:type="paragraph" w:customStyle="1" w:styleId="Tabledash">
    <w:name w:val="Table dash"/>
    <w:basedOn w:val="Tablebullet"/>
    <w:uiPriority w:val="6"/>
    <w:rsid w:val="00E11977"/>
    <w:pPr>
      <w:numPr>
        <w:ilvl w:val="1"/>
      </w:numPr>
    </w:pPr>
  </w:style>
  <w:style w:type="paragraph" w:customStyle="1" w:styleId="Tabletextindent">
    <w:name w:val="Table text indent"/>
    <w:basedOn w:val="Tabletext"/>
    <w:uiPriority w:val="5"/>
    <w:qFormat/>
    <w:rsid w:val="00E11977"/>
    <w:pPr>
      <w:ind w:left="288"/>
    </w:pPr>
  </w:style>
  <w:style w:type="paragraph" w:customStyle="1" w:styleId="Numpara">
    <w:name w:val="Num para"/>
    <w:basedOn w:val="ListParagraph"/>
    <w:uiPriority w:val="2"/>
    <w:qFormat/>
    <w:rsid w:val="00E11977"/>
    <w:pPr>
      <w:numPr>
        <w:numId w:val="19"/>
      </w:numPr>
      <w:tabs>
        <w:tab w:val="left" w:pos="540"/>
      </w:tabs>
    </w:pPr>
  </w:style>
  <w:style w:type="paragraph" w:styleId="ListParagraph">
    <w:name w:val="List Paragraph"/>
    <w:basedOn w:val="Normal"/>
    <w:uiPriority w:val="34"/>
    <w:semiHidden/>
    <w:qFormat/>
    <w:rsid w:val="00E11977"/>
    <w:pPr>
      <w:ind w:left="720"/>
      <w:contextualSpacing/>
    </w:pPr>
  </w:style>
  <w:style w:type="paragraph" w:customStyle="1" w:styleId="Tablechartdiagramheading">
    <w:name w:val="Table/chart/diagram heading"/>
    <w:uiPriority w:val="4"/>
    <w:qFormat/>
    <w:rsid w:val="00E11977"/>
    <w:pPr>
      <w:tabs>
        <w:tab w:val="left" w:pos="1080"/>
      </w:tabs>
      <w:spacing w:before="160" w:after="100"/>
    </w:pPr>
    <w:rPr>
      <w:b/>
      <w:bCs/>
      <w:color w:val="0063A6" w:themeColor="accent1"/>
      <w:spacing w:val="2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rsid w:val="00E11977"/>
    <w:pPr>
      <w:spacing w:before="0" w:after="0" w:line="240" w:lineRule="auto"/>
    </w:pPr>
    <w:rPr>
      <w:sz w:val="17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11977"/>
    <w:rPr>
      <w:spacing w:val="2"/>
      <w:sz w:val="17"/>
    </w:rPr>
  </w:style>
  <w:style w:type="character" w:styleId="FootnoteReference">
    <w:name w:val="footnote reference"/>
    <w:basedOn w:val="DefaultParagraphFont"/>
    <w:uiPriority w:val="99"/>
    <w:semiHidden/>
    <w:rsid w:val="00E11977"/>
    <w:rPr>
      <w:vertAlign w:val="superscript"/>
    </w:rPr>
  </w:style>
  <w:style w:type="table" w:customStyle="1" w:styleId="DTFfinancialtableindent">
    <w:name w:val="DTF financial table indent"/>
    <w:basedOn w:val="DTFfinancialtable"/>
    <w:uiPriority w:val="99"/>
    <w:rsid w:val="00E11977"/>
    <w:pPr>
      <w:spacing w:after="0" w:line="240" w:lineRule="auto"/>
    </w:pPr>
    <w:tblPr>
      <w:tblInd w:w="821" w:type="dxa"/>
    </w:tblPr>
    <w:trPr>
      <w:cantSplit w:val="0"/>
    </w:trPr>
    <w:tblStylePr w:type="firstRow">
      <w:pPr>
        <w:keepNext/>
        <w:keepLines/>
        <w:widowControl/>
        <w:wordWrap/>
        <w:spacing w:beforeLines="0" w:before="120" w:beforeAutospacing="0" w:afterLines="0" w:after="30" w:afterAutospacing="0"/>
        <w:jc w:val="right"/>
      </w:pPr>
      <w:rPr>
        <w:i w:val="0"/>
        <w:color w:val="FFFFFF" w:themeColor="background1"/>
      </w:rPr>
      <w:tblPr/>
      <w:trPr>
        <w:tblHeader/>
      </w:trPr>
      <w:tcPr>
        <w:shd w:val="clear" w:color="auto" w:fill="0063A6" w:themeFill="accent1"/>
        <w:vAlign w:val="bottom"/>
      </w:tcPr>
    </w:tblStylePr>
    <w:tblStylePr w:type="lastRow">
      <w:rPr>
        <w:b/>
      </w:rPr>
      <w:tblPr/>
      <w:tcPr>
        <w:tcBorders>
          <w:top w:val="single" w:sz="6" w:space="0" w:color="0063A6" w:themeColor="accent1"/>
          <w:left w:val="nil"/>
          <w:bottom w:val="single" w:sz="12" w:space="0" w:color="0063A6" w:themeColor="accent1"/>
          <w:right w:val="nil"/>
          <w:insideV w:val="nil"/>
        </w:tcBorders>
      </w:tcPr>
    </w:tblStylePr>
    <w:tblStylePr w:type="firstCol">
      <w:pPr>
        <w:jc w:val="left"/>
      </w:pPr>
      <w:tblPr/>
      <w:tcPr>
        <w:shd w:val="clear" w:color="auto" w:fill="E3EBF4" w:themeFill="accent3" w:themeFillTint="33"/>
      </w:tcPr>
    </w:tblStylePr>
    <w:tblStylePr w:type="band1Vert">
      <w:pPr>
        <w:jc w:val="right"/>
      </w:pPr>
    </w:tblStylePr>
    <w:tblStylePr w:type="band2Vert">
      <w:pPr>
        <w:jc w:val="right"/>
      </w:pPr>
    </w:tblStylePr>
    <w:tblStylePr w:type="band2Horz">
      <w:tblPr/>
      <w:tcPr>
        <w:shd w:val="clear" w:color="auto" w:fill="E3EBF4" w:themeFill="accent3" w:themeFillTint="33"/>
      </w:tcPr>
    </w:tblStylePr>
    <w:tblStylePr w:type="nwCell">
      <w:pPr>
        <w:jc w:val="left"/>
      </w:pPr>
      <w:tblPr/>
      <w:tcPr>
        <w:vAlign w:val="bottom"/>
      </w:tcPr>
    </w:tblStylePr>
  </w:style>
  <w:style w:type="table" w:customStyle="1" w:styleId="DTFtexttableindent">
    <w:name w:val="DTF text table indent"/>
    <w:basedOn w:val="DTFtexttable"/>
    <w:uiPriority w:val="99"/>
    <w:rsid w:val="00E11977"/>
    <w:pPr>
      <w:spacing w:after="0" w:line="240" w:lineRule="auto"/>
    </w:pPr>
    <w:tblPr>
      <w:tblInd w:w="821" w:type="dxa"/>
    </w:tblPr>
    <w:tblStylePr w:type="firstRow">
      <w:pPr>
        <w:keepNext/>
        <w:keepLines/>
        <w:widowControl/>
        <w:wordWrap/>
        <w:spacing w:beforeLines="0" w:before="120" w:beforeAutospacing="0" w:afterLines="0" w:after="30" w:afterAutospacing="0"/>
        <w:jc w:val="left"/>
      </w:pPr>
      <w:rPr>
        <w:b/>
        <w:i w:val="0"/>
        <w:color w:val="FFFFFF" w:themeColor="background1"/>
      </w:rPr>
      <w:tblPr/>
      <w:trPr>
        <w:cantSplit w:val="0"/>
        <w:tblHeader/>
      </w:trPr>
      <w:tcPr>
        <w:shd w:val="clear" w:color="auto" w:fill="0063A6" w:themeFill="accent1"/>
        <w:vAlign w:val="bottom"/>
      </w:tcPr>
    </w:tblStylePr>
    <w:tblStylePr w:type="lastRow">
      <w:rPr>
        <w:b/>
        <w:color w:val="FFFFFF" w:themeColor="background1"/>
      </w:rPr>
      <w:tblPr/>
      <w:tcPr>
        <w:tcBorders>
          <w:top w:val="single" w:sz="6" w:space="0" w:color="0063A6" w:themeColor="accent1"/>
          <w:left w:val="nil"/>
          <w:bottom w:val="single" w:sz="12" w:space="0" w:color="0063A6" w:themeColor="accent1"/>
          <w:right w:val="nil"/>
          <w:insideV w:val="nil"/>
        </w:tcBorders>
        <w:shd w:val="clear" w:color="auto" w:fill="0063A6" w:themeFill="accent1"/>
      </w:tcPr>
    </w:tblStylePr>
    <w:tblStylePr w:type="firstCol">
      <w:pPr>
        <w:jc w:val="left"/>
      </w:pPr>
      <w:tblPr/>
      <w:tcPr>
        <w:shd w:val="clear" w:color="auto" w:fill="E3EBF4" w:themeFill="accent3" w:themeFillTint="33"/>
      </w:tcPr>
    </w:tblStylePr>
    <w:tblStylePr w:type="lastCol">
      <w:pPr>
        <w:jc w:val="left"/>
      </w:pPr>
    </w:tblStylePr>
    <w:tblStylePr w:type="band1Vert">
      <w:pPr>
        <w:jc w:val="left"/>
      </w:pPr>
    </w:tblStylePr>
    <w:tblStylePr w:type="band2Vert">
      <w:pPr>
        <w:jc w:val="left"/>
      </w:pPr>
    </w:tblStylePr>
    <w:tblStylePr w:type="band2Horz">
      <w:tblPr/>
      <w:tcPr>
        <w:shd w:val="clear" w:color="auto" w:fill="E3EBF4" w:themeFill="accent3" w:themeFillTint="33"/>
      </w:tcPr>
    </w:tblStylePr>
    <w:tblStylePr w:type="neCell">
      <w:pPr>
        <w:jc w:val="left"/>
      </w:pPr>
    </w:tblStylePr>
    <w:tblStylePr w:type="nwCell">
      <w:pPr>
        <w:jc w:val="left"/>
      </w:pPr>
    </w:tblStylePr>
    <w:tblStylePr w:type="seCell">
      <w:pPr>
        <w:jc w:val="left"/>
      </w:pPr>
    </w:tblStylePr>
    <w:tblStylePr w:type="swCell">
      <w:pPr>
        <w:jc w:val="left"/>
      </w:pPr>
    </w:tblStylePr>
  </w:style>
  <w:style w:type="paragraph" w:customStyle="1" w:styleId="Numparaindent">
    <w:name w:val="Num para indent"/>
    <w:basedOn w:val="Numpara"/>
    <w:uiPriority w:val="9"/>
    <w:qFormat/>
    <w:rsid w:val="00E11977"/>
    <w:pPr>
      <w:numPr>
        <w:ilvl w:val="8"/>
        <w:numId w:val="4"/>
      </w:numPr>
      <w:tabs>
        <w:tab w:val="clear" w:pos="540"/>
      </w:tabs>
    </w:pPr>
  </w:style>
  <w:style w:type="paragraph" w:customStyle="1" w:styleId="Tablenum1">
    <w:name w:val="Table num 1"/>
    <w:basedOn w:val="Normal"/>
    <w:uiPriority w:val="6"/>
    <w:rsid w:val="00E11977"/>
    <w:pPr>
      <w:numPr>
        <w:ilvl w:val="2"/>
        <w:numId w:val="17"/>
      </w:numPr>
    </w:pPr>
    <w:rPr>
      <w:sz w:val="17"/>
    </w:rPr>
  </w:style>
  <w:style w:type="paragraph" w:customStyle="1" w:styleId="Tablenum2">
    <w:name w:val="Table num 2"/>
    <w:basedOn w:val="Normal"/>
    <w:uiPriority w:val="6"/>
    <w:rsid w:val="00E11977"/>
    <w:pPr>
      <w:numPr>
        <w:ilvl w:val="3"/>
        <w:numId w:val="17"/>
      </w:numPr>
    </w:pPr>
    <w:rPr>
      <w:sz w:val="17"/>
    </w:rPr>
  </w:style>
  <w:style w:type="paragraph" w:customStyle="1" w:styleId="NoteNormalindent">
    <w:name w:val="Note Normal indent"/>
    <w:basedOn w:val="NoteNormal"/>
    <w:uiPriority w:val="8"/>
    <w:rsid w:val="00E11977"/>
    <w:pPr>
      <w:ind w:left="792"/>
    </w:pPr>
  </w:style>
  <w:style w:type="paragraph" w:styleId="Caption">
    <w:name w:val="caption"/>
    <w:basedOn w:val="Normal"/>
    <w:next w:val="Normal"/>
    <w:uiPriority w:val="35"/>
    <w:rsid w:val="00E11977"/>
    <w:pPr>
      <w:spacing w:before="0" w:after="200" w:line="240" w:lineRule="auto"/>
    </w:pPr>
    <w:rPr>
      <w:b/>
      <w:bCs/>
      <w:color w:val="383834" w:themeColor="background2" w:themeShade="40"/>
      <w:sz w:val="18"/>
      <w:szCs w:val="18"/>
    </w:rPr>
  </w:style>
  <w:style w:type="paragraph" w:customStyle="1" w:styleId="Tableheaderbullet">
    <w:name w:val="Table header bullet"/>
    <w:basedOn w:val="Tableheader"/>
    <w:qFormat/>
    <w:rsid w:val="004B50FD"/>
    <w:pPr>
      <w:numPr>
        <w:numId w:val="30"/>
      </w:numPr>
      <w:spacing w:before="0" w:after="0"/>
      <w:ind w:left="245" w:hanging="245"/>
    </w:pPr>
    <w:rPr>
      <w:b w:val="0"/>
      <w:sz w:val="14"/>
      <w:szCs w:val="14"/>
    </w:rPr>
  </w:style>
  <w:style w:type="paragraph" w:customStyle="1" w:styleId="TableBulletDash">
    <w:name w:val="Table Bullet Dash"/>
    <w:basedOn w:val="Normal"/>
    <w:uiPriority w:val="16"/>
    <w:rsid w:val="00E11977"/>
    <w:pPr>
      <w:numPr>
        <w:ilvl w:val="1"/>
        <w:numId w:val="28"/>
      </w:numPr>
      <w:tabs>
        <w:tab w:val="clear" w:pos="454"/>
        <w:tab w:val="num" w:pos="607"/>
      </w:tabs>
      <w:spacing w:before="0" w:after="0" w:line="240" w:lineRule="auto"/>
      <w:ind w:left="607" w:hanging="270"/>
    </w:pPr>
    <w:rPr>
      <w:rFonts w:ascii="Calibri" w:eastAsia="Times New Roman" w:hAnsi="Calibri" w:cs="Calibri"/>
      <w:color w:val="404040"/>
      <w:spacing w:val="0"/>
      <w:szCs w:val="22"/>
    </w:rPr>
  </w:style>
  <w:style w:type="paragraph" w:customStyle="1" w:styleId="TableBullet0">
    <w:name w:val="Table Bullet"/>
    <w:basedOn w:val="Normal"/>
    <w:uiPriority w:val="16"/>
    <w:qFormat/>
    <w:rsid w:val="009C3953"/>
    <w:pPr>
      <w:tabs>
        <w:tab w:val="num" w:pos="227"/>
      </w:tabs>
      <w:spacing w:before="0" w:after="0" w:line="240" w:lineRule="auto"/>
      <w:ind w:left="227" w:hanging="227"/>
    </w:pPr>
    <w:rPr>
      <w:rFonts w:ascii="Calibri" w:eastAsia="Times New Roman" w:hAnsi="Calibri" w:cs="Calibri"/>
      <w:color w:val="404040" w:themeColor="text1" w:themeTint="BF"/>
      <w:spacing w:val="0"/>
      <w:szCs w:val="22"/>
    </w:rPr>
  </w:style>
  <w:style w:type="paragraph" w:customStyle="1" w:styleId="Tabletextboldwhite">
    <w:name w:val="Table text bold white"/>
    <w:basedOn w:val="Tabletext"/>
    <w:qFormat/>
    <w:rsid w:val="00536724"/>
    <w:rPr>
      <w:rFonts w:eastAsia="Times New Roman"/>
      <w:b/>
      <w:color w:val="FFFFFF" w:themeColor="background1"/>
    </w:rPr>
  </w:style>
  <w:style w:type="paragraph" w:customStyle="1" w:styleId="Tabletextrightbold">
    <w:name w:val="Table text right bold"/>
    <w:basedOn w:val="Tabletextright"/>
    <w:qFormat/>
    <w:rsid w:val="00536724"/>
    <w:rPr>
      <w:rFonts w:eastAsia="Times New Roman"/>
      <w:b/>
      <w:color w:val="FFFFFF" w:themeColor="background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258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5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5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9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5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VFDTF001\DTF_APPS01$\DTF\ZEN\Template\Corporate\Portrait.dotx" TargetMode="External"/></Relationships>
</file>

<file path=word/theme/theme1.xml><?xml version="1.0" encoding="utf-8"?>
<a:theme xmlns:a="http://schemas.openxmlformats.org/drawingml/2006/main" name="Office Theme">
  <a:themeElements>
    <a:clrScheme name="DTF colours">
      <a:dk1>
        <a:sysClr val="windowText" lastClr="000000"/>
      </a:dk1>
      <a:lt1>
        <a:sysClr val="window" lastClr="FFFFFF"/>
      </a:lt1>
      <a:dk2>
        <a:srgbClr val="201547"/>
      </a:dk2>
      <a:lt2>
        <a:srgbClr val="D9D9D6"/>
      </a:lt2>
      <a:accent1>
        <a:srgbClr val="0063A6"/>
      </a:accent1>
      <a:accent2>
        <a:srgbClr val="0F0248"/>
      </a:accent2>
      <a:accent3>
        <a:srgbClr val="749CC9"/>
      </a:accent3>
      <a:accent4>
        <a:srgbClr val="0072CE"/>
      </a:accent4>
      <a:accent5>
        <a:srgbClr val="009CDE"/>
      </a:accent5>
      <a:accent6>
        <a:srgbClr val="8A2A2B"/>
      </a:accent6>
      <a:hlink>
        <a:srgbClr val="53565A"/>
      </a:hlink>
      <a:folHlink>
        <a:srgbClr val="8A2A2B"/>
      </a:folHlink>
    </a:clrScheme>
    <a:fontScheme name="DTF 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911BAC-C819-4B3C-A835-0EA7A4E33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Portrait.dotx</Template>
  <TotalTime>2</TotalTime>
  <Pages>6</Pages>
  <Words>1821</Words>
  <Characters>10385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Treasury and Finance</Company>
  <LinksUpToDate>false</LinksUpToDate>
  <CharactersWithSpaces>12182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Deidre Steain</dc:creator>
  <cp:lastModifiedBy>Deidre E Steain (DTF)</cp:lastModifiedBy>
  <cp:revision>4</cp:revision>
  <cp:lastPrinted>2018-09-14T03:41:00Z</cp:lastPrinted>
  <dcterms:created xsi:type="dcterms:W3CDTF">2018-09-19T00:33:00Z</dcterms:created>
  <dcterms:modified xsi:type="dcterms:W3CDTF">2018-09-19T01:18:00Z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45a82230-0f27-4baa-b207-350340062113</vt:lpwstr>
  </property>
  <property fmtid="{D5CDD505-2E9C-101B-9397-08002B2CF9AE}" pid="3" name="PSPFClassification">
    <vt:lpwstr>Do Not Mark</vt:lpwstr>
  </property>
  <property fmtid="{D5CDD505-2E9C-101B-9397-08002B2CF9AE}" pid="4" name="Classification">
    <vt:lpwstr>Do Not Mark</vt:lpwstr>
  </property>
</Properties>
</file>