
<file path=[Content_Types].xml><?xml version="1.0" encoding="utf-8"?>
<Types xmlns="http://schemas.openxmlformats.org/package/2006/content-types">
  <Default Extension="bin" ContentType="image/x-emf"/>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3.bin" ContentType="image/png"/>
  <Override PartName="/word/media/image7.bin" ContentType="image/png"/>
  <Override PartName="/word/media/image8.bin" ContentType="image/png"/>
  <Override PartName="/word/media/image9.bin" ContentType="image/png"/>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media/image28.bin" ContentType="image/png"/>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3C0D158" w14:textId="59EFBADE" w:rsidR="00D97122" w:rsidRPr="00A935CE" w:rsidRDefault="00271CC9" w:rsidP="00F05CEF">
      <w:pPr>
        <w:pStyle w:val="CoverPageTitle"/>
        <w:spacing w:before="7320" w:line="264" w:lineRule="auto"/>
        <w:rPr>
          <w:color w:val="1A1919" w:themeColor="text1"/>
        </w:rPr>
      </w:pPr>
      <w:r w:rsidRPr="00A935CE">
        <w:rPr>
          <w:color w:val="1A1919" w:themeColor="text1"/>
        </w:rPr>
        <w:drawing>
          <wp:anchor distT="0" distB="0" distL="114300" distR="114300" simplePos="0" relativeHeight="251658252" behindDoc="1" locked="0" layoutInCell="1" allowOverlap="1" wp14:anchorId="6CFA69EE" wp14:editId="44E5239C">
            <wp:simplePos x="0" y="0"/>
            <wp:positionH relativeFrom="page">
              <wp:align>left</wp:align>
            </wp:positionH>
            <wp:positionV relativeFrom="page">
              <wp:align>top</wp:align>
            </wp:positionV>
            <wp:extent cx="7560000" cy="10691586"/>
            <wp:effectExtent l="0" t="0" r="3175" b="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60000" cy="10691586"/>
                    </a:xfrm>
                    <a:prstGeom prst="rect">
                      <a:avLst/>
                    </a:prstGeom>
                  </pic:spPr>
                </pic:pic>
              </a:graphicData>
            </a:graphic>
            <wp14:sizeRelH relativeFrom="margin">
              <wp14:pctWidth>0</wp14:pctWidth>
            </wp14:sizeRelH>
            <wp14:sizeRelV relativeFrom="margin">
              <wp14:pctHeight>0</wp14:pctHeight>
            </wp14:sizeRelV>
          </wp:anchor>
        </w:drawing>
      </w:r>
      <w:r w:rsidR="001E416D" w:rsidRPr="00A935CE">
        <w:rPr>
          <w:color w:val="1A1919" w:themeColor="text1"/>
        </w:rPr>
        <w:drawing>
          <wp:anchor distT="0" distB="0" distL="114300" distR="114300" simplePos="0" relativeHeight="251658250" behindDoc="0" locked="0" layoutInCell="1" allowOverlap="1" wp14:anchorId="0CD74648" wp14:editId="22973CC7">
            <wp:simplePos x="0" y="0"/>
            <wp:positionH relativeFrom="page">
              <wp:posOffset>720090</wp:posOffset>
            </wp:positionH>
            <wp:positionV relativeFrom="page">
              <wp:align>top</wp:align>
            </wp:positionV>
            <wp:extent cx="1126800" cy="10731600"/>
            <wp:effectExtent l="0" t="0" r="0" b="0"/>
            <wp:wrapNone/>
            <wp:docPr id="2" name="Picture 2"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hidden="1">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26800" cy="10731600"/>
                    </a:xfrm>
                    <a:prstGeom prst="rect">
                      <a:avLst/>
                    </a:prstGeom>
                  </pic:spPr>
                </pic:pic>
              </a:graphicData>
            </a:graphic>
            <wp14:sizeRelH relativeFrom="margin">
              <wp14:pctWidth>0</wp14:pctWidth>
            </wp14:sizeRelH>
            <wp14:sizeRelV relativeFrom="margin">
              <wp14:pctHeight>0</wp14:pctHeight>
            </wp14:sizeRelV>
          </wp:anchor>
        </w:drawing>
      </w:r>
      <w:r w:rsidR="001E416D" w:rsidRPr="00A935CE">
        <w:rPr>
          <w:color w:val="1A1919" w:themeColor="text1"/>
        </w:rPr>
        <w:drawing>
          <wp:anchor distT="0" distB="0" distL="114300" distR="114300" simplePos="0" relativeHeight="251658249" behindDoc="0" locked="0" layoutInCell="1" allowOverlap="1" wp14:anchorId="2FC3D6EF" wp14:editId="246C22F4">
            <wp:simplePos x="0" y="0"/>
            <wp:positionH relativeFrom="page">
              <wp:posOffset>720090</wp:posOffset>
            </wp:positionH>
            <wp:positionV relativeFrom="page">
              <wp:align>top</wp:align>
            </wp:positionV>
            <wp:extent cx="1126800" cy="10760400"/>
            <wp:effectExtent l="0" t="0" r="0" b="3175"/>
            <wp:wrapNone/>
            <wp:docPr id="3" name="Picture 3"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hidden="1">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26800" cy="10760400"/>
                    </a:xfrm>
                    <a:prstGeom prst="rect">
                      <a:avLst/>
                    </a:prstGeom>
                  </pic:spPr>
                </pic:pic>
              </a:graphicData>
            </a:graphic>
            <wp14:sizeRelH relativeFrom="margin">
              <wp14:pctWidth>0</wp14:pctWidth>
            </wp14:sizeRelH>
            <wp14:sizeRelV relativeFrom="margin">
              <wp14:pctHeight>0</wp14:pctHeight>
            </wp14:sizeRelV>
          </wp:anchor>
        </w:drawing>
      </w:r>
      <w:r w:rsidR="00B54A70" w:rsidRPr="00A935CE">
        <w:rPr>
          <w:color w:val="1A1919" w:themeColor="text1"/>
        </w:rPr>
        <w:drawing>
          <wp:anchor distT="0" distB="0" distL="114300" distR="114300" simplePos="0" relativeHeight="251658248" behindDoc="0" locked="0" layoutInCell="1" allowOverlap="1" wp14:anchorId="745858DC" wp14:editId="6385BCD6">
            <wp:simplePos x="0" y="0"/>
            <wp:positionH relativeFrom="page">
              <wp:posOffset>720090</wp:posOffset>
            </wp:positionH>
            <wp:positionV relativeFrom="page">
              <wp:align>top</wp:align>
            </wp:positionV>
            <wp:extent cx="1126800" cy="10695600"/>
            <wp:effectExtent l="0" t="0" r="0" b="0"/>
            <wp:wrapNone/>
            <wp:docPr id="4" name="Picture 4"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hidden="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26800" cy="10695600"/>
                    </a:xfrm>
                    <a:prstGeom prst="rect">
                      <a:avLst/>
                    </a:prstGeom>
                  </pic:spPr>
                </pic:pic>
              </a:graphicData>
            </a:graphic>
            <wp14:sizeRelH relativeFrom="margin">
              <wp14:pctWidth>0</wp14:pctWidth>
            </wp14:sizeRelH>
            <wp14:sizeRelV relativeFrom="margin">
              <wp14:pctHeight>0</wp14:pctHeight>
            </wp14:sizeRelV>
          </wp:anchor>
        </w:drawing>
      </w:r>
      <w:r w:rsidR="00B54A70" w:rsidRPr="00A935CE">
        <w:rPr>
          <w:color w:val="1A1919" w:themeColor="text1"/>
        </w:rPr>
        <w:drawing>
          <wp:anchor distT="0" distB="0" distL="114300" distR="114300" simplePos="0" relativeHeight="251658245" behindDoc="0" locked="0" layoutInCell="1" allowOverlap="1" wp14:anchorId="0509EE7C" wp14:editId="1CAA418D">
            <wp:simplePos x="0" y="0"/>
            <wp:positionH relativeFrom="page">
              <wp:align>left</wp:align>
            </wp:positionH>
            <wp:positionV relativeFrom="page">
              <wp:align>top</wp:align>
            </wp:positionV>
            <wp:extent cx="6840000" cy="9936000"/>
            <wp:effectExtent l="0" t="0" r="0" b="8255"/>
            <wp:wrapNone/>
            <wp:docPr id="5" name="Picture 5"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hidden="1">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40000" cy="9936000"/>
                    </a:xfrm>
                    <a:prstGeom prst="rect">
                      <a:avLst/>
                    </a:prstGeom>
                  </pic:spPr>
                </pic:pic>
              </a:graphicData>
            </a:graphic>
            <wp14:sizeRelH relativeFrom="margin">
              <wp14:pctWidth>0</wp14:pctWidth>
            </wp14:sizeRelH>
            <wp14:sizeRelV relativeFrom="margin">
              <wp14:pctHeight>0</wp14:pctHeight>
            </wp14:sizeRelV>
          </wp:anchor>
        </w:drawing>
      </w:r>
      <w:r w:rsidR="00B54A70" w:rsidRPr="00A935CE">
        <w:rPr>
          <w:color w:val="1A1919" w:themeColor="text1"/>
        </w:rPr>
        <w:drawing>
          <wp:anchor distT="0" distB="0" distL="114300" distR="114300" simplePos="0" relativeHeight="251658244" behindDoc="0" locked="0" layoutInCell="1" allowOverlap="1" wp14:anchorId="73CD0213" wp14:editId="4AA16F9A">
            <wp:simplePos x="0" y="0"/>
            <wp:positionH relativeFrom="page">
              <wp:posOffset>771525</wp:posOffset>
            </wp:positionH>
            <wp:positionV relativeFrom="page">
              <wp:posOffset>771525</wp:posOffset>
            </wp:positionV>
            <wp:extent cx="5997575" cy="4283710"/>
            <wp:effectExtent l="0" t="0" r="3175" b="2540"/>
            <wp:wrapNone/>
            <wp:docPr id="6" name="Picture 6"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hidden="1">
                      <a:extLst>
                        <a:ext uri="{C183D7F6-B498-43B3-948B-1728B52AA6E4}">
                          <adec:decorative xmlns:adec="http://schemas.microsoft.com/office/drawing/2017/decorative" val="1"/>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5997575" cy="4283710"/>
                    </a:xfrm>
                    <a:prstGeom prst="rect">
                      <a:avLst/>
                    </a:prstGeom>
                  </pic:spPr>
                </pic:pic>
              </a:graphicData>
            </a:graphic>
            <wp14:sizeRelH relativeFrom="margin">
              <wp14:pctWidth>0</wp14:pctWidth>
            </wp14:sizeRelH>
            <wp14:sizeRelV relativeFrom="margin">
              <wp14:pctHeight>0</wp14:pctHeight>
            </wp14:sizeRelV>
          </wp:anchor>
        </w:drawing>
      </w:r>
      <w:r w:rsidR="00B54A70" w:rsidRPr="00A935CE">
        <w:rPr>
          <w:color w:val="1A1919" w:themeColor="text1"/>
        </w:rPr>
        <w:drawing>
          <wp:anchor distT="0" distB="0" distL="114300" distR="114300" simplePos="0" relativeHeight="251658243" behindDoc="1" locked="0" layoutInCell="1" allowOverlap="1" wp14:anchorId="0EAD023B" wp14:editId="7E7A2EC7">
            <wp:simplePos x="0" y="0"/>
            <wp:positionH relativeFrom="page">
              <wp:posOffset>0</wp:posOffset>
            </wp:positionH>
            <wp:positionV relativeFrom="page">
              <wp:posOffset>0</wp:posOffset>
            </wp:positionV>
            <wp:extent cx="7560000" cy="10689736"/>
            <wp:effectExtent l="0" t="0" r="3175" b="0"/>
            <wp:wrapNone/>
            <wp:docPr id="7" name="Picture 7"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hidden="1">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60000" cy="10689736"/>
                    </a:xfrm>
                    <a:prstGeom prst="rect">
                      <a:avLst/>
                    </a:prstGeom>
                  </pic:spPr>
                </pic:pic>
              </a:graphicData>
            </a:graphic>
            <wp14:sizeRelH relativeFrom="margin">
              <wp14:pctWidth>0</wp14:pctWidth>
            </wp14:sizeRelH>
            <wp14:sizeRelV relativeFrom="margin">
              <wp14:pctHeight>0</wp14:pctHeight>
            </wp14:sizeRelV>
          </wp:anchor>
        </w:drawing>
      </w:r>
      <w:r w:rsidR="00B54A70" w:rsidRPr="00A935CE">
        <w:rPr>
          <w:color w:val="1A1919" w:themeColor="text1"/>
        </w:rPr>
        <w:drawing>
          <wp:anchor distT="0" distB="0" distL="114300" distR="114300" simplePos="0" relativeHeight="251658242" behindDoc="1" locked="0" layoutInCell="1" allowOverlap="1" wp14:anchorId="024884B1" wp14:editId="0AE14EB8">
            <wp:simplePos x="0" y="0"/>
            <wp:positionH relativeFrom="page">
              <wp:posOffset>0</wp:posOffset>
            </wp:positionH>
            <wp:positionV relativeFrom="page">
              <wp:posOffset>0</wp:posOffset>
            </wp:positionV>
            <wp:extent cx="7560000" cy="10689736"/>
            <wp:effectExtent l="0" t="0" r="3175" b="0"/>
            <wp:wrapNone/>
            <wp:docPr id="9" name="Picture 9"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hidden="1">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60000" cy="10689736"/>
                    </a:xfrm>
                    <a:prstGeom prst="rect">
                      <a:avLst/>
                    </a:prstGeom>
                  </pic:spPr>
                </pic:pic>
              </a:graphicData>
            </a:graphic>
            <wp14:sizeRelH relativeFrom="margin">
              <wp14:pctWidth>0</wp14:pctWidth>
            </wp14:sizeRelH>
            <wp14:sizeRelV relativeFrom="margin">
              <wp14:pctHeight>0</wp14:pctHeight>
            </wp14:sizeRelV>
          </wp:anchor>
        </w:drawing>
      </w:r>
      <w:r w:rsidR="00B54A70" w:rsidRPr="00A935CE">
        <w:rPr>
          <w:color w:val="1A1919" w:themeColor="text1"/>
        </w:rPr>
        <w:drawing>
          <wp:anchor distT="0" distB="0" distL="114300" distR="114300" simplePos="0" relativeHeight="251658241" behindDoc="1" locked="0" layoutInCell="1" allowOverlap="1" wp14:anchorId="18897C65" wp14:editId="42DB430C">
            <wp:simplePos x="0" y="0"/>
            <wp:positionH relativeFrom="page">
              <wp:posOffset>0</wp:posOffset>
            </wp:positionH>
            <wp:positionV relativeFrom="page">
              <wp:posOffset>0</wp:posOffset>
            </wp:positionV>
            <wp:extent cx="7560000" cy="10688952"/>
            <wp:effectExtent l="0" t="0" r="3175" b="0"/>
            <wp:wrapNone/>
            <wp:docPr id="10" name="Picture 10"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hidden="1">
                      <a:extLst>
                        <a:ext uri="{C183D7F6-B498-43B3-948B-1728B52AA6E4}">
                          <adec:decorative xmlns:adec="http://schemas.microsoft.com/office/drawing/2017/decorative" val="1"/>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0000" cy="10688952"/>
                    </a:xfrm>
                    <a:prstGeom prst="rect">
                      <a:avLst/>
                    </a:prstGeom>
                  </pic:spPr>
                </pic:pic>
              </a:graphicData>
            </a:graphic>
            <wp14:sizeRelH relativeFrom="margin">
              <wp14:pctWidth>0</wp14:pctWidth>
            </wp14:sizeRelH>
            <wp14:sizeRelV relativeFrom="margin">
              <wp14:pctHeight>0</wp14:pctHeight>
            </wp14:sizeRelV>
          </wp:anchor>
        </w:drawing>
      </w:r>
      <w:r w:rsidR="0008678D" w:rsidRPr="00A935CE">
        <w:rPr>
          <w:color w:val="1A1919" w:themeColor="text1"/>
        </w:rPr>
        <w:t>Evaluation of the Living Learning Partnership Addressing Disadvantage</w:t>
      </w:r>
    </w:p>
    <w:p w14:paraId="772BF981" w14:textId="541C1BB1" w:rsidR="00833850" w:rsidRPr="0037519E" w:rsidRDefault="0008678D" w:rsidP="0037519E">
      <w:pPr>
        <w:pStyle w:val="CoverPageSubtitle"/>
      </w:pPr>
      <w:r w:rsidRPr="0037519E">
        <w:t>Formative Report</w:t>
      </w:r>
    </w:p>
    <w:p w14:paraId="6D0FB037" w14:textId="36B75C2B" w:rsidR="00833850" w:rsidRPr="0037519E" w:rsidRDefault="0008678D" w:rsidP="0037519E">
      <w:pPr>
        <w:pStyle w:val="CoverClient"/>
      </w:pPr>
      <w:r w:rsidRPr="0037519E">
        <w:t>Prepared for</w:t>
      </w:r>
      <w:r w:rsidR="00260C12" w:rsidRPr="0037519E">
        <w:t xml:space="preserve"> the Department of Treasury and Finance</w:t>
      </w:r>
    </w:p>
    <w:p w14:paraId="14AA56F7" w14:textId="59A76855" w:rsidR="00FB1AE7" w:rsidRPr="0037519E" w:rsidRDefault="00260C12" w:rsidP="0037519E">
      <w:pPr>
        <w:pStyle w:val="CoverText"/>
        <w:sectPr w:rsidR="00FB1AE7" w:rsidRPr="0037519E" w:rsidSect="00F05CEF">
          <w:footerReference w:type="even" r:id="rId23"/>
          <w:headerReference w:type="first" r:id="rId24"/>
          <w:footerReference w:type="first" r:id="rId25"/>
          <w:pgSz w:w="11906" w:h="16838" w:code="9"/>
          <w:pgMar w:top="1134" w:right="2692" w:bottom="1134" w:left="1134" w:header="709" w:footer="284" w:gutter="0"/>
          <w:cols w:space="708"/>
          <w:docGrid w:linePitch="360"/>
        </w:sectPr>
      </w:pPr>
      <w:r w:rsidRPr="0037519E">
        <w:t>March 2022</w:t>
      </w:r>
      <w:r w:rsidR="00215979" w:rsidRPr="0037519E">
        <w:rPr>
          <w:noProof/>
        </w:rPr>
        <w:drawing>
          <wp:anchor distT="0" distB="0" distL="114300" distR="114300" simplePos="0" relativeHeight="251658251" behindDoc="0" locked="0" layoutInCell="1" allowOverlap="1" wp14:anchorId="626BEF83" wp14:editId="770A0544">
            <wp:simplePos x="0" y="0"/>
            <wp:positionH relativeFrom="page">
              <wp:align>right</wp:align>
            </wp:positionH>
            <wp:positionV relativeFrom="page">
              <wp:align>top</wp:align>
            </wp:positionV>
            <wp:extent cx="6840000" cy="3978000"/>
            <wp:effectExtent l="0" t="0" r="0" b="3810"/>
            <wp:wrapNone/>
            <wp:docPr id="11" name="Picture 11"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hidden="1">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40000" cy="3978000"/>
                    </a:xfrm>
                    <a:prstGeom prst="rect">
                      <a:avLst/>
                    </a:prstGeom>
                  </pic:spPr>
                </pic:pic>
              </a:graphicData>
            </a:graphic>
            <wp14:sizeRelH relativeFrom="margin">
              <wp14:pctWidth>0</wp14:pctWidth>
            </wp14:sizeRelH>
            <wp14:sizeRelV relativeFrom="margin">
              <wp14:pctHeight>0</wp14:pctHeight>
            </wp14:sizeRelV>
          </wp:anchor>
        </w:drawing>
      </w:r>
      <w:r w:rsidR="00B54A70" w:rsidRPr="0037519E">
        <w:rPr>
          <w:noProof/>
        </w:rPr>
        <w:drawing>
          <wp:anchor distT="0" distB="0" distL="114300" distR="114300" simplePos="0" relativeHeight="251658246" behindDoc="0" locked="0" layoutInCell="1" allowOverlap="1" wp14:anchorId="07386FB2" wp14:editId="5678F7B7">
            <wp:simplePos x="0" y="0"/>
            <wp:positionH relativeFrom="page">
              <wp:align>right</wp:align>
            </wp:positionH>
            <wp:positionV relativeFrom="page">
              <wp:align>top</wp:align>
            </wp:positionV>
            <wp:extent cx="6840000" cy="3981600"/>
            <wp:effectExtent l="0" t="0" r="0" b="0"/>
            <wp:wrapNone/>
            <wp:docPr id="13" name="Picture 13"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hidden="1">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840000" cy="3981600"/>
                    </a:xfrm>
                    <a:prstGeom prst="rect">
                      <a:avLst/>
                    </a:prstGeom>
                  </pic:spPr>
                </pic:pic>
              </a:graphicData>
            </a:graphic>
            <wp14:sizeRelH relativeFrom="margin">
              <wp14:pctWidth>0</wp14:pctWidth>
            </wp14:sizeRelH>
            <wp14:sizeRelV relativeFrom="margin">
              <wp14:pctHeight>0</wp14:pctHeight>
            </wp14:sizeRelV>
          </wp:anchor>
        </w:drawing>
      </w:r>
    </w:p>
    <w:p w14:paraId="65D6FBCC" w14:textId="7C6C185E" w:rsidR="00FB1AE7" w:rsidRPr="0037519E" w:rsidRDefault="00C72514" w:rsidP="0037519E">
      <w:pPr>
        <w:pStyle w:val="Stafflisttitle"/>
      </w:pPr>
      <w:r w:rsidRPr="0037519E">
        <w:t>Urbis staff responsible for this report were:</w:t>
      </w:r>
    </w:p>
    <w:p w14:paraId="24FDE1D8" w14:textId="2388F264" w:rsidR="00C72514" w:rsidRPr="0037519E" w:rsidRDefault="006E5830" w:rsidP="0037519E">
      <w:pPr>
        <w:pStyle w:val="StaffListtext"/>
      </w:pPr>
      <w:r w:rsidRPr="0037519E">
        <w:t>Director: Julian Thomas, Poppy Wise</w:t>
      </w:r>
    </w:p>
    <w:p w14:paraId="244F4CDD" w14:textId="3893544B" w:rsidR="006E5830" w:rsidRPr="0037519E" w:rsidRDefault="006E5830" w:rsidP="0037519E">
      <w:pPr>
        <w:pStyle w:val="StaffListtext"/>
      </w:pPr>
      <w:r w:rsidRPr="0037519E">
        <w:t>Associate Director: Christina Bagot</w:t>
      </w:r>
    </w:p>
    <w:p w14:paraId="47919AE1" w14:textId="4DF4E8AC" w:rsidR="006E5830" w:rsidRPr="0037519E" w:rsidRDefault="006E5830" w:rsidP="0037519E">
      <w:pPr>
        <w:pStyle w:val="StaffListtext"/>
      </w:pPr>
      <w:r w:rsidRPr="0037519E">
        <w:t>Research Analyst: Madeleine Ridgeway</w:t>
      </w:r>
    </w:p>
    <w:p w14:paraId="69394CD3" w14:textId="3F3296CE" w:rsidR="006E5830" w:rsidRPr="0037519E" w:rsidRDefault="006E5830" w:rsidP="0037519E">
      <w:pPr>
        <w:pStyle w:val="StaffListtext"/>
      </w:pPr>
      <w:r w:rsidRPr="0037519E">
        <w:t>Project Code: P00</w:t>
      </w:r>
      <w:r w:rsidR="00AF194B" w:rsidRPr="0037519E">
        <w:t>33292</w:t>
      </w:r>
    </w:p>
    <w:p w14:paraId="15833A14" w14:textId="506074CA" w:rsidR="00AF194B" w:rsidRPr="0037519E" w:rsidRDefault="00AF194B" w:rsidP="0037519E">
      <w:pPr>
        <w:pStyle w:val="StaffListtext"/>
      </w:pPr>
      <w:r w:rsidRPr="0037519E">
        <w:t>Report Number: Final</w:t>
      </w:r>
    </w:p>
    <w:p w14:paraId="1A1A0F45" w14:textId="77777777" w:rsidR="00AF194B" w:rsidRPr="00081AFA" w:rsidRDefault="00AF194B" w:rsidP="00E61F1D">
      <w:pPr>
        <w:pBdr>
          <w:top w:val="single" w:sz="36" w:space="4" w:color="auto"/>
        </w:pBdr>
        <w:spacing w:before="1440"/>
        <w:ind w:right="5385"/>
        <w:rPr>
          <w:b/>
          <w:bCs/>
          <w:sz w:val="22"/>
          <w:szCs w:val="22"/>
        </w:rPr>
      </w:pPr>
      <w:r w:rsidRPr="00081AFA">
        <w:rPr>
          <w:b/>
          <w:bCs/>
          <w:sz w:val="22"/>
          <w:szCs w:val="22"/>
        </w:rPr>
        <w:t xml:space="preserve">Urbis acknowledges the important contribution that Aboriginal and Torres Strait Islander people make in creating a strong and vibrant Australian society. </w:t>
      </w:r>
    </w:p>
    <w:p w14:paraId="6E9F367D" w14:textId="77777777" w:rsidR="00AD2C4A" w:rsidRDefault="00AF194B" w:rsidP="00E61F1D">
      <w:pPr>
        <w:ind w:right="5385"/>
        <w:rPr>
          <w:b/>
          <w:bCs/>
          <w:sz w:val="22"/>
          <w:szCs w:val="22"/>
        </w:rPr>
      </w:pPr>
      <w:r w:rsidRPr="00081AFA">
        <w:rPr>
          <w:b/>
          <w:bCs/>
          <w:sz w:val="22"/>
          <w:szCs w:val="22"/>
        </w:rPr>
        <w:t>We acknowledge</w:t>
      </w:r>
      <w:r>
        <w:rPr>
          <w:b/>
          <w:bCs/>
          <w:sz w:val="22"/>
          <w:szCs w:val="22"/>
        </w:rPr>
        <w:t>,</w:t>
      </w:r>
      <w:r w:rsidRPr="00081AFA">
        <w:rPr>
          <w:b/>
          <w:bCs/>
          <w:sz w:val="22"/>
          <w:szCs w:val="22"/>
        </w:rPr>
        <w:t xml:space="preserve"> in each of our offices</w:t>
      </w:r>
      <w:r>
        <w:rPr>
          <w:b/>
          <w:bCs/>
          <w:sz w:val="22"/>
          <w:szCs w:val="22"/>
        </w:rPr>
        <w:t xml:space="preserve">, </w:t>
      </w:r>
      <w:r w:rsidRPr="00081AFA">
        <w:rPr>
          <w:b/>
          <w:bCs/>
          <w:sz w:val="22"/>
          <w:szCs w:val="22"/>
        </w:rPr>
        <w:t>the Traditional Owners on whose land we stand.</w:t>
      </w:r>
    </w:p>
    <w:p w14:paraId="22444CD7" w14:textId="77777777" w:rsidR="004B14EF" w:rsidRDefault="004B14EF" w:rsidP="00DC2C09">
      <w:pPr>
        <w:spacing w:before="4320"/>
      </w:pPr>
      <w:r>
        <w:t xml:space="preserve">All information supplied to Urbis </w:t>
      </w:r>
      <w:proofErr w:type="gramStart"/>
      <w:r>
        <w:t>in order to</w:t>
      </w:r>
      <w:proofErr w:type="gramEnd"/>
      <w:r>
        <w:t xml:space="preserve"> conduct this research has been treated in the strictest confidence. </w:t>
      </w:r>
    </w:p>
    <w:p w14:paraId="3144A242" w14:textId="77777777" w:rsidR="004B14EF" w:rsidRDefault="004B14EF" w:rsidP="004B14EF">
      <w:r>
        <w:t xml:space="preserve">It shall only be used in this context and shall not be made available to third parties without client authorisation. </w:t>
      </w:r>
    </w:p>
    <w:p w14:paraId="2AD8C721" w14:textId="77777777" w:rsidR="004A03A2" w:rsidRDefault="004B14EF" w:rsidP="004B14EF">
      <w:r>
        <w:t>Confidential information has been stored securely and data provided by respondents, as well as their identity, has been treated in the strictest confidence and all assurance given to respondents have been and shall be fulfilled.</w:t>
      </w:r>
    </w:p>
    <w:p w14:paraId="60FC5F54" w14:textId="77777777" w:rsidR="004A03A2" w:rsidRDefault="004A03A2" w:rsidP="004A03A2">
      <w:pPr>
        <w:spacing w:before="480"/>
      </w:pPr>
      <w:r>
        <w:t>© Urbis Pty Ltd</w:t>
      </w:r>
    </w:p>
    <w:p w14:paraId="41A1FD6A" w14:textId="77777777" w:rsidR="004A03A2" w:rsidRDefault="004A03A2" w:rsidP="004A03A2">
      <w:r>
        <w:t>50 105 256 228</w:t>
      </w:r>
    </w:p>
    <w:p w14:paraId="2DF3B813" w14:textId="77777777" w:rsidR="004A03A2" w:rsidRDefault="004A03A2" w:rsidP="004A03A2">
      <w:pPr>
        <w:spacing w:before="480"/>
      </w:pPr>
      <w:r>
        <w:t>All Rights Reserved. No material may be reproduced without prior permission.</w:t>
      </w:r>
    </w:p>
    <w:p w14:paraId="0D8B2312" w14:textId="77777777" w:rsidR="004A03A2" w:rsidRDefault="004A03A2" w:rsidP="004A03A2">
      <w:r>
        <w:t>You must read the important disclaimer appearing within the body of this report.</w:t>
      </w:r>
    </w:p>
    <w:p w14:paraId="29F561D1" w14:textId="342C0E1B" w:rsidR="00194009" w:rsidRPr="00414308" w:rsidRDefault="004A03A2" w:rsidP="004A03A2">
      <w:r>
        <w:t>urbis.com.au</w:t>
      </w:r>
      <w:r w:rsidR="00194009" w:rsidRPr="00414308">
        <w:br w:type="page"/>
      </w:r>
    </w:p>
    <w:sdt>
      <w:sdtPr>
        <w:id w:val="-618996640"/>
        <w:placeholder>
          <w:docPart w:val="7EBB242F2D9E432A8C490B14330D7229"/>
        </w:placeholder>
      </w:sdtPr>
      <w:sdtEndPr/>
      <w:sdtContent>
        <w:p w14:paraId="45B651FD" w14:textId="54FD6599" w:rsidR="00224A88" w:rsidRDefault="00DC2C09" w:rsidP="00DC2C09">
          <w:pPr>
            <w:pStyle w:val="TOCHeading"/>
          </w:pPr>
          <w:r w:rsidRPr="00DC2C09">
            <w:t>Contents</w:t>
          </w:r>
        </w:p>
      </w:sdtContent>
    </w:sdt>
    <w:sdt>
      <w:sdtPr>
        <w:id w:val="123350318"/>
        <w:docPartObj>
          <w:docPartGallery w:val="Table of Contents"/>
          <w:docPartUnique/>
        </w:docPartObj>
      </w:sdtPr>
      <w:sdtEndPr/>
      <w:sdtContent>
        <w:p w14:paraId="6EEBB1C3" w14:textId="27726904" w:rsidR="003D21E5" w:rsidRDefault="0045724D">
          <w:pPr>
            <w:pStyle w:val="TOC1"/>
            <w:rPr>
              <w:rFonts w:asciiTheme="minorHAnsi" w:hAnsiTheme="minorHAnsi" w:cstheme="minorBidi"/>
              <w:b w:val="0"/>
              <w:bCs w:val="0"/>
              <w:noProof/>
              <w:color w:val="auto"/>
              <w:kern w:val="2"/>
              <w:sz w:val="22"/>
              <w:szCs w:val="22"/>
              <w:lang w:val="en-AU" w:eastAsia="en-AU"/>
              <w14:ligatures w14:val="standardContextual"/>
            </w:rPr>
          </w:pPr>
          <w:r>
            <w:fldChar w:fldCharType="begin"/>
          </w:r>
          <w:r>
            <w:instrText xml:space="preserve"> TOC \h \z \t "Heading 1,1,Heading 2,2,Head1,1" </w:instrText>
          </w:r>
          <w:r>
            <w:fldChar w:fldCharType="separate"/>
          </w:r>
          <w:hyperlink w:anchor="_Toc144843238" w:history="1">
            <w:r w:rsidR="003D21E5" w:rsidRPr="00870F79">
              <w:rPr>
                <w:rStyle w:val="Hyperlink"/>
                <w:noProof/>
              </w:rPr>
              <w:t>Acronyms</w:t>
            </w:r>
            <w:r w:rsidR="003D21E5">
              <w:rPr>
                <w:noProof/>
                <w:webHidden/>
              </w:rPr>
              <w:tab/>
            </w:r>
            <w:r w:rsidR="003D21E5">
              <w:rPr>
                <w:noProof/>
                <w:webHidden/>
              </w:rPr>
              <w:fldChar w:fldCharType="begin"/>
            </w:r>
            <w:r w:rsidR="003D21E5">
              <w:rPr>
                <w:noProof/>
                <w:webHidden/>
              </w:rPr>
              <w:instrText xml:space="preserve"> PAGEREF _Toc144843238 \h </w:instrText>
            </w:r>
            <w:r w:rsidR="003D21E5">
              <w:rPr>
                <w:noProof/>
                <w:webHidden/>
              </w:rPr>
            </w:r>
            <w:r w:rsidR="003D21E5">
              <w:rPr>
                <w:noProof/>
                <w:webHidden/>
              </w:rPr>
              <w:fldChar w:fldCharType="separate"/>
            </w:r>
            <w:r w:rsidR="003D21E5">
              <w:rPr>
                <w:noProof/>
                <w:webHidden/>
              </w:rPr>
              <w:t>1</w:t>
            </w:r>
            <w:r w:rsidR="003D21E5">
              <w:rPr>
                <w:noProof/>
                <w:webHidden/>
              </w:rPr>
              <w:fldChar w:fldCharType="end"/>
            </w:r>
          </w:hyperlink>
        </w:p>
        <w:p w14:paraId="630F8AE9" w14:textId="633F9750" w:rsidR="003D21E5" w:rsidRDefault="00095064">
          <w:pPr>
            <w:pStyle w:val="TOC1"/>
            <w:rPr>
              <w:rFonts w:asciiTheme="minorHAnsi" w:hAnsiTheme="minorHAnsi" w:cstheme="minorBidi"/>
              <w:b w:val="0"/>
              <w:bCs w:val="0"/>
              <w:noProof/>
              <w:color w:val="auto"/>
              <w:kern w:val="2"/>
              <w:sz w:val="22"/>
              <w:szCs w:val="22"/>
              <w:lang w:val="en-AU" w:eastAsia="en-AU"/>
              <w14:ligatures w14:val="standardContextual"/>
            </w:rPr>
          </w:pPr>
          <w:hyperlink w:anchor="_Toc144843239" w:history="1">
            <w:r w:rsidR="003D21E5" w:rsidRPr="00870F79">
              <w:rPr>
                <w:rStyle w:val="Hyperlink"/>
                <w:rFonts w:eastAsia="Flama Cond Bold"/>
                <w:noProof/>
              </w:rPr>
              <w:t>Executive summary</w:t>
            </w:r>
            <w:r w:rsidR="003D21E5">
              <w:rPr>
                <w:noProof/>
                <w:webHidden/>
              </w:rPr>
              <w:tab/>
            </w:r>
            <w:r w:rsidR="003D21E5">
              <w:rPr>
                <w:noProof/>
                <w:webHidden/>
              </w:rPr>
              <w:fldChar w:fldCharType="begin"/>
            </w:r>
            <w:r w:rsidR="003D21E5">
              <w:rPr>
                <w:noProof/>
                <w:webHidden/>
              </w:rPr>
              <w:instrText xml:space="preserve"> PAGEREF _Toc144843239 \h </w:instrText>
            </w:r>
            <w:r w:rsidR="003D21E5">
              <w:rPr>
                <w:noProof/>
                <w:webHidden/>
              </w:rPr>
            </w:r>
            <w:r w:rsidR="003D21E5">
              <w:rPr>
                <w:noProof/>
                <w:webHidden/>
              </w:rPr>
              <w:fldChar w:fldCharType="separate"/>
            </w:r>
            <w:r w:rsidR="003D21E5">
              <w:rPr>
                <w:noProof/>
                <w:webHidden/>
              </w:rPr>
              <w:t>3</w:t>
            </w:r>
            <w:r w:rsidR="003D21E5">
              <w:rPr>
                <w:noProof/>
                <w:webHidden/>
              </w:rPr>
              <w:fldChar w:fldCharType="end"/>
            </w:r>
          </w:hyperlink>
        </w:p>
        <w:p w14:paraId="6650FD42" w14:textId="45BB2B74" w:rsidR="003D21E5" w:rsidRDefault="00095064">
          <w:pPr>
            <w:pStyle w:val="TOC1"/>
            <w:rPr>
              <w:rFonts w:asciiTheme="minorHAnsi" w:hAnsiTheme="minorHAnsi" w:cstheme="minorBidi"/>
              <w:b w:val="0"/>
              <w:bCs w:val="0"/>
              <w:noProof/>
              <w:color w:val="auto"/>
              <w:kern w:val="2"/>
              <w:sz w:val="22"/>
              <w:szCs w:val="22"/>
              <w:lang w:val="en-AU" w:eastAsia="en-AU"/>
              <w14:ligatures w14:val="standardContextual"/>
            </w:rPr>
          </w:pPr>
          <w:hyperlink w:anchor="_Toc144843240" w:history="1">
            <w:r w:rsidR="003D21E5" w:rsidRPr="00870F79">
              <w:rPr>
                <w:rStyle w:val="Hyperlink"/>
                <w:rFonts w:cstheme="majorHAnsi"/>
                <w:noProof/>
              </w:rPr>
              <w:t>1.</w:t>
            </w:r>
            <w:r w:rsidR="003D21E5">
              <w:rPr>
                <w:rFonts w:asciiTheme="minorHAnsi" w:hAnsiTheme="minorHAnsi" w:cstheme="minorBidi"/>
                <w:b w:val="0"/>
                <w:bCs w:val="0"/>
                <w:noProof/>
                <w:color w:val="auto"/>
                <w:kern w:val="2"/>
                <w:sz w:val="22"/>
                <w:szCs w:val="22"/>
                <w:lang w:val="en-AU" w:eastAsia="en-AU"/>
                <w14:ligatures w14:val="standardContextual"/>
              </w:rPr>
              <w:tab/>
            </w:r>
            <w:r w:rsidR="003D21E5" w:rsidRPr="00870F79">
              <w:rPr>
                <w:rStyle w:val="Hyperlink"/>
                <w:noProof/>
              </w:rPr>
              <w:t>Introduction</w:t>
            </w:r>
            <w:r w:rsidR="003D21E5">
              <w:rPr>
                <w:noProof/>
                <w:webHidden/>
              </w:rPr>
              <w:tab/>
            </w:r>
            <w:r w:rsidR="003D21E5">
              <w:rPr>
                <w:noProof/>
                <w:webHidden/>
              </w:rPr>
              <w:fldChar w:fldCharType="begin"/>
            </w:r>
            <w:r w:rsidR="003D21E5">
              <w:rPr>
                <w:noProof/>
                <w:webHidden/>
              </w:rPr>
              <w:instrText xml:space="preserve"> PAGEREF _Toc144843240 \h </w:instrText>
            </w:r>
            <w:r w:rsidR="003D21E5">
              <w:rPr>
                <w:noProof/>
                <w:webHidden/>
              </w:rPr>
            </w:r>
            <w:r w:rsidR="003D21E5">
              <w:rPr>
                <w:noProof/>
                <w:webHidden/>
              </w:rPr>
              <w:fldChar w:fldCharType="separate"/>
            </w:r>
            <w:r w:rsidR="003D21E5">
              <w:rPr>
                <w:noProof/>
                <w:webHidden/>
              </w:rPr>
              <w:t>5</w:t>
            </w:r>
            <w:r w:rsidR="003D21E5">
              <w:rPr>
                <w:noProof/>
                <w:webHidden/>
              </w:rPr>
              <w:fldChar w:fldCharType="end"/>
            </w:r>
          </w:hyperlink>
        </w:p>
        <w:p w14:paraId="4C10CD67" w14:textId="4ED0DFEA" w:rsidR="003D21E5" w:rsidRDefault="00095064">
          <w:pPr>
            <w:pStyle w:val="TOC2"/>
            <w:rPr>
              <w:rFonts w:asciiTheme="minorHAnsi" w:hAnsiTheme="minorHAnsi" w:cstheme="minorBidi"/>
              <w:noProof/>
              <w:color w:val="auto"/>
              <w:kern w:val="2"/>
              <w:sz w:val="22"/>
              <w:szCs w:val="22"/>
              <w:lang w:val="en-AU" w:eastAsia="en-AU"/>
              <w14:ligatures w14:val="standardContextual"/>
            </w:rPr>
          </w:pPr>
          <w:hyperlink w:anchor="_Toc144843241" w:history="1">
            <w:r w:rsidR="003D21E5" w:rsidRPr="00870F79">
              <w:rPr>
                <w:rStyle w:val="Hyperlink"/>
                <w:rFonts w:cstheme="majorHAnsi"/>
                <w:bCs/>
                <w:noProof/>
              </w:rPr>
              <w:t>1.1.</w:t>
            </w:r>
            <w:r w:rsidR="003D21E5">
              <w:rPr>
                <w:rFonts w:asciiTheme="minorHAnsi" w:hAnsiTheme="minorHAnsi" w:cstheme="minorBidi"/>
                <w:noProof/>
                <w:color w:val="auto"/>
                <w:kern w:val="2"/>
                <w:sz w:val="22"/>
                <w:szCs w:val="22"/>
                <w:lang w:val="en-AU" w:eastAsia="en-AU"/>
                <w14:ligatures w14:val="standardContextual"/>
              </w:rPr>
              <w:tab/>
            </w:r>
            <w:r w:rsidR="003D21E5" w:rsidRPr="00870F79">
              <w:rPr>
                <w:rStyle w:val="Hyperlink"/>
                <w:noProof/>
              </w:rPr>
              <w:t>Evaluation context</w:t>
            </w:r>
            <w:r w:rsidR="003D21E5">
              <w:rPr>
                <w:noProof/>
                <w:webHidden/>
              </w:rPr>
              <w:tab/>
            </w:r>
            <w:r w:rsidR="003D21E5">
              <w:rPr>
                <w:noProof/>
                <w:webHidden/>
              </w:rPr>
              <w:fldChar w:fldCharType="begin"/>
            </w:r>
            <w:r w:rsidR="003D21E5">
              <w:rPr>
                <w:noProof/>
                <w:webHidden/>
              </w:rPr>
              <w:instrText xml:space="preserve"> PAGEREF _Toc144843241 \h </w:instrText>
            </w:r>
            <w:r w:rsidR="003D21E5">
              <w:rPr>
                <w:noProof/>
                <w:webHidden/>
              </w:rPr>
            </w:r>
            <w:r w:rsidR="003D21E5">
              <w:rPr>
                <w:noProof/>
                <w:webHidden/>
              </w:rPr>
              <w:fldChar w:fldCharType="separate"/>
            </w:r>
            <w:r w:rsidR="003D21E5">
              <w:rPr>
                <w:noProof/>
                <w:webHidden/>
              </w:rPr>
              <w:t>5</w:t>
            </w:r>
            <w:r w:rsidR="003D21E5">
              <w:rPr>
                <w:noProof/>
                <w:webHidden/>
              </w:rPr>
              <w:fldChar w:fldCharType="end"/>
            </w:r>
          </w:hyperlink>
        </w:p>
        <w:p w14:paraId="3BA4CEFF" w14:textId="22BBFEF1" w:rsidR="003D21E5" w:rsidRDefault="00095064">
          <w:pPr>
            <w:pStyle w:val="TOC2"/>
            <w:rPr>
              <w:rFonts w:asciiTheme="minorHAnsi" w:hAnsiTheme="minorHAnsi" w:cstheme="minorBidi"/>
              <w:noProof/>
              <w:color w:val="auto"/>
              <w:kern w:val="2"/>
              <w:sz w:val="22"/>
              <w:szCs w:val="22"/>
              <w:lang w:val="en-AU" w:eastAsia="en-AU"/>
              <w14:ligatures w14:val="standardContextual"/>
            </w:rPr>
          </w:pPr>
          <w:hyperlink w:anchor="_Toc144843242" w:history="1">
            <w:r w:rsidR="003D21E5" w:rsidRPr="00870F79">
              <w:rPr>
                <w:rStyle w:val="Hyperlink"/>
                <w:rFonts w:cstheme="majorHAnsi"/>
                <w:bCs/>
                <w:noProof/>
              </w:rPr>
              <w:t>1.2.</w:t>
            </w:r>
            <w:r w:rsidR="003D21E5">
              <w:rPr>
                <w:rFonts w:asciiTheme="minorHAnsi" w:hAnsiTheme="minorHAnsi" w:cstheme="minorBidi"/>
                <w:noProof/>
                <w:color w:val="auto"/>
                <w:kern w:val="2"/>
                <w:sz w:val="22"/>
                <w:szCs w:val="22"/>
                <w:lang w:val="en-AU" w:eastAsia="en-AU"/>
                <w14:ligatures w14:val="standardContextual"/>
              </w:rPr>
              <w:tab/>
            </w:r>
            <w:r w:rsidR="003D21E5" w:rsidRPr="00870F79">
              <w:rPr>
                <w:rStyle w:val="Hyperlink"/>
                <w:noProof/>
              </w:rPr>
              <w:t>The Living Learning program</w:t>
            </w:r>
            <w:r w:rsidR="003D21E5">
              <w:rPr>
                <w:noProof/>
                <w:webHidden/>
              </w:rPr>
              <w:tab/>
            </w:r>
            <w:r w:rsidR="003D21E5">
              <w:rPr>
                <w:noProof/>
                <w:webHidden/>
              </w:rPr>
              <w:fldChar w:fldCharType="begin"/>
            </w:r>
            <w:r w:rsidR="003D21E5">
              <w:rPr>
                <w:noProof/>
                <w:webHidden/>
              </w:rPr>
              <w:instrText xml:space="preserve"> PAGEREF _Toc144843242 \h </w:instrText>
            </w:r>
            <w:r w:rsidR="003D21E5">
              <w:rPr>
                <w:noProof/>
                <w:webHidden/>
              </w:rPr>
            </w:r>
            <w:r w:rsidR="003D21E5">
              <w:rPr>
                <w:noProof/>
                <w:webHidden/>
              </w:rPr>
              <w:fldChar w:fldCharType="separate"/>
            </w:r>
            <w:r w:rsidR="003D21E5">
              <w:rPr>
                <w:noProof/>
                <w:webHidden/>
              </w:rPr>
              <w:t>6</w:t>
            </w:r>
            <w:r w:rsidR="003D21E5">
              <w:rPr>
                <w:noProof/>
                <w:webHidden/>
              </w:rPr>
              <w:fldChar w:fldCharType="end"/>
            </w:r>
          </w:hyperlink>
        </w:p>
        <w:p w14:paraId="3CA5D9AA" w14:textId="7F7DEBC3" w:rsidR="003D21E5" w:rsidRDefault="00095064">
          <w:pPr>
            <w:pStyle w:val="TOC1"/>
            <w:rPr>
              <w:rFonts w:asciiTheme="minorHAnsi" w:hAnsiTheme="minorHAnsi" w:cstheme="minorBidi"/>
              <w:b w:val="0"/>
              <w:bCs w:val="0"/>
              <w:noProof/>
              <w:color w:val="auto"/>
              <w:kern w:val="2"/>
              <w:sz w:val="22"/>
              <w:szCs w:val="22"/>
              <w:lang w:val="en-AU" w:eastAsia="en-AU"/>
              <w14:ligatures w14:val="standardContextual"/>
            </w:rPr>
          </w:pPr>
          <w:hyperlink w:anchor="_Toc144843243" w:history="1">
            <w:r w:rsidR="003D21E5" w:rsidRPr="00870F79">
              <w:rPr>
                <w:rStyle w:val="Hyperlink"/>
                <w:rFonts w:cstheme="majorHAnsi"/>
                <w:noProof/>
              </w:rPr>
              <w:t>2.</w:t>
            </w:r>
            <w:r w:rsidR="003D21E5">
              <w:rPr>
                <w:rFonts w:asciiTheme="minorHAnsi" w:hAnsiTheme="minorHAnsi" w:cstheme="minorBidi"/>
                <w:b w:val="0"/>
                <w:bCs w:val="0"/>
                <w:noProof/>
                <w:color w:val="auto"/>
                <w:kern w:val="2"/>
                <w:sz w:val="22"/>
                <w:szCs w:val="22"/>
                <w:lang w:val="en-AU" w:eastAsia="en-AU"/>
                <w14:ligatures w14:val="standardContextual"/>
              </w:rPr>
              <w:tab/>
            </w:r>
            <w:r w:rsidR="003D21E5" w:rsidRPr="00870F79">
              <w:rPr>
                <w:rStyle w:val="Hyperlink"/>
                <w:noProof/>
              </w:rPr>
              <w:t>Methodology</w:t>
            </w:r>
            <w:r w:rsidR="003D21E5">
              <w:rPr>
                <w:noProof/>
                <w:webHidden/>
              </w:rPr>
              <w:tab/>
            </w:r>
            <w:r w:rsidR="003D21E5">
              <w:rPr>
                <w:noProof/>
                <w:webHidden/>
              </w:rPr>
              <w:fldChar w:fldCharType="begin"/>
            </w:r>
            <w:r w:rsidR="003D21E5">
              <w:rPr>
                <w:noProof/>
                <w:webHidden/>
              </w:rPr>
              <w:instrText xml:space="preserve"> PAGEREF _Toc144843243 \h </w:instrText>
            </w:r>
            <w:r w:rsidR="003D21E5">
              <w:rPr>
                <w:noProof/>
                <w:webHidden/>
              </w:rPr>
            </w:r>
            <w:r w:rsidR="003D21E5">
              <w:rPr>
                <w:noProof/>
                <w:webHidden/>
              </w:rPr>
              <w:fldChar w:fldCharType="separate"/>
            </w:r>
            <w:r w:rsidR="003D21E5">
              <w:rPr>
                <w:noProof/>
                <w:webHidden/>
              </w:rPr>
              <w:t>10</w:t>
            </w:r>
            <w:r w:rsidR="003D21E5">
              <w:rPr>
                <w:noProof/>
                <w:webHidden/>
              </w:rPr>
              <w:fldChar w:fldCharType="end"/>
            </w:r>
          </w:hyperlink>
        </w:p>
        <w:p w14:paraId="419C1E1B" w14:textId="444EA448" w:rsidR="003D21E5" w:rsidRDefault="00095064">
          <w:pPr>
            <w:pStyle w:val="TOC2"/>
            <w:rPr>
              <w:rFonts w:asciiTheme="minorHAnsi" w:hAnsiTheme="minorHAnsi" w:cstheme="minorBidi"/>
              <w:noProof/>
              <w:color w:val="auto"/>
              <w:kern w:val="2"/>
              <w:sz w:val="22"/>
              <w:szCs w:val="22"/>
              <w:lang w:val="en-AU" w:eastAsia="en-AU"/>
              <w14:ligatures w14:val="standardContextual"/>
            </w:rPr>
          </w:pPr>
          <w:hyperlink w:anchor="_Toc144843244" w:history="1">
            <w:r w:rsidR="003D21E5" w:rsidRPr="00870F79">
              <w:rPr>
                <w:rStyle w:val="Hyperlink"/>
                <w:rFonts w:cstheme="majorHAnsi"/>
                <w:bCs/>
                <w:noProof/>
              </w:rPr>
              <w:t>2.1.</w:t>
            </w:r>
            <w:r w:rsidR="003D21E5">
              <w:rPr>
                <w:rFonts w:asciiTheme="minorHAnsi" w:hAnsiTheme="minorHAnsi" w:cstheme="minorBidi"/>
                <w:noProof/>
                <w:color w:val="auto"/>
                <w:kern w:val="2"/>
                <w:sz w:val="22"/>
                <w:szCs w:val="22"/>
                <w:lang w:val="en-AU" w:eastAsia="en-AU"/>
                <w14:ligatures w14:val="standardContextual"/>
              </w:rPr>
              <w:tab/>
            </w:r>
            <w:r w:rsidR="003D21E5" w:rsidRPr="00870F79">
              <w:rPr>
                <w:rStyle w:val="Hyperlink"/>
                <w:noProof/>
              </w:rPr>
              <w:t>Evaluation overview</w:t>
            </w:r>
            <w:r w:rsidR="003D21E5">
              <w:rPr>
                <w:noProof/>
                <w:webHidden/>
              </w:rPr>
              <w:tab/>
            </w:r>
            <w:r w:rsidR="003D21E5">
              <w:rPr>
                <w:noProof/>
                <w:webHidden/>
              </w:rPr>
              <w:fldChar w:fldCharType="begin"/>
            </w:r>
            <w:r w:rsidR="003D21E5">
              <w:rPr>
                <w:noProof/>
                <w:webHidden/>
              </w:rPr>
              <w:instrText xml:space="preserve"> PAGEREF _Toc144843244 \h </w:instrText>
            </w:r>
            <w:r w:rsidR="003D21E5">
              <w:rPr>
                <w:noProof/>
                <w:webHidden/>
              </w:rPr>
            </w:r>
            <w:r w:rsidR="003D21E5">
              <w:rPr>
                <w:noProof/>
                <w:webHidden/>
              </w:rPr>
              <w:fldChar w:fldCharType="separate"/>
            </w:r>
            <w:r w:rsidR="003D21E5">
              <w:rPr>
                <w:noProof/>
                <w:webHidden/>
              </w:rPr>
              <w:t>10</w:t>
            </w:r>
            <w:r w:rsidR="003D21E5">
              <w:rPr>
                <w:noProof/>
                <w:webHidden/>
              </w:rPr>
              <w:fldChar w:fldCharType="end"/>
            </w:r>
          </w:hyperlink>
        </w:p>
        <w:p w14:paraId="1D3BD95D" w14:textId="7CFA1195" w:rsidR="003D21E5" w:rsidRDefault="00095064">
          <w:pPr>
            <w:pStyle w:val="TOC2"/>
            <w:rPr>
              <w:rFonts w:asciiTheme="minorHAnsi" w:hAnsiTheme="minorHAnsi" w:cstheme="minorBidi"/>
              <w:noProof/>
              <w:color w:val="auto"/>
              <w:kern w:val="2"/>
              <w:sz w:val="22"/>
              <w:szCs w:val="22"/>
              <w:lang w:val="en-AU" w:eastAsia="en-AU"/>
              <w14:ligatures w14:val="standardContextual"/>
            </w:rPr>
          </w:pPr>
          <w:hyperlink w:anchor="_Toc144843245" w:history="1">
            <w:r w:rsidR="003D21E5" w:rsidRPr="00870F79">
              <w:rPr>
                <w:rStyle w:val="Hyperlink"/>
                <w:rFonts w:cstheme="majorHAnsi"/>
                <w:bCs/>
                <w:noProof/>
              </w:rPr>
              <w:t>2.2.</w:t>
            </w:r>
            <w:r w:rsidR="003D21E5">
              <w:rPr>
                <w:rFonts w:asciiTheme="minorHAnsi" w:hAnsiTheme="minorHAnsi" w:cstheme="minorBidi"/>
                <w:noProof/>
                <w:color w:val="auto"/>
                <w:kern w:val="2"/>
                <w:sz w:val="22"/>
                <w:szCs w:val="22"/>
                <w:lang w:val="en-AU" w:eastAsia="en-AU"/>
                <w14:ligatures w14:val="standardContextual"/>
              </w:rPr>
              <w:tab/>
            </w:r>
            <w:r w:rsidR="003D21E5" w:rsidRPr="00870F79">
              <w:rPr>
                <w:rStyle w:val="Hyperlink"/>
                <w:noProof/>
              </w:rPr>
              <w:t>Key evaluation questions</w:t>
            </w:r>
            <w:r w:rsidR="003D21E5">
              <w:rPr>
                <w:noProof/>
                <w:webHidden/>
              </w:rPr>
              <w:tab/>
            </w:r>
            <w:r w:rsidR="003D21E5">
              <w:rPr>
                <w:noProof/>
                <w:webHidden/>
              </w:rPr>
              <w:fldChar w:fldCharType="begin"/>
            </w:r>
            <w:r w:rsidR="003D21E5">
              <w:rPr>
                <w:noProof/>
                <w:webHidden/>
              </w:rPr>
              <w:instrText xml:space="preserve"> PAGEREF _Toc144843245 \h </w:instrText>
            </w:r>
            <w:r w:rsidR="003D21E5">
              <w:rPr>
                <w:noProof/>
                <w:webHidden/>
              </w:rPr>
            </w:r>
            <w:r w:rsidR="003D21E5">
              <w:rPr>
                <w:noProof/>
                <w:webHidden/>
              </w:rPr>
              <w:fldChar w:fldCharType="separate"/>
            </w:r>
            <w:r w:rsidR="003D21E5">
              <w:rPr>
                <w:noProof/>
                <w:webHidden/>
              </w:rPr>
              <w:t>10</w:t>
            </w:r>
            <w:r w:rsidR="003D21E5">
              <w:rPr>
                <w:noProof/>
                <w:webHidden/>
              </w:rPr>
              <w:fldChar w:fldCharType="end"/>
            </w:r>
          </w:hyperlink>
        </w:p>
        <w:p w14:paraId="1C0E7950" w14:textId="254FA525" w:rsidR="003D21E5" w:rsidRDefault="00095064">
          <w:pPr>
            <w:pStyle w:val="TOC2"/>
            <w:rPr>
              <w:rFonts w:asciiTheme="minorHAnsi" w:hAnsiTheme="minorHAnsi" w:cstheme="minorBidi"/>
              <w:noProof/>
              <w:color w:val="auto"/>
              <w:kern w:val="2"/>
              <w:sz w:val="22"/>
              <w:szCs w:val="22"/>
              <w:lang w:val="en-AU" w:eastAsia="en-AU"/>
              <w14:ligatures w14:val="standardContextual"/>
            </w:rPr>
          </w:pPr>
          <w:hyperlink w:anchor="_Toc144843246" w:history="1">
            <w:r w:rsidR="003D21E5" w:rsidRPr="00870F79">
              <w:rPr>
                <w:rStyle w:val="Hyperlink"/>
                <w:rFonts w:cstheme="majorHAnsi"/>
                <w:bCs/>
                <w:noProof/>
              </w:rPr>
              <w:t>2.3.</w:t>
            </w:r>
            <w:r w:rsidR="003D21E5">
              <w:rPr>
                <w:rFonts w:asciiTheme="minorHAnsi" w:hAnsiTheme="minorHAnsi" w:cstheme="minorBidi"/>
                <w:noProof/>
                <w:color w:val="auto"/>
                <w:kern w:val="2"/>
                <w:sz w:val="22"/>
                <w:szCs w:val="22"/>
                <w:lang w:val="en-AU" w:eastAsia="en-AU"/>
                <w14:ligatures w14:val="standardContextual"/>
              </w:rPr>
              <w:tab/>
            </w:r>
            <w:r w:rsidR="003D21E5" w:rsidRPr="00870F79">
              <w:rPr>
                <w:rStyle w:val="Hyperlink"/>
                <w:noProof/>
              </w:rPr>
              <w:t>Data collection and analysis</w:t>
            </w:r>
            <w:r w:rsidR="003D21E5">
              <w:rPr>
                <w:noProof/>
                <w:webHidden/>
              </w:rPr>
              <w:tab/>
            </w:r>
            <w:r w:rsidR="003D21E5">
              <w:rPr>
                <w:noProof/>
                <w:webHidden/>
              </w:rPr>
              <w:fldChar w:fldCharType="begin"/>
            </w:r>
            <w:r w:rsidR="003D21E5">
              <w:rPr>
                <w:noProof/>
                <w:webHidden/>
              </w:rPr>
              <w:instrText xml:space="preserve"> PAGEREF _Toc144843246 \h </w:instrText>
            </w:r>
            <w:r w:rsidR="003D21E5">
              <w:rPr>
                <w:noProof/>
                <w:webHidden/>
              </w:rPr>
            </w:r>
            <w:r w:rsidR="003D21E5">
              <w:rPr>
                <w:noProof/>
                <w:webHidden/>
              </w:rPr>
              <w:fldChar w:fldCharType="separate"/>
            </w:r>
            <w:r w:rsidR="003D21E5">
              <w:rPr>
                <w:noProof/>
                <w:webHidden/>
              </w:rPr>
              <w:t>10</w:t>
            </w:r>
            <w:r w:rsidR="003D21E5">
              <w:rPr>
                <w:noProof/>
                <w:webHidden/>
              </w:rPr>
              <w:fldChar w:fldCharType="end"/>
            </w:r>
          </w:hyperlink>
        </w:p>
        <w:p w14:paraId="7250B233" w14:textId="40A0862E" w:rsidR="003D21E5" w:rsidRDefault="00095064">
          <w:pPr>
            <w:pStyle w:val="TOC2"/>
            <w:rPr>
              <w:rFonts w:asciiTheme="minorHAnsi" w:hAnsiTheme="minorHAnsi" w:cstheme="minorBidi"/>
              <w:noProof/>
              <w:color w:val="auto"/>
              <w:kern w:val="2"/>
              <w:sz w:val="22"/>
              <w:szCs w:val="22"/>
              <w:lang w:val="en-AU" w:eastAsia="en-AU"/>
              <w14:ligatures w14:val="standardContextual"/>
            </w:rPr>
          </w:pPr>
          <w:hyperlink w:anchor="_Toc144843247" w:history="1">
            <w:r w:rsidR="003D21E5" w:rsidRPr="00870F79">
              <w:rPr>
                <w:rStyle w:val="Hyperlink"/>
                <w:rFonts w:cstheme="majorHAnsi"/>
                <w:bCs/>
                <w:noProof/>
              </w:rPr>
              <w:t>2.4.</w:t>
            </w:r>
            <w:r w:rsidR="003D21E5">
              <w:rPr>
                <w:rFonts w:asciiTheme="minorHAnsi" w:hAnsiTheme="minorHAnsi" w:cstheme="minorBidi"/>
                <w:noProof/>
                <w:color w:val="auto"/>
                <w:kern w:val="2"/>
                <w:sz w:val="22"/>
                <w:szCs w:val="22"/>
                <w:lang w:val="en-AU" w:eastAsia="en-AU"/>
                <w14:ligatures w14:val="standardContextual"/>
              </w:rPr>
              <w:tab/>
            </w:r>
            <w:r w:rsidR="003D21E5" w:rsidRPr="00870F79">
              <w:rPr>
                <w:rStyle w:val="Hyperlink"/>
                <w:noProof/>
              </w:rPr>
              <w:t>Limitations</w:t>
            </w:r>
            <w:r w:rsidR="003D21E5">
              <w:rPr>
                <w:noProof/>
                <w:webHidden/>
              </w:rPr>
              <w:tab/>
            </w:r>
            <w:r w:rsidR="003D21E5">
              <w:rPr>
                <w:noProof/>
                <w:webHidden/>
              </w:rPr>
              <w:fldChar w:fldCharType="begin"/>
            </w:r>
            <w:r w:rsidR="003D21E5">
              <w:rPr>
                <w:noProof/>
                <w:webHidden/>
              </w:rPr>
              <w:instrText xml:space="preserve"> PAGEREF _Toc144843247 \h </w:instrText>
            </w:r>
            <w:r w:rsidR="003D21E5">
              <w:rPr>
                <w:noProof/>
                <w:webHidden/>
              </w:rPr>
            </w:r>
            <w:r w:rsidR="003D21E5">
              <w:rPr>
                <w:noProof/>
                <w:webHidden/>
              </w:rPr>
              <w:fldChar w:fldCharType="separate"/>
            </w:r>
            <w:r w:rsidR="003D21E5">
              <w:rPr>
                <w:noProof/>
                <w:webHidden/>
              </w:rPr>
              <w:t>11</w:t>
            </w:r>
            <w:r w:rsidR="003D21E5">
              <w:rPr>
                <w:noProof/>
                <w:webHidden/>
              </w:rPr>
              <w:fldChar w:fldCharType="end"/>
            </w:r>
          </w:hyperlink>
        </w:p>
        <w:p w14:paraId="1CD13AF3" w14:textId="5F8E104F" w:rsidR="003D21E5" w:rsidRDefault="00095064">
          <w:pPr>
            <w:pStyle w:val="TOC2"/>
            <w:rPr>
              <w:rFonts w:asciiTheme="minorHAnsi" w:hAnsiTheme="minorHAnsi" w:cstheme="minorBidi"/>
              <w:noProof/>
              <w:color w:val="auto"/>
              <w:kern w:val="2"/>
              <w:sz w:val="22"/>
              <w:szCs w:val="22"/>
              <w:lang w:val="en-AU" w:eastAsia="en-AU"/>
              <w14:ligatures w14:val="standardContextual"/>
            </w:rPr>
          </w:pPr>
          <w:hyperlink w:anchor="_Toc144843248" w:history="1">
            <w:r w:rsidR="003D21E5" w:rsidRPr="00870F79">
              <w:rPr>
                <w:rStyle w:val="Hyperlink"/>
                <w:rFonts w:cstheme="majorHAnsi"/>
                <w:bCs/>
                <w:noProof/>
              </w:rPr>
              <w:t>2.5.</w:t>
            </w:r>
            <w:r w:rsidR="003D21E5">
              <w:rPr>
                <w:rFonts w:asciiTheme="minorHAnsi" w:hAnsiTheme="minorHAnsi" w:cstheme="minorBidi"/>
                <w:noProof/>
                <w:color w:val="auto"/>
                <w:kern w:val="2"/>
                <w:sz w:val="22"/>
                <w:szCs w:val="22"/>
                <w:lang w:val="en-AU" w:eastAsia="en-AU"/>
                <w14:ligatures w14:val="standardContextual"/>
              </w:rPr>
              <w:tab/>
            </w:r>
            <w:r w:rsidR="003D21E5" w:rsidRPr="00870F79">
              <w:rPr>
                <w:rStyle w:val="Hyperlink"/>
                <w:noProof/>
              </w:rPr>
              <w:t>Evaluation next steps and stages</w:t>
            </w:r>
            <w:r w:rsidR="003D21E5">
              <w:rPr>
                <w:noProof/>
                <w:webHidden/>
              </w:rPr>
              <w:tab/>
            </w:r>
            <w:r w:rsidR="003D21E5">
              <w:rPr>
                <w:noProof/>
                <w:webHidden/>
              </w:rPr>
              <w:fldChar w:fldCharType="begin"/>
            </w:r>
            <w:r w:rsidR="003D21E5">
              <w:rPr>
                <w:noProof/>
                <w:webHidden/>
              </w:rPr>
              <w:instrText xml:space="preserve"> PAGEREF _Toc144843248 \h </w:instrText>
            </w:r>
            <w:r w:rsidR="003D21E5">
              <w:rPr>
                <w:noProof/>
                <w:webHidden/>
              </w:rPr>
            </w:r>
            <w:r w:rsidR="003D21E5">
              <w:rPr>
                <w:noProof/>
                <w:webHidden/>
              </w:rPr>
              <w:fldChar w:fldCharType="separate"/>
            </w:r>
            <w:r w:rsidR="003D21E5">
              <w:rPr>
                <w:noProof/>
                <w:webHidden/>
              </w:rPr>
              <w:t>11</w:t>
            </w:r>
            <w:r w:rsidR="003D21E5">
              <w:rPr>
                <w:noProof/>
                <w:webHidden/>
              </w:rPr>
              <w:fldChar w:fldCharType="end"/>
            </w:r>
          </w:hyperlink>
        </w:p>
        <w:p w14:paraId="21CF4FD3" w14:textId="6E68BCDD" w:rsidR="003D21E5" w:rsidRDefault="00095064">
          <w:pPr>
            <w:pStyle w:val="TOC1"/>
            <w:rPr>
              <w:rFonts w:asciiTheme="minorHAnsi" w:hAnsiTheme="minorHAnsi" w:cstheme="minorBidi"/>
              <w:b w:val="0"/>
              <w:bCs w:val="0"/>
              <w:noProof/>
              <w:color w:val="auto"/>
              <w:kern w:val="2"/>
              <w:sz w:val="22"/>
              <w:szCs w:val="22"/>
              <w:lang w:val="en-AU" w:eastAsia="en-AU"/>
              <w14:ligatures w14:val="standardContextual"/>
            </w:rPr>
          </w:pPr>
          <w:hyperlink w:anchor="_Toc144843249" w:history="1">
            <w:r w:rsidR="003D21E5" w:rsidRPr="00870F79">
              <w:rPr>
                <w:rStyle w:val="Hyperlink"/>
                <w:rFonts w:cstheme="majorHAnsi"/>
                <w:noProof/>
              </w:rPr>
              <w:t>3.</w:t>
            </w:r>
            <w:r w:rsidR="003D21E5">
              <w:rPr>
                <w:rFonts w:asciiTheme="minorHAnsi" w:hAnsiTheme="minorHAnsi" w:cstheme="minorBidi"/>
                <w:b w:val="0"/>
                <w:bCs w:val="0"/>
                <w:noProof/>
                <w:color w:val="auto"/>
                <w:kern w:val="2"/>
                <w:sz w:val="22"/>
                <w:szCs w:val="22"/>
                <w:lang w:val="en-AU" w:eastAsia="en-AU"/>
                <w14:ligatures w14:val="standardContextual"/>
              </w:rPr>
              <w:tab/>
            </w:r>
            <w:r w:rsidR="003D21E5" w:rsidRPr="00870F79">
              <w:rPr>
                <w:rStyle w:val="Hyperlink"/>
                <w:noProof/>
              </w:rPr>
              <w:t>Program design</w:t>
            </w:r>
            <w:r w:rsidR="003D21E5">
              <w:rPr>
                <w:noProof/>
                <w:webHidden/>
              </w:rPr>
              <w:tab/>
            </w:r>
            <w:r w:rsidR="003D21E5">
              <w:rPr>
                <w:noProof/>
                <w:webHidden/>
              </w:rPr>
              <w:fldChar w:fldCharType="begin"/>
            </w:r>
            <w:r w:rsidR="003D21E5">
              <w:rPr>
                <w:noProof/>
                <w:webHidden/>
              </w:rPr>
              <w:instrText xml:space="preserve"> PAGEREF _Toc144843249 \h </w:instrText>
            </w:r>
            <w:r w:rsidR="003D21E5">
              <w:rPr>
                <w:noProof/>
                <w:webHidden/>
              </w:rPr>
            </w:r>
            <w:r w:rsidR="003D21E5">
              <w:rPr>
                <w:noProof/>
                <w:webHidden/>
              </w:rPr>
              <w:fldChar w:fldCharType="separate"/>
            </w:r>
            <w:r w:rsidR="003D21E5">
              <w:rPr>
                <w:noProof/>
                <w:webHidden/>
              </w:rPr>
              <w:t>12</w:t>
            </w:r>
            <w:r w:rsidR="003D21E5">
              <w:rPr>
                <w:noProof/>
                <w:webHidden/>
              </w:rPr>
              <w:fldChar w:fldCharType="end"/>
            </w:r>
          </w:hyperlink>
        </w:p>
        <w:p w14:paraId="2936196F" w14:textId="063066DC" w:rsidR="003D21E5" w:rsidRDefault="00095064">
          <w:pPr>
            <w:pStyle w:val="TOC1"/>
            <w:rPr>
              <w:rFonts w:asciiTheme="minorHAnsi" w:hAnsiTheme="minorHAnsi" w:cstheme="minorBidi"/>
              <w:b w:val="0"/>
              <w:bCs w:val="0"/>
              <w:noProof/>
              <w:color w:val="auto"/>
              <w:kern w:val="2"/>
              <w:sz w:val="22"/>
              <w:szCs w:val="22"/>
              <w:lang w:val="en-AU" w:eastAsia="en-AU"/>
              <w14:ligatures w14:val="standardContextual"/>
            </w:rPr>
          </w:pPr>
          <w:hyperlink w:anchor="_Toc144843250" w:history="1">
            <w:r w:rsidR="003D21E5" w:rsidRPr="00870F79">
              <w:rPr>
                <w:rStyle w:val="Hyperlink"/>
                <w:rFonts w:cstheme="majorHAnsi"/>
                <w:noProof/>
              </w:rPr>
              <w:t>4.</w:t>
            </w:r>
            <w:r w:rsidR="003D21E5">
              <w:rPr>
                <w:rFonts w:asciiTheme="minorHAnsi" w:hAnsiTheme="minorHAnsi" w:cstheme="minorBidi"/>
                <w:b w:val="0"/>
                <w:bCs w:val="0"/>
                <w:noProof/>
                <w:color w:val="auto"/>
                <w:kern w:val="2"/>
                <w:sz w:val="22"/>
                <w:szCs w:val="22"/>
                <w:lang w:val="en-AU" w:eastAsia="en-AU"/>
                <w14:ligatures w14:val="standardContextual"/>
              </w:rPr>
              <w:tab/>
            </w:r>
            <w:r w:rsidR="003D21E5" w:rsidRPr="00870F79">
              <w:rPr>
                <w:rStyle w:val="Hyperlink"/>
                <w:noProof/>
              </w:rPr>
              <w:t>Program implementation</w:t>
            </w:r>
            <w:r w:rsidR="003D21E5">
              <w:rPr>
                <w:noProof/>
                <w:webHidden/>
              </w:rPr>
              <w:tab/>
            </w:r>
            <w:r w:rsidR="003D21E5">
              <w:rPr>
                <w:noProof/>
                <w:webHidden/>
              </w:rPr>
              <w:fldChar w:fldCharType="begin"/>
            </w:r>
            <w:r w:rsidR="003D21E5">
              <w:rPr>
                <w:noProof/>
                <w:webHidden/>
              </w:rPr>
              <w:instrText xml:space="preserve"> PAGEREF _Toc144843250 \h </w:instrText>
            </w:r>
            <w:r w:rsidR="003D21E5">
              <w:rPr>
                <w:noProof/>
                <w:webHidden/>
              </w:rPr>
            </w:r>
            <w:r w:rsidR="003D21E5">
              <w:rPr>
                <w:noProof/>
                <w:webHidden/>
              </w:rPr>
              <w:fldChar w:fldCharType="separate"/>
            </w:r>
            <w:r w:rsidR="003D21E5">
              <w:rPr>
                <w:noProof/>
                <w:webHidden/>
              </w:rPr>
              <w:t>14</w:t>
            </w:r>
            <w:r w:rsidR="003D21E5">
              <w:rPr>
                <w:noProof/>
                <w:webHidden/>
              </w:rPr>
              <w:fldChar w:fldCharType="end"/>
            </w:r>
          </w:hyperlink>
        </w:p>
        <w:p w14:paraId="1B7A919E" w14:textId="3E41BFC5" w:rsidR="003D21E5" w:rsidRDefault="00095064">
          <w:pPr>
            <w:pStyle w:val="TOC2"/>
            <w:rPr>
              <w:rFonts w:asciiTheme="minorHAnsi" w:hAnsiTheme="minorHAnsi" w:cstheme="minorBidi"/>
              <w:noProof/>
              <w:color w:val="auto"/>
              <w:kern w:val="2"/>
              <w:sz w:val="22"/>
              <w:szCs w:val="22"/>
              <w:lang w:val="en-AU" w:eastAsia="en-AU"/>
              <w14:ligatures w14:val="standardContextual"/>
            </w:rPr>
          </w:pPr>
          <w:hyperlink w:anchor="_Toc144843251" w:history="1">
            <w:r w:rsidR="003D21E5" w:rsidRPr="00870F79">
              <w:rPr>
                <w:rStyle w:val="Hyperlink"/>
                <w:rFonts w:cstheme="majorHAnsi"/>
                <w:bCs/>
                <w:noProof/>
              </w:rPr>
              <w:t>4.1.</w:t>
            </w:r>
            <w:r w:rsidR="003D21E5">
              <w:rPr>
                <w:rFonts w:asciiTheme="minorHAnsi" w:hAnsiTheme="minorHAnsi" w:cstheme="minorBidi"/>
                <w:noProof/>
                <w:color w:val="auto"/>
                <w:kern w:val="2"/>
                <w:sz w:val="22"/>
                <w:szCs w:val="22"/>
                <w:lang w:val="en-AU" w:eastAsia="en-AU"/>
                <w14:ligatures w14:val="standardContextual"/>
              </w:rPr>
              <w:tab/>
            </w:r>
            <w:r w:rsidR="003D21E5" w:rsidRPr="00870F79">
              <w:rPr>
                <w:rStyle w:val="Hyperlink"/>
                <w:noProof/>
              </w:rPr>
              <w:t>Program establishment</w:t>
            </w:r>
            <w:r w:rsidR="003D21E5">
              <w:rPr>
                <w:noProof/>
                <w:webHidden/>
              </w:rPr>
              <w:tab/>
            </w:r>
            <w:r w:rsidR="003D21E5">
              <w:rPr>
                <w:noProof/>
                <w:webHidden/>
              </w:rPr>
              <w:fldChar w:fldCharType="begin"/>
            </w:r>
            <w:r w:rsidR="003D21E5">
              <w:rPr>
                <w:noProof/>
                <w:webHidden/>
              </w:rPr>
              <w:instrText xml:space="preserve"> PAGEREF _Toc144843251 \h </w:instrText>
            </w:r>
            <w:r w:rsidR="003D21E5">
              <w:rPr>
                <w:noProof/>
                <w:webHidden/>
              </w:rPr>
            </w:r>
            <w:r w:rsidR="003D21E5">
              <w:rPr>
                <w:noProof/>
                <w:webHidden/>
              </w:rPr>
              <w:fldChar w:fldCharType="separate"/>
            </w:r>
            <w:r w:rsidR="003D21E5">
              <w:rPr>
                <w:noProof/>
                <w:webHidden/>
              </w:rPr>
              <w:t>15</w:t>
            </w:r>
            <w:r w:rsidR="003D21E5">
              <w:rPr>
                <w:noProof/>
                <w:webHidden/>
              </w:rPr>
              <w:fldChar w:fldCharType="end"/>
            </w:r>
          </w:hyperlink>
        </w:p>
        <w:p w14:paraId="48310927" w14:textId="4492B06E" w:rsidR="003D21E5" w:rsidRDefault="00095064">
          <w:pPr>
            <w:pStyle w:val="TOC2"/>
            <w:rPr>
              <w:rFonts w:asciiTheme="minorHAnsi" w:hAnsiTheme="minorHAnsi" w:cstheme="minorBidi"/>
              <w:noProof/>
              <w:color w:val="auto"/>
              <w:kern w:val="2"/>
              <w:sz w:val="22"/>
              <w:szCs w:val="22"/>
              <w:lang w:val="en-AU" w:eastAsia="en-AU"/>
              <w14:ligatures w14:val="standardContextual"/>
            </w:rPr>
          </w:pPr>
          <w:hyperlink w:anchor="_Toc144843252" w:history="1">
            <w:r w:rsidR="003D21E5" w:rsidRPr="00870F79">
              <w:rPr>
                <w:rStyle w:val="Hyperlink"/>
                <w:rFonts w:cstheme="majorHAnsi"/>
                <w:bCs/>
                <w:noProof/>
              </w:rPr>
              <w:t>4.2.</w:t>
            </w:r>
            <w:r w:rsidR="003D21E5">
              <w:rPr>
                <w:rFonts w:asciiTheme="minorHAnsi" w:hAnsiTheme="minorHAnsi" w:cstheme="minorBidi"/>
                <w:noProof/>
                <w:color w:val="auto"/>
                <w:kern w:val="2"/>
                <w:sz w:val="22"/>
                <w:szCs w:val="22"/>
                <w:lang w:val="en-AU" w:eastAsia="en-AU"/>
                <w14:ligatures w14:val="standardContextual"/>
              </w:rPr>
              <w:tab/>
            </w:r>
            <w:r w:rsidR="003D21E5" w:rsidRPr="00870F79">
              <w:rPr>
                <w:rStyle w:val="Hyperlink"/>
                <w:noProof/>
              </w:rPr>
              <w:t>Impacts of COVID-19, program adaptations and implementation challenges</w:t>
            </w:r>
            <w:r w:rsidR="003D21E5">
              <w:rPr>
                <w:noProof/>
                <w:webHidden/>
              </w:rPr>
              <w:tab/>
            </w:r>
            <w:r w:rsidR="003D21E5">
              <w:rPr>
                <w:noProof/>
                <w:webHidden/>
              </w:rPr>
              <w:fldChar w:fldCharType="begin"/>
            </w:r>
            <w:r w:rsidR="003D21E5">
              <w:rPr>
                <w:noProof/>
                <w:webHidden/>
              </w:rPr>
              <w:instrText xml:space="preserve"> PAGEREF _Toc144843252 \h </w:instrText>
            </w:r>
            <w:r w:rsidR="003D21E5">
              <w:rPr>
                <w:noProof/>
                <w:webHidden/>
              </w:rPr>
            </w:r>
            <w:r w:rsidR="003D21E5">
              <w:rPr>
                <w:noProof/>
                <w:webHidden/>
              </w:rPr>
              <w:fldChar w:fldCharType="separate"/>
            </w:r>
            <w:r w:rsidR="003D21E5">
              <w:rPr>
                <w:noProof/>
                <w:webHidden/>
              </w:rPr>
              <w:t>18</w:t>
            </w:r>
            <w:r w:rsidR="003D21E5">
              <w:rPr>
                <w:noProof/>
                <w:webHidden/>
              </w:rPr>
              <w:fldChar w:fldCharType="end"/>
            </w:r>
          </w:hyperlink>
        </w:p>
        <w:p w14:paraId="1C390432" w14:textId="243EBE51" w:rsidR="003D21E5" w:rsidRDefault="00095064">
          <w:pPr>
            <w:pStyle w:val="TOC2"/>
            <w:rPr>
              <w:rFonts w:asciiTheme="minorHAnsi" w:hAnsiTheme="minorHAnsi" w:cstheme="minorBidi"/>
              <w:noProof/>
              <w:color w:val="auto"/>
              <w:kern w:val="2"/>
              <w:sz w:val="22"/>
              <w:szCs w:val="22"/>
              <w:lang w:val="en-AU" w:eastAsia="en-AU"/>
              <w14:ligatures w14:val="standardContextual"/>
            </w:rPr>
          </w:pPr>
          <w:hyperlink w:anchor="_Toc144843253" w:history="1">
            <w:r w:rsidR="003D21E5" w:rsidRPr="00870F79">
              <w:rPr>
                <w:rStyle w:val="Hyperlink"/>
                <w:rFonts w:cstheme="majorHAnsi"/>
                <w:bCs/>
                <w:noProof/>
              </w:rPr>
              <w:t>4.3.</w:t>
            </w:r>
            <w:r w:rsidR="003D21E5">
              <w:rPr>
                <w:rFonts w:asciiTheme="minorHAnsi" w:hAnsiTheme="minorHAnsi" w:cstheme="minorBidi"/>
                <w:noProof/>
                <w:color w:val="auto"/>
                <w:kern w:val="2"/>
                <w:sz w:val="22"/>
                <w:szCs w:val="22"/>
                <w:lang w:val="en-AU" w:eastAsia="en-AU"/>
                <w14:ligatures w14:val="standardContextual"/>
              </w:rPr>
              <w:tab/>
            </w:r>
            <w:r w:rsidR="003D21E5" w:rsidRPr="00870F79">
              <w:rPr>
                <w:rStyle w:val="Hyperlink"/>
                <w:noProof/>
              </w:rPr>
              <w:t>Governance arrangements</w:t>
            </w:r>
            <w:r w:rsidR="003D21E5">
              <w:rPr>
                <w:noProof/>
                <w:webHidden/>
              </w:rPr>
              <w:tab/>
            </w:r>
            <w:r w:rsidR="003D21E5">
              <w:rPr>
                <w:noProof/>
                <w:webHidden/>
              </w:rPr>
              <w:fldChar w:fldCharType="begin"/>
            </w:r>
            <w:r w:rsidR="003D21E5">
              <w:rPr>
                <w:noProof/>
                <w:webHidden/>
              </w:rPr>
              <w:instrText xml:space="preserve"> PAGEREF _Toc144843253 \h </w:instrText>
            </w:r>
            <w:r w:rsidR="003D21E5">
              <w:rPr>
                <w:noProof/>
                <w:webHidden/>
              </w:rPr>
            </w:r>
            <w:r w:rsidR="003D21E5">
              <w:rPr>
                <w:noProof/>
                <w:webHidden/>
              </w:rPr>
              <w:fldChar w:fldCharType="separate"/>
            </w:r>
            <w:r w:rsidR="003D21E5">
              <w:rPr>
                <w:noProof/>
                <w:webHidden/>
              </w:rPr>
              <w:t>22</w:t>
            </w:r>
            <w:r w:rsidR="003D21E5">
              <w:rPr>
                <w:noProof/>
                <w:webHidden/>
              </w:rPr>
              <w:fldChar w:fldCharType="end"/>
            </w:r>
          </w:hyperlink>
        </w:p>
        <w:p w14:paraId="5262C2A3" w14:textId="19CF68A1" w:rsidR="003D21E5" w:rsidRDefault="00095064">
          <w:pPr>
            <w:pStyle w:val="TOC1"/>
            <w:rPr>
              <w:rFonts w:asciiTheme="minorHAnsi" w:hAnsiTheme="minorHAnsi" w:cstheme="minorBidi"/>
              <w:b w:val="0"/>
              <w:bCs w:val="0"/>
              <w:noProof/>
              <w:color w:val="auto"/>
              <w:kern w:val="2"/>
              <w:sz w:val="22"/>
              <w:szCs w:val="22"/>
              <w:lang w:val="en-AU" w:eastAsia="en-AU"/>
              <w14:ligatures w14:val="standardContextual"/>
            </w:rPr>
          </w:pPr>
          <w:hyperlink w:anchor="_Toc144843254" w:history="1">
            <w:r w:rsidR="003D21E5" w:rsidRPr="00870F79">
              <w:rPr>
                <w:rStyle w:val="Hyperlink"/>
                <w:rFonts w:cstheme="majorHAnsi"/>
                <w:noProof/>
              </w:rPr>
              <w:t>5.</w:t>
            </w:r>
            <w:r w:rsidR="003D21E5">
              <w:rPr>
                <w:rFonts w:asciiTheme="minorHAnsi" w:hAnsiTheme="minorHAnsi" w:cstheme="minorBidi"/>
                <w:b w:val="0"/>
                <w:bCs w:val="0"/>
                <w:noProof/>
                <w:color w:val="auto"/>
                <w:kern w:val="2"/>
                <w:sz w:val="22"/>
                <w:szCs w:val="22"/>
                <w:lang w:val="en-AU" w:eastAsia="en-AU"/>
                <w14:ligatures w14:val="standardContextual"/>
              </w:rPr>
              <w:tab/>
            </w:r>
            <w:r w:rsidR="003D21E5" w:rsidRPr="00870F79">
              <w:rPr>
                <w:rStyle w:val="Hyperlink"/>
                <w:noProof/>
              </w:rPr>
              <w:t>Emerging outcomes for Living Learning young people</w:t>
            </w:r>
            <w:r w:rsidR="003D21E5">
              <w:rPr>
                <w:noProof/>
                <w:webHidden/>
              </w:rPr>
              <w:tab/>
            </w:r>
            <w:r w:rsidR="003D21E5">
              <w:rPr>
                <w:noProof/>
                <w:webHidden/>
              </w:rPr>
              <w:fldChar w:fldCharType="begin"/>
            </w:r>
            <w:r w:rsidR="003D21E5">
              <w:rPr>
                <w:noProof/>
                <w:webHidden/>
              </w:rPr>
              <w:instrText xml:space="preserve"> PAGEREF _Toc144843254 \h </w:instrText>
            </w:r>
            <w:r w:rsidR="003D21E5">
              <w:rPr>
                <w:noProof/>
                <w:webHidden/>
              </w:rPr>
            </w:r>
            <w:r w:rsidR="003D21E5">
              <w:rPr>
                <w:noProof/>
                <w:webHidden/>
              </w:rPr>
              <w:fldChar w:fldCharType="separate"/>
            </w:r>
            <w:r w:rsidR="003D21E5">
              <w:rPr>
                <w:noProof/>
                <w:webHidden/>
              </w:rPr>
              <w:t>24</w:t>
            </w:r>
            <w:r w:rsidR="003D21E5">
              <w:rPr>
                <w:noProof/>
                <w:webHidden/>
              </w:rPr>
              <w:fldChar w:fldCharType="end"/>
            </w:r>
          </w:hyperlink>
        </w:p>
        <w:p w14:paraId="556B32C2" w14:textId="3E7CFA9F" w:rsidR="004E658A" w:rsidRDefault="00095064" w:rsidP="004E658A">
          <w:pPr>
            <w:pStyle w:val="TOC1"/>
          </w:pPr>
          <w:hyperlink w:anchor="_Toc144843255" w:history="1">
            <w:r w:rsidR="003D21E5" w:rsidRPr="00870F79">
              <w:rPr>
                <w:rStyle w:val="Hyperlink"/>
                <w:noProof/>
              </w:rPr>
              <w:t>Disclaimer</w:t>
            </w:r>
            <w:r w:rsidR="003D21E5">
              <w:rPr>
                <w:noProof/>
                <w:webHidden/>
              </w:rPr>
              <w:tab/>
            </w:r>
            <w:r w:rsidR="003D21E5">
              <w:rPr>
                <w:noProof/>
                <w:webHidden/>
              </w:rPr>
              <w:fldChar w:fldCharType="begin"/>
            </w:r>
            <w:r w:rsidR="003D21E5">
              <w:rPr>
                <w:noProof/>
                <w:webHidden/>
              </w:rPr>
              <w:instrText xml:space="preserve"> PAGEREF _Toc144843255 \h </w:instrText>
            </w:r>
            <w:r w:rsidR="003D21E5">
              <w:rPr>
                <w:noProof/>
                <w:webHidden/>
              </w:rPr>
            </w:r>
            <w:r w:rsidR="003D21E5">
              <w:rPr>
                <w:noProof/>
                <w:webHidden/>
              </w:rPr>
              <w:fldChar w:fldCharType="separate"/>
            </w:r>
            <w:r w:rsidR="003D21E5">
              <w:rPr>
                <w:noProof/>
                <w:webHidden/>
              </w:rPr>
              <w:t>31</w:t>
            </w:r>
            <w:r w:rsidR="003D21E5">
              <w:rPr>
                <w:noProof/>
                <w:webHidden/>
              </w:rPr>
              <w:fldChar w:fldCharType="end"/>
            </w:r>
          </w:hyperlink>
          <w:r w:rsidR="0045724D">
            <w:fldChar w:fldCharType="end"/>
          </w:r>
        </w:p>
      </w:sdtContent>
    </w:sdt>
    <w:p w14:paraId="4259A36C" w14:textId="19E17993" w:rsidR="00D024D3" w:rsidRPr="00271CC9" w:rsidRDefault="004E658A" w:rsidP="004E658A">
      <w:pPr>
        <w:pStyle w:val="TOC1"/>
        <w:rPr>
          <w:rFonts w:asciiTheme="minorHAnsi" w:hAnsiTheme="minorHAnsi" w:cstheme="minorBidi"/>
          <w:color w:val="302F2F" w:themeColor="text1" w:themeTint="E6"/>
          <w:sz w:val="22"/>
          <w:szCs w:val="22"/>
          <w:lang w:eastAsia="en-AU"/>
        </w:rPr>
      </w:pPr>
      <w:r w:rsidRPr="00271CC9">
        <w:rPr>
          <w:rFonts w:asciiTheme="minorHAnsi" w:hAnsiTheme="minorHAnsi" w:cstheme="minorBidi"/>
          <w:color w:val="302F2F" w:themeColor="text1" w:themeTint="E6"/>
          <w:sz w:val="22"/>
          <w:szCs w:val="22"/>
          <w:lang w:eastAsia="en-AU"/>
        </w:rPr>
        <w:t>Ta</w:t>
      </w:r>
      <w:r w:rsidR="003D21E5" w:rsidRPr="00271CC9">
        <w:rPr>
          <w:rFonts w:asciiTheme="minorHAnsi" w:hAnsiTheme="minorHAnsi" w:cstheme="minorBidi"/>
          <w:color w:val="302F2F" w:themeColor="text1" w:themeTint="E6"/>
          <w:sz w:val="22"/>
          <w:szCs w:val="22"/>
          <w:lang w:eastAsia="en-AU"/>
        </w:rPr>
        <w:t>bles</w:t>
      </w:r>
    </w:p>
    <w:p w14:paraId="2F51C7DE" w14:textId="4E209430" w:rsidR="003D21E5" w:rsidRPr="00271CC9" w:rsidRDefault="003D21E5" w:rsidP="003D21E5">
      <w:pPr>
        <w:pStyle w:val="TableofFigures"/>
        <w:tabs>
          <w:tab w:val="right" w:leader="dot" w:pos="9628"/>
        </w:tabs>
        <w:ind w:left="993" w:hanging="993"/>
        <w:rPr>
          <w:rFonts w:asciiTheme="minorHAnsi" w:hAnsiTheme="minorHAnsi" w:cstheme="minorBidi"/>
          <w:noProof/>
          <w:color w:val="302F2F" w:themeColor="text1" w:themeTint="E6"/>
          <w:kern w:val="2"/>
          <w:sz w:val="22"/>
          <w:szCs w:val="22"/>
          <w:lang w:val="en-AU" w:eastAsia="en-AU"/>
          <w14:ligatures w14:val="standardContextual"/>
        </w:rPr>
      </w:pPr>
      <w:r w:rsidRPr="00271CC9">
        <w:rPr>
          <w:color w:val="302F2F" w:themeColor="text1" w:themeTint="E6"/>
          <w:lang w:eastAsia="en-AU"/>
        </w:rPr>
        <w:fldChar w:fldCharType="begin"/>
      </w:r>
      <w:r w:rsidRPr="00271CC9">
        <w:rPr>
          <w:color w:val="302F2F" w:themeColor="text1" w:themeTint="E6"/>
          <w:lang w:eastAsia="en-AU"/>
        </w:rPr>
        <w:instrText xml:space="preserve"> TOC \h \z \c "Table" </w:instrText>
      </w:r>
      <w:r w:rsidRPr="00271CC9">
        <w:rPr>
          <w:color w:val="302F2F" w:themeColor="text1" w:themeTint="E6"/>
          <w:lang w:eastAsia="en-AU"/>
        </w:rPr>
        <w:fldChar w:fldCharType="separate"/>
      </w:r>
      <w:hyperlink w:anchor="_Toc144843258" w:history="1">
        <w:r w:rsidRPr="00271CC9">
          <w:rPr>
            <w:rStyle w:val="Hyperlink"/>
            <w:noProof/>
            <w:color w:val="302F2F" w:themeColor="text1" w:themeTint="E6"/>
          </w:rPr>
          <w:t xml:space="preserve">Table 1 </w:t>
        </w:r>
        <w:r w:rsidRPr="00271CC9">
          <w:rPr>
            <w:rStyle w:val="Hyperlink"/>
            <w:noProof/>
            <w:color w:val="302F2F" w:themeColor="text1" w:themeTint="E6"/>
          </w:rPr>
          <w:tab/>
          <w:t>Acronyms</w:t>
        </w:r>
        <w:r w:rsidRPr="00271CC9">
          <w:rPr>
            <w:noProof/>
            <w:webHidden/>
            <w:color w:val="302F2F" w:themeColor="text1" w:themeTint="E6"/>
          </w:rPr>
          <w:tab/>
        </w:r>
        <w:r w:rsidRPr="00271CC9">
          <w:rPr>
            <w:noProof/>
            <w:webHidden/>
            <w:color w:val="302F2F" w:themeColor="text1" w:themeTint="E6"/>
          </w:rPr>
          <w:fldChar w:fldCharType="begin"/>
        </w:r>
        <w:r w:rsidRPr="00271CC9">
          <w:rPr>
            <w:noProof/>
            <w:webHidden/>
            <w:color w:val="302F2F" w:themeColor="text1" w:themeTint="E6"/>
          </w:rPr>
          <w:instrText xml:space="preserve"> PAGEREF _Toc144843258 \h </w:instrText>
        </w:r>
        <w:r w:rsidRPr="00271CC9">
          <w:rPr>
            <w:noProof/>
            <w:webHidden/>
            <w:color w:val="302F2F" w:themeColor="text1" w:themeTint="E6"/>
          </w:rPr>
        </w:r>
        <w:r w:rsidRPr="00271CC9">
          <w:rPr>
            <w:noProof/>
            <w:webHidden/>
            <w:color w:val="302F2F" w:themeColor="text1" w:themeTint="E6"/>
          </w:rPr>
          <w:fldChar w:fldCharType="separate"/>
        </w:r>
        <w:r w:rsidRPr="00271CC9">
          <w:rPr>
            <w:noProof/>
            <w:webHidden/>
            <w:color w:val="302F2F" w:themeColor="text1" w:themeTint="E6"/>
          </w:rPr>
          <w:t>1</w:t>
        </w:r>
        <w:r w:rsidRPr="00271CC9">
          <w:rPr>
            <w:noProof/>
            <w:webHidden/>
            <w:color w:val="302F2F" w:themeColor="text1" w:themeTint="E6"/>
          </w:rPr>
          <w:fldChar w:fldCharType="end"/>
        </w:r>
      </w:hyperlink>
    </w:p>
    <w:p w14:paraId="6F6D6092" w14:textId="52E1CE14" w:rsidR="003D21E5" w:rsidRPr="00271CC9" w:rsidRDefault="00095064" w:rsidP="003D21E5">
      <w:pPr>
        <w:pStyle w:val="TableofFigures"/>
        <w:tabs>
          <w:tab w:val="right" w:leader="dot" w:pos="9628"/>
        </w:tabs>
        <w:ind w:left="993" w:hanging="993"/>
        <w:rPr>
          <w:rFonts w:asciiTheme="minorHAnsi" w:hAnsiTheme="minorHAnsi" w:cstheme="minorBidi"/>
          <w:noProof/>
          <w:color w:val="302F2F" w:themeColor="text1" w:themeTint="E6"/>
          <w:kern w:val="2"/>
          <w:sz w:val="22"/>
          <w:szCs w:val="22"/>
          <w:lang w:val="en-AU" w:eastAsia="en-AU"/>
          <w14:ligatures w14:val="standardContextual"/>
        </w:rPr>
      </w:pPr>
      <w:hyperlink w:anchor="_Toc144843259" w:history="1">
        <w:r w:rsidR="003D21E5" w:rsidRPr="00271CC9">
          <w:rPr>
            <w:rStyle w:val="Hyperlink"/>
            <w:noProof/>
            <w:color w:val="302F2F" w:themeColor="text1" w:themeTint="E6"/>
          </w:rPr>
          <w:t xml:space="preserve">Table 2 </w:t>
        </w:r>
        <w:r w:rsidR="003D21E5" w:rsidRPr="00271CC9">
          <w:rPr>
            <w:rStyle w:val="Hyperlink"/>
            <w:noProof/>
            <w:color w:val="302F2F" w:themeColor="text1" w:themeTint="E6"/>
          </w:rPr>
          <w:tab/>
          <w:t>Living Learning campuses and unique features</w:t>
        </w:r>
        <w:r w:rsidR="003D21E5" w:rsidRPr="00271CC9">
          <w:rPr>
            <w:noProof/>
            <w:webHidden/>
            <w:color w:val="302F2F" w:themeColor="text1" w:themeTint="E6"/>
          </w:rPr>
          <w:tab/>
        </w:r>
        <w:r w:rsidR="003D21E5" w:rsidRPr="00271CC9">
          <w:rPr>
            <w:noProof/>
            <w:webHidden/>
            <w:color w:val="302F2F" w:themeColor="text1" w:themeTint="E6"/>
          </w:rPr>
          <w:fldChar w:fldCharType="begin"/>
        </w:r>
        <w:r w:rsidR="003D21E5" w:rsidRPr="00271CC9">
          <w:rPr>
            <w:noProof/>
            <w:webHidden/>
            <w:color w:val="302F2F" w:themeColor="text1" w:themeTint="E6"/>
          </w:rPr>
          <w:instrText xml:space="preserve"> PAGEREF _Toc144843259 \h </w:instrText>
        </w:r>
        <w:r w:rsidR="003D21E5" w:rsidRPr="00271CC9">
          <w:rPr>
            <w:noProof/>
            <w:webHidden/>
            <w:color w:val="302F2F" w:themeColor="text1" w:themeTint="E6"/>
          </w:rPr>
        </w:r>
        <w:r w:rsidR="003D21E5" w:rsidRPr="00271CC9">
          <w:rPr>
            <w:noProof/>
            <w:webHidden/>
            <w:color w:val="302F2F" w:themeColor="text1" w:themeTint="E6"/>
          </w:rPr>
          <w:fldChar w:fldCharType="separate"/>
        </w:r>
        <w:r w:rsidR="003D21E5" w:rsidRPr="00271CC9">
          <w:rPr>
            <w:noProof/>
            <w:webHidden/>
            <w:color w:val="302F2F" w:themeColor="text1" w:themeTint="E6"/>
          </w:rPr>
          <w:t>17</w:t>
        </w:r>
        <w:r w:rsidR="003D21E5" w:rsidRPr="00271CC9">
          <w:rPr>
            <w:noProof/>
            <w:webHidden/>
            <w:color w:val="302F2F" w:themeColor="text1" w:themeTint="E6"/>
          </w:rPr>
          <w:fldChar w:fldCharType="end"/>
        </w:r>
      </w:hyperlink>
    </w:p>
    <w:p w14:paraId="272572DF" w14:textId="79507DDE" w:rsidR="003D21E5" w:rsidRPr="00271CC9" w:rsidRDefault="003D21E5" w:rsidP="003D21E5">
      <w:pPr>
        <w:pStyle w:val="TOC1"/>
        <w:rPr>
          <w:rFonts w:asciiTheme="minorHAnsi" w:hAnsiTheme="minorHAnsi" w:cstheme="minorBidi"/>
          <w:color w:val="302F2F" w:themeColor="text1" w:themeTint="E6"/>
          <w:sz w:val="22"/>
          <w:szCs w:val="22"/>
          <w:lang w:eastAsia="en-AU"/>
        </w:rPr>
      </w:pPr>
      <w:r w:rsidRPr="00271CC9">
        <w:rPr>
          <w:color w:val="302F2F" w:themeColor="text1" w:themeTint="E6"/>
          <w:lang w:eastAsia="en-AU"/>
        </w:rPr>
        <w:fldChar w:fldCharType="end"/>
      </w:r>
      <w:r w:rsidRPr="00271CC9">
        <w:rPr>
          <w:rFonts w:asciiTheme="minorHAnsi" w:hAnsiTheme="minorHAnsi" w:cstheme="minorBidi"/>
          <w:color w:val="302F2F" w:themeColor="text1" w:themeTint="E6"/>
          <w:sz w:val="22"/>
          <w:szCs w:val="22"/>
          <w:lang w:eastAsia="en-AU"/>
        </w:rPr>
        <w:t>Figures</w:t>
      </w:r>
    </w:p>
    <w:p w14:paraId="7ADF2518" w14:textId="0FF46D2A" w:rsidR="003D21E5" w:rsidRPr="00271CC9" w:rsidRDefault="003D21E5" w:rsidP="003D21E5">
      <w:pPr>
        <w:pStyle w:val="TableofFigures"/>
        <w:tabs>
          <w:tab w:val="right" w:leader="dot" w:pos="9628"/>
        </w:tabs>
        <w:ind w:left="993" w:hanging="993"/>
        <w:rPr>
          <w:noProof/>
          <w:color w:val="302F2F" w:themeColor="text1" w:themeTint="E6"/>
        </w:rPr>
      </w:pPr>
      <w:r w:rsidRPr="00271CC9">
        <w:rPr>
          <w:color w:val="302F2F" w:themeColor="text1" w:themeTint="E6"/>
          <w:lang w:eastAsia="en-AU"/>
        </w:rPr>
        <w:fldChar w:fldCharType="begin"/>
      </w:r>
      <w:r w:rsidRPr="00271CC9">
        <w:rPr>
          <w:color w:val="302F2F" w:themeColor="text1" w:themeTint="E6"/>
          <w:lang w:eastAsia="en-AU"/>
        </w:rPr>
        <w:instrText xml:space="preserve"> TOC \h \z \c "Figure" </w:instrText>
      </w:r>
      <w:r w:rsidRPr="00271CC9">
        <w:rPr>
          <w:color w:val="302F2F" w:themeColor="text1" w:themeTint="E6"/>
          <w:lang w:eastAsia="en-AU"/>
        </w:rPr>
        <w:fldChar w:fldCharType="separate"/>
      </w:r>
      <w:hyperlink w:anchor="_Toc144843282" w:history="1">
        <w:r w:rsidRPr="00271CC9">
          <w:rPr>
            <w:color w:val="302F2F" w:themeColor="text1" w:themeTint="E6"/>
          </w:rPr>
          <w:t xml:space="preserve">Figure 1 </w:t>
        </w:r>
        <w:r w:rsidRPr="00271CC9">
          <w:rPr>
            <w:color w:val="302F2F" w:themeColor="text1" w:themeTint="E6"/>
          </w:rPr>
          <w:tab/>
          <w:t>Participant outcomes</w:t>
        </w:r>
        <w:r w:rsidRPr="00271CC9">
          <w:rPr>
            <w:noProof/>
            <w:webHidden/>
            <w:color w:val="302F2F" w:themeColor="text1" w:themeTint="E6"/>
          </w:rPr>
          <w:tab/>
        </w:r>
        <w:r w:rsidRPr="00271CC9">
          <w:rPr>
            <w:noProof/>
            <w:webHidden/>
            <w:color w:val="302F2F" w:themeColor="text1" w:themeTint="E6"/>
          </w:rPr>
          <w:fldChar w:fldCharType="begin"/>
        </w:r>
        <w:r w:rsidRPr="00271CC9">
          <w:rPr>
            <w:noProof/>
            <w:webHidden/>
            <w:color w:val="302F2F" w:themeColor="text1" w:themeTint="E6"/>
          </w:rPr>
          <w:instrText xml:space="preserve"> PAGEREF _Toc144843282 \h </w:instrText>
        </w:r>
        <w:r w:rsidRPr="00271CC9">
          <w:rPr>
            <w:noProof/>
            <w:webHidden/>
            <w:color w:val="302F2F" w:themeColor="text1" w:themeTint="E6"/>
          </w:rPr>
        </w:r>
        <w:r w:rsidRPr="00271CC9">
          <w:rPr>
            <w:noProof/>
            <w:webHidden/>
            <w:color w:val="302F2F" w:themeColor="text1" w:themeTint="E6"/>
          </w:rPr>
          <w:fldChar w:fldCharType="separate"/>
        </w:r>
        <w:r w:rsidRPr="00271CC9">
          <w:rPr>
            <w:noProof/>
            <w:webHidden/>
            <w:color w:val="302F2F" w:themeColor="text1" w:themeTint="E6"/>
          </w:rPr>
          <w:t>6</w:t>
        </w:r>
        <w:r w:rsidRPr="00271CC9">
          <w:rPr>
            <w:noProof/>
            <w:webHidden/>
            <w:color w:val="302F2F" w:themeColor="text1" w:themeTint="E6"/>
          </w:rPr>
          <w:fldChar w:fldCharType="end"/>
        </w:r>
      </w:hyperlink>
    </w:p>
    <w:p w14:paraId="5D9F0D5E" w14:textId="2F0CAA9E" w:rsidR="003D21E5" w:rsidRPr="00271CC9" w:rsidRDefault="00095064" w:rsidP="003D21E5">
      <w:pPr>
        <w:pStyle w:val="TableofFigures"/>
        <w:tabs>
          <w:tab w:val="right" w:leader="dot" w:pos="9628"/>
        </w:tabs>
        <w:ind w:left="993" w:hanging="993"/>
        <w:rPr>
          <w:noProof/>
          <w:color w:val="302F2F" w:themeColor="text1" w:themeTint="E6"/>
        </w:rPr>
      </w:pPr>
      <w:hyperlink w:anchor="_Toc144843283" w:history="1">
        <w:r w:rsidR="003D21E5" w:rsidRPr="00271CC9">
          <w:rPr>
            <w:color w:val="302F2F" w:themeColor="text1" w:themeTint="E6"/>
          </w:rPr>
          <w:t xml:space="preserve">Figure 2 </w:t>
        </w:r>
        <w:r w:rsidR="003D21E5" w:rsidRPr="00271CC9">
          <w:rPr>
            <w:color w:val="302F2F" w:themeColor="text1" w:themeTint="E6"/>
          </w:rPr>
          <w:tab/>
          <w:t>Living Learning participant journey</w:t>
        </w:r>
        <w:r w:rsidR="003D21E5" w:rsidRPr="00271CC9">
          <w:rPr>
            <w:noProof/>
            <w:webHidden/>
            <w:color w:val="302F2F" w:themeColor="text1" w:themeTint="E6"/>
          </w:rPr>
          <w:tab/>
        </w:r>
        <w:r w:rsidR="003D21E5" w:rsidRPr="00271CC9">
          <w:rPr>
            <w:noProof/>
            <w:webHidden/>
            <w:color w:val="302F2F" w:themeColor="text1" w:themeTint="E6"/>
          </w:rPr>
          <w:fldChar w:fldCharType="begin"/>
        </w:r>
        <w:r w:rsidR="003D21E5" w:rsidRPr="00271CC9">
          <w:rPr>
            <w:noProof/>
            <w:webHidden/>
            <w:color w:val="302F2F" w:themeColor="text1" w:themeTint="E6"/>
          </w:rPr>
          <w:instrText xml:space="preserve"> PAGEREF _Toc144843283 \h </w:instrText>
        </w:r>
        <w:r w:rsidR="003D21E5" w:rsidRPr="00271CC9">
          <w:rPr>
            <w:noProof/>
            <w:webHidden/>
            <w:color w:val="302F2F" w:themeColor="text1" w:themeTint="E6"/>
          </w:rPr>
        </w:r>
        <w:r w:rsidR="003D21E5" w:rsidRPr="00271CC9">
          <w:rPr>
            <w:noProof/>
            <w:webHidden/>
            <w:color w:val="302F2F" w:themeColor="text1" w:themeTint="E6"/>
          </w:rPr>
          <w:fldChar w:fldCharType="separate"/>
        </w:r>
        <w:r w:rsidR="003D21E5" w:rsidRPr="00271CC9">
          <w:rPr>
            <w:noProof/>
            <w:webHidden/>
            <w:color w:val="302F2F" w:themeColor="text1" w:themeTint="E6"/>
          </w:rPr>
          <w:t>7</w:t>
        </w:r>
        <w:r w:rsidR="003D21E5" w:rsidRPr="00271CC9">
          <w:rPr>
            <w:noProof/>
            <w:webHidden/>
            <w:color w:val="302F2F" w:themeColor="text1" w:themeTint="E6"/>
          </w:rPr>
          <w:fldChar w:fldCharType="end"/>
        </w:r>
      </w:hyperlink>
    </w:p>
    <w:p w14:paraId="39D0AE88" w14:textId="13FA3862" w:rsidR="003D21E5" w:rsidRPr="00271CC9" w:rsidRDefault="00095064" w:rsidP="003D21E5">
      <w:pPr>
        <w:pStyle w:val="TableofFigures"/>
        <w:tabs>
          <w:tab w:val="right" w:leader="dot" w:pos="9628"/>
        </w:tabs>
        <w:ind w:left="993" w:hanging="993"/>
        <w:rPr>
          <w:noProof/>
          <w:color w:val="302F2F" w:themeColor="text1" w:themeTint="E6"/>
        </w:rPr>
      </w:pPr>
      <w:hyperlink w:anchor="_Toc144843284" w:history="1">
        <w:r w:rsidR="003D21E5" w:rsidRPr="00271CC9">
          <w:rPr>
            <w:color w:val="302F2F" w:themeColor="text1" w:themeTint="E6"/>
          </w:rPr>
          <w:t xml:space="preserve">Figure 3 </w:t>
        </w:r>
        <w:r w:rsidR="003D21E5" w:rsidRPr="00271CC9">
          <w:rPr>
            <w:color w:val="302F2F" w:themeColor="text1" w:themeTint="E6"/>
          </w:rPr>
          <w:tab/>
          <w:t>Living Learning program team structure</w:t>
        </w:r>
        <w:r w:rsidR="003D21E5" w:rsidRPr="00271CC9">
          <w:rPr>
            <w:noProof/>
            <w:webHidden/>
            <w:color w:val="302F2F" w:themeColor="text1" w:themeTint="E6"/>
          </w:rPr>
          <w:tab/>
        </w:r>
        <w:r w:rsidR="003D21E5" w:rsidRPr="00271CC9">
          <w:rPr>
            <w:noProof/>
            <w:webHidden/>
            <w:color w:val="302F2F" w:themeColor="text1" w:themeTint="E6"/>
          </w:rPr>
          <w:fldChar w:fldCharType="begin"/>
        </w:r>
        <w:r w:rsidR="003D21E5" w:rsidRPr="00271CC9">
          <w:rPr>
            <w:noProof/>
            <w:webHidden/>
            <w:color w:val="302F2F" w:themeColor="text1" w:themeTint="E6"/>
          </w:rPr>
          <w:instrText xml:space="preserve"> PAGEREF _Toc144843284 \h </w:instrText>
        </w:r>
        <w:r w:rsidR="003D21E5" w:rsidRPr="00271CC9">
          <w:rPr>
            <w:noProof/>
            <w:webHidden/>
            <w:color w:val="302F2F" w:themeColor="text1" w:themeTint="E6"/>
          </w:rPr>
        </w:r>
        <w:r w:rsidR="003D21E5" w:rsidRPr="00271CC9">
          <w:rPr>
            <w:noProof/>
            <w:webHidden/>
            <w:color w:val="302F2F" w:themeColor="text1" w:themeTint="E6"/>
          </w:rPr>
          <w:fldChar w:fldCharType="separate"/>
        </w:r>
        <w:r w:rsidR="003D21E5" w:rsidRPr="00271CC9">
          <w:rPr>
            <w:noProof/>
            <w:webHidden/>
            <w:color w:val="302F2F" w:themeColor="text1" w:themeTint="E6"/>
          </w:rPr>
          <w:t>9</w:t>
        </w:r>
        <w:r w:rsidR="003D21E5" w:rsidRPr="00271CC9">
          <w:rPr>
            <w:noProof/>
            <w:webHidden/>
            <w:color w:val="302F2F" w:themeColor="text1" w:themeTint="E6"/>
          </w:rPr>
          <w:fldChar w:fldCharType="end"/>
        </w:r>
      </w:hyperlink>
    </w:p>
    <w:p w14:paraId="15C47A04" w14:textId="0151B7EF" w:rsidR="003D21E5" w:rsidRPr="00271CC9" w:rsidRDefault="00095064" w:rsidP="003D21E5">
      <w:pPr>
        <w:pStyle w:val="TableofFigures"/>
        <w:tabs>
          <w:tab w:val="right" w:leader="dot" w:pos="9628"/>
        </w:tabs>
        <w:ind w:left="993" w:hanging="993"/>
        <w:rPr>
          <w:noProof/>
          <w:color w:val="302F2F" w:themeColor="text1" w:themeTint="E6"/>
        </w:rPr>
      </w:pPr>
      <w:hyperlink w:anchor="_Toc144843285" w:history="1">
        <w:r w:rsidR="003D21E5" w:rsidRPr="00271CC9">
          <w:rPr>
            <w:color w:val="302F2F" w:themeColor="text1" w:themeTint="E6"/>
          </w:rPr>
          <w:t xml:space="preserve">Figure 4 </w:t>
        </w:r>
        <w:r w:rsidR="003D21E5" w:rsidRPr="00271CC9">
          <w:rPr>
            <w:color w:val="302F2F" w:themeColor="text1" w:themeTint="E6"/>
          </w:rPr>
          <w:tab/>
          <w:t>Key dates in staff recruitment timeline</w:t>
        </w:r>
        <w:r w:rsidR="003D21E5" w:rsidRPr="00271CC9">
          <w:rPr>
            <w:noProof/>
            <w:webHidden/>
            <w:color w:val="302F2F" w:themeColor="text1" w:themeTint="E6"/>
          </w:rPr>
          <w:tab/>
        </w:r>
        <w:r w:rsidR="003D21E5" w:rsidRPr="00271CC9">
          <w:rPr>
            <w:noProof/>
            <w:webHidden/>
            <w:color w:val="302F2F" w:themeColor="text1" w:themeTint="E6"/>
          </w:rPr>
          <w:fldChar w:fldCharType="begin"/>
        </w:r>
        <w:r w:rsidR="003D21E5" w:rsidRPr="00271CC9">
          <w:rPr>
            <w:noProof/>
            <w:webHidden/>
            <w:color w:val="302F2F" w:themeColor="text1" w:themeTint="E6"/>
          </w:rPr>
          <w:instrText xml:space="preserve"> PAGEREF _Toc144843285 \h </w:instrText>
        </w:r>
        <w:r w:rsidR="003D21E5" w:rsidRPr="00271CC9">
          <w:rPr>
            <w:noProof/>
            <w:webHidden/>
            <w:color w:val="302F2F" w:themeColor="text1" w:themeTint="E6"/>
          </w:rPr>
        </w:r>
        <w:r w:rsidR="003D21E5" w:rsidRPr="00271CC9">
          <w:rPr>
            <w:noProof/>
            <w:webHidden/>
            <w:color w:val="302F2F" w:themeColor="text1" w:themeTint="E6"/>
          </w:rPr>
          <w:fldChar w:fldCharType="separate"/>
        </w:r>
        <w:r w:rsidR="003D21E5" w:rsidRPr="00271CC9">
          <w:rPr>
            <w:noProof/>
            <w:webHidden/>
            <w:color w:val="302F2F" w:themeColor="text1" w:themeTint="E6"/>
          </w:rPr>
          <w:t>16</w:t>
        </w:r>
        <w:r w:rsidR="003D21E5" w:rsidRPr="00271CC9">
          <w:rPr>
            <w:noProof/>
            <w:webHidden/>
            <w:color w:val="302F2F" w:themeColor="text1" w:themeTint="E6"/>
          </w:rPr>
          <w:fldChar w:fldCharType="end"/>
        </w:r>
      </w:hyperlink>
    </w:p>
    <w:p w14:paraId="2D89A06E" w14:textId="370A055F" w:rsidR="003D21E5" w:rsidRPr="00271CC9" w:rsidRDefault="00095064" w:rsidP="003D21E5">
      <w:pPr>
        <w:pStyle w:val="TableofFigures"/>
        <w:tabs>
          <w:tab w:val="right" w:leader="dot" w:pos="9628"/>
        </w:tabs>
        <w:ind w:left="993" w:hanging="993"/>
        <w:rPr>
          <w:noProof/>
          <w:color w:val="302F2F" w:themeColor="text1" w:themeTint="E6"/>
        </w:rPr>
      </w:pPr>
      <w:hyperlink w:anchor="_Toc144843286" w:history="1">
        <w:r w:rsidR="003D21E5" w:rsidRPr="00271CC9">
          <w:rPr>
            <w:color w:val="302F2F" w:themeColor="text1" w:themeTint="E6"/>
          </w:rPr>
          <w:t xml:space="preserve">Figure 5 </w:t>
        </w:r>
        <w:r w:rsidR="003D21E5" w:rsidRPr="00271CC9">
          <w:rPr>
            <w:color w:val="302F2F" w:themeColor="text1" w:themeTint="E6"/>
          </w:rPr>
          <w:tab/>
          <w:t>Profile of Living Learning participants</w:t>
        </w:r>
        <w:r w:rsidR="003D21E5" w:rsidRPr="00271CC9">
          <w:rPr>
            <w:noProof/>
            <w:webHidden/>
            <w:color w:val="302F2F" w:themeColor="text1" w:themeTint="E6"/>
          </w:rPr>
          <w:tab/>
        </w:r>
        <w:r w:rsidR="003D21E5" w:rsidRPr="00271CC9">
          <w:rPr>
            <w:noProof/>
            <w:webHidden/>
            <w:color w:val="302F2F" w:themeColor="text1" w:themeTint="E6"/>
          </w:rPr>
          <w:fldChar w:fldCharType="begin"/>
        </w:r>
        <w:r w:rsidR="003D21E5" w:rsidRPr="00271CC9">
          <w:rPr>
            <w:noProof/>
            <w:webHidden/>
            <w:color w:val="302F2F" w:themeColor="text1" w:themeTint="E6"/>
          </w:rPr>
          <w:instrText xml:space="preserve"> PAGEREF _Toc144843286 \h </w:instrText>
        </w:r>
        <w:r w:rsidR="003D21E5" w:rsidRPr="00271CC9">
          <w:rPr>
            <w:noProof/>
            <w:webHidden/>
            <w:color w:val="302F2F" w:themeColor="text1" w:themeTint="E6"/>
          </w:rPr>
        </w:r>
        <w:r w:rsidR="003D21E5" w:rsidRPr="00271CC9">
          <w:rPr>
            <w:noProof/>
            <w:webHidden/>
            <w:color w:val="302F2F" w:themeColor="text1" w:themeTint="E6"/>
          </w:rPr>
          <w:fldChar w:fldCharType="separate"/>
        </w:r>
        <w:r w:rsidR="003D21E5" w:rsidRPr="00271CC9">
          <w:rPr>
            <w:noProof/>
            <w:webHidden/>
            <w:color w:val="302F2F" w:themeColor="text1" w:themeTint="E6"/>
          </w:rPr>
          <w:t>25</w:t>
        </w:r>
        <w:r w:rsidR="003D21E5" w:rsidRPr="00271CC9">
          <w:rPr>
            <w:noProof/>
            <w:webHidden/>
            <w:color w:val="302F2F" w:themeColor="text1" w:themeTint="E6"/>
          </w:rPr>
          <w:fldChar w:fldCharType="end"/>
        </w:r>
      </w:hyperlink>
    </w:p>
    <w:p w14:paraId="13DC5F8D" w14:textId="167CD42C" w:rsidR="003D21E5" w:rsidRPr="00271CC9" w:rsidRDefault="00095064" w:rsidP="003D21E5">
      <w:pPr>
        <w:pStyle w:val="TableofFigures"/>
        <w:tabs>
          <w:tab w:val="right" w:leader="dot" w:pos="9628"/>
        </w:tabs>
        <w:ind w:left="993" w:hanging="993"/>
        <w:rPr>
          <w:noProof/>
          <w:color w:val="302F2F" w:themeColor="text1" w:themeTint="E6"/>
        </w:rPr>
      </w:pPr>
      <w:hyperlink w:anchor="_Toc144843287" w:history="1">
        <w:r w:rsidR="003D21E5" w:rsidRPr="00271CC9">
          <w:rPr>
            <w:color w:val="302F2F" w:themeColor="text1" w:themeTint="E6"/>
          </w:rPr>
          <w:t xml:space="preserve">Figure 6 </w:t>
        </w:r>
        <w:r w:rsidR="003D21E5" w:rsidRPr="00271CC9">
          <w:rPr>
            <w:color w:val="302F2F" w:themeColor="text1" w:themeTint="E6"/>
          </w:rPr>
          <w:tab/>
          <w:t>Distribution of Living Learning cohort students</w:t>
        </w:r>
        <w:r w:rsidR="003D21E5" w:rsidRPr="00271CC9">
          <w:rPr>
            <w:noProof/>
            <w:webHidden/>
            <w:color w:val="302F2F" w:themeColor="text1" w:themeTint="E6"/>
          </w:rPr>
          <w:tab/>
        </w:r>
        <w:r w:rsidR="003D21E5" w:rsidRPr="00271CC9">
          <w:rPr>
            <w:noProof/>
            <w:webHidden/>
            <w:color w:val="302F2F" w:themeColor="text1" w:themeTint="E6"/>
          </w:rPr>
          <w:fldChar w:fldCharType="begin"/>
        </w:r>
        <w:r w:rsidR="003D21E5" w:rsidRPr="00271CC9">
          <w:rPr>
            <w:noProof/>
            <w:webHidden/>
            <w:color w:val="302F2F" w:themeColor="text1" w:themeTint="E6"/>
          </w:rPr>
          <w:instrText xml:space="preserve"> PAGEREF _Toc144843287 \h </w:instrText>
        </w:r>
        <w:r w:rsidR="003D21E5" w:rsidRPr="00271CC9">
          <w:rPr>
            <w:noProof/>
            <w:webHidden/>
            <w:color w:val="302F2F" w:themeColor="text1" w:themeTint="E6"/>
          </w:rPr>
        </w:r>
        <w:r w:rsidR="003D21E5" w:rsidRPr="00271CC9">
          <w:rPr>
            <w:noProof/>
            <w:webHidden/>
            <w:color w:val="302F2F" w:themeColor="text1" w:themeTint="E6"/>
          </w:rPr>
          <w:fldChar w:fldCharType="separate"/>
        </w:r>
        <w:r w:rsidR="003D21E5" w:rsidRPr="00271CC9">
          <w:rPr>
            <w:noProof/>
            <w:webHidden/>
            <w:color w:val="302F2F" w:themeColor="text1" w:themeTint="E6"/>
          </w:rPr>
          <w:t>26</w:t>
        </w:r>
        <w:r w:rsidR="003D21E5" w:rsidRPr="00271CC9">
          <w:rPr>
            <w:noProof/>
            <w:webHidden/>
            <w:color w:val="302F2F" w:themeColor="text1" w:themeTint="E6"/>
          </w:rPr>
          <w:fldChar w:fldCharType="end"/>
        </w:r>
      </w:hyperlink>
    </w:p>
    <w:p w14:paraId="084A518F" w14:textId="4DE465F0" w:rsidR="003D21E5" w:rsidRPr="00271CC9" w:rsidRDefault="00095064" w:rsidP="003D21E5">
      <w:pPr>
        <w:pStyle w:val="TableofFigures"/>
        <w:tabs>
          <w:tab w:val="right" w:leader="dot" w:pos="9628"/>
        </w:tabs>
        <w:ind w:left="993" w:hanging="993"/>
        <w:rPr>
          <w:noProof/>
          <w:color w:val="302F2F" w:themeColor="text1" w:themeTint="E6"/>
        </w:rPr>
      </w:pPr>
      <w:hyperlink w:anchor="_Toc144843288" w:history="1">
        <w:r w:rsidR="003D21E5" w:rsidRPr="00271CC9">
          <w:rPr>
            <w:color w:val="302F2F" w:themeColor="text1" w:themeTint="E6"/>
          </w:rPr>
          <w:t xml:space="preserve">Figure 7 </w:t>
        </w:r>
        <w:r w:rsidR="003D21E5" w:rsidRPr="00271CC9">
          <w:rPr>
            <w:color w:val="302F2F" w:themeColor="text1" w:themeTint="E6"/>
          </w:rPr>
          <w:tab/>
          <w:t>Living Learning and HHA attendance (%) by term, 2021</w:t>
        </w:r>
        <w:r w:rsidR="003D21E5" w:rsidRPr="00271CC9">
          <w:rPr>
            <w:noProof/>
            <w:webHidden/>
            <w:color w:val="302F2F" w:themeColor="text1" w:themeTint="E6"/>
          </w:rPr>
          <w:tab/>
        </w:r>
        <w:r w:rsidR="003D21E5" w:rsidRPr="00271CC9">
          <w:rPr>
            <w:noProof/>
            <w:webHidden/>
            <w:color w:val="302F2F" w:themeColor="text1" w:themeTint="E6"/>
          </w:rPr>
          <w:fldChar w:fldCharType="begin"/>
        </w:r>
        <w:r w:rsidR="003D21E5" w:rsidRPr="00271CC9">
          <w:rPr>
            <w:noProof/>
            <w:webHidden/>
            <w:color w:val="302F2F" w:themeColor="text1" w:themeTint="E6"/>
          </w:rPr>
          <w:instrText xml:space="preserve"> PAGEREF _Toc144843288 \h </w:instrText>
        </w:r>
        <w:r w:rsidR="003D21E5" w:rsidRPr="00271CC9">
          <w:rPr>
            <w:noProof/>
            <w:webHidden/>
            <w:color w:val="302F2F" w:themeColor="text1" w:themeTint="E6"/>
          </w:rPr>
        </w:r>
        <w:r w:rsidR="003D21E5" w:rsidRPr="00271CC9">
          <w:rPr>
            <w:noProof/>
            <w:webHidden/>
            <w:color w:val="302F2F" w:themeColor="text1" w:themeTint="E6"/>
          </w:rPr>
          <w:fldChar w:fldCharType="separate"/>
        </w:r>
        <w:r w:rsidR="003D21E5" w:rsidRPr="00271CC9">
          <w:rPr>
            <w:noProof/>
            <w:webHidden/>
            <w:color w:val="302F2F" w:themeColor="text1" w:themeTint="E6"/>
          </w:rPr>
          <w:t>27</w:t>
        </w:r>
        <w:r w:rsidR="003D21E5" w:rsidRPr="00271CC9">
          <w:rPr>
            <w:noProof/>
            <w:webHidden/>
            <w:color w:val="302F2F" w:themeColor="text1" w:themeTint="E6"/>
          </w:rPr>
          <w:fldChar w:fldCharType="end"/>
        </w:r>
      </w:hyperlink>
    </w:p>
    <w:p w14:paraId="26278A4E" w14:textId="4E278CBE" w:rsidR="003D21E5" w:rsidRPr="00271CC9" w:rsidRDefault="00095064" w:rsidP="003D21E5">
      <w:pPr>
        <w:pStyle w:val="TableofFigures"/>
        <w:tabs>
          <w:tab w:val="right" w:leader="dot" w:pos="9628"/>
        </w:tabs>
        <w:ind w:left="993" w:hanging="993"/>
        <w:rPr>
          <w:noProof/>
          <w:color w:val="302F2F" w:themeColor="text1" w:themeTint="E6"/>
        </w:rPr>
      </w:pPr>
      <w:hyperlink w:anchor="_Toc144843289" w:history="1">
        <w:r w:rsidR="003D21E5" w:rsidRPr="00271CC9">
          <w:rPr>
            <w:color w:val="302F2F" w:themeColor="text1" w:themeTint="E6"/>
          </w:rPr>
          <w:t xml:space="preserve">Figure 8 </w:t>
        </w:r>
        <w:r w:rsidR="003D21E5" w:rsidRPr="00271CC9">
          <w:rPr>
            <w:color w:val="302F2F" w:themeColor="text1" w:themeTint="E6"/>
          </w:rPr>
          <w:tab/>
          <w:t>Living Learning Student Outcomes Survey areas of positive improvement in 2021</w:t>
        </w:r>
        <w:r w:rsidR="003D21E5" w:rsidRPr="00271CC9">
          <w:rPr>
            <w:noProof/>
            <w:webHidden/>
            <w:color w:val="302F2F" w:themeColor="text1" w:themeTint="E6"/>
          </w:rPr>
          <w:tab/>
        </w:r>
        <w:r w:rsidR="003D21E5" w:rsidRPr="00271CC9">
          <w:rPr>
            <w:noProof/>
            <w:webHidden/>
            <w:color w:val="302F2F" w:themeColor="text1" w:themeTint="E6"/>
          </w:rPr>
          <w:fldChar w:fldCharType="begin"/>
        </w:r>
        <w:r w:rsidR="003D21E5" w:rsidRPr="00271CC9">
          <w:rPr>
            <w:noProof/>
            <w:webHidden/>
            <w:color w:val="302F2F" w:themeColor="text1" w:themeTint="E6"/>
          </w:rPr>
          <w:instrText xml:space="preserve"> PAGEREF _Toc144843289 \h </w:instrText>
        </w:r>
        <w:r w:rsidR="003D21E5" w:rsidRPr="00271CC9">
          <w:rPr>
            <w:noProof/>
            <w:webHidden/>
            <w:color w:val="302F2F" w:themeColor="text1" w:themeTint="E6"/>
          </w:rPr>
        </w:r>
        <w:r w:rsidR="003D21E5" w:rsidRPr="00271CC9">
          <w:rPr>
            <w:noProof/>
            <w:webHidden/>
            <w:color w:val="302F2F" w:themeColor="text1" w:themeTint="E6"/>
          </w:rPr>
          <w:fldChar w:fldCharType="separate"/>
        </w:r>
        <w:r w:rsidR="003D21E5" w:rsidRPr="00271CC9">
          <w:rPr>
            <w:noProof/>
            <w:webHidden/>
            <w:color w:val="302F2F" w:themeColor="text1" w:themeTint="E6"/>
          </w:rPr>
          <w:t>29</w:t>
        </w:r>
        <w:r w:rsidR="003D21E5" w:rsidRPr="00271CC9">
          <w:rPr>
            <w:noProof/>
            <w:webHidden/>
            <w:color w:val="302F2F" w:themeColor="text1" w:themeTint="E6"/>
          </w:rPr>
          <w:fldChar w:fldCharType="end"/>
        </w:r>
      </w:hyperlink>
    </w:p>
    <w:p w14:paraId="55F1A462" w14:textId="5E4F25B8" w:rsidR="003D21E5" w:rsidRPr="00271CC9" w:rsidRDefault="00095064" w:rsidP="003D21E5">
      <w:pPr>
        <w:pStyle w:val="TableofFigures"/>
        <w:tabs>
          <w:tab w:val="right" w:leader="dot" w:pos="9628"/>
        </w:tabs>
        <w:ind w:left="993" w:hanging="993"/>
        <w:rPr>
          <w:noProof/>
          <w:color w:val="302F2F" w:themeColor="text1" w:themeTint="E6"/>
        </w:rPr>
      </w:pPr>
      <w:hyperlink w:anchor="_Toc144843290" w:history="1">
        <w:r w:rsidR="003D21E5" w:rsidRPr="00271CC9">
          <w:rPr>
            <w:color w:val="302F2F" w:themeColor="text1" w:themeTint="E6"/>
          </w:rPr>
          <w:t xml:space="preserve">Figure 9 </w:t>
        </w:r>
        <w:r w:rsidR="003D21E5" w:rsidRPr="00271CC9">
          <w:rPr>
            <w:color w:val="302F2F" w:themeColor="text1" w:themeTint="E6"/>
          </w:rPr>
          <w:tab/>
          <w:t>Living Learning Student Outcomes Survey areas of decline 2021</w:t>
        </w:r>
        <w:r w:rsidR="003D21E5" w:rsidRPr="00271CC9">
          <w:rPr>
            <w:noProof/>
            <w:webHidden/>
            <w:color w:val="302F2F" w:themeColor="text1" w:themeTint="E6"/>
          </w:rPr>
          <w:tab/>
        </w:r>
        <w:r w:rsidR="003D21E5" w:rsidRPr="00271CC9">
          <w:rPr>
            <w:noProof/>
            <w:webHidden/>
            <w:color w:val="302F2F" w:themeColor="text1" w:themeTint="E6"/>
          </w:rPr>
          <w:fldChar w:fldCharType="begin"/>
        </w:r>
        <w:r w:rsidR="003D21E5" w:rsidRPr="00271CC9">
          <w:rPr>
            <w:noProof/>
            <w:webHidden/>
            <w:color w:val="302F2F" w:themeColor="text1" w:themeTint="E6"/>
          </w:rPr>
          <w:instrText xml:space="preserve"> PAGEREF _Toc144843290 \h </w:instrText>
        </w:r>
        <w:r w:rsidR="003D21E5" w:rsidRPr="00271CC9">
          <w:rPr>
            <w:noProof/>
            <w:webHidden/>
            <w:color w:val="302F2F" w:themeColor="text1" w:themeTint="E6"/>
          </w:rPr>
        </w:r>
        <w:r w:rsidR="003D21E5" w:rsidRPr="00271CC9">
          <w:rPr>
            <w:noProof/>
            <w:webHidden/>
            <w:color w:val="302F2F" w:themeColor="text1" w:themeTint="E6"/>
          </w:rPr>
          <w:fldChar w:fldCharType="separate"/>
        </w:r>
        <w:r w:rsidR="003D21E5" w:rsidRPr="00271CC9">
          <w:rPr>
            <w:noProof/>
            <w:webHidden/>
            <w:color w:val="302F2F" w:themeColor="text1" w:themeTint="E6"/>
          </w:rPr>
          <w:t>29</w:t>
        </w:r>
        <w:r w:rsidR="003D21E5" w:rsidRPr="00271CC9">
          <w:rPr>
            <w:noProof/>
            <w:webHidden/>
            <w:color w:val="302F2F" w:themeColor="text1" w:themeTint="E6"/>
          </w:rPr>
          <w:fldChar w:fldCharType="end"/>
        </w:r>
      </w:hyperlink>
    </w:p>
    <w:p w14:paraId="323C1978" w14:textId="1D66F5BD" w:rsidR="003D21E5" w:rsidRPr="00271CC9" w:rsidRDefault="00095064" w:rsidP="003D21E5">
      <w:pPr>
        <w:pStyle w:val="TableofFigures"/>
        <w:tabs>
          <w:tab w:val="right" w:leader="dot" w:pos="9628"/>
        </w:tabs>
        <w:ind w:left="993" w:hanging="993"/>
        <w:rPr>
          <w:noProof/>
          <w:color w:val="302F2F" w:themeColor="text1" w:themeTint="E6"/>
        </w:rPr>
      </w:pPr>
      <w:hyperlink w:anchor="_Toc144843291" w:history="1">
        <w:r w:rsidR="003D21E5" w:rsidRPr="00271CC9">
          <w:rPr>
            <w:color w:val="302F2F" w:themeColor="text1" w:themeTint="E6"/>
          </w:rPr>
          <w:t xml:space="preserve">Figure 10 </w:t>
        </w:r>
        <w:r w:rsidR="003D21E5" w:rsidRPr="00271CC9">
          <w:rPr>
            <w:color w:val="302F2F" w:themeColor="text1" w:themeTint="E6"/>
          </w:rPr>
          <w:tab/>
          <w:t>Living Learning participants and HHA student responses to the Student Satisfaction Survey 2021</w:t>
        </w:r>
        <w:r w:rsidR="003D21E5" w:rsidRPr="00271CC9">
          <w:rPr>
            <w:noProof/>
            <w:webHidden/>
            <w:color w:val="302F2F" w:themeColor="text1" w:themeTint="E6"/>
          </w:rPr>
          <w:tab/>
        </w:r>
        <w:r w:rsidR="003D21E5" w:rsidRPr="00271CC9">
          <w:rPr>
            <w:noProof/>
            <w:webHidden/>
            <w:color w:val="302F2F" w:themeColor="text1" w:themeTint="E6"/>
          </w:rPr>
          <w:fldChar w:fldCharType="begin"/>
        </w:r>
        <w:r w:rsidR="003D21E5" w:rsidRPr="00271CC9">
          <w:rPr>
            <w:noProof/>
            <w:webHidden/>
            <w:color w:val="302F2F" w:themeColor="text1" w:themeTint="E6"/>
          </w:rPr>
          <w:instrText xml:space="preserve"> PAGEREF _Toc144843291 \h </w:instrText>
        </w:r>
        <w:r w:rsidR="003D21E5" w:rsidRPr="00271CC9">
          <w:rPr>
            <w:noProof/>
            <w:webHidden/>
            <w:color w:val="302F2F" w:themeColor="text1" w:themeTint="E6"/>
          </w:rPr>
        </w:r>
        <w:r w:rsidR="003D21E5" w:rsidRPr="00271CC9">
          <w:rPr>
            <w:noProof/>
            <w:webHidden/>
            <w:color w:val="302F2F" w:themeColor="text1" w:themeTint="E6"/>
          </w:rPr>
          <w:fldChar w:fldCharType="separate"/>
        </w:r>
        <w:r w:rsidR="003D21E5" w:rsidRPr="00271CC9">
          <w:rPr>
            <w:noProof/>
            <w:webHidden/>
            <w:color w:val="302F2F" w:themeColor="text1" w:themeTint="E6"/>
          </w:rPr>
          <w:t>30</w:t>
        </w:r>
        <w:r w:rsidR="003D21E5" w:rsidRPr="00271CC9">
          <w:rPr>
            <w:noProof/>
            <w:webHidden/>
            <w:color w:val="302F2F" w:themeColor="text1" w:themeTint="E6"/>
          </w:rPr>
          <w:fldChar w:fldCharType="end"/>
        </w:r>
      </w:hyperlink>
    </w:p>
    <w:p w14:paraId="1C4B38E0" w14:textId="2B46B491" w:rsidR="00D024D3" w:rsidRDefault="003D21E5">
      <w:pPr>
        <w:rPr>
          <w:lang w:eastAsia="en-AU"/>
        </w:rPr>
        <w:sectPr w:rsidR="00D024D3" w:rsidSect="00FB1AE7">
          <w:headerReference w:type="even" r:id="rId28"/>
          <w:headerReference w:type="default" r:id="rId29"/>
          <w:footerReference w:type="even" r:id="rId30"/>
          <w:footerReference w:type="default" r:id="rId31"/>
          <w:headerReference w:type="first" r:id="rId32"/>
          <w:footerReference w:type="first" r:id="rId33"/>
          <w:pgSz w:w="11906" w:h="16838" w:code="9"/>
          <w:pgMar w:top="1134" w:right="1134" w:bottom="1418" w:left="1134" w:header="709" w:footer="284" w:gutter="0"/>
          <w:cols w:space="708"/>
          <w:docGrid w:linePitch="360"/>
        </w:sectPr>
      </w:pPr>
      <w:r w:rsidRPr="00271CC9">
        <w:rPr>
          <w:color w:val="302F2F" w:themeColor="text1" w:themeTint="E6"/>
          <w:lang w:eastAsia="en-AU"/>
        </w:rPr>
        <w:fldChar w:fldCharType="end"/>
      </w:r>
    </w:p>
    <w:p w14:paraId="11581829" w14:textId="18C65ABB" w:rsidR="002A1292" w:rsidRDefault="00736E4F" w:rsidP="00736E4F">
      <w:pPr>
        <w:pStyle w:val="Head1"/>
      </w:pPr>
      <w:bookmarkStart w:id="0" w:name="_Toc97809196"/>
      <w:bookmarkStart w:id="1" w:name="_Toc144843238"/>
      <w:r w:rsidRPr="00736E4F">
        <w:t>Acronyms</w:t>
      </w:r>
      <w:bookmarkEnd w:id="0"/>
      <w:bookmarkEnd w:id="1"/>
    </w:p>
    <w:p w14:paraId="6F354CDA" w14:textId="36E1031C" w:rsidR="00B34185" w:rsidRPr="00B34185" w:rsidRDefault="00B34185" w:rsidP="00B34185">
      <w:pPr>
        <w:pStyle w:val="Caption"/>
      </w:pPr>
      <w:bookmarkStart w:id="2" w:name="_Toc144834321"/>
      <w:bookmarkStart w:id="3" w:name="_Toc144843258"/>
      <w:r>
        <w:t xml:space="preserve">Table </w:t>
      </w:r>
      <w:r>
        <w:fldChar w:fldCharType="begin"/>
      </w:r>
      <w:r>
        <w:instrText xml:space="preserve"> SEQ Table \* ARABIC </w:instrText>
      </w:r>
      <w:r>
        <w:fldChar w:fldCharType="separate"/>
      </w:r>
      <w:r w:rsidR="004A75C8">
        <w:rPr>
          <w:noProof/>
        </w:rPr>
        <w:t>1</w:t>
      </w:r>
      <w:r>
        <w:fldChar w:fldCharType="end"/>
      </w:r>
      <w:r>
        <w:t xml:space="preserve"> Acronyms</w:t>
      </w:r>
      <w:bookmarkEnd w:id="2"/>
      <w:bookmarkEnd w:id="3"/>
    </w:p>
    <w:tbl>
      <w:tblPr>
        <w:tblStyle w:val="UrbisTable1"/>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20" w:firstRow="1" w:lastRow="0" w:firstColumn="0" w:lastColumn="0" w:noHBand="0" w:noVBand="1"/>
        <w:tblDescription w:val="{&quot;Ott&quot;:{&quot;FirstRow&quot;:{&quot;Font&quot;:{&quot;Bold&quot;:true,&quot;Color&quot;:{&quot;Key&quot;:&quot;Text2&quot;}},&quot;WordStyle&quot;:&quot;Table - Heading&quot;,&quot;LineSpacing&quot;:{},&quot;Margin&quot;:{},&quot;Borders&quot;:{&quot;Vertical&quot;:{&quot;Color&quot;:{&quot;Key&quot;:&quot;Borders&quot;},&quot;BorderWeight&quot;:&quot;Pt0_5&quot;},&quot;Horizontal&quot;:{&quot;Color&quot;:{&quot;Key&quot;:&quot;Borders&quot;},&quot;BorderWeight&quot;:&quot;Pt0_5&quot;},&quot;Left&quot;:{&quot;Color&quot;:{&quot;Key&quot;:&quot;Borders&quot;},&quot;BorderWeight&quot;:&quot;Pt0_5&quot;},&quot;Top&quot;:{&quot;Color&quot;:{&quot;Key&quot;:&quot;Borders&quot;},&quot;BorderWeight&quot;:&quot;Pt0_5&quot;},&quot;Right&quot;:{&quot;Color&quot;:{&quot;Key&quot;:&quot;Borders&quot;},&quot;BorderWeight&quot;:&quot;Pt0_5&quot;},&quot;Bottom&quot;:{&quot;Color&quot;:{&quot;Key&quot;:&quot;Borders&quot;},&quot;BorderWeight&quot;:&quot;Pt0_5&quot;,&quot;Type&quot;:&quot;Solid&quot;,&quot;Visible&quot;:true}}},&quot;LastRow&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r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La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BandedRow&quot;:{&quot;Item&quot;:{&quot;BackgroundColor&quot;:{&quot;Key&quot;:&quot;Shading&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Type&quot;:&quot;BandFirst&quot;},&quot;BandedColumn&quot;:{&quot;Item&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tRowHeightPp&quot;:true,&quot;ZeroMarginsWord&quot;:true,&quot;BackgroundColor&quot;:{&quot;Key&quot;:&quot;Background&quot;},&quot;Font&quot;:{&quot;Name&quot;:&quot;Arial&quot;,&quot;Size&quot;:10.0,&quot;Color&quot;:{&quot;Key&quot;:&quot;Text1&quot;}},&quot;WordStyle&quot;:&quot;Table - Text&quot;,&quot;LineSpacing&quot;:{&quot;Spacing&quot;:14.0},&quot;Alignment&quot;:{&quot;Horizontal&quot;:&quot;Left&quot;,&quot;Vertical&quot;:&quot;Top&quot;},&quot;Margin&quot;:{},&quot;Borders&quot;:{&quot;Vertical&quot;:{&quot;Color&quot;:{&quot;Key&quot;:&quot;Borders&quot;},&quot;BorderWeight&quot;:&quot;Pt0_5&quot;,&quot;Type&quot;:&quot;Solid&quot;,&quot;Visible&quot;:true},&quot;Horizontal&quot;:{&quot;Color&quot;:{&quot;Key&quot;:&quot;Borders&quot;},&quot;BorderWeight&quot;:&quot;Pt0_5&quot;,&quot;Type&quot;:&quot;Solid&quot;,&quot;Visible&quot;:true},&quot;Left&quot;:{&quot;Color&quot;:{&quot;Key&quot;:&quot;Borders&quot;},&quot;BorderWeight&quot;:&quot;Pt0_5&quot;,&quot;Type&quot;:&quot;Solid&quot;,&quot;Visible&quot;:true},&quot;Top&quot;:{&quot;Color&quot;:{&quot;Key&quot;:&quot;Borders&quot;},&quot;BorderWeight&quot;:&quot;Pt0_5&quot;,&quot;Type&quot;:&quot;Solid&quot;,&quot;Visible&quot;:true},&quot;Right&quot;:{&quot;Color&quot;:{&quot;Key&quot;:&quot;Borders&quot;},&quot;BorderWeight&quot;:&quot;Pt0_5&quot;,&quot;Type&quot;:&quot;Solid&quot;,&quot;Visible&quot;:true},&quot;Bottom&quot;:{&quot;Color&quot;:{&quot;Key&quot;:&quot;Borders&quot;},&quot;BorderWeight&quot;:&quot;Pt0_5&quot;,&quot;Type&quot;:&quot;Solid&quot;,&quot;Visible&quot;:true}}},&quot;Ccs&quot;:{&quot;Borders&quot;:&quot;217, 217, 217&quot;,&quot;Shading&quot;:&quot;242, 242, 242&quot;,&quot;Text1&quot;:&quot;64, 64, 64&quot;,&quot;Text2&quot;:&quot;Black&quot;,&quot;Background&quot;:&quot;White&quot;},&quot;Cop&quot;:{&quot;FirstRow&quot;:true,&quot;BandedRows&quot;:true},&quot;Ia&quot;:0.0}"/>
      </w:tblPr>
      <w:tblGrid>
        <w:gridCol w:w="2802"/>
        <w:gridCol w:w="6826"/>
      </w:tblGrid>
      <w:tr w:rsidR="00791B56" w:rsidRPr="00791B56" w14:paraId="6C34EEF2" w14:textId="77777777" w:rsidTr="00B17CE1">
        <w:trPr>
          <w:cnfStyle w:val="100000000000" w:firstRow="1" w:lastRow="0" w:firstColumn="0" w:lastColumn="0" w:oddVBand="0" w:evenVBand="0" w:oddHBand="0" w:evenHBand="0" w:firstRowFirstColumn="0" w:firstRowLastColumn="0" w:lastRowFirstColumn="0" w:lastRowLastColumn="0"/>
          <w:tblHeader/>
        </w:trPr>
        <w:tc>
          <w:tcPr>
            <w:tcW w:w="1455" w:type="pct"/>
            <w:shd w:val="clear" w:color="auto" w:fill="5556A6"/>
            <w:vAlign w:val="top"/>
          </w:tcPr>
          <w:p w14:paraId="7E837675" w14:textId="05CD7AD1" w:rsidR="005E5090" w:rsidRPr="00791B56" w:rsidRDefault="00173530" w:rsidP="00791B56">
            <w:pPr>
              <w:pStyle w:val="Table-Heading"/>
              <w:rPr>
                <w:bCs/>
                <w:color w:val="FFFFFF" w:themeColor="background1"/>
              </w:rPr>
            </w:pPr>
            <w:r w:rsidRPr="00791B56">
              <w:rPr>
                <w:bCs/>
                <w:color w:val="FFFFFF" w:themeColor="background1"/>
              </w:rPr>
              <w:t>Term</w:t>
            </w:r>
          </w:p>
        </w:tc>
        <w:tc>
          <w:tcPr>
            <w:tcW w:w="3545" w:type="pct"/>
            <w:shd w:val="clear" w:color="auto" w:fill="5556A6"/>
            <w:vAlign w:val="top"/>
          </w:tcPr>
          <w:p w14:paraId="1464704D" w14:textId="4DB1995B" w:rsidR="005E5090" w:rsidRPr="00791B56" w:rsidRDefault="00173530" w:rsidP="00791B56">
            <w:pPr>
              <w:pStyle w:val="Table-Heading"/>
              <w:rPr>
                <w:bCs/>
                <w:color w:val="FFFFFF" w:themeColor="background1"/>
              </w:rPr>
            </w:pPr>
            <w:r w:rsidRPr="00791B56">
              <w:rPr>
                <w:bCs/>
                <w:color w:val="FFFFFF" w:themeColor="background1"/>
              </w:rPr>
              <w:t>Definition</w:t>
            </w:r>
          </w:p>
        </w:tc>
      </w:tr>
      <w:tr w:rsidR="00791B56" w:rsidRPr="00791B56" w14:paraId="698B5A4D"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541115BF" w14:textId="02D575AD" w:rsidR="005E5090" w:rsidRPr="00791B56" w:rsidRDefault="00D01AC5" w:rsidP="00791B56">
            <w:pPr>
              <w:pStyle w:val="Table-Text"/>
              <w:rPr>
                <w:rFonts w:cs="Arial"/>
              </w:rPr>
            </w:pPr>
            <w:r w:rsidRPr="00D01AC5">
              <w:rPr>
                <w:rFonts w:cs="Arial"/>
              </w:rPr>
              <w:t>BKSB</w:t>
            </w:r>
          </w:p>
        </w:tc>
        <w:tc>
          <w:tcPr>
            <w:tcW w:w="3545" w:type="pct"/>
            <w:vAlign w:val="top"/>
          </w:tcPr>
          <w:p w14:paraId="2E7C1701" w14:textId="3E1FABF3" w:rsidR="005E5090" w:rsidRPr="00791B56" w:rsidRDefault="00D01AC5" w:rsidP="00791B56">
            <w:pPr>
              <w:pStyle w:val="Table-Text"/>
              <w:rPr>
                <w:rFonts w:cs="Arial"/>
              </w:rPr>
            </w:pPr>
            <w:r w:rsidRPr="00D01AC5">
              <w:rPr>
                <w:rFonts w:cs="Arial"/>
              </w:rPr>
              <w:t>Basic Key Skills Builder</w:t>
            </w:r>
          </w:p>
        </w:tc>
      </w:tr>
      <w:tr w:rsidR="00775A29" w:rsidRPr="00791B56" w14:paraId="396EE12F" w14:textId="77777777" w:rsidTr="007D30B5">
        <w:tc>
          <w:tcPr>
            <w:tcW w:w="1455" w:type="pct"/>
            <w:vAlign w:val="top"/>
          </w:tcPr>
          <w:p w14:paraId="22142D1E" w14:textId="60384B1F" w:rsidR="005E5090" w:rsidRPr="00791B56" w:rsidRDefault="00D01AC5" w:rsidP="00791B56">
            <w:pPr>
              <w:pStyle w:val="Table-Text"/>
              <w:rPr>
                <w:rFonts w:cs="Arial"/>
              </w:rPr>
            </w:pPr>
            <w:r w:rsidRPr="00D01AC5">
              <w:rPr>
                <w:rFonts w:cs="Arial"/>
              </w:rPr>
              <w:t>BPD</w:t>
            </w:r>
          </w:p>
        </w:tc>
        <w:tc>
          <w:tcPr>
            <w:tcW w:w="3545" w:type="pct"/>
            <w:vAlign w:val="top"/>
          </w:tcPr>
          <w:p w14:paraId="7B139603" w14:textId="5A85B25E" w:rsidR="005E5090" w:rsidRPr="00791B56" w:rsidRDefault="00652115" w:rsidP="00791B56">
            <w:pPr>
              <w:pStyle w:val="Table-Text"/>
              <w:rPr>
                <w:rFonts w:cs="Arial"/>
              </w:rPr>
            </w:pPr>
            <w:r w:rsidRPr="00652115">
              <w:rPr>
                <w:rFonts w:cs="Arial"/>
              </w:rPr>
              <w:t>Borderline Personality Disorder</w:t>
            </w:r>
          </w:p>
        </w:tc>
      </w:tr>
      <w:tr w:rsidR="00791B56" w:rsidRPr="00791B56" w14:paraId="33D7C7D8"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6CCD5955" w14:textId="38704649" w:rsidR="005E5090" w:rsidRPr="00791B56" w:rsidRDefault="00652115" w:rsidP="00791B56">
            <w:pPr>
              <w:pStyle w:val="Table-Text"/>
              <w:rPr>
                <w:rFonts w:cs="Arial"/>
              </w:rPr>
            </w:pPr>
            <w:r w:rsidRPr="00652115">
              <w:rPr>
                <w:rFonts w:cs="Arial"/>
              </w:rPr>
              <w:t>CALD</w:t>
            </w:r>
          </w:p>
        </w:tc>
        <w:tc>
          <w:tcPr>
            <w:tcW w:w="3545" w:type="pct"/>
            <w:vAlign w:val="top"/>
          </w:tcPr>
          <w:p w14:paraId="1CE90E56" w14:textId="67569788" w:rsidR="005E5090" w:rsidRPr="00791B56" w:rsidRDefault="00652115" w:rsidP="00791B56">
            <w:pPr>
              <w:pStyle w:val="Table-Text"/>
              <w:rPr>
                <w:rFonts w:cs="Arial"/>
              </w:rPr>
            </w:pPr>
            <w:r w:rsidRPr="00652115">
              <w:rPr>
                <w:rFonts w:cs="Arial"/>
              </w:rPr>
              <w:t>Culturally and Linguistically Diverse</w:t>
            </w:r>
          </w:p>
        </w:tc>
      </w:tr>
      <w:tr w:rsidR="00775A29" w:rsidRPr="00791B56" w14:paraId="7DE4C4AB" w14:textId="77777777" w:rsidTr="007D30B5">
        <w:tc>
          <w:tcPr>
            <w:tcW w:w="1455" w:type="pct"/>
            <w:vAlign w:val="top"/>
          </w:tcPr>
          <w:p w14:paraId="781A71B2" w14:textId="05D3C0F4" w:rsidR="005E5090" w:rsidRPr="00791B56" w:rsidRDefault="00652115" w:rsidP="00791B56">
            <w:pPr>
              <w:pStyle w:val="Table-Text"/>
              <w:rPr>
                <w:rFonts w:cs="Arial"/>
              </w:rPr>
            </w:pPr>
            <w:r w:rsidRPr="00652115">
              <w:rPr>
                <w:rFonts w:cs="Arial"/>
              </w:rPr>
              <w:t>CBD</w:t>
            </w:r>
          </w:p>
        </w:tc>
        <w:tc>
          <w:tcPr>
            <w:tcW w:w="3545" w:type="pct"/>
            <w:vAlign w:val="top"/>
          </w:tcPr>
          <w:p w14:paraId="2988BDC4" w14:textId="4498E6F1" w:rsidR="005E5090" w:rsidRPr="00791B56" w:rsidRDefault="00652115" w:rsidP="00791B56">
            <w:pPr>
              <w:pStyle w:val="Table-Text"/>
              <w:rPr>
                <w:rFonts w:cs="Arial"/>
              </w:rPr>
            </w:pPr>
            <w:r w:rsidRPr="00652115">
              <w:rPr>
                <w:rFonts w:cs="Arial"/>
              </w:rPr>
              <w:t>Central business district</w:t>
            </w:r>
          </w:p>
        </w:tc>
      </w:tr>
      <w:tr w:rsidR="003D4D9D" w:rsidRPr="00791B56" w14:paraId="626BD552"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03CF9055" w14:textId="0FEA5AEE" w:rsidR="003D4D9D" w:rsidRPr="00791B56" w:rsidRDefault="00652115" w:rsidP="00652115">
            <w:pPr>
              <w:pStyle w:val="Table-Text"/>
              <w:rPr>
                <w:rFonts w:cs="Arial"/>
              </w:rPr>
            </w:pPr>
            <w:r w:rsidRPr="00652115">
              <w:rPr>
                <w:rFonts w:cs="Arial"/>
              </w:rPr>
              <w:t>CEO</w:t>
            </w:r>
          </w:p>
        </w:tc>
        <w:tc>
          <w:tcPr>
            <w:tcW w:w="3545" w:type="pct"/>
            <w:vAlign w:val="top"/>
          </w:tcPr>
          <w:p w14:paraId="4CE0AD79" w14:textId="24A02C6C" w:rsidR="003D4D9D" w:rsidRPr="00791B56" w:rsidRDefault="00ED5B3C" w:rsidP="00791B56">
            <w:pPr>
              <w:pStyle w:val="Table-Text"/>
              <w:rPr>
                <w:rFonts w:cs="Arial"/>
              </w:rPr>
            </w:pPr>
            <w:r w:rsidRPr="00ED5B3C">
              <w:rPr>
                <w:rFonts w:cs="Arial"/>
              </w:rPr>
              <w:t>Chief executive officer</w:t>
            </w:r>
          </w:p>
        </w:tc>
      </w:tr>
      <w:tr w:rsidR="00791B56" w:rsidRPr="00791B56" w14:paraId="38087D83" w14:textId="77777777" w:rsidTr="007D30B5">
        <w:tc>
          <w:tcPr>
            <w:tcW w:w="1455" w:type="pct"/>
            <w:vAlign w:val="top"/>
          </w:tcPr>
          <w:p w14:paraId="044651D1" w14:textId="6CD3A059" w:rsidR="005E5090" w:rsidRPr="00791B56" w:rsidRDefault="00ED5B3C" w:rsidP="00791B56">
            <w:pPr>
              <w:pStyle w:val="Table-Text"/>
              <w:rPr>
                <w:rFonts w:cs="Arial"/>
              </w:rPr>
            </w:pPr>
            <w:r w:rsidRPr="00ED5B3C">
              <w:rPr>
                <w:rFonts w:cs="Arial"/>
              </w:rPr>
              <w:t>DASS 21</w:t>
            </w:r>
          </w:p>
        </w:tc>
        <w:tc>
          <w:tcPr>
            <w:tcW w:w="3545" w:type="pct"/>
            <w:vAlign w:val="top"/>
          </w:tcPr>
          <w:p w14:paraId="18BD7A46" w14:textId="187A6542" w:rsidR="005E5090" w:rsidRPr="00791B56" w:rsidRDefault="00ED5B3C" w:rsidP="00791B56">
            <w:pPr>
              <w:pStyle w:val="Table-Text"/>
              <w:rPr>
                <w:rFonts w:cs="Arial"/>
              </w:rPr>
            </w:pPr>
            <w:r w:rsidRPr="00ED5B3C">
              <w:rPr>
                <w:rFonts w:cs="Arial"/>
              </w:rPr>
              <w:t>Depression Anxiety Stress Scales 21</w:t>
            </w:r>
          </w:p>
        </w:tc>
      </w:tr>
      <w:tr w:rsidR="00775A29" w:rsidRPr="00791B56" w14:paraId="6C5E7B88"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38C3D944" w14:textId="7F00069D" w:rsidR="005E5090" w:rsidRPr="00791B56" w:rsidRDefault="00ED5B3C" w:rsidP="00791B56">
            <w:pPr>
              <w:pStyle w:val="Table-Text"/>
              <w:rPr>
                <w:rFonts w:cs="Arial"/>
              </w:rPr>
            </w:pPr>
            <w:r w:rsidRPr="00ED5B3C">
              <w:rPr>
                <w:rFonts w:cs="Arial"/>
              </w:rPr>
              <w:t>DET</w:t>
            </w:r>
          </w:p>
        </w:tc>
        <w:tc>
          <w:tcPr>
            <w:tcW w:w="3545" w:type="pct"/>
            <w:vAlign w:val="top"/>
          </w:tcPr>
          <w:p w14:paraId="4C72D4E7" w14:textId="662CEC37" w:rsidR="005E5090" w:rsidRPr="00791B56" w:rsidRDefault="00ED5B3C" w:rsidP="00791B56">
            <w:pPr>
              <w:pStyle w:val="Table-Text"/>
              <w:rPr>
                <w:rFonts w:cs="Arial"/>
              </w:rPr>
            </w:pPr>
            <w:r w:rsidRPr="00ED5B3C">
              <w:rPr>
                <w:rFonts w:cs="Arial"/>
              </w:rPr>
              <w:t>Department of Education and Training</w:t>
            </w:r>
          </w:p>
        </w:tc>
      </w:tr>
      <w:tr w:rsidR="00791B56" w:rsidRPr="00791B56" w14:paraId="7B4B137B" w14:textId="77777777" w:rsidTr="007D30B5">
        <w:tc>
          <w:tcPr>
            <w:tcW w:w="1455" w:type="pct"/>
            <w:vAlign w:val="top"/>
          </w:tcPr>
          <w:p w14:paraId="318D07C4" w14:textId="528C473F" w:rsidR="00173530" w:rsidRPr="00791B56" w:rsidRDefault="00ED5B3C" w:rsidP="00791B56">
            <w:pPr>
              <w:pStyle w:val="Table-Text"/>
              <w:rPr>
                <w:rFonts w:cs="Arial"/>
              </w:rPr>
            </w:pPr>
            <w:r w:rsidRPr="00ED5B3C">
              <w:rPr>
                <w:rFonts w:cs="Arial"/>
              </w:rPr>
              <w:t>DFFH</w:t>
            </w:r>
          </w:p>
        </w:tc>
        <w:tc>
          <w:tcPr>
            <w:tcW w:w="3545" w:type="pct"/>
            <w:vAlign w:val="top"/>
          </w:tcPr>
          <w:p w14:paraId="0A6FBA4F" w14:textId="1BCFFC25" w:rsidR="00173530" w:rsidRPr="00791B56" w:rsidRDefault="00D00600" w:rsidP="00791B56">
            <w:pPr>
              <w:pStyle w:val="Table-Text"/>
              <w:rPr>
                <w:rFonts w:cs="Arial"/>
              </w:rPr>
            </w:pPr>
            <w:r w:rsidRPr="00D00600">
              <w:rPr>
                <w:rFonts w:cs="Arial"/>
              </w:rPr>
              <w:t>Department of Families, Fairness and Housing</w:t>
            </w:r>
          </w:p>
        </w:tc>
      </w:tr>
      <w:tr w:rsidR="00791B56" w:rsidRPr="00791B56" w14:paraId="28EEEEB4"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6C68FFC5" w14:textId="35DC062A" w:rsidR="00173530" w:rsidRPr="00791B56" w:rsidRDefault="009B57D8" w:rsidP="00791B56">
            <w:pPr>
              <w:pStyle w:val="Table-Text"/>
              <w:rPr>
                <w:rFonts w:cs="Arial"/>
              </w:rPr>
            </w:pPr>
            <w:r w:rsidRPr="009B57D8">
              <w:rPr>
                <w:rFonts w:cs="Arial"/>
              </w:rPr>
              <w:t>DHHS</w:t>
            </w:r>
          </w:p>
        </w:tc>
        <w:tc>
          <w:tcPr>
            <w:tcW w:w="3545" w:type="pct"/>
            <w:vAlign w:val="top"/>
          </w:tcPr>
          <w:p w14:paraId="13290D46" w14:textId="415F69FA" w:rsidR="00173530" w:rsidRPr="00791B56" w:rsidRDefault="009B57D8" w:rsidP="00791B56">
            <w:pPr>
              <w:pStyle w:val="Table-Text"/>
              <w:rPr>
                <w:rFonts w:cs="Arial"/>
              </w:rPr>
            </w:pPr>
            <w:r w:rsidRPr="009B57D8">
              <w:rPr>
                <w:rFonts w:cs="Arial"/>
              </w:rPr>
              <w:t>Department of Health and Human Services</w:t>
            </w:r>
          </w:p>
        </w:tc>
      </w:tr>
      <w:tr w:rsidR="00791B56" w:rsidRPr="00791B56" w14:paraId="21B8C8EF" w14:textId="77777777" w:rsidTr="007D30B5">
        <w:tc>
          <w:tcPr>
            <w:tcW w:w="1455" w:type="pct"/>
            <w:vAlign w:val="top"/>
          </w:tcPr>
          <w:p w14:paraId="24E18B75" w14:textId="453D9A3A" w:rsidR="00173530" w:rsidRPr="00791B56" w:rsidRDefault="009B57D8" w:rsidP="00791B56">
            <w:pPr>
              <w:pStyle w:val="Table-Text"/>
              <w:rPr>
                <w:rFonts w:cs="Arial"/>
              </w:rPr>
            </w:pPr>
            <w:r w:rsidRPr="009B57D8">
              <w:rPr>
                <w:rFonts w:cs="Arial"/>
              </w:rPr>
              <w:t>DPC</w:t>
            </w:r>
          </w:p>
        </w:tc>
        <w:tc>
          <w:tcPr>
            <w:tcW w:w="3545" w:type="pct"/>
            <w:vAlign w:val="top"/>
          </w:tcPr>
          <w:p w14:paraId="7BAFC8D7" w14:textId="7900FC60" w:rsidR="00173530" w:rsidRPr="00791B56" w:rsidRDefault="009B57D8" w:rsidP="00791B56">
            <w:pPr>
              <w:pStyle w:val="Table-Text"/>
              <w:rPr>
                <w:rFonts w:cs="Arial"/>
              </w:rPr>
            </w:pPr>
            <w:r w:rsidRPr="009B57D8">
              <w:rPr>
                <w:rFonts w:cs="Arial"/>
              </w:rPr>
              <w:t>Department of Premier and Cabinet</w:t>
            </w:r>
          </w:p>
        </w:tc>
      </w:tr>
      <w:tr w:rsidR="00791B56" w:rsidRPr="00791B56" w14:paraId="7249450B"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395D0DFD" w14:textId="1BBA0CEA" w:rsidR="00173530" w:rsidRPr="00791B56" w:rsidRDefault="009B57D8" w:rsidP="00791B56">
            <w:pPr>
              <w:pStyle w:val="Table-Text"/>
              <w:rPr>
                <w:rFonts w:cs="Arial"/>
              </w:rPr>
            </w:pPr>
            <w:r w:rsidRPr="009B57D8">
              <w:rPr>
                <w:rFonts w:cs="Arial"/>
              </w:rPr>
              <w:t>DTF</w:t>
            </w:r>
          </w:p>
        </w:tc>
        <w:tc>
          <w:tcPr>
            <w:tcW w:w="3545" w:type="pct"/>
            <w:vAlign w:val="top"/>
          </w:tcPr>
          <w:p w14:paraId="41EE6945" w14:textId="6ED7B3D2" w:rsidR="00173530" w:rsidRPr="00791B56" w:rsidRDefault="009B57D8" w:rsidP="00791B56">
            <w:pPr>
              <w:pStyle w:val="Table-Text"/>
              <w:rPr>
                <w:rFonts w:cs="Arial"/>
              </w:rPr>
            </w:pPr>
            <w:r w:rsidRPr="009B57D8">
              <w:rPr>
                <w:rFonts w:cs="Arial"/>
              </w:rPr>
              <w:t>Department</w:t>
            </w:r>
            <w:r>
              <w:rPr>
                <w:rFonts w:cs="Arial"/>
              </w:rPr>
              <w:t xml:space="preserve"> </w:t>
            </w:r>
            <w:r w:rsidRPr="009B57D8">
              <w:rPr>
                <w:rFonts w:cs="Arial"/>
              </w:rPr>
              <w:t>of Treasury and Finance</w:t>
            </w:r>
          </w:p>
        </w:tc>
      </w:tr>
      <w:tr w:rsidR="00791B56" w:rsidRPr="00791B56" w14:paraId="1E89059B" w14:textId="77777777" w:rsidTr="007D30B5">
        <w:tc>
          <w:tcPr>
            <w:tcW w:w="1455" w:type="pct"/>
            <w:vAlign w:val="top"/>
          </w:tcPr>
          <w:p w14:paraId="599893CD" w14:textId="50EE39E4" w:rsidR="00173530" w:rsidRPr="00791B56" w:rsidRDefault="002132CA" w:rsidP="00791B56">
            <w:pPr>
              <w:pStyle w:val="Table-Text"/>
              <w:rPr>
                <w:rFonts w:cs="Arial"/>
              </w:rPr>
            </w:pPr>
            <w:r w:rsidRPr="002132CA">
              <w:rPr>
                <w:rFonts w:cs="Arial"/>
              </w:rPr>
              <w:t>FTE</w:t>
            </w:r>
          </w:p>
        </w:tc>
        <w:tc>
          <w:tcPr>
            <w:tcW w:w="3545" w:type="pct"/>
            <w:vAlign w:val="top"/>
          </w:tcPr>
          <w:p w14:paraId="4D6B0AC5" w14:textId="5E243C1C" w:rsidR="00173530" w:rsidRPr="00791B56" w:rsidRDefault="0096321E" w:rsidP="00791B56">
            <w:pPr>
              <w:pStyle w:val="Table-Text"/>
              <w:rPr>
                <w:rFonts w:cs="Arial"/>
              </w:rPr>
            </w:pPr>
            <w:r w:rsidRPr="0096321E">
              <w:rPr>
                <w:rFonts w:cs="Arial"/>
              </w:rPr>
              <w:t>Full time equivalent</w:t>
            </w:r>
          </w:p>
        </w:tc>
      </w:tr>
      <w:tr w:rsidR="00791B56" w:rsidRPr="00791B56" w14:paraId="5DEB8B71"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4C8B6A55" w14:textId="3E8AA44F" w:rsidR="00173530" w:rsidRPr="00791B56" w:rsidRDefault="0096321E" w:rsidP="00791B56">
            <w:pPr>
              <w:pStyle w:val="Table-Text"/>
              <w:rPr>
                <w:rFonts w:cs="Arial"/>
              </w:rPr>
            </w:pPr>
            <w:r w:rsidRPr="0096321E">
              <w:rPr>
                <w:rFonts w:cs="Arial"/>
              </w:rPr>
              <w:t>HEAT</w:t>
            </w:r>
          </w:p>
        </w:tc>
        <w:tc>
          <w:tcPr>
            <w:tcW w:w="3545" w:type="pct"/>
            <w:vAlign w:val="top"/>
          </w:tcPr>
          <w:p w14:paraId="1B7B229C" w14:textId="590386AA" w:rsidR="00173530" w:rsidRPr="00791B56" w:rsidRDefault="0096321E" w:rsidP="00791B56">
            <w:pPr>
              <w:pStyle w:val="Table-Text"/>
              <w:rPr>
                <w:rFonts w:cs="Arial"/>
              </w:rPr>
            </w:pPr>
            <w:r w:rsidRPr="0096321E">
              <w:rPr>
                <w:rFonts w:cs="Arial"/>
              </w:rPr>
              <w:t>Hospitality Employment and Training</w:t>
            </w:r>
          </w:p>
        </w:tc>
      </w:tr>
      <w:tr w:rsidR="00791B56" w:rsidRPr="00791B56" w14:paraId="626891DC" w14:textId="77777777" w:rsidTr="007D30B5">
        <w:tc>
          <w:tcPr>
            <w:tcW w:w="1455" w:type="pct"/>
            <w:vAlign w:val="top"/>
          </w:tcPr>
          <w:p w14:paraId="065018B5" w14:textId="5DE42F0C" w:rsidR="00173530" w:rsidRPr="00791B56" w:rsidRDefault="0096321E" w:rsidP="00791B56">
            <w:pPr>
              <w:pStyle w:val="Table-Text"/>
              <w:rPr>
                <w:rFonts w:cs="Arial"/>
              </w:rPr>
            </w:pPr>
            <w:r w:rsidRPr="0096321E">
              <w:rPr>
                <w:rFonts w:cs="Arial"/>
              </w:rPr>
              <w:t>HHA</w:t>
            </w:r>
          </w:p>
        </w:tc>
        <w:tc>
          <w:tcPr>
            <w:tcW w:w="3545" w:type="pct"/>
            <w:vAlign w:val="top"/>
          </w:tcPr>
          <w:p w14:paraId="49D0981E" w14:textId="18E0FADF" w:rsidR="00173530" w:rsidRPr="00791B56" w:rsidRDefault="005319A0" w:rsidP="00791B56">
            <w:pPr>
              <w:pStyle w:val="Table-Text"/>
              <w:rPr>
                <w:rFonts w:cs="Arial"/>
              </w:rPr>
            </w:pPr>
            <w:r w:rsidRPr="005319A0">
              <w:rPr>
                <w:rFonts w:cs="Arial"/>
              </w:rPr>
              <w:t>Hester Hornbrook Academy</w:t>
            </w:r>
          </w:p>
        </w:tc>
      </w:tr>
      <w:tr w:rsidR="00791B56" w:rsidRPr="00791B56" w14:paraId="53CEF26D"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41D78D41" w14:textId="3BFA50B2" w:rsidR="00173530" w:rsidRPr="00791B56" w:rsidRDefault="005319A0" w:rsidP="00791B56">
            <w:pPr>
              <w:pStyle w:val="Table-Text"/>
              <w:rPr>
                <w:rFonts w:cs="Arial"/>
              </w:rPr>
            </w:pPr>
            <w:r w:rsidRPr="005319A0">
              <w:rPr>
                <w:rFonts w:cs="Arial"/>
              </w:rPr>
              <w:t>IA</w:t>
            </w:r>
          </w:p>
        </w:tc>
        <w:tc>
          <w:tcPr>
            <w:tcW w:w="3545" w:type="pct"/>
            <w:vAlign w:val="top"/>
          </w:tcPr>
          <w:p w14:paraId="0552C7FD" w14:textId="5F963B61" w:rsidR="00173530" w:rsidRPr="00791B56" w:rsidRDefault="005319A0" w:rsidP="00791B56">
            <w:pPr>
              <w:pStyle w:val="Table-Text"/>
              <w:rPr>
                <w:rFonts w:cs="Arial"/>
              </w:rPr>
            </w:pPr>
            <w:r w:rsidRPr="005319A0">
              <w:rPr>
                <w:rFonts w:cs="Arial"/>
              </w:rPr>
              <w:t>Implementation Agreement</w:t>
            </w:r>
          </w:p>
        </w:tc>
      </w:tr>
      <w:tr w:rsidR="00791B56" w:rsidRPr="00791B56" w14:paraId="114AC623" w14:textId="77777777" w:rsidTr="007D30B5">
        <w:tc>
          <w:tcPr>
            <w:tcW w:w="1455" w:type="pct"/>
            <w:vAlign w:val="top"/>
          </w:tcPr>
          <w:p w14:paraId="0E4EB526" w14:textId="513F071A" w:rsidR="00173530" w:rsidRPr="00791B56" w:rsidRDefault="005319A0" w:rsidP="00791B56">
            <w:pPr>
              <w:pStyle w:val="Table-Text"/>
              <w:rPr>
                <w:rFonts w:cs="Arial"/>
              </w:rPr>
            </w:pPr>
            <w:r w:rsidRPr="005319A0">
              <w:rPr>
                <w:rFonts w:cs="Arial"/>
              </w:rPr>
              <w:t>IEP</w:t>
            </w:r>
          </w:p>
        </w:tc>
        <w:tc>
          <w:tcPr>
            <w:tcW w:w="3545" w:type="pct"/>
            <w:vAlign w:val="top"/>
          </w:tcPr>
          <w:p w14:paraId="7C883AF5" w14:textId="2B17573E" w:rsidR="00173530" w:rsidRPr="00791B56" w:rsidRDefault="005319A0" w:rsidP="00791B56">
            <w:pPr>
              <w:pStyle w:val="Table-Text"/>
              <w:rPr>
                <w:rFonts w:cs="Arial"/>
              </w:rPr>
            </w:pPr>
            <w:r w:rsidRPr="005319A0">
              <w:rPr>
                <w:rFonts w:cs="Arial"/>
              </w:rPr>
              <w:t>Individual Education Plan</w:t>
            </w:r>
          </w:p>
        </w:tc>
      </w:tr>
      <w:tr w:rsidR="00791B56" w:rsidRPr="00791B56" w14:paraId="32BAA834"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1C51C001" w14:textId="3C4D19D9" w:rsidR="00ED0F84" w:rsidRPr="00791B56" w:rsidRDefault="005319A0" w:rsidP="00791B56">
            <w:pPr>
              <w:pStyle w:val="Table-Text"/>
              <w:rPr>
                <w:rFonts w:cs="Arial"/>
              </w:rPr>
            </w:pPr>
            <w:r w:rsidRPr="005319A0">
              <w:rPr>
                <w:rFonts w:cs="Arial"/>
              </w:rPr>
              <w:t>IER</w:t>
            </w:r>
          </w:p>
        </w:tc>
        <w:tc>
          <w:tcPr>
            <w:tcW w:w="3545" w:type="pct"/>
            <w:vAlign w:val="top"/>
          </w:tcPr>
          <w:p w14:paraId="073FB976" w14:textId="6BEC04C6" w:rsidR="00ED0F84" w:rsidRPr="00791B56" w:rsidRDefault="005319A0" w:rsidP="00791B56">
            <w:pPr>
              <w:pStyle w:val="Table-Text"/>
              <w:rPr>
                <w:rFonts w:cs="Arial"/>
              </w:rPr>
            </w:pPr>
            <w:r w:rsidRPr="005319A0">
              <w:rPr>
                <w:rFonts w:cs="Arial"/>
              </w:rPr>
              <w:t>Initial Engagement Review</w:t>
            </w:r>
          </w:p>
        </w:tc>
      </w:tr>
      <w:tr w:rsidR="00791B56" w:rsidRPr="00791B56" w14:paraId="77EC7925" w14:textId="77777777" w:rsidTr="007D30B5">
        <w:tc>
          <w:tcPr>
            <w:tcW w:w="1455" w:type="pct"/>
            <w:vAlign w:val="top"/>
          </w:tcPr>
          <w:p w14:paraId="726619BE" w14:textId="2053B60B" w:rsidR="00ED0F84" w:rsidRPr="00791B56" w:rsidRDefault="005319A0" w:rsidP="00791B56">
            <w:pPr>
              <w:pStyle w:val="Table-Text"/>
              <w:rPr>
                <w:rFonts w:cs="Arial"/>
              </w:rPr>
            </w:pPr>
            <w:r w:rsidRPr="005319A0">
              <w:rPr>
                <w:rFonts w:cs="Arial"/>
              </w:rPr>
              <w:t>JWG</w:t>
            </w:r>
          </w:p>
        </w:tc>
        <w:tc>
          <w:tcPr>
            <w:tcW w:w="3545" w:type="pct"/>
            <w:vAlign w:val="top"/>
          </w:tcPr>
          <w:p w14:paraId="51F67B7E" w14:textId="22B2B11B" w:rsidR="00ED0F84" w:rsidRPr="00791B56" w:rsidRDefault="00BE5897" w:rsidP="00791B56">
            <w:pPr>
              <w:pStyle w:val="Table-Text"/>
              <w:rPr>
                <w:rFonts w:cs="Arial"/>
              </w:rPr>
            </w:pPr>
            <w:r w:rsidRPr="00BE5897">
              <w:rPr>
                <w:rFonts w:cs="Arial"/>
              </w:rPr>
              <w:t>Joint Working Group</w:t>
            </w:r>
          </w:p>
        </w:tc>
      </w:tr>
      <w:tr w:rsidR="00791B56" w:rsidRPr="00791B56" w14:paraId="575740CC"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637FC15B" w14:textId="63B724C4" w:rsidR="00ED0F84" w:rsidRPr="00791B56" w:rsidRDefault="00BE5897" w:rsidP="00791B56">
            <w:pPr>
              <w:pStyle w:val="Table-Text"/>
              <w:rPr>
                <w:rFonts w:cs="Arial"/>
              </w:rPr>
            </w:pPr>
            <w:r w:rsidRPr="00BE5897">
              <w:rPr>
                <w:rFonts w:cs="Arial"/>
              </w:rPr>
              <w:t>KEQ</w:t>
            </w:r>
          </w:p>
        </w:tc>
        <w:tc>
          <w:tcPr>
            <w:tcW w:w="3545" w:type="pct"/>
            <w:vAlign w:val="top"/>
          </w:tcPr>
          <w:p w14:paraId="3729BD7D" w14:textId="2030E0D0" w:rsidR="00ED0F84" w:rsidRPr="00791B56" w:rsidRDefault="00BE5897" w:rsidP="00791B56">
            <w:pPr>
              <w:pStyle w:val="Table-Text"/>
              <w:rPr>
                <w:rFonts w:cs="Arial"/>
              </w:rPr>
            </w:pPr>
            <w:r w:rsidRPr="00BE5897">
              <w:rPr>
                <w:rFonts w:cs="Arial"/>
              </w:rPr>
              <w:t>Key evaluation question</w:t>
            </w:r>
          </w:p>
        </w:tc>
      </w:tr>
      <w:tr w:rsidR="00791B56" w:rsidRPr="00791B56" w14:paraId="1E6DEEF8" w14:textId="77777777" w:rsidTr="007D30B5">
        <w:tc>
          <w:tcPr>
            <w:tcW w:w="1455" w:type="pct"/>
            <w:vAlign w:val="top"/>
          </w:tcPr>
          <w:p w14:paraId="0C880A5C" w14:textId="07B505FE" w:rsidR="00ED0F84" w:rsidRPr="00791B56" w:rsidRDefault="00BE5897" w:rsidP="00791B56">
            <w:pPr>
              <w:pStyle w:val="Table-Text"/>
              <w:rPr>
                <w:rFonts w:cs="Arial"/>
              </w:rPr>
            </w:pPr>
            <w:r w:rsidRPr="00BE5897">
              <w:rPr>
                <w:rFonts w:cs="Arial"/>
              </w:rPr>
              <w:t>MCM</w:t>
            </w:r>
          </w:p>
        </w:tc>
        <w:tc>
          <w:tcPr>
            <w:tcW w:w="3545" w:type="pct"/>
            <w:vAlign w:val="top"/>
          </w:tcPr>
          <w:p w14:paraId="5A021F0C" w14:textId="57B547F4" w:rsidR="00ED0F84" w:rsidRPr="00791B56" w:rsidRDefault="00BE5897" w:rsidP="00791B56">
            <w:pPr>
              <w:pStyle w:val="Table-Text"/>
              <w:rPr>
                <w:rFonts w:cs="Arial"/>
              </w:rPr>
            </w:pPr>
            <w:r w:rsidRPr="00BE5897">
              <w:rPr>
                <w:rFonts w:cs="Arial"/>
              </w:rPr>
              <w:t>Melbourne City Mission</w:t>
            </w:r>
          </w:p>
        </w:tc>
      </w:tr>
      <w:tr w:rsidR="00791B56" w:rsidRPr="00791B56" w14:paraId="5AEC923E"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5131F95D" w14:textId="07646799" w:rsidR="00ED0F84" w:rsidRPr="00791B56" w:rsidRDefault="00BE5897" w:rsidP="00791B56">
            <w:pPr>
              <w:pStyle w:val="Table-Text"/>
              <w:rPr>
                <w:rFonts w:cs="Arial"/>
              </w:rPr>
            </w:pPr>
            <w:r w:rsidRPr="00BE5897">
              <w:rPr>
                <w:rFonts w:cs="Arial"/>
              </w:rPr>
              <w:t>NCCD</w:t>
            </w:r>
          </w:p>
        </w:tc>
        <w:tc>
          <w:tcPr>
            <w:tcW w:w="3545" w:type="pct"/>
            <w:vAlign w:val="top"/>
          </w:tcPr>
          <w:p w14:paraId="05384646" w14:textId="466F1421" w:rsidR="00ED0F84" w:rsidRPr="00791B56" w:rsidRDefault="00525FE2" w:rsidP="00791B56">
            <w:pPr>
              <w:pStyle w:val="Table-Text"/>
              <w:rPr>
                <w:rFonts w:cs="Arial"/>
              </w:rPr>
            </w:pPr>
            <w:r w:rsidRPr="00525FE2">
              <w:rPr>
                <w:rFonts w:cs="Arial"/>
              </w:rPr>
              <w:t>National Consistent Collection of Data</w:t>
            </w:r>
          </w:p>
        </w:tc>
      </w:tr>
      <w:tr w:rsidR="00791B56" w:rsidRPr="00791B56" w14:paraId="054F3A50" w14:textId="77777777" w:rsidTr="007D30B5">
        <w:tc>
          <w:tcPr>
            <w:tcW w:w="1455" w:type="pct"/>
            <w:vAlign w:val="top"/>
          </w:tcPr>
          <w:p w14:paraId="0423496D" w14:textId="29B23B28" w:rsidR="00ED0F84" w:rsidRPr="00791B56" w:rsidRDefault="00525FE2" w:rsidP="00791B56">
            <w:pPr>
              <w:pStyle w:val="Table-Text"/>
              <w:rPr>
                <w:rFonts w:cs="Arial"/>
              </w:rPr>
            </w:pPr>
            <w:r w:rsidRPr="00525FE2">
              <w:rPr>
                <w:rFonts w:cs="Arial"/>
              </w:rPr>
              <w:t>NEET</w:t>
            </w:r>
          </w:p>
        </w:tc>
        <w:tc>
          <w:tcPr>
            <w:tcW w:w="3545" w:type="pct"/>
            <w:vAlign w:val="top"/>
          </w:tcPr>
          <w:p w14:paraId="58C47F29" w14:textId="4088CD8A" w:rsidR="00ED0F84" w:rsidRPr="00791B56" w:rsidRDefault="00525FE2" w:rsidP="00791B56">
            <w:pPr>
              <w:pStyle w:val="Table-Text"/>
              <w:rPr>
                <w:rFonts w:cs="Arial"/>
              </w:rPr>
            </w:pPr>
            <w:r w:rsidRPr="00525FE2">
              <w:rPr>
                <w:rFonts w:cs="Arial"/>
              </w:rPr>
              <w:t xml:space="preserve">Not in employment, </w:t>
            </w:r>
            <w:proofErr w:type="gramStart"/>
            <w:r w:rsidRPr="00525FE2">
              <w:rPr>
                <w:rFonts w:cs="Arial"/>
              </w:rPr>
              <w:t>education</w:t>
            </w:r>
            <w:proofErr w:type="gramEnd"/>
            <w:r w:rsidRPr="00525FE2">
              <w:rPr>
                <w:rFonts w:cs="Arial"/>
              </w:rPr>
              <w:t xml:space="preserve"> or training</w:t>
            </w:r>
          </w:p>
        </w:tc>
      </w:tr>
      <w:tr w:rsidR="00791B56" w:rsidRPr="00791B56" w14:paraId="33FAF202"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36C71F20" w14:textId="5F3D37DA" w:rsidR="00ED0F84" w:rsidRPr="00791B56" w:rsidRDefault="00525FE2" w:rsidP="00791B56">
            <w:pPr>
              <w:pStyle w:val="Table-Text"/>
              <w:rPr>
                <w:rFonts w:cs="Arial"/>
              </w:rPr>
            </w:pPr>
            <w:r w:rsidRPr="00525FE2">
              <w:rPr>
                <w:rFonts w:cs="Arial"/>
              </w:rPr>
              <w:t>NWI</w:t>
            </w:r>
          </w:p>
        </w:tc>
        <w:tc>
          <w:tcPr>
            <w:tcW w:w="3545" w:type="pct"/>
            <w:vAlign w:val="top"/>
          </w:tcPr>
          <w:p w14:paraId="1001E6AB" w14:textId="1FC3207D" w:rsidR="00ED0F84" w:rsidRPr="00791B56" w:rsidRDefault="00525FE2" w:rsidP="00791B56">
            <w:pPr>
              <w:pStyle w:val="Table-Text"/>
              <w:rPr>
                <w:rFonts w:cs="Arial"/>
              </w:rPr>
            </w:pPr>
            <w:r w:rsidRPr="00525FE2">
              <w:rPr>
                <w:rFonts w:cs="Arial"/>
              </w:rPr>
              <w:t>National Wraparound Initiative</w:t>
            </w:r>
          </w:p>
        </w:tc>
      </w:tr>
      <w:tr w:rsidR="00791B56" w:rsidRPr="00791B56" w14:paraId="623062DA" w14:textId="77777777" w:rsidTr="007D30B5">
        <w:tc>
          <w:tcPr>
            <w:tcW w:w="1455" w:type="pct"/>
            <w:vAlign w:val="top"/>
          </w:tcPr>
          <w:p w14:paraId="20D4BFBB" w14:textId="1CD0B909" w:rsidR="001406D2" w:rsidRPr="00791B56" w:rsidRDefault="00525FE2" w:rsidP="00791B56">
            <w:pPr>
              <w:pStyle w:val="Table-Text"/>
              <w:rPr>
                <w:rFonts w:cs="Arial"/>
              </w:rPr>
            </w:pPr>
            <w:r w:rsidRPr="00525FE2">
              <w:rPr>
                <w:rFonts w:cs="Arial"/>
              </w:rPr>
              <w:t>OOHC</w:t>
            </w:r>
          </w:p>
        </w:tc>
        <w:tc>
          <w:tcPr>
            <w:tcW w:w="3545" w:type="pct"/>
            <w:vAlign w:val="top"/>
          </w:tcPr>
          <w:p w14:paraId="1CCC3C42" w14:textId="62299908" w:rsidR="001406D2" w:rsidRPr="00791B56" w:rsidRDefault="00525FE2" w:rsidP="00791B56">
            <w:pPr>
              <w:pStyle w:val="Table-Text"/>
              <w:rPr>
                <w:rFonts w:cs="Arial"/>
              </w:rPr>
            </w:pPr>
            <w:r w:rsidRPr="00525FE2">
              <w:rPr>
                <w:rFonts w:cs="Arial"/>
              </w:rPr>
              <w:t>Out-of-home care</w:t>
            </w:r>
          </w:p>
        </w:tc>
      </w:tr>
      <w:tr w:rsidR="00791B56" w:rsidRPr="00791B56" w14:paraId="1A03A4BF"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24F8CB05" w14:textId="231736F8" w:rsidR="001406D2" w:rsidRPr="00791B56" w:rsidRDefault="00525FE2" w:rsidP="00791B56">
            <w:pPr>
              <w:pStyle w:val="Table-Text"/>
              <w:rPr>
                <w:rFonts w:cs="Arial"/>
              </w:rPr>
            </w:pPr>
            <w:r w:rsidRPr="00525FE2">
              <w:rPr>
                <w:rFonts w:cs="Arial"/>
              </w:rPr>
              <w:t>OWG</w:t>
            </w:r>
          </w:p>
        </w:tc>
        <w:tc>
          <w:tcPr>
            <w:tcW w:w="3545" w:type="pct"/>
            <w:vAlign w:val="top"/>
          </w:tcPr>
          <w:p w14:paraId="77913DFA" w14:textId="1B7DE333" w:rsidR="001406D2" w:rsidRPr="00791B56" w:rsidRDefault="000C00B2" w:rsidP="00791B56">
            <w:pPr>
              <w:pStyle w:val="Table-Text"/>
              <w:rPr>
                <w:rFonts w:cs="Arial"/>
              </w:rPr>
            </w:pPr>
            <w:r w:rsidRPr="000C00B2">
              <w:rPr>
                <w:rFonts w:cs="Arial"/>
              </w:rPr>
              <w:t>Operational Working Group</w:t>
            </w:r>
          </w:p>
        </w:tc>
      </w:tr>
      <w:tr w:rsidR="00791B56" w:rsidRPr="00791B56" w14:paraId="5004DA41" w14:textId="77777777" w:rsidTr="007D30B5">
        <w:tc>
          <w:tcPr>
            <w:tcW w:w="1455" w:type="pct"/>
            <w:vAlign w:val="top"/>
          </w:tcPr>
          <w:p w14:paraId="2B4A6EB1" w14:textId="33F7D2AE" w:rsidR="0023443B" w:rsidRPr="00791B56" w:rsidRDefault="000C00B2" w:rsidP="00791B56">
            <w:pPr>
              <w:pStyle w:val="Table-Text"/>
              <w:rPr>
                <w:rFonts w:cs="Arial"/>
              </w:rPr>
            </w:pPr>
            <w:r w:rsidRPr="000C00B2">
              <w:rPr>
                <w:rFonts w:cs="Arial"/>
              </w:rPr>
              <w:t>PAD</w:t>
            </w:r>
          </w:p>
        </w:tc>
        <w:tc>
          <w:tcPr>
            <w:tcW w:w="3545" w:type="pct"/>
            <w:vAlign w:val="top"/>
          </w:tcPr>
          <w:p w14:paraId="61854069" w14:textId="0DEB1E5E" w:rsidR="0023443B" w:rsidRPr="00791B56" w:rsidRDefault="000C00B2" w:rsidP="00791B56">
            <w:pPr>
              <w:pStyle w:val="Table-Text"/>
              <w:rPr>
                <w:rFonts w:cs="Arial"/>
              </w:rPr>
            </w:pPr>
            <w:r w:rsidRPr="000C00B2">
              <w:rPr>
                <w:rFonts w:cs="Arial"/>
              </w:rPr>
              <w:t>Partnership Addressing Disadvantage</w:t>
            </w:r>
          </w:p>
        </w:tc>
      </w:tr>
      <w:tr w:rsidR="003777DB" w:rsidRPr="00A21EEE" w14:paraId="762A4F3A"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11003068" w14:textId="78A9733D" w:rsidR="003777DB" w:rsidRPr="00791B56" w:rsidRDefault="000C00B2" w:rsidP="00791B56">
            <w:pPr>
              <w:pStyle w:val="Table-Text"/>
              <w:rPr>
                <w:rFonts w:cs="Arial"/>
              </w:rPr>
            </w:pPr>
            <w:r w:rsidRPr="000C00B2">
              <w:rPr>
                <w:rFonts w:cs="Arial"/>
              </w:rPr>
              <w:t>PTSD</w:t>
            </w:r>
          </w:p>
        </w:tc>
        <w:tc>
          <w:tcPr>
            <w:tcW w:w="3545" w:type="pct"/>
            <w:vAlign w:val="top"/>
          </w:tcPr>
          <w:p w14:paraId="4F4DC924" w14:textId="64A616F9" w:rsidR="003777DB" w:rsidRPr="00791B56" w:rsidRDefault="000C00B2" w:rsidP="000C00B2">
            <w:pPr>
              <w:pStyle w:val="Table-Text"/>
              <w:rPr>
                <w:rFonts w:cs="Arial"/>
              </w:rPr>
            </w:pPr>
            <w:r w:rsidRPr="000C00B2">
              <w:rPr>
                <w:rFonts w:cs="Arial"/>
              </w:rPr>
              <w:t>Post-Traumatic Stress Disorder</w:t>
            </w:r>
          </w:p>
        </w:tc>
      </w:tr>
      <w:tr w:rsidR="00791B56" w:rsidRPr="00791B56" w14:paraId="1094F8E2" w14:textId="77777777" w:rsidTr="007D30B5">
        <w:tc>
          <w:tcPr>
            <w:tcW w:w="1455" w:type="pct"/>
            <w:vAlign w:val="top"/>
          </w:tcPr>
          <w:p w14:paraId="3AAAC3A1" w14:textId="113A322E" w:rsidR="0023443B" w:rsidRPr="00791B56" w:rsidRDefault="000C00B2" w:rsidP="00791B56">
            <w:pPr>
              <w:pStyle w:val="Table-Text"/>
              <w:rPr>
                <w:rFonts w:cs="Arial"/>
              </w:rPr>
            </w:pPr>
            <w:r w:rsidRPr="000C00B2">
              <w:rPr>
                <w:rFonts w:cs="Arial"/>
              </w:rPr>
              <w:t>RFP</w:t>
            </w:r>
          </w:p>
        </w:tc>
        <w:tc>
          <w:tcPr>
            <w:tcW w:w="3545" w:type="pct"/>
            <w:vAlign w:val="top"/>
          </w:tcPr>
          <w:p w14:paraId="441FBCA6" w14:textId="466B023C" w:rsidR="0023443B" w:rsidRPr="00791B56" w:rsidRDefault="00D74238" w:rsidP="00791B56">
            <w:pPr>
              <w:pStyle w:val="Table-Text"/>
              <w:rPr>
                <w:rFonts w:cs="Arial"/>
              </w:rPr>
            </w:pPr>
            <w:r w:rsidRPr="00D74238">
              <w:rPr>
                <w:rFonts w:cs="Arial"/>
              </w:rPr>
              <w:t>Request for proposal</w:t>
            </w:r>
          </w:p>
        </w:tc>
      </w:tr>
      <w:tr w:rsidR="00791B56" w:rsidRPr="00791B56" w14:paraId="3A81E198"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00B76A95" w14:textId="3073621E" w:rsidR="0023443B" w:rsidRPr="00791B56" w:rsidRDefault="00D74238" w:rsidP="00791B56">
            <w:pPr>
              <w:pStyle w:val="Table-Text"/>
              <w:rPr>
                <w:rFonts w:cs="Arial"/>
              </w:rPr>
            </w:pPr>
            <w:r w:rsidRPr="00D74238">
              <w:rPr>
                <w:rFonts w:cs="Arial"/>
              </w:rPr>
              <w:t>SDQ</w:t>
            </w:r>
          </w:p>
        </w:tc>
        <w:tc>
          <w:tcPr>
            <w:tcW w:w="3545" w:type="pct"/>
            <w:vAlign w:val="top"/>
          </w:tcPr>
          <w:p w14:paraId="17809286" w14:textId="45AC734F" w:rsidR="0023443B" w:rsidRPr="00791B56" w:rsidRDefault="00D74238" w:rsidP="00791B56">
            <w:pPr>
              <w:pStyle w:val="Table-Text"/>
              <w:rPr>
                <w:rFonts w:cs="Arial"/>
              </w:rPr>
            </w:pPr>
            <w:r w:rsidRPr="00D74238">
              <w:rPr>
                <w:rFonts w:cs="Arial"/>
              </w:rPr>
              <w:t>Strengths and Difficulties Questionnaire</w:t>
            </w:r>
          </w:p>
        </w:tc>
      </w:tr>
      <w:tr w:rsidR="00791B56" w:rsidRPr="00791B56" w14:paraId="5428F87A" w14:textId="77777777" w:rsidTr="007D30B5">
        <w:tc>
          <w:tcPr>
            <w:tcW w:w="1455" w:type="pct"/>
            <w:vAlign w:val="top"/>
          </w:tcPr>
          <w:p w14:paraId="57A04CB8" w14:textId="7B680C2E" w:rsidR="0023443B" w:rsidRPr="00791B56" w:rsidRDefault="00D74238" w:rsidP="00791B56">
            <w:pPr>
              <w:pStyle w:val="Table-Text"/>
              <w:rPr>
                <w:rFonts w:cs="Arial"/>
              </w:rPr>
            </w:pPr>
            <w:r w:rsidRPr="00D74238">
              <w:rPr>
                <w:rFonts w:cs="Arial"/>
              </w:rPr>
              <w:t>SIB</w:t>
            </w:r>
          </w:p>
        </w:tc>
        <w:tc>
          <w:tcPr>
            <w:tcW w:w="3545" w:type="pct"/>
            <w:vAlign w:val="top"/>
          </w:tcPr>
          <w:p w14:paraId="3BAC1832" w14:textId="52A4219E" w:rsidR="0023443B" w:rsidRPr="00791B56" w:rsidRDefault="00D74238" w:rsidP="00791B56">
            <w:pPr>
              <w:pStyle w:val="Table-Text"/>
              <w:rPr>
                <w:rFonts w:cs="Arial"/>
              </w:rPr>
            </w:pPr>
            <w:r w:rsidRPr="00D74238">
              <w:rPr>
                <w:rFonts w:cs="Arial"/>
              </w:rPr>
              <w:t>Social impact bond</w:t>
            </w:r>
          </w:p>
        </w:tc>
      </w:tr>
      <w:tr w:rsidR="00791B56" w:rsidRPr="00791B56" w14:paraId="0BBFB0CB"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1802FFAE" w14:textId="04DC73B5" w:rsidR="0023443B" w:rsidRPr="00791B56" w:rsidRDefault="00D74238" w:rsidP="00791B56">
            <w:pPr>
              <w:pStyle w:val="Table-Text"/>
              <w:rPr>
                <w:rFonts w:cs="Arial"/>
              </w:rPr>
            </w:pPr>
            <w:r w:rsidRPr="00D74238">
              <w:rPr>
                <w:rFonts w:cs="Arial"/>
              </w:rPr>
              <w:t>TOR</w:t>
            </w:r>
          </w:p>
        </w:tc>
        <w:tc>
          <w:tcPr>
            <w:tcW w:w="3545" w:type="pct"/>
            <w:vAlign w:val="top"/>
          </w:tcPr>
          <w:p w14:paraId="46176D0F" w14:textId="4F94C54F" w:rsidR="0023443B" w:rsidRPr="00791B56" w:rsidRDefault="00D74238" w:rsidP="00791B56">
            <w:pPr>
              <w:pStyle w:val="Table-Text"/>
              <w:rPr>
                <w:rFonts w:cs="Arial"/>
              </w:rPr>
            </w:pPr>
            <w:r w:rsidRPr="00D74238">
              <w:rPr>
                <w:rFonts w:cs="Arial"/>
              </w:rPr>
              <w:t>Terms of reference</w:t>
            </w:r>
          </w:p>
        </w:tc>
      </w:tr>
      <w:tr w:rsidR="00791B56" w:rsidRPr="00791B56" w14:paraId="40166946" w14:textId="77777777" w:rsidTr="007D30B5">
        <w:tc>
          <w:tcPr>
            <w:tcW w:w="1455" w:type="pct"/>
            <w:vAlign w:val="top"/>
          </w:tcPr>
          <w:p w14:paraId="17476252" w14:textId="076AC7B0" w:rsidR="0023443B" w:rsidRPr="00791B56" w:rsidRDefault="002F12C3" w:rsidP="00791B56">
            <w:pPr>
              <w:pStyle w:val="Table-Text"/>
              <w:rPr>
                <w:rFonts w:cs="Arial"/>
              </w:rPr>
            </w:pPr>
            <w:r w:rsidRPr="002F12C3">
              <w:rPr>
                <w:rFonts w:cs="Arial"/>
              </w:rPr>
              <w:t>VCAL</w:t>
            </w:r>
          </w:p>
        </w:tc>
        <w:tc>
          <w:tcPr>
            <w:tcW w:w="3545" w:type="pct"/>
            <w:vAlign w:val="top"/>
          </w:tcPr>
          <w:p w14:paraId="28939060" w14:textId="0940074C" w:rsidR="0023443B" w:rsidRPr="00791B56" w:rsidRDefault="002F12C3" w:rsidP="00791B56">
            <w:pPr>
              <w:pStyle w:val="Table-Text"/>
              <w:rPr>
                <w:rFonts w:cs="Arial"/>
              </w:rPr>
            </w:pPr>
            <w:r w:rsidRPr="002F12C3">
              <w:rPr>
                <w:rFonts w:cs="Arial"/>
              </w:rPr>
              <w:t>Victorian Certificate of Applied Learning</w:t>
            </w:r>
          </w:p>
        </w:tc>
      </w:tr>
      <w:tr w:rsidR="00791B56" w:rsidRPr="00791B56" w14:paraId="3CEB1C2F" w14:textId="77777777" w:rsidTr="007D30B5">
        <w:trPr>
          <w:cnfStyle w:val="000000100000" w:firstRow="0" w:lastRow="0" w:firstColumn="0" w:lastColumn="0" w:oddVBand="0" w:evenVBand="0" w:oddHBand="1" w:evenHBand="0" w:firstRowFirstColumn="0" w:firstRowLastColumn="0" w:lastRowFirstColumn="0" w:lastRowLastColumn="0"/>
        </w:trPr>
        <w:tc>
          <w:tcPr>
            <w:tcW w:w="1455" w:type="pct"/>
            <w:vAlign w:val="top"/>
          </w:tcPr>
          <w:p w14:paraId="63BE9814" w14:textId="0C1F578F" w:rsidR="0023443B" w:rsidRPr="00791B56" w:rsidRDefault="002F12C3" w:rsidP="00791B56">
            <w:pPr>
              <w:pStyle w:val="Table-Text"/>
              <w:rPr>
                <w:rFonts w:cs="Arial"/>
              </w:rPr>
            </w:pPr>
            <w:r w:rsidRPr="002F12C3">
              <w:rPr>
                <w:rFonts w:cs="Arial"/>
              </w:rPr>
              <w:t>VET</w:t>
            </w:r>
          </w:p>
        </w:tc>
        <w:tc>
          <w:tcPr>
            <w:tcW w:w="3545" w:type="pct"/>
            <w:vAlign w:val="top"/>
          </w:tcPr>
          <w:p w14:paraId="21DD2BEE" w14:textId="23F747DC" w:rsidR="0023443B" w:rsidRPr="00791B56" w:rsidRDefault="002F12C3" w:rsidP="00791B56">
            <w:pPr>
              <w:pStyle w:val="Table-Text"/>
              <w:rPr>
                <w:rFonts w:cs="Arial"/>
              </w:rPr>
            </w:pPr>
            <w:r w:rsidRPr="002F12C3">
              <w:rPr>
                <w:rFonts w:cs="Arial"/>
              </w:rPr>
              <w:t>Vocational Education and Training</w:t>
            </w:r>
          </w:p>
        </w:tc>
      </w:tr>
      <w:tr w:rsidR="00791B56" w:rsidRPr="00791B56" w14:paraId="385E2841" w14:textId="77777777" w:rsidTr="007D30B5">
        <w:tc>
          <w:tcPr>
            <w:tcW w:w="1455" w:type="pct"/>
            <w:vAlign w:val="top"/>
          </w:tcPr>
          <w:p w14:paraId="53F73476" w14:textId="01B94F99" w:rsidR="0023443B" w:rsidRPr="00791B56" w:rsidRDefault="00537A67" w:rsidP="00791B56">
            <w:pPr>
              <w:pStyle w:val="Table-Text"/>
              <w:rPr>
                <w:rFonts w:cs="Arial"/>
              </w:rPr>
            </w:pPr>
            <w:proofErr w:type="spellStart"/>
            <w:r w:rsidRPr="00537A67">
              <w:rPr>
                <w:rFonts w:cs="Arial"/>
              </w:rPr>
              <w:t>VETiS</w:t>
            </w:r>
            <w:proofErr w:type="spellEnd"/>
          </w:p>
        </w:tc>
        <w:tc>
          <w:tcPr>
            <w:tcW w:w="3545" w:type="pct"/>
            <w:vAlign w:val="top"/>
          </w:tcPr>
          <w:p w14:paraId="4DA46FB4" w14:textId="77DF79DF" w:rsidR="0023443B" w:rsidRPr="00791B56" w:rsidRDefault="00537A67" w:rsidP="00791B56">
            <w:pPr>
              <w:pStyle w:val="Table-Text"/>
              <w:rPr>
                <w:rFonts w:cs="Arial"/>
              </w:rPr>
            </w:pPr>
            <w:r w:rsidRPr="00537A67">
              <w:rPr>
                <w:rFonts w:cs="Arial"/>
              </w:rPr>
              <w:t>Vocational Education and Training in Schools</w:t>
            </w:r>
          </w:p>
        </w:tc>
      </w:tr>
    </w:tbl>
    <w:p w14:paraId="35DCE9E7" w14:textId="428C11A8" w:rsidR="005C402F" w:rsidRDefault="005C402F" w:rsidP="005C402F">
      <w:r>
        <w:br w:type="page"/>
      </w:r>
    </w:p>
    <w:p w14:paraId="19EF429F" w14:textId="21CF9C2B" w:rsidR="0070546C" w:rsidRDefault="0045724D" w:rsidP="00736E4F">
      <w:pPr>
        <w:pStyle w:val="Head1"/>
        <w:rPr>
          <w:rFonts w:eastAsia="Flama Cond Bold"/>
        </w:rPr>
      </w:pPr>
      <w:bookmarkStart w:id="4" w:name="_Toc97809197"/>
      <w:bookmarkStart w:id="5" w:name="_Toc144843239"/>
      <w:r>
        <w:rPr>
          <w:rFonts w:eastAsia="Flama Cond Bold"/>
        </w:rPr>
        <w:t>Executive summary</w:t>
      </w:r>
      <w:bookmarkEnd w:id="4"/>
      <w:bookmarkEnd w:id="5"/>
    </w:p>
    <w:p w14:paraId="717F5544" w14:textId="11695C86" w:rsidR="0070546C" w:rsidRPr="00736E4F" w:rsidRDefault="27FCEE1D" w:rsidP="005F73B8">
      <w:pPr>
        <w:pStyle w:val="Head2"/>
      </w:pPr>
      <w:r w:rsidRPr="00962747">
        <w:t>B</w:t>
      </w:r>
      <w:r w:rsidR="00736E4F" w:rsidRPr="00962747">
        <w:t>ackground</w:t>
      </w:r>
    </w:p>
    <w:p w14:paraId="009A2C9C" w14:textId="77777777" w:rsidR="0012009A" w:rsidRDefault="0012009A" w:rsidP="005F73B8">
      <w:pPr>
        <w:rPr>
          <w:b/>
          <w:bCs/>
        </w:rPr>
      </w:pPr>
      <w:r w:rsidRPr="0012009A">
        <w:t>Urbis has been commissioned by the Victorian Department of Treasury and Finance (DTF), working closely with the Department of Families, Fairness and Housing (DFFH), to undertake an independent evaluation of the Living Learning Partnership Addressing Disadvantage (PAD). This is the report for formative evaluation, which focuses primarily on insights from the first year of the program’s implementation. Specifically, the formative evaluation provides insights into program establishment and implementation, along with opportunities to support the remaining implementation and management of the program.</w:t>
      </w:r>
    </w:p>
    <w:p w14:paraId="425998B5" w14:textId="1557512A" w:rsidR="0070546C" w:rsidRDefault="00790B53" w:rsidP="00962747">
      <w:pPr>
        <w:pStyle w:val="Head2"/>
        <w:rPr>
          <w:rFonts w:eastAsia="Flama Cond Bold" w:cs="Flama Cond Bold"/>
          <w:szCs w:val="36"/>
        </w:rPr>
      </w:pPr>
      <w:r>
        <w:t xml:space="preserve">Living Learning </w:t>
      </w:r>
      <w:r w:rsidR="00B34140">
        <w:rPr>
          <w:rFonts w:eastAsia="Flama Cond Bold" w:cs="Flama Cond Bold"/>
          <w:szCs w:val="36"/>
        </w:rPr>
        <w:t>P</w:t>
      </w:r>
      <w:r w:rsidR="000E63A0" w:rsidRPr="00A83AB7">
        <w:rPr>
          <w:rFonts w:eastAsia="Flama Cond Bold" w:cs="Flama Cond Bold"/>
          <w:szCs w:val="36"/>
        </w:rPr>
        <w:t>rogram</w:t>
      </w:r>
      <w:r w:rsidR="27FCEE1D" w:rsidRPr="00A83AB7">
        <w:rPr>
          <w:rFonts w:eastAsia="Flama Cond Bold" w:cs="Flama Cond Bold"/>
          <w:szCs w:val="36"/>
        </w:rPr>
        <w:t xml:space="preserve"> and PAD</w:t>
      </w:r>
    </w:p>
    <w:p w14:paraId="77DE924F" w14:textId="77777777" w:rsidR="00BC68A5" w:rsidRDefault="00BC68A5" w:rsidP="00BC68A5">
      <w:r>
        <w:t xml:space="preserve">The Living Learning program has been designed to deliver services that address barriers to personal and educational achievement. The program targets school leavers aged 15-21 who are experiencing mental health complexities and who are persistently not engaged in employment, education, or training. Living Learning is an integrative program delivered by Melbourne City Mission (MCM) and their independent school Hester Hornbrook Academy (HHA), providing three years of wraparound support for young people in three cohorts of 48 participants, 144 students in total. The first, second and third cohorts will commence in January 2021, </w:t>
      </w:r>
      <w:proofErr w:type="gramStart"/>
      <w:r>
        <w:t>2022</w:t>
      </w:r>
      <w:proofErr w:type="gramEnd"/>
      <w:r>
        <w:t xml:space="preserve"> and 2023 respectively, and the program will operate from 2021 to 2025. The intended outcomes of the program are that young people experience improvements in their educational attainment, mental and physical health, relationships within community and family, and self-efficacy to be on a positive pathway of their choice. </w:t>
      </w:r>
    </w:p>
    <w:p w14:paraId="5363852E" w14:textId="309FDAFC" w:rsidR="005F1A78" w:rsidRPr="00BC68A5" w:rsidRDefault="00BC68A5" w:rsidP="00BC68A5">
      <w:r>
        <w:t>Living Learning has been developed through the Victorian Government’s Partnerships Addressing Disadvantage (PADs) initiative. PADs are outcomes-based contracts that emphasise the partnerships that are needed to tackle complex problems, combining service delivery insights with resources from the public and private sectors to deliver innovative solutions. Investors receive a return on their investment based on the level of outcomes achieved, which for the Living Learning program is the percentage reduction in Victorian Emergency Department presentations for Living Learning participants over two and four years.</w:t>
      </w:r>
    </w:p>
    <w:p w14:paraId="2F1F53AA" w14:textId="28B29FAA" w:rsidR="0070546C" w:rsidRDefault="00790B53" w:rsidP="00962747">
      <w:pPr>
        <w:pStyle w:val="Head2"/>
      </w:pPr>
      <w:r w:rsidRPr="00790B53">
        <w:t>Formati</w:t>
      </w:r>
      <w:r w:rsidR="00913A5B" w:rsidRPr="00790B53">
        <w:t>ve</w:t>
      </w:r>
      <w:r w:rsidR="00462B9B" w:rsidRPr="00790B53">
        <w:t xml:space="preserve"> evaluation </w:t>
      </w:r>
      <w:r>
        <w:t>me</w:t>
      </w:r>
      <w:r w:rsidR="0045724D" w:rsidRPr="00790B53">
        <w:t>thodology</w:t>
      </w:r>
    </w:p>
    <w:p w14:paraId="61D83433" w14:textId="76EA802C" w:rsidR="005647CE" w:rsidRPr="005647CE" w:rsidRDefault="005647CE" w:rsidP="005647CE">
      <w:r w:rsidRPr="005647CE">
        <w:t xml:space="preserve">The evaluation has adopted a mixed-methods approach, analysing available </w:t>
      </w:r>
      <w:r w:rsidR="00214275" w:rsidRPr="005647CE">
        <w:t>quantitative</w:t>
      </w:r>
      <w:r w:rsidRPr="005647CE">
        <w:t xml:space="preserve"> program data and qualitative insights from semi-structured interviews. This report was informed by analysis of both primary and secondary data sources, specifically including: 19 key informant interviews focused on initial program establishment and early operation, including representatives from MCM, the Living Learning program, HHA, DTF, DFFH and funders; a desktop review; and the analysis of program data for Living Learning Cohort 1 participants.</w:t>
      </w:r>
    </w:p>
    <w:p w14:paraId="6DB0E82F" w14:textId="01B6474D" w:rsidR="0070546C" w:rsidRPr="00A83AB7" w:rsidRDefault="00A83AB7" w:rsidP="00962747">
      <w:pPr>
        <w:pStyle w:val="Head2"/>
      </w:pPr>
      <w:r>
        <w:t>Key findings</w:t>
      </w:r>
    </w:p>
    <w:p w14:paraId="742BBB88" w14:textId="597D3F04" w:rsidR="0070546C" w:rsidRPr="00A83AB7" w:rsidRDefault="27FCEE1D" w:rsidP="00A83AB7">
      <w:pPr>
        <w:pStyle w:val="Head3"/>
      </w:pPr>
      <w:r w:rsidRPr="00A83AB7">
        <w:rPr>
          <w:rFonts w:eastAsia="Arial"/>
        </w:rPr>
        <w:t>Living Learning program design</w:t>
      </w:r>
    </w:p>
    <w:p w14:paraId="6A20E216" w14:textId="2D97EDF8" w:rsidR="00962747" w:rsidRDefault="00B34140" w:rsidP="0033233C">
      <w:r w:rsidRPr="00B34140">
        <w:t xml:space="preserve">The program’s design has been informed by MCM’s long history and experience delivering programs to vulnerable young people and draws upon elements from the HHA service model, the Key Worker model from MCM’s Cradle to Kinder, and Check In program. The program model evidences strong alignment with best practice approaches for administering wraparound programs to vulnerable young people. While there is a strong evidence base for individual aspects of the program design, a review of available literature found no intervention directly comparable to the Living Learning program with all elements included. Living Learning integrates into a single program – and into a school setting – best practice elements of assertive outreach, wraparound </w:t>
      </w:r>
      <w:proofErr w:type="gramStart"/>
      <w:r w:rsidRPr="00B34140">
        <w:t>support</w:t>
      </w:r>
      <w:proofErr w:type="gramEnd"/>
      <w:r w:rsidRPr="00B34140">
        <w:t xml:space="preserve"> and adventure learning. </w:t>
      </w:r>
      <w:r w:rsidR="00962747">
        <w:br w:type="page"/>
      </w:r>
    </w:p>
    <w:p w14:paraId="0F9E16A7" w14:textId="0798A3D8" w:rsidR="0070546C" w:rsidRDefault="27FCEE1D" w:rsidP="00C83454">
      <w:pPr>
        <w:pStyle w:val="Head3"/>
        <w:rPr>
          <w:rFonts w:eastAsia="Arial" w:cs="Arial"/>
        </w:rPr>
      </w:pPr>
      <w:r w:rsidRPr="00A83AB7">
        <w:rPr>
          <w:rFonts w:eastAsia="Arial"/>
        </w:rPr>
        <w:t>Establishm</w:t>
      </w:r>
      <w:r w:rsidRPr="00A83AB7">
        <w:rPr>
          <w:rFonts w:eastAsia="Arial" w:cs="Arial"/>
          <w:szCs w:val="28"/>
        </w:rPr>
        <w:t>ent</w:t>
      </w:r>
      <w:r w:rsidRPr="00A83AB7">
        <w:rPr>
          <w:rFonts w:eastAsia="Arial" w:cs="Arial"/>
        </w:rPr>
        <w:t xml:space="preserve"> </w:t>
      </w:r>
    </w:p>
    <w:p w14:paraId="76DE9A57" w14:textId="2EBB405C" w:rsidR="00B34140" w:rsidRPr="00B34140" w:rsidRDefault="0096768A" w:rsidP="00B34140">
      <w:r w:rsidRPr="0096768A">
        <w:t>Despite a challenging and disruptive year of the pandemic, the core elements of the Living Learning model and supporting administrative processes were established within the program’s first 12-months. The nine-month postponement in program commencement due to COVID-19 was in part advantageous and allowed additional time to prepare for commencement, refine planning and processes, and to establish the new HHA Sunshine campus. The program operates effectively across three sites with Living Learning staff working adaptively across the campuses. The program received 76 referrals and confirmed the 48 students of Cohort 1 in July 2021. While improvements have been made to the enrolment process to integrate into HHA systems, refinements are required to identify the referral source.</w:t>
      </w:r>
    </w:p>
    <w:p w14:paraId="609CF7DA" w14:textId="1145D684" w:rsidR="0070546C" w:rsidRPr="00A83AB7" w:rsidRDefault="27FCEE1D" w:rsidP="00C83454">
      <w:pPr>
        <w:pStyle w:val="Head3"/>
      </w:pPr>
      <w:r w:rsidRPr="00A83AB7">
        <w:rPr>
          <w:rFonts w:eastAsia="Arial"/>
        </w:rPr>
        <w:t>COVID</w:t>
      </w:r>
      <w:r w:rsidR="009A0422" w:rsidRPr="00A83AB7">
        <w:rPr>
          <w:rFonts w:eastAsia="Arial"/>
        </w:rPr>
        <w:t>-19</w:t>
      </w:r>
      <w:r w:rsidRPr="00A83AB7">
        <w:rPr>
          <w:rFonts w:eastAsia="Arial"/>
        </w:rPr>
        <w:t xml:space="preserve"> impacts, program adaptations and implementation challenges</w:t>
      </w:r>
    </w:p>
    <w:p w14:paraId="76B1F827" w14:textId="77777777" w:rsidR="007F7072" w:rsidRDefault="007F7072" w:rsidP="007F7072">
      <w:r>
        <w:t>Over the first year of operation, the program has been implemented largely as intended, with some refinements to data collection methods, student education plans, and the enrolment form. Heightened demand for psychologists during the pandemic caused a four-month delay in recruiting a program psychologist. In line with Victorian Government health directives, the program pivoted to online delivery while offsite and adventure activities were put on hold during periods of lockdown. During periods of remote learning, Living Learning staff focused on maintaining student engagement and mental health through assertive outreach and engagement activities. Student attendance rates declined throughout the year and a loss of momentum and motivation was widely reported. The impact of COVID-19 on Living Learning students is yet to be fully examined and will be explored in the next phase of the evaluation.</w:t>
      </w:r>
    </w:p>
    <w:p w14:paraId="2F575A46" w14:textId="2489DAF1" w:rsidR="007F7072" w:rsidRPr="007F7072" w:rsidRDefault="007F7072" w:rsidP="007F7072">
      <w:r>
        <w:t xml:space="preserve">The program has been delivered within budget and has overcome a range of challenges in its first year of implementation. However, program staff continue to navigate limited space on campuses, high demand for student transport services, and resourcing pressures in the classroom due to </w:t>
      </w:r>
      <w:proofErr w:type="gramStart"/>
      <w:r>
        <w:t>higher than expected</w:t>
      </w:r>
      <w:proofErr w:type="gramEnd"/>
      <w:r>
        <w:t xml:space="preserve"> student attendance rates. Further work may also be required to smoothly embed the Living Learning program within the existing HHA school setting.</w:t>
      </w:r>
    </w:p>
    <w:p w14:paraId="63FFFE57" w14:textId="3DFD0937" w:rsidR="0070546C" w:rsidRDefault="27FCEE1D" w:rsidP="00A83AB7">
      <w:pPr>
        <w:pStyle w:val="Head3"/>
        <w:rPr>
          <w:rFonts w:eastAsia="Arial"/>
        </w:rPr>
      </w:pPr>
      <w:r w:rsidRPr="00A83AB7">
        <w:rPr>
          <w:rFonts w:eastAsia="Arial"/>
        </w:rPr>
        <w:t>Governance arrangements</w:t>
      </w:r>
    </w:p>
    <w:p w14:paraId="277D037E" w14:textId="77777777" w:rsidR="00D73C01" w:rsidRDefault="00D73C01" w:rsidP="00D73C01">
      <w:r>
        <w:t xml:space="preserve">The Living Learning governance structures appear to be working well, providing effective forums for strategic and operational information sharing and decision making. The structure and format of these forums is comparable with Social Impact Bonds (SIBs) in Victoria and other jurisdictions. Work is currently underway to develop Terms of Reference to improve the clarity and expectations of the Operational Working Group (OWG) and its relationship to the Joint Working Group (JWG).  </w:t>
      </w:r>
    </w:p>
    <w:p w14:paraId="4A1B5849" w14:textId="01FBCE7F" w:rsidR="00D73C01" w:rsidRPr="00D73C01" w:rsidRDefault="00D73C01" w:rsidP="00D73C01">
      <w:r>
        <w:t xml:space="preserve">Stakeholders at HHA and Living Learning staff identified some inconsistencies and misalignment in the policy settings and operational procedures that apply to HHA as a school versus those relevant to Living Learning staff. Improved clarity regarding the policy and operational parameters of the Living Learning program will be important to prioritise ahead of the commencement of Cohort 2.   </w:t>
      </w:r>
    </w:p>
    <w:p w14:paraId="04E8A155" w14:textId="091E469F" w:rsidR="0070546C" w:rsidRPr="00A83AB7" w:rsidRDefault="27FCEE1D" w:rsidP="00A83AB7">
      <w:pPr>
        <w:pStyle w:val="Head3"/>
      </w:pPr>
      <w:r w:rsidRPr="00A83AB7">
        <w:rPr>
          <w:rFonts w:eastAsia="Arial"/>
        </w:rPr>
        <w:t>Student profile and emerging outcomes</w:t>
      </w:r>
    </w:p>
    <w:p w14:paraId="7CB0B78A" w14:textId="77777777" w:rsidR="00D73C01" w:rsidRPr="00D73C01" w:rsidRDefault="00D73C01" w:rsidP="00D73C01">
      <w:pPr>
        <w:rPr>
          <w:rFonts w:eastAsia="Arial" w:cs="Arial"/>
        </w:rPr>
      </w:pPr>
      <w:r w:rsidRPr="00D73C01">
        <w:rPr>
          <w:rFonts w:eastAsia="Arial" w:cs="Arial"/>
        </w:rPr>
        <w:t xml:space="preserve">The Cohort 1 student profile is largely as expected, with multiple mental health diagnoses and a range of other complexities including interaction with the justice system and unstable housing. Throughout the year, Living Learning students had higher rates of attendance compared to the broader HHA student cohort, which may be attributable to the flexible outreach support provided to Living Learning young people throughout periods of remote learning. Across all student groups, attendance rates declined in Terms 3 and 4. Staff reported that students displayed lower engagement, </w:t>
      </w:r>
      <w:proofErr w:type="gramStart"/>
      <w:r w:rsidRPr="00D73C01">
        <w:rPr>
          <w:rFonts w:eastAsia="Arial" w:cs="Arial"/>
        </w:rPr>
        <w:t>momentum</w:t>
      </w:r>
      <w:proofErr w:type="gramEnd"/>
      <w:r w:rsidRPr="00D73C01">
        <w:rPr>
          <w:rFonts w:eastAsia="Arial" w:cs="Arial"/>
        </w:rPr>
        <w:t xml:space="preserve"> and stamina after the four-month lockdown was lifted. Despite the challenges of lockdown and remote learning, there was no attrition among the 48 Cohort 1 participants in 2021.  </w:t>
      </w:r>
    </w:p>
    <w:p w14:paraId="36FF5E92" w14:textId="3E6AB08E" w:rsidR="00913A5B" w:rsidRDefault="00D73C01" w:rsidP="00D73C01">
      <w:r w:rsidRPr="00D73C01">
        <w:rPr>
          <w:rFonts w:eastAsia="Arial" w:cs="Arial"/>
        </w:rPr>
        <w:t>In general, Living Learning young people reported more positive attitudes and perceptions of school than the broader HHA student population. This may be attributable to the flexible engagement and outreach support provided to Living Learning young people throughout the year and remote learning. Living Learning staff have observed some positive and encouraging outcomes for students, including more proactive help-seeking behaviour, increased confidence and independence, and budding friendships and support networks among some students.</w:t>
      </w:r>
    </w:p>
    <w:p w14:paraId="17C7BFE5" w14:textId="7FFA0E31" w:rsidR="00913A5B" w:rsidRDefault="00913A5B" w:rsidP="00775A29">
      <w:pPr>
        <w:sectPr w:rsidR="00913A5B" w:rsidSect="00913A5B">
          <w:footerReference w:type="even" r:id="rId34"/>
          <w:footerReference w:type="default" r:id="rId35"/>
          <w:pgSz w:w="11906" w:h="16838" w:code="9"/>
          <w:pgMar w:top="1134" w:right="1134" w:bottom="1418" w:left="1134" w:header="709" w:footer="284" w:gutter="0"/>
          <w:pgNumType w:start="1"/>
          <w:cols w:space="708"/>
          <w:docGrid w:linePitch="360"/>
        </w:sectPr>
      </w:pPr>
    </w:p>
    <w:p w14:paraId="23B0670E" w14:textId="5245DA36" w:rsidR="00ED2E7D" w:rsidRDefault="005C3471" w:rsidP="002E4A8A">
      <w:pPr>
        <w:pStyle w:val="Heading1"/>
        <w:spacing w:before="5200"/>
      </w:pPr>
      <w:bookmarkStart w:id="6" w:name="_Toc97809198"/>
      <w:bookmarkStart w:id="7" w:name="_Ref97814363"/>
      <w:bookmarkStart w:id="8" w:name="_Toc144843240"/>
      <w:r>
        <w:rPr>
          <w:noProof/>
        </w:rPr>
        <w:drawing>
          <wp:anchor distT="0" distB="0" distL="114300" distR="114300" simplePos="0" relativeHeight="251658253" behindDoc="1" locked="0" layoutInCell="1" allowOverlap="1" wp14:anchorId="0D28E1FE" wp14:editId="59A7C4A7">
            <wp:simplePos x="0" y="0"/>
            <wp:positionH relativeFrom="page">
              <wp:align>left</wp:align>
            </wp:positionH>
            <wp:positionV relativeFrom="paragraph">
              <wp:posOffset>-720090</wp:posOffset>
            </wp:positionV>
            <wp:extent cx="7586655" cy="3593735"/>
            <wp:effectExtent l="0" t="0" r="0" b="6985"/>
            <wp:wrapNone/>
            <wp:docPr id="2017407102" name="Picture 2017407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07102" name="Picture 2">
                      <a:extLst>
                        <a:ext uri="{C183D7F6-B498-43B3-948B-1728B52AA6E4}">
                          <adec:decorative xmlns:adec="http://schemas.microsoft.com/office/drawing/2017/decorative" val="1"/>
                        </a:ext>
                      </a:extLst>
                    </pic:cNvPr>
                    <pic:cNvPicPr>
                      <a:picLocks noChangeAspect="1" noChangeArrowheads="1"/>
                    </pic:cNvPicPr>
                  </pic:nvPicPr>
                  <pic:blipFill rotWithShape="1">
                    <a:blip r:embed="rId36">
                      <a:extLst>
                        <a:ext uri="{28A0092B-C50C-407E-A947-70E740481C1C}">
                          <a14:useLocalDpi xmlns:a14="http://schemas.microsoft.com/office/drawing/2010/main" val="0"/>
                        </a:ext>
                      </a:extLst>
                    </a:blip>
                    <a:srcRect t="28920"/>
                    <a:stretch/>
                  </pic:blipFill>
                  <pic:spPr bwMode="auto">
                    <a:xfrm>
                      <a:off x="0" y="0"/>
                      <a:ext cx="7586655" cy="3593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1D8C" w:rsidRPr="005D6A62">
        <w:t>Introduction</w:t>
      </w:r>
      <w:bookmarkEnd w:id="6"/>
      <w:bookmarkEnd w:id="7"/>
      <w:bookmarkEnd w:id="8"/>
    </w:p>
    <w:p w14:paraId="7266DD83" w14:textId="5A5D7094" w:rsidR="00ED2E7D" w:rsidRDefault="00991D8C" w:rsidP="00CF1CC8">
      <w:pPr>
        <w:pStyle w:val="Heading2"/>
      </w:pPr>
      <w:bookmarkStart w:id="9" w:name="_Toc97809199"/>
      <w:bookmarkStart w:id="10" w:name="_Toc144843241"/>
      <w:r>
        <w:t xml:space="preserve">Evaluation </w:t>
      </w:r>
      <w:r w:rsidRPr="00466821">
        <w:t>context</w:t>
      </w:r>
      <w:bookmarkEnd w:id="9"/>
      <w:bookmarkEnd w:id="10"/>
    </w:p>
    <w:p w14:paraId="7C983948" w14:textId="77777777" w:rsidR="005A3529" w:rsidRDefault="005A3529" w:rsidP="005A3529">
      <w:r>
        <w:t xml:space="preserve">The Victorian Government is currently investing in innovative and evidence-based programs through its PADs initiative. PADs fund programs that bring together public, private, and not-for-profit sectors to help reduce deep-seated disadvantage and improve outcomes for vulnerable people in Victoria. The guiding principles of PADs are that they: </w:t>
      </w:r>
    </w:p>
    <w:p w14:paraId="76DA6AFA" w14:textId="77777777" w:rsidR="005A3529" w:rsidRDefault="005A3529" w:rsidP="005A3529">
      <w:pPr>
        <w:pStyle w:val="ListBullet"/>
      </w:pPr>
      <w:r>
        <w:t xml:space="preserve">have a clearly defined client </w:t>
      </w:r>
      <w:proofErr w:type="gramStart"/>
      <w:r>
        <w:t>group</w:t>
      </w:r>
      <w:proofErr w:type="gramEnd"/>
    </w:p>
    <w:p w14:paraId="3446E159" w14:textId="77777777" w:rsidR="005A3529" w:rsidRDefault="005A3529" w:rsidP="005A3529">
      <w:pPr>
        <w:pStyle w:val="ListBullet"/>
      </w:pPr>
      <w:r>
        <w:t xml:space="preserve">deliver measurably positive outcomes to </w:t>
      </w:r>
      <w:proofErr w:type="gramStart"/>
      <w:r>
        <w:t>individuals</w:t>
      </w:r>
      <w:proofErr w:type="gramEnd"/>
    </w:p>
    <w:p w14:paraId="1E3FD5CC" w14:textId="77777777" w:rsidR="005A3529" w:rsidRDefault="005A3529" w:rsidP="005A3529">
      <w:pPr>
        <w:pStyle w:val="ListBullet"/>
      </w:pPr>
      <w:r>
        <w:t xml:space="preserve">demonstrate a financial return to government from the investment above the return government would have received through continuation of its core </w:t>
      </w:r>
      <w:proofErr w:type="gramStart"/>
      <w:r>
        <w:t>business</w:t>
      </w:r>
      <w:proofErr w:type="gramEnd"/>
    </w:p>
    <w:p w14:paraId="11F9AB02" w14:textId="77777777" w:rsidR="005A3529" w:rsidRDefault="005A3529" w:rsidP="005A3529">
      <w:pPr>
        <w:pStyle w:val="ListBullet"/>
      </w:pPr>
      <w:r>
        <w:t xml:space="preserve">deliver an intervention that is innovative, but with evidence of </w:t>
      </w:r>
      <w:proofErr w:type="gramStart"/>
      <w:r>
        <w:t>efficacy</w:t>
      </w:r>
      <w:proofErr w:type="gramEnd"/>
    </w:p>
    <w:p w14:paraId="32723F45" w14:textId="34EEB48E" w:rsidR="00EA03A5" w:rsidRPr="00997749" w:rsidRDefault="005A3529" w:rsidP="00EA03A5">
      <w:pPr>
        <w:pStyle w:val="ListBullet"/>
      </w:pPr>
      <w:r>
        <w:t>share risk with those organisations better able to mitigat</w:t>
      </w:r>
      <w:r w:rsidRPr="00997749">
        <w:t>e that risk.</w:t>
      </w:r>
      <w:r w:rsidR="00487A60" w:rsidRPr="00997749">
        <w:rPr>
          <w:rStyle w:val="FootnoteReference"/>
        </w:rPr>
        <w:footnoteReference w:id="2"/>
      </w:r>
      <w:bookmarkStart w:id="11" w:name="_Toc22026807"/>
      <w:r w:rsidR="00EA03A5" w:rsidRPr="00997749">
        <w:t xml:space="preserve"> </w:t>
      </w:r>
    </w:p>
    <w:p w14:paraId="5EB925F0" w14:textId="5C732BA9" w:rsidR="00FB79DC" w:rsidRDefault="00FB79DC" w:rsidP="00FB79DC">
      <w:r w:rsidRPr="00997749">
        <w:t>In 2018, DTF sought proposals to finance projects that improved education and engagement outcomes for: vulnerable children aged 5-14 (Years 1-10 at school); and disengaged youth aged 15-24 (youth who have left school early, are not engaged in training or in the labour force, and who are located within a geographic area associated with social and economic disadvantage).</w:t>
      </w:r>
      <w:r w:rsidRPr="00997749">
        <w:rPr>
          <w:rStyle w:val="FootnoteReference"/>
        </w:rPr>
        <w:footnoteReference w:id="3"/>
      </w:r>
    </w:p>
    <w:p w14:paraId="7FF14326" w14:textId="77777777" w:rsidR="00FB79DC" w:rsidRDefault="00FB79DC" w:rsidP="00FB79DC">
      <w:r>
        <w:t xml:space="preserve"> Through this process, the Living Learning program (operated by MCM and its subsidiary school the Hester Hornbrook Academy (HHA)) was selected to participate in the PAD initiative. </w:t>
      </w:r>
    </w:p>
    <w:p w14:paraId="2C158023" w14:textId="32C93349" w:rsidR="00466821" w:rsidRDefault="00FB79DC" w:rsidP="00FB79DC">
      <w:r>
        <w:t>An evaluation of Living Learning is vital to the program’s continuous improvement. This evaluation, beyond the data sources used to inform outcome payments, will support the achievement of positive outcomes for program participants, MCM and the wider service system. The evaluation must ascertain the process and outcomes findings for the program to date.</w:t>
      </w:r>
      <w:r w:rsidR="00466821">
        <w:br w:type="page"/>
      </w:r>
    </w:p>
    <w:p w14:paraId="78572C6F" w14:textId="535881FF" w:rsidR="00ED2E7D" w:rsidRDefault="00DF2F62" w:rsidP="00CF1CC8">
      <w:pPr>
        <w:pStyle w:val="Heading2"/>
      </w:pPr>
      <w:bookmarkStart w:id="12" w:name="_Ref95376257"/>
      <w:bookmarkStart w:id="13" w:name="_Toc97809200"/>
      <w:bookmarkStart w:id="14" w:name="_Toc144843242"/>
      <w:bookmarkStart w:id="15" w:name="_Toc22026808"/>
      <w:bookmarkEnd w:id="11"/>
      <w:r>
        <w:t>T</w:t>
      </w:r>
      <w:r w:rsidR="003F06E9">
        <w:t>h</w:t>
      </w:r>
      <w:r>
        <w:t xml:space="preserve">e </w:t>
      </w:r>
      <w:r w:rsidR="00F42B42">
        <w:t xml:space="preserve">Living Learning </w:t>
      </w:r>
      <w:r w:rsidR="000E63A0">
        <w:t>program</w:t>
      </w:r>
      <w:bookmarkEnd w:id="12"/>
      <w:bookmarkEnd w:id="13"/>
      <w:bookmarkEnd w:id="14"/>
      <w:r w:rsidR="00ED2E7D">
        <w:t xml:space="preserve"> </w:t>
      </w:r>
    </w:p>
    <w:p w14:paraId="44BFE423" w14:textId="77777777" w:rsidR="00245FFA" w:rsidRPr="00245FFA" w:rsidRDefault="00245FFA" w:rsidP="00245FFA">
      <w:bookmarkStart w:id="16" w:name="_Toc97803382"/>
      <w:r w:rsidRPr="00245FFA">
        <w:t>The Living Learning program has been designed to deliver services that address the barriers to personal and educational achievement for school leavers aged 15-24 who are experiencing mental health complexities and who are persistently not engaged in employment, education, or training (NEET).</w:t>
      </w:r>
    </w:p>
    <w:p w14:paraId="63B3ABDE" w14:textId="77777777" w:rsidR="00C65AAA" w:rsidRDefault="00245FFA" w:rsidP="00C65AAA">
      <w:r w:rsidRPr="00245FFA">
        <w:t xml:space="preserve">The intended outcomes of the program are outlined below: </w:t>
      </w:r>
    </w:p>
    <w:p w14:paraId="1BBC171C" w14:textId="45BE3B5A" w:rsidR="00B43246" w:rsidRDefault="00B43246" w:rsidP="00245FFA">
      <w:pPr>
        <w:pStyle w:val="Caption"/>
      </w:pPr>
      <w:bookmarkStart w:id="17" w:name="_Toc144834308"/>
      <w:bookmarkStart w:id="18" w:name="_Toc144843282"/>
      <w:r>
        <w:t xml:space="preserve">Figure </w:t>
      </w:r>
      <w:r>
        <w:fldChar w:fldCharType="begin"/>
      </w:r>
      <w:r>
        <w:instrText xml:space="preserve"> SEQ Figure \* ARABIC </w:instrText>
      </w:r>
      <w:r>
        <w:fldChar w:fldCharType="separate"/>
      </w:r>
      <w:r w:rsidR="004A75C8">
        <w:rPr>
          <w:noProof/>
        </w:rPr>
        <w:t>1</w:t>
      </w:r>
      <w:r>
        <w:fldChar w:fldCharType="end"/>
      </w:r>
      <w:r>
        <w:t xml:space="preserve"> Participant outcomes</w:t>
      </w:r>
      <w:bookmarkEnd w:id="16"/>
      <w:bookmarkEnd w:id="17"/>
      <w:bookmarkEnd w:id="18"/>
    </w:p>
    <w:p w14:paraId="19CF60B8" w14:textId="77777777" w:rsidR="00B43246" w:rsidRDefault="00B43246" w:rsidP="00B43246">
      <w:pPr>
        <w:rPr>
          <w:i/>
          <w:iCs/>
          <w:sz w:val="18"/>
          <w:szCs w:val="18"/>
        </w:rPr>
      </w:pPr>
      <w:r>
        <w:rPr>
          <w:noProof/>
          <w:sz w:val="16"/>
          <w:szCs w:val="16"/>
        </w:rPr>
        <w:drawing>
          <wp:inline distT="0" distB="0" distL="0" distR="0" wp14:anchorId="73DBE669" wp14:editId="553E460E">
            <wp:extent cx="6131478" cy="3481057"/>
            <wp:effectExtent l="0" t="0" r="3175" b="5715"/>
            <wp:docPr id="118" name="Picture 118" descr="Figure 1 shows a participant's transition to a positive pathway of their choice. The left side of the graphic shows the journey to effectively managing mental health and wellbeing, and the right side shows the journey to engagement in further education or emplo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Figure 1 shows a participant's transition to a positive pathway of their choice. The left side of the graphic shows the journey to effectively managing mental health and wellbeing, and the right side shows the journey to engagement in further education or employment"/>
                    <pic:cNvPicPr/>
                  </pic:nvPicPr>
                  <pic:blipFill rotWithShape="1">
                    <a:blip r:embed="rId37" cstate="print">
                      <a:extLst>
                        <a:ext uri="{28A0092B-C50C-407E-A947-70E740481C1C}">
                          <a14:useLocalDpi xmlns:a14="http://schemas.microsoft.com/office/drawing/2010/main" val="0"/>
                        </a:ext>
                      </a:extLst>
                    </a:blip>
                    <a:srcRect b="7006"/>
                    <a:stretch/>
                  </pic:blipFill>
                  <pic:spPr bwMode="auto">
                    <a:xfrm>
                      <a:off x="0" y="0"/>
                      <a:ext cx="6151261" cy="3492289"/>
                    </a:xfrm>
                    <a:prstGeom prst="rect">
                      <a:avLst/>
                    </a:prstGeom>
                    <a:ln>
                      <a:noFill/>
                    </a:ln>
                    <a:extLst>
                      <a:ext uri="{53640926-AAD7-44D8-BBD7-CCE9431645EC}">
                        <a14:shadowObscured xmlns:a14="http://schemas.microsoft.com/office/drawing/2010/main"/>
                      </a:ext>
                    </a:extLst>
                  </pic:spPr>
                </pic:pic>
              </a:graphicData>
            </a:graphic>
          </wp:inline>
        </w:drawing>
      </w:r>
    </w:p>
    <w:p w14:paraId="43BE3AA0" w14:textId="77777777" w:rsidR="00B43246" w:rsidRDefault="00B43246" w:rsidP="003A2B08">
      <w:pPr>
        <w:pStyle w:val="ImageSource"/>
        <w:rPr>
          <w:i w:val="0"/>
        </w:rPr>
      </w:pPr>
      <w:r w:rsidRPr="00D87AAE">
        <w:t>Source: FA MCM Living Learning Prospectus</w:t>
      </w:r>
      <w:r>
        <w:t xml:space="preserve"> (</w:t>
      </w:r>
      <w:r w:rsidRPr="00D87AAE">
        <w:t>2020</w:t>
      </w:r>
      <w:r>
        <w:t>)</w:t>
      </w:r>
    </w:p>
    <w:p w14:paraId="406C8F0A" w14:textId="77777777" w:rsidR="000F4F8C" w:rsidRDefault="000F4F8C" w:rsidP="000F4F8C">
      <w:r>
        <w:t xml:space="preserve">Living Learning is an integrative program delivered by MCM providing three years of wraparound support for young people experiencing mental health challenges and who have disengaged from mainstream schooling. In addition to the HHA model of student-centred applied learning, Living Learning offers on-site mental health services and a high-touch support model for students to progress towards their goals. Living Learning builds upon the MCM evidence base regarding what works for disengaged youth to deliver a flexible and highly supportive program model. In addition to a teacher, the program places a dedicated Youth Worker and, if necessary, an Education Support Officer in every classroom, ensuring students are consistently supported through building strong, positive relationships. </w:t>
      </w:r>
    </w:p>
    <w:p w14:paraId="1FB85012" w14:textId="77777777" w:rsidR="000F4F8C" w:rsidRDefault="000F4F8C" w:rsidP="000F4F8C">
      <w:r>
        <w:t xml:space="preserve">The Living Learning program will provide three years of support to three cohorts of 48 participants, 144 students in total. The first, second and third cohorts will commence in January 2021, 2022, and 2023 respectively, and the program will operate from 2021 to 2025. </w:t>
      </w:r>
    </w:p>
    <w:p w14:paraId="21F700C8" w14:textId="7CE4896B" w:rsidR="000F4F8C" w:rsidRPr="008E2231" w:rsidRDefault="000F4F8C" w:rsidP="000F4F8C">
      <w:r>
        <w:t>The student journey from persistently NEET to a positive pathway of their choice is overleaf and includes details of the eligibility criteria and potential referral sources.</w:t>
      </w:r>
    </w:p>
    <w:p w14:paraId="4CDA6803" w14:textId="32B87DFB" w:rsidR="00010C1F" w:rsidRDefault="00010C1F" w:rsidP="00010C1F">
      <w:pPr>
        <w:pStyle w:val="Caption"/>
      </w:pPr>
      <w:bookmarkStart w:id="19" w:name="_Toc97803383"/>
      <w:bookmarkStart w:id="20" w:name="_Toc144834309"/>
      <w:bookmarkStart w:id="21" w:name="_Toc144843283"/>
      <w:r>
        <w:t xml:space="preserve">Figure </w:t>
      </w:r>
      <w:r>
        <w:fldChar w:fldCharType="begin"/>
      </w:r>
      <w:r>
        <w:instrText xml:space="preserve"> SEQ Figure \* ARABIC </w:instrText>
      </w:r>
      <w:r>
        <w:fldChar w:fldCharType="separate"/>
      </w:r>
      <w:r w:rsidR="004A75C8">
        <w:rPr>
          <w:noProof/>
        </w:rPr>
        <w:t>2</w:t>
      </w:r>
      <w:r>
        <w:fldChar w:fldCharType="end"/>
      </w:r>
      <w:r>
        <w:t xml:space="preserve"> Living Learning participant </w:t>
      </w:r>
      <w:proofErr w:type="gramStart"/>
      <w:r>
        <w:t>journey</w:t>
      </w:r>
      <w:bookmarkEnd w:id="19"/>
      <w:bookmarkEnd w:id="20"/>
      <w:bookmarkEnd w:id="21"/>
      <w:proofErr w:type="gramEnd"/>
    </w:p>
    <w:p w14:paraId="07AFD5C6" w14:textId="0B30598B" w:rsidR="0046591C" w:rsidRPr="0046591C" w:rsidRDefault="0046591C" w:rsidP="0046591C">
      <w:r w:rsidRPr="0046591C">
        <w:rPr>
          <w:noProof/>
        </w:rPr>
        <w:drawing>
          <wp:inline distT="0" distB="0" distL="0" distR="0" wp14:anchorId="58E7E151" wp14:editId="2189AC4F">
            <wp:extent cx="6120130" cy="1876425"/>
            <wp:effectExtent l="0" t="0" r="0" b="9525"/>
            <wp:docPr id="1853802300" name="Picture 1853802300" descr="Figure 2 shows a typical Living Learning participant journey, from a young person being persistently NEET to achieving their education and wellbeing goals, enabling them to transition to a positive pathway of their cho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02300" name="Picture 1" descr="Figure 2 shows a typical Living Learning participant journey, from a young person being persistently NEET to achieving their education and wellbeing goals, enabling them to transition to a positive pathway of their choice."/>
                    <pic:cNvPicPr/>
                  </pic:nvPicPr>
                  <pic:blipFill>
                    <a:blip r:embed="rId38"/>
                    <a:stretch>
                      <a:fillRect/>
                    </a:stretch>
                  </pic:blipFill>
                  <pic:spPr>
                    <a:xfrm>
                      <a:off x="0" y="0"/>
                      <a:ext cx="6120130" cy="1876425"/>
                    </a:xfrm>
                    <a:prstGeom prst="rect">
                      <a:avLst/>
                    </a:prstGeom>
                  </pic:spPr>
                </pic:pic>
              </a:graphicData>
            </a:graphic>
          </wp:inline>
        </w:drawing>
      </w:r>
    </w:p>
    <w:p w14:paraId="42214274" w14:textId="77777777" w:rsidR="00163A84" w:rsidRDefault="00163A84" w:rsidP="00163A84">
      <w:pPr>
        <w:pStyle w:val="ImageSource"/>
      </w:pPr>
      <w:r w:rsidRPr="00D87AAE">
        <w:t>Source: FA MCM Living Learning Prospectus</w:t>
      </w:r>
      <w:r>
        <w:t xml:space="preserve"> (</w:t>
      </w:r>
      <w:r w:rsidRPr="00D87AAE">
        <w:t>2020</w:t>
      </w:r>
      <w:r>
        <w:t>)</w:t>
      </w:r>
    </w:p>
    <w:p w14:paraId="0F624535" w14:textId="67F74F9E" w:rsidR="00D10411" w:rsidRPr="00D10411" w:rsidRDefault="00D10411" w:rsidP="00D10411">
      <w:pPr>
        <w:rPr>
          <w:b/>
          <w:bCs/>
        </w:rPr>
      </w:pPr>
      <w:r w:rsidRPr="00D10411">
        <w:rPr>
          <w:b/>
          <w:bCs/>
        </w:rPr>
        <w:t>Eligibility criteria:</w:t>
      </w:r>
    </w:p>
    <w:p w14:paraId="4805ABC4" w14:textId="77777777" w:rsidR="00D10411" w:rsidRDefault="00D10411" w:rsidP="00D10411">
      <w:pPr>
        <w:pStyle w:val="ListBullet"/>
      </w:pPr>
      <w:r>
        <w:t xml:space="preserve">have left school without completing Year 12 or </w:t>
      </w:r>
      <w:proofErr w:type="gramStart"/>
      <w:r>
        <w:t>equivalent</w:t>
      </w:r>
      <w:proofErr w:type="gramEnd"/>
    </w:p>
    <w:p w14:paraId="1C9B49CF" w14:textId="77777777" w:rsidR="00D10411" w:rsidRDefault="00D10411" w:rsidP="00D10411">
      <w:pPr>
        <w:pStyle w:val="ListBullet"/>
      </w:pPr>
      <w:r>
        <w:t>be aged between 15-21 years old at the time of commencing Living Learning</w:t>
      </w:r>
    </w:p>
    <w:p w14:paraId="0C6B483E" w14:textId="77777777" w:rsidR="00D10411" w:rsidRDefault="00D10411" w:rsidP="00D10411">
      <w:pPr>
        <w:pStyle w:val="ListBullet"/>
      </w:pPr>
      <w:r>
        <w:t>meet the following definition of persistently not in education, employment, or training:</w:t>
      </w:r>
    </w:p>
    <w:p w14:paraId="0ABF354A" w14:textId="2B370361" w:rsidR="00D10411" w:rsidRDefault="00D10411" w:rsidP="00D10411">
      <w:pPr>
        <w:pStyle w:val="ListBullet2"/>
      </w:pPr>
      <w:r>
        <w:t xml:space="preserve">not engaged in education, employment, or training for three consecutive months at time of intake, including any periods spent in youth detention or prison (even if they </w:t>
      </w:r>
      <w:r w:rsidR="00074801">
        <w:t>receive</w:t>
      </w:r>
      <w:r>
        <w:t xml:space="preserve"> education or training while in detention)</w:t>
      </w:r>
    </w:p>
    <w:p w14:paraId="646C054A" w14:textId="77777777" w:rsidR="00D10411" w:rsidRDefault="00D10411" w:rsidP="00D10411">
      <w:pPr>
        <w:pStyle w:val="ListBullet2"/>
      </w:pPr>
      <w:r>
        <w:t xml:space="preserve">a person is considered ‘not engaged’ if they have attended education, employment or training for ten days or less in the preceding three </w:t>
      </w:r>
      <w:proofErr w:type="gramStart"/>
      <w:r>
        <w:t>months</w:t>
      </w:r>
      <w:proofErr w:type="gramEnd"/>
    </w:p>
    <w:p w14:paraId="1F13C492" w14:textId="77777777" w:rsidR="00D10411" w:rsidRDefault="00D10411" w:rsidP="00D10411">
      <w:pPr>
        <w:pStyle w:val="ListBullet"/>
      </w:pPr>
      <w:r>
        <w:t xml:space="preserve">have a mental health condition diagnosed or imputed by a doctor or mental health </w:t>
      </w:r>
      <w:proofErr w:type="gramStart"/>
      <w:r>
        <w:t>professional</w:t>
      </w:r>
      <w:proofErr w:type="gramEnd"/>
    </w:p>
    <w:p w14:paraId="5468E2F7" w14:textId="77777777" w:rsidR="00D10411" w:rsidRDefault="00D10411" w:rsidP="00D10411">
      <w:pPr>
        <w:pStyle w:val="ListBullet"/>
      </w:pPr>
      <w:r>
        <w:t xml:space="preserve">there is space for the student who lives within the intake zone of the relevant HHA </w:t>
      </w:r>
      <w:proofErr w:type="gramStart"/>
      <w:r>
        <w:t>classroom</w:t>
      </w:r>
      <w:proofErr w:type="gramEnd"/>
    </w:p>
    <w:p w14:paraId="12330DF4" w14:textId="77777777" w:rsidR="00D10411" w:rsidRDefault="00D10411" w:rsidP="00D10411">
      <w:pPr>
        <w:pStyle w:val="ListBullet"/>
      </w:pPr>
      <w:r>
        <w:t>provide informed consent to participate in Living Learning</w:t>
      </w:r>
    </w:p>
    <w:p w14:paraId="7208C96A" w14:textId="77777777" w:rsidR="00422945" w:rsidRPr="00422945" w:rsidRDefault="00422945" w:rsidP="006D7F14">
      <w:pPr>
        <w:spacing w:before="240"/>
        <w:rPr>
          <w:b/>
          <w:bCs/>
        </w:rPr>
      </w:pPr>
      <w:r w:rsidRPr="00422945">
        <w:rPr>
          <w:b/>
          <w:bCs/>
        </w:rPr>
        <w:t>Potential referral sources:</w:t>
      </w:r>
    </w:p>
    <w:p w14:paraId="5623DBF2" w14:textId="77777777" w:rsidR="00422945" w:rsidRDefault="00422945" w:rsidP="00422945">
      <w:pPr>
        <w:pStyle w:val="ListBullet"/>
      </w:pPr>
      <w:r>
        <w:t>mental health service providers</w:t>
      </w:r>
    </w:p>
    <w:p w14:paraId="38B9B73E" w14:textId="77777777" w:rsidR="00422945" w:rsidRDefault="00422945" w:rsidP="00422945">
      <w:pPr>
        <w:pStyle w:val="ListBullet"/>
      </w:pPr>
      <w:r>
        <w:t>schools and education providers</w:t>
      </w:r>
    </w:p>
    <w:p w14:paraId="47B7A7AE" w14:textId="77777777" w:rsidR="00422945" w:rsidRDefault="00422945" w:rsidP="00422945">
      <w:pPr>
        <w:pStyle w:val="ListBullet"/>
      </w:pPr>
      <w:r>
        <w:t>youth services (including education re-engagement programs)</w:t>
      </w:r>
    </w:p>
    <w:p w14:paraId="6BA89619" w14:textId="77777777" w:rsidR="00422945" w:rsidRDefault="00422945" w:rsidP="00422945">
      <w:pPr>
        <w:pStyle w:val="ListBullet"/>
      </w:pPr>
      <w:r>
        <w:t>youth justice (including Parkville College)</w:t>
      </w:r>
    </w:p>
    <w:p w14:paraId="3D933FC2" w14:textId="77777777" w:rsidR="00422945" w:rsidRDefault="00422945" w:rsidP="00422945">
      <w:pPr>
        <w:pStyle w:val="ListBullet"/>
      </w:pPr>
      <w:r>
        <w:t>homelessness services</w:t>
      </w:r>
    </w:p>
    <w:p w14:paraId="5501C6EC" w14:textId="77777777" w:rsidR="00422945" w:rsidRDefault="00422945" w:rsidP="00422945">
      <w:pPr>
        <w:pStyle w:val="ListBullet"/>
      </w:pPr>
      <w:r>
        <w:t>other MCM programs</w:t>
      </w:r>
    </w:p>
    <w:p w14:paraId="03764E45" w14:textId="6797C529" w:rsidR="00D10411" w:rsidRDefault="00422945" w:rsidP="00422945">
      <w:pPr>
        <w:pStyle w:val="ListBullet"/>
      </w:pPr>
      <w:r>
        <w:t>self-referral by an individual, or referral by their friends or family members</w:t>
      </w:r>
    </w:p>
    <w:p w14:paraId="593A2A7D" w14:textId="04B36754" w:rsidR="00FB5323" w:rsidRDefault="008D2073" w:rsidP="000632A1">
      <w:pPr>
        <w:pStyle w:val="Head3"/>
        <w:rPr>
          <w:rFonts w:eastAsiaTheme="minorEastAsia" w:cs="Verdana"/>
          <w:b w:val="0"/>
          <w:color w:val="404040"/>
          <w:sz w:val="20"/>
        </w:rPr>
      </w:pPr>
      <w:r w:rsidRPr="008D2073">
        <w:rPr>
          <w:rFonts w:eastAsiaTheme="minorEastAsia" w:cs="Verdana"/>
          <w:b w:val="0"/>
          <w:color w:val="404040"/>
          <w:sz w:val="20"/>
        </w:rPr>
        <w:t xml:space="preserve">The Living Learning program is comprised of three activity streams: engagement, mental health, and education. A summary of these activity streams is provided </w:t>
      </w:r>
      <w:r w:rsidR="00FB5323">
        <w:rPr>
          <w:rFonts w:eastAsiaTheme="minorEastAsia" w:cs="Verdana"/>
          <w:b w:val="0"/>
          <w:color w:val="404040"/>
          <w:sz w:val="20"/>
        </w:rPr>
        <w:t>in the following</w:t>
      </w:r>
      <w:r w:rsidRPr="008D2073">
        <w:rPr>
          <w:rFonts w:eastAsiaTheme="minorEastAsia" w:cs="Verdana"/>
          <w:b w:val="0"/>
          <w:color w:val="404040"/>
          <w:sz w:val="20"/>
        </w:rPr>
        <w:t>.</w:t>
      </w:r>
      <w:r w:rsidR="00FB5323">
        <w:rPr>
          <w:rFonts w:eastAsiaTheme="minorEastAsia" w:cs="Verdana"/>
          <w:b w:val="0"/>
          <w:color w:val="404040"/>
          <w:sz w:val="20"/>
        </w:rPr>
        <w:br w:type="page"/>
      </w:r>
    </w:p>
    <w:p w14:paraId="479C062E" w14:textId="62FB2EAA" w:rsidR="00057FFE" w:rsidRPr="00D24977" w:rsidRDefault="00A75DF0" w:rsidP="000632A1">
      <w:pPr>
        <w:pStyle w:val="Head3"/>
      </w:pPr>
      <w:r>
        <w:t xml:space="preserve">Engagement </w:t>
      </w:r>
      <w:proofErr w:type="gramStart"/>
      <w:r>
        <w:t>supports</w:t>
      </w:r>
      <w:proofErr w:type="gramEnd"/>
    </w:p>
    <w:p w14:paraId="712E4E44" w14:textId="77777777" w:rsidR="009350DC" w:rsidRDefault="009350DC" w:rsidP="009350DC">
      <w:r>
        <w:t>A defining characteristic of HHA is the presence of Youth Workers in every classroom. Young people enrolled in the Living Learning program benefit from having not only a HHA Class Youth Worker, but also a Living Learning Key Worker. Living Learning Key Workers engage directly with Living Learning students in a way that extends well beyond the classroom and school. Activities undertaken by Living Learning Key Workers include:</w:t>
      </w:r>
    </w:p>
    <w:p w14:paraId="187D6BDC" w14:textId="77777777" w:rsidR="009350DC" w:rsidRDefault="009350DC" w:rsidP="009350DC">
      <w:pPr>
        <w:pStyle w:val="ListBullet"/>
      </w:pPr>
      <w:r>
        <w:t xml:space="preserve">organising other supports (brokerage) that may benefit the young person, such as access to Centrelink and transport to </w:t>
      </w:r>
      <w:proofErr w:type="gramStart"/>
      <w:r>
        <w:t>appointments</w:t>
      </w:r>
      <w:proofErr w:type="gramEnd"/>
    </w:p>
    <w:p w14:paraId="1E9F92CB" w14:textId="77777777" w:rsidR="009350DC" w:rsidRDefault="009350DC" w:rsidP="009350DC">
      <w:pPr>
        <w:pStyle w:val="ListBullet"/>
      </w:pPr>
      <w:r>
        <w:t>overseeing the development of a young person’s relationship with three supportive adults</w:t>
      </w:r>
    </w:p>
    <w:p w14:paraId="3697C3BE" w14:textId="77777777" w:rsidR="0042386A" w:rsidRDefault="009350DC" w:rsidP="009350DC">
      <w:pPr>
        <w:pStyle w:val="ListBullet"/>
      </w:pPr>
      <w:r>
        <w:t>facilitating a young person’s engagement in adventure learning activities offered by the Living Learning program (e.g., WILD, OceanMind).</w:t>
      </w:r>
    </w:p>
    <w:p w14:paraId="30B2ED93" w14:textId="77777777" w:rsidR="0042386A" w:rsidRDefault="0042386A" w:rsidP="0042386A">
      <w:r>
        <w:t>Adventure learning activities are intended to expose young people to nature and new experiences while encouraging them to: build relationships and positive memories with peers and staff; try new things and push outside their comfort zone; and further develop their confidence, grit, and resilience.</w:t>
      </w:r>
    </w:p>
    <w:p w14:paraId="5B50E2A3" w14:textId="77777777" w:rsidR="0042386A" w:rsidRDefault="0042386A" w:rsidP="0042386A">
      <w:r>
        <w:t xml:space="preserve">The ability to engage in assertive outreach is a defining feature of the Living Learning Key Worker’s role and enables Living Learning Key Workers to undertake tasks such as driving a student from their home to school, driving a student to medical appointments, and accompanying a student, in a supportive capacity, in meetings and appointments external to HHA. </w:t>
      </w:r>
    </w:p>
    <w:p w14:paraId="446EFCDD" w14:textId="491376EF" w:rsidR="0042386A" w:rsidRPr="0042386A" w:rsidRDefault="0042386A" w:rsidP="0042386A">
      <w:r>
        <w:t>The assertive outreach undertaken by the Living Learning Engagement Team complements HHA’s Engage Youth program, which provides outreach education, case management and small group-based workshops on campus two days per week. Engage Youth is a dedicated class designed to support all HHA students who have more complex needs. Engage Youth is frequently used as a pathway to assist students transitioning into regular school attendance. While Engage Youth has a focus on the internal HHA school environment, assertive outreach by the Living Learning Engagement Team is more active in external settings such as the home.</w:t>
      </w:r>
    </w:p>
    <w:p w14:paraId="15A69E68" w14:textId="77A90AB7" w:rsidR="00C37748" w:rsidRDefault="00C37748" w:rsidP="000632A1">
      <w:pPr>
        <w:pStyle w:val="Head3"/>
      </w:pPr>
      <w:r>
        <w:t xml:space="preserve">Mental health </w:t>
      </w:r>
      <w:r w:rsidR="4E10759A">
        <w:t xml:space="preserve">and wellbeing </w:t>
      </w:r>
      <w:proofErr w:type="gramStart"/>
      <w:r>
        <w:t>supports</w:t>
      </w:r>
      <w:proofErr w:type="gramEnd"/>
      <w:r>
        <w:t xml:space="preserve"> </w:t>
      </w:r>
    </w:p>
    <w:p w14:paraId="1F6400EB" w14:textId="06C58792" w:rsidR="00343AEC" w:rsidRPr="00343AEC" w:rsidRDefault="00343AEC" w:rsidP="00343AEC">
      <w:r w:rsidRPr="00343AEC">
        <w:t xml:space="preserve">Shortly after a young person enrols at HHA, an Initial Mental Health Assessment is conducted by a Living Learning Mental Health Clinician to determine if the student meets Living Learning eligibility criteria and to gain an understanding of their mental health needs. The program facilitates access to counsellors, </w:t>
      </w:r>
      <w:proofErr w:type="gramStart"/>
      <w:r w:rsidRPr="00343AEC">
        <w:t>psychologists</w:t>
      </w:r>
      <w:proofErr w:type="gramEnd"/>
      <w:r w:rsidRPr="00343AEC">
        <w:t xml:space="preserve"> and psychiatric services. A Program Psychologist is intended to work on campus providing regular support to approximately 15 Living Learning young people, along with secondary consultation to Living Learning and HHA staff relating to the mental health of all Living Learning students.  </w:t>
      </w:r>
    </w:p>
    <w:p w14:paraId="5ED0B14D" w14:textId="4BDA5BED" w:rsidR="00E17A27" w:rsidRPr="00AF72F8" w:rsidRDefault="00A75DF0" w:rsidP="000632A1">
      <w:pPr>
        <w:pStyle w:val="Head3"/>
      </w:pPr>
      <w:r>
        <w:t xml:space="preserve">Education </w:t>
      </w:r>
      <w:proofErr w:type="gramStart"/>
      <w:r>
        <w:t>supports</w:t>
      </w:r>
      <w:proofErr w:type="gramEnd"/>
      <w:r>
        <w:t xml:space="preserve"> </w:t>
      </w:r>
    </w:p>
    <w:p w14:paraId="121E7FE9" w14:textId="77777777" w:rsidR="00FD5573" w:rsidRDefault="00FD5573" w:rsidP="00FD5573">
      <w:r>
        <w:t>HHA Classroom Educators are responsible for delivering education and training courses to Living Learning participants. The Living Learning program’s specialist Education Team works alongside Classroom Educators to provide more intensive and personalised support to Living Learning participants to help them overcome educational barriers in their learning. Support may be provided directly to the Living Learning student (e.g., one-on-one sessions, or additional classroom support) or to Living Learning or HHA staff (e.g., planning, engagement, or professional development support).</w:t>
      </w:r>
    </w:p>
    <w:p w14:paraId="371DBC53" w14:textId="77777777" w:rsidR="00FD5573" w:rsidRDefault="00FD5573" w:rsidP="00FD5573">
      <w:r>
        <w:t>The Living Learning Education Team, in partnership with a young person’s Key Worker, Class Youth Worker, Classroom Educator, Clinician and other relevant staff, is responsible for developing a Living Learning participant’s Individual Education Plan (IEP). The IEP is a student-facing document that ensures a young person is aware of how their education will progress in both the short and long term. Building on a young person’s strengths, an IEP ensures a young person is learning within their own zone of proximal development and outlines the most appropriate ways for them to learn.</w:t>
      </w:r>
    </w:p>
    <w:p w14:paraId="0ACE9C37" w14:textId="77777777" w:rsidR="00FD5573" w:rsidRDefault="00FD5573" w:rsidP="00FD5573">
      <w:r>
        <w:t xml:space="preserve">IEPs are developed at Welcome Back meetings, which are constructive, goal-setting discussions held with a young person at the end of every school holiday period. An IEP is a live document, to be refined and updated as required. Young people are encouraged to bring a key support person to these meetings, which may include a family member, friend, or key worker. </w:t>
      </w:r>
    </w:p>
    <w:p w14:paraId="334B9836" w14:textId="77777777" w:rsidR="00FD5573" w:rsidRDefault="00FD5573" w:rsidP="00FD5573">
      <w:r>
        <w:t>HHA offers Victorian Certificate of Applied Learning (VCAL) at Foundation, Intermediate and Senior levels, along with Vocational Education and Training in Schools (</w:t>
      </w:r>
      <w:proofErr w:type="spellStart"/>
      <w:r>
        <w:t>VETiS</w:t>
      </w:r>
      <w:proofErr w:type="spellEnd"/>
      <w:r>
        <w:t xml:space="preserve">) courses. The HEAT (Hospitality Employment and Training) program is offered at the Sunshine and Prahran campuses, which are both equipped with industrial kitchens. The Engage Youth class is offered across all three campuses. </w:t>
      </w:r>
    </w:p>
    <w:p w14:paraId="5FFA1F1E" w14:textId="77777777" w:rsidR="00FD5573" w:rsidRDefault="00FD5573" w:rsidP="00FD5573">
      <w:r>
        <w:t xml:space="preserve">The program is delivered by eleven staff, led by the Program </w:t>
      </w:r>
      <w:proofErr w:type="gramStart"/>
      <w:r>
        <w:t>Manager</w:t>
      </w:r>
      <w:proofErr w:type="gramEnd"/>
      <w:r>
        <w:t xml:space="preserve"> and supported by the Learning Specialist and Engagement Team leaders and support staff.</w:t>
      </w:r>
    </w:p>
    <w:p w14:paraId="0254C2E5" w14:textId="363998A2" w:rsidR="00C202E8" w:rsidRDefault="00C202E8" w:rsidP="00C202E8">
      <w:pPr>
        <w:pStyle w:val="Caption"/>
      </w:pPr>
      <w:bookmarkStart w:id="22" w:name="_Toc97803384"/>
      <w:bookmarkStart w:id="23" w:name="_Toc144834310"/>
      <w:bookmarkStart w:id="24" w:name="_Toc144843284"/>
      <w:r>
        <w:t xml:space="preserve">Figure </w:t>
      </w:r>
      <w:r>
        <w:fldChar w:fldCharType="begin"/>
      </w:r>
      <w:r>
        <w:instrText xml:space="preserve"> SEQ Figure \* ARABIC </w:instrText>
      </w:r>
      <w:r>
        <w:fldChar w:fldCharType="separate"/>
      </w:r>
      <w:r w:rsidR="004A75C8">
        <w:rPr>
          <w:noProof/>
        </w:rPr>
        <w:t>3</w:t>
      </w:r>
      <w:r>
        <w:fldChar w:fldCharType="end"/>
      </w:r>
      <w:r>
        <w:t xml:space="preserve"> Living Learning program team </w:t>
      </w:r>
      <w:proofErr w:type="gramStart"/>
      <w:r>
        <w:t>structure</w:t>
      </w:r>
      <w:bookmarkEnd w:id="22"/>
      <w:bookmarkEnd w:id="23"/>
      <w:bookmarkEnd w:id="24"/>
      <w:proofErr w:type="gramEnd"/>
    </w:p>
    <w:p w14:paraId="407F3795" w14:textId="7025F89F" w:rsidR="0059037B" w:rsidRDefault="00F4705F" w:rsidP="008A43A2">
      <w:r>
        <w:rPr>
          <w:noProof/>
        </w:rPr>
        <w:drawing>
          <wp:anchor distT="0" distB="0" distL="114300" distR="114300" simplePos="0" relativeHeight="251658254" behindDoc="0" locked="0" layoutInCell="1" allowOverlap="1" wp14:anchorId="4004509D" wp14:editId="297017C8">
            <wp:simplePos x="0" y="0"/>
            <wp:positionH relativeFrom="margin">
              <wp:align>center</wp:align>
            </wp:positionH>
            <wp:positionV relativeFrom="paragraph">
              <wp:posOffset>4077636</wp:posOffset>
            </wp:positionV>
            <wp:extent cx="7596505" cy="3627120"/>
            <wp:effectExtent l="0" t="0" r="4445" b="0"/>
            <wp:wrapNone/>
            <wp:docPr id="653887083" name="Picture 6538870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887083" name="Picture 6">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596505" cy="3627120"/>
                    </a:xfrm>
                    <a:prstGeom prst="rect">
                      <a:avLst/>
                    </a:prstGeom>
                    <a:noFill/>
                  </pic:spPr>
                </pic:pic>
              </a:graphicData>
            </a:graphic>
          </wp:anchor>
        </w:drawing>
      </w:r>
      <w:r w:rsidR="008A43A2" w:rsidRPr="008A43A2">
        <w:rPr>
          <w:noProof/>
        </w:rPr>
        <w:drawing>
          <wp:inline distT="0" distB="0" distL="0" distR="0" wp14:anchorId="58665A22" wp14:editId="2B943EB7">
            <wp:extent cx="6120130" cy="3469005"/>
            <wp:effectExtent l="0" t="0" r="0" b="0"/>
            <wp:docPr id="173940783" name="Picture 173940783" descr="Figure 3 shows the Living Learning staff structure, comprised of one Program Manager, one Learning Specialist, three Education Support Officers, one Data Manager, one Psychologist, one Engagement Team Leader, and three Engagement Key Workers. An Occupational Therapist and an additional Key Worker had been recruited but had not yet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0783" name="Picture 1" descr="Figure 3 shows the Living Learning staff structure, comprised of one Program Manager, one Learning Specialist, three Education Support Officers, one Data Manager, one Psychologist, one Engagement Team Leader, and three Engagement Key Workers. An Occupational Therapist and an additional Key Worker had been recruited but had not yet commenced."/>
                    <pic:cNvPicPr/>
                  </pic:nvPicPr>
                  <pic:blipFill>
                    <a:blip r:embed="rId40"/>
                    <a:stretch>
                      <a:fillRect/>
                    </a:stretch>
                  </pic:blipFill>
                  <pic:spPr>
                    <a:xfrm>
                      <a:off x="0" y="0"/>
                      <a:ext cx="6120130" cy="3469005"/>
                    </a:xfrm>
                    <a:prstGeom prst="rect">
                      <a:avLst/>
                    </a:prstGeom>
                  </pic:spPr>
                </pic:pic>
              </a:graphicData>
            </a:graphic>
          </wp:inline>
        </w:drawing>
      </w:r>
      <w:r w:rsidR="0059037B">
        <w:br w:type="page"/>
      </w:r>
    </w:p>
    <w:p w14:paraId="756D4D99" w14:textId="0F4F8C2B" w:rsidR="00ED2E7D" w:rsidRDefault="00991D8C" w:rsidP="0099318A">
      <w:pPr>
        <w:pStyle w:val="Heading1"/>
      </w:pPr>
      <w:bookmarkStart w:id="25" w:name="_Toc97809201"/>
      <w:bookmarkStart w:id="26" w:name="_Toc144843243"/>
      <w:bookmarkEnd w:id="15"/>
      <w:r w:rsidRPr="00994A71">
        <w:t>M</w:t>
      </w:r>
      <w:r w:rsidR="00A97D9E" w:rsidRPr="00994A71">
        <w:t>ethodology</w:t>
      </w:r>
      <w:bookmarkEnd w:id="25"/>
      <w:bookmarkEnd w:id="26"/>
    </w:p>
    <w:p w14:paraId="2CE8D8C6" w14:textId="083BC4EE" w:rsidR="002636A9" w:rsidRDefault="002636A9" w:rsidP="00720B05">
      <w:pPr>
        <w:pStyle w:val="Heading2"/>
      </w:pPr>
      <w:bookmarkStart w:id="27" w:name="_Toc97809202"/>
      <w:bookmarkStart w:id="28" w:name="_Ref98514083"/>
      <w:bookmarkStart w:id="29" w:name="_Toc144843244"/>
      <w:r>
        <w:t xml:space="preserve">Evaluation </w:t>
      </w:r>
      <w:r w:rsidRPr="00994A71">
        <w:t>overview</w:t>
      </w:r>
      <w:bookmarkEnd w:id="27"/>
      <w:bookmarkEnd w:id="28"/>
      <w:bookmarkEnd w:id="29"/>
      <w:r>
        <w:t xml:space="preserve"> </w:t>
      </w:r>
    </w:p>
    <w:p w14:paraId="07690583" w14:textId="4DDB57A9" w:rsidR="00E55365" w:rsidRDefault="00E55365" w:rsidP="00E55365">
      <w:r w:rsidRPr="00E55365">
        <w:t>The evaluation scope includes the Living Learning Program – the model of intervention designed and implemented by MCM. The achievement of payable outcomes is not in the scope of this evaluation.</w:t>
      </w:r>
    </w:p>
    <w:p w14:paraId="44580567" w14:textId="4D9164AC" w:rsidR="00E55365" w:rsidRDefault="00E55365" w:rsidP="00E55365">
      <w:pPr>
        <w:pStyle w:val="Heading2"/>
      </w:pPr>
      <w:bookmarkStart w:id="30" w:name="_Toc144843245"/>
      <w:r>
        <w:t>Key evaluation questions</w:t>
      </w:r>
      <w:bookmarkEnd w:id="30"/>
    </w:p>
    <w:p w14:paraId="650DE3C6" w14:textId="2FC28926" w:rsidR="005813AB" w:rsidRDefault="005813AB" w:rsidP="005813AB">
      <w:r>
        <w:t xml:space="preserve">The formative evaluation is guided by four KEQs and accompanying sub-questions, which are presented below. </w:t>
      </w:r>
    </w:p>
    <w:p w14:paraId="0F5C6A04" w14:textId="44C6D039" w:rsidR="005813AB" w:rsidRPr="005813AB" w:rsidRDefault="005813AB" w:rsidP="005813AB">
      <w:pPr>
        <w:rPr>
          <w:b/>
          <w:bCs/>
        </w:rPr>
      </w:pPr>
      <w:r w:rsidRPr="005813AB">
        <w:rPr>
          <w:b/>
          <w:bCs/>
        </w:rPr>
        <w:t>F1: To what extent does the design of the Living Learning program model reflect contemporary or emerging evidence for good policy and practice?</w:t>
      </w:r>
    </w:p>
    <w:p w14:paraId="498881D6" w14:textId="40F0B309" w:rsidR="005813AB" w:rsidRDefault="005813AB" w:rsidP="005813AB">
      <w:pPr>
        <w:pStyle w:val="ListBullet"/>
      </w:pPr>
      <w:r>
        <w:t>To what extent are these features evident in the program model?</w:t>
      </w:r>
    </w:p>
    <w:p w14:paraId="5A74017F" w14:textId="77777777" w:rsidR="005813AB" w:rsidRDefault="005813AB" w:rsidP="005813AB">
      <w:pPr>
        <w:pStyle w:val="ListBullet"/>
      </w:pPr>
      <w:r>
        <w:t>What are the features of good practice programs?</w:t>
      </w:r>
    </w:p>
    <w:p w14:paraId="25D7D2A2" w14:textId="5C5C1FFA" w:rsidR="005813AB" w:rsidRPr="005813AB" w:rsidRDefault="005813AB" w:rsidP="005813AB">
      <w:pPr>
        <w:rPr>
          <w:b/>
          <w:bCs/>
        </w:rPr>
      </w:pPr>
      <w:r w:rsidRPr="005813AB">
        <w:rPr>
          <w:b/>
          <w:bCs/>
        </w:rPr>
        <w:t>F2: To what extent has the Living Learning Program model been implemented as planned?</w:t>
      </w:r>
    </w:p>
    <w:p w14:paraId="6DB60BB9" w14:textId="46266C36" w:rsidR="005813AB" w:rsidRDefault="005813AB" w:rsidP="005813AB">
      <w:pPr>
        <w:pStyle w:val="ListBullet"/>
      </w:pPr>
      <w:r>
        <w:t>Has the program been delivered on time, on budget and as designed? Why/why not?</w:t>
      </w:r>
    </w:p>
    <w:p w14:paraId="48E81C05" w14:textId="40A8B446" w:rsidR="005813AB" w:rsidRDefault="005813AB" w:rsidP="005813AB">
      <w:pPr>
        <w:pStyle w:val="ListBullet"/>
      </w:pPr>
      <w:r>
        <w:t>What external factors have impacted implementation, and in what ways?</w:t>
      </w:r>
    </w:p>
    <w:p w14:paraId="73BF03CD" w14:textId="129D737D" w:rsidR="005813AB" w:rsidRDefault="005813AB" w:rsidP="005813AB">
      <w:pPr>
        <w:pStyle w:val="ListBullet"/>
      </w:pPr>
      <w:r>
        <w:t>What adaptations have been made, and on what basis?</w:t>
      </w:r>
    </w:p>
    <w:p w14:paraId="326BDDD3" w14:textId="64E6D606" w:rsidR="005813AB" w:rsidRDefault="005813AB" w:rsidP="005813AB">
      <w:pPr>
        <w:pStyle w:val="ListBullet"/>
      </w:pPr>
      <w:r>
        <w:t>How has the COVID-19 pandemic impacted program design assumptions and implementation?</w:t>
      </w:r>
    </w:p>
    <w:p w14:paraId="1FD7BA83" w14:textId="00048273" w:rsidR="005813AB" w:rsidRDefault="005813AB" w:rsidP="005813AB">
      <w:pPr>
        <w:pStyle w:val="ListBullet"/>
      </w:pPr>
      <w:r>
        <w:t>What adaptations have been made in response to COVID-19?</w:t>
      </w:r>
    </w:p>
    <w:p w14:paraId="321AEB0A" w14:textId="621D4D0F" w:rsidR="005813AB" w:rsidRDefault="005813AB" w:rsidP="005813AB">
      <w:pPr>
        <w:pStyle w:val="ListBullet"/>
      </w:pPr>
      <w:r>
        <w:t>Are the governance structures for the program operating effectively?</w:t>
      </w:r>
    </w:p>
    <w:p w14:paraId="4308A1AE" w14:textId="7DE50855" w:rsidR="005813AB" w:rsidRDefault="005813AB" w:rsidP="005813AB">
      <w:pPr>
        <w:pStyle w:val="ListBullet"/>
      </w:pPr>
      <w:r>
        <w:t>What supports and services are being provided to which participants?</w:t>
      </w:r>
    </w:p>
    <w:p w14:paraId="7F523117" w14:textId="3707E94B" w:rsidR="005813AB" w:rsidRDefault="005813AB" w:rsidP="005813AB">
      <w:pPr>
        <w:pStyle w:val="ListBullet"/>
      </w:pPr>
      <w:r>
        <w:t>To what extent is the profile of program participants as expected?</w:t>
      </w:r>
    </w:p>
    <w:p w14:paraId="62F3954F" w14:textId="77777777" w:rsidR="008B4B34" w:rsidRDefault="005813AB" w:rsidP="005813AB">
      <w:pPr>
        <w:pStyle w:val="ListBullet"/>
      </w:pPr>
      <w:r>
        <w:t>What are the emerging outcomes for Living Learning participants?</w:t>
      </w:r>
    </w:p>
    <w:p w14:paraId="451B929B" w14:textId="77777777" w:rsidR="009F1D0E" w:rsidRDefault="00EE30BB" w:rsidP="00CF1CC8">
      <w:pPr>
        <w:pStyle w:val="Heading2"/>
      </w:pPr>
      <w:bookmarkStart w:id="31" w:name="_Toc97809204"/>
      <w:bookmarkStart w:id="32" w:name="_Toc144843246"/>
      <w:r>
        <w:t>D</w:t>
      </w:r>
      <w:r w:rsidR="006A7B14">
        <w:t xml:space="preserve">ata </w:t>
      </w:r>
      <w:r w:rsidR="006A7B14" w:rsidRPr="00D179BA">
        <w:t>collection</w:t>
      </w:r>
      <w:r w:rsidR="006A7B14">
        <w:t xml:space="preserve"> and analysis</w:t>
      </w:r>
      <w:bookmarkEnd w:id="31"/>
      <w:bookmarkEnd w:id="32"/>
    </w:p>
    <w:p w14:paraId="41BCA44D" w14:textId="77777777" w:rsidR="009F1D0E" w:rsidRDefault="009F1D0E" w:rsidP="009F1D0E">
      <w:r>
        <w:t xml:space="preserve">Data collection activities to inform the formative evaluation were undertaken in November and December 2021 and included the evaluation team visiting the Sunshine and City HHA campuses to view the design features and facilities available at these campuses. The Sunshine campus was prioritised, as </w:t>
      </w:r>
      <w:proofErr w:type="gramStart"/>
      <w:r>
        <w:t>the majority of</w:t>
      </w:r>
      <w:proofErr w:type="gramEnd"/>
      <w:r>
        <w:t xml:space="preserve"> Living Learning young people attend this campus. During the site visits, a tour of the space was conducted with Living Learning and HHA staff. </w:t>
      </w:r>
    </w:p>
    <w:p w14:paraId="7CF7EAD8" w14:textId="7CB1F6F4" w:rsidR="00962D6E" w:rsidRDefault="009F1D0E" w:rsidP="009F1D0E">
      <w:r>
        <w:t>Urbis conducted nine interviews (n=9) in relation to the design and implementation of the Living Learning Program. Interviews were conducted both in-person (at the Sunshine and City campuses) and online (via Microsoft Teams). In-person interviews were audio recorded and the evaluation team made notes of the interview, and online interviews were video recorded and transcribed via the Microsoft Teams platform. Consent to record was sought and confirmed by all interviewees.</w:t>
      </w:r>
      <w:r w:rsidR="00962D6E">
        <w:br w:type="page"/>
      </w:r>
    </w:p>
    <w:p w14:paraId="4D7F30F1" w14:textId="6BD8146C" w:rsidR="00A3679B" w:rsidRDefault="009F1D0E" w:rsidP="009F1D0E">
      <w:r>
        <w:t>Interviews were generally 60 minutes long and three separate interviews were conducted with the Living Learning Program Manager. A core discussion guide was developed in line with the KEQs. Given the diversity of roles and tenure among stakeholders, semi-structured interviews were determined to be the most suitable method to enable coverage of the core discussion guides, while allowing flexibility to explore relevant and emergent themes. These semi-structured interviews explored lines of inquiry relevant to each stakeholder's role and included staff and stakeholders from:</w:t>
      </w:r>
    </w:p>
    <w:p w14:paraId="609826E3" w14:textId="77777777" w:rsidR="00201FA9" w:rsidRDefault="00201FA9" w:rsidP="00201FA9">
      <w:pPr>
        <w:pStyle w:val="ListBullet"/>
      </w:pPr>
      <w:r>
        <w:t xml:space="preserve">Living Learning Program (n=5), including the Program Manager, Education Team Leader, Engagement Team Leader, Psychologist and Data Analyst </w:t>
      </w:r>
    </w:p>
    <w:p w14:paraId="4818CDA6" w14:textId="77777777" w:rsidR="00201FA9" w:rsidRDefault="00201FA9" w:rsidP="00201FA9">
      <w:pPr>
        <w:pStyle w:val="ListBullet"/>
      </w:pPr>
      <w:r>
        <w:t>HHA (n=3)</w:t>
      </w:r>
    </w:p>
    <w:p w14:paraId="599C10CB" w14:textId="7A962474" w:rsidR="00E148A7" w:rsidRDefault="00201FA9" w:rsidP="00201FA9">
      <w:pPr>
        <w:pStyle w:val="ListBullet"/>
      </w:pPr>
      <w:r>
        <w:t>MCM (n=1).</w:t>
      </w:r>
    </w:p>
    <w:p w14:paraId="25128704" w14:textId="77777777" w:rsidR="00201FA9" w:rsidRDefault="00201FA9" w:rsidP="00201FA9">
      <w:r>
        <w:t xml:space="preserve">Qualitative data from interviews was analysed against the key evaluation questions to determine the strength and veracity of findings. From this analysis, emergent themes and information gaps were identified, which informed additional data and information requests. Where possible, interview data was triangulated with other qualitative data (other stakeholder interviews) and with documentation and data. Relevant findings are discussed in the body of the report. </w:t>
      </w:r>
    </w:p>
    <w:p w14:paraId="1FA636C1" w14:textId="52D278BF" w:rsidR="00201FA9" w:rsidRDefault="00201FA9" w:rsidP="00201FA9">
      <w:r>
        <w:t>Urbis also undertook a review of existing documentation provided by program stakeholders. The document review was undertaken to validate and triangulate qualitative data collected through interviews. A document register was established to track and manage what sources had been shared with Urbis. Documentation provided to Urbis by stakeholders fit broadly into four categories:</w:t>
      </w:r>
    </w:p>
    <w:p w14:paraId="6A2F3A9B" w14:textId="77777777" w:rsidR="00406FB6" w:rsidRDefault="00406FB6" w:rsidP="00406FB6">
      <w:pPr>
        <w:pStyle w:val="ListBullet"/>
      </w:pPr>
      <w:r>
        <w:t xml:space="preserve">program design </w:t>
      </w:r>
    </w:p>
    <w:p w14:paraId="30E84252" w14:textId="77777777" w:rsidR="00406FB6" w:rsidRDefault="00406FB6" w:rsidP="00406FB6">
      <w:pPr>
        <w:pStyle w:val="ListBullet"/>
      </w:pPr>
      <w:r>
        <w:t xml:space="preserve">program implementation  </w:t>
      </w:r>
    </w:p>
    <w:p w14:paraId="594520D9" w14:textId="77777777" w:rsidR="00406FB6" w:rsidRDefault="00406FB6" w:rsidP="00406FB6">
      <w:pPr>
        <w:pStyle w:val="ListBullet"/>
      </w:pPr>
      <w:r>
        <w:t xml:space="preserve">operational governance </w:t>
      </w:r>
    </w:p>
    <w:p w14:paraId="07A93966" w14:textId="4C0A1599" w:rsidR="00201FA9" w:rsidRDefault="00406FB6" w:rsidP="00406FB6">
      <w:pPr>
        <w:pStyle w:val="ListBullet"/>
      </w:pPr>
      <w:r>
        <w:t>Living Learning Program data.</w:t>
      </w:r>
    </w:p>
    <w:p w14:paraId="0D3A9B0F" w14:textId="277643E5" w:rsidR="006A7B14" w:rsidRDefault="006A7B14" w:rsidP="00CF1CC8">
      <w:pPr>
        <w:pStyle w:val="Heading2"/>
      </w:pPr>
      <w:bookmarkStart w:id="33" w:name="_Toc97809205"/>
      <w:bookmarkStart w:id="34" w:name="_Toc144843247"/>
      <w:r w:rsidRPr="0045724D">
        <w:t>Limitations</w:t>
      </w:r>
      <w:bookmarkEnd w:id="33"/>
      <w:bookmarkEnd w:id="34"/>
    </w:p>
    <w:p w14:paraId="5DF8E366" w14:textId="77777777" w:rsidR="00406FB6" w:rsidRDefault="00406FB6" w:rsidP="00406FB6">
      <w:r>
        <w:t xml:space="preserve">The following limitations apply to the formative evaluation: </w:t>
      </w:r>
    </w:p>
    <w:p w14:paraId="3038B4A5" w14:textId="77777777" w:rsidR="00406FB6" w:rsidRDefault="00406FB6" w:rsidP="00406FB6">
      <w:pPr>
        <w:pStyle w:val="ListBullet"/>
      </w:pPr>
      <w:r>
        <w:t xml:space="preserve">young people were not consulted in this stage of the evaluation, meaning that preliminary findings toward emerging outcomes for program participants have been informed by observations of HHA and Living Learning </w:t>
      </w:r>
      <w:proofErr w:type="gramStart"/>
      <w:r>
        <w:t>staff</w:t>
      </w:r>
      <w:proofErr w:type="gramEnd"/>
    </w:p>
    <w:p w14:paraId="4DE2C5DE" w14:textId="0A76E9B3" w:rsidR="00406FB6" w:rsidRPr="00406FB6" w:rsidRDefault="00406FB6" w:rsidP="00406FB6">
      <w:pPr>
        <w:pStyle w:val="ListBullet"/>
      </w:pPr>
      <w:r>
        <w:t>limited consultation was conducted with HHA staff (n=3), meaning the views expressed in this report are indicative only.</w:t>
      </w:r>
    </w:p>
    <w:p w14:paraId="7840E7C9" w14:textId="02411F90" w:rsidR="000E6FF9" w:rsidRDefault="000E6FF9" w:rsidP="000E6FF9">
      <w:pPr>
        <w:pStyle w:val="Heading2"/>
      </w:pPr>
      <w:bookmarkStart w:id="35" w:name="_Toc97809206"/>
      <w:bookmarkStart w:id="36" w:name="_Toc144843248"/>
      <w:r w:rsidRPr="00E1284E">
        <w:t>Evaluation next steps and stages</w:t>
      </w:r>
      <w:bookmarkEnd w:id="35"/>
      <w:bookmarkEnd w:id="36"/>
    </w:p>
    <w:p w14:paraId="105A8701" w14:textId="77777777" w:rsidR="00FA1081" w:rsidRDefault="00FA1081" w:rsidP="00FA1081">
      <w:r>
        <w:t xml:space="preserve">Key activities and timelines towards the three stages of the evaluation are set out below: </w:t>
      </w:r>
    </w:p>
    <w:p w14:paraId="7BF9E92E" w14:textId="77777777" w:rsidR="00FA1081" w:rsidRDefault="00FA1081" w:rsidP="00FA1081">
      <w:pPr>
        <w:pStyle w:val="ListBullet"/>
      </w:pPr>
      <w:r>
        <w:t>Formative evaluation – Finalise the report (March 2022).</w:t>
      </w:r>
    </w:p>
    <w:p w14:paraId="3D739647" w14:textId="77777777" w:rsidR="00FA1081" w:rsidRDefault="00FA1081" w:rsidP="00FA1081">
      <w:pPr>
        <w:pStyle w:val="ListBullet"/>
      </w:pPr>
      <w:r>
        <w:t>Interim evaluation – Finalise ethics (March-April 2022), conduct fieldwork with Living Learning participants (July-August), and finalise Interim Report (December 2022).</w:t>
      </w:r>
    </w:p>
    <w:p w14:paraId="4D5C7A09" w14:textId="77777777" w:rsidR="00DF0AC9" w:rsidRDefault="00FA1081" w:rsidP="00FA1081">
      <w:pPr>
        <w:pStyle w:val="ListBullet"/>
        <w:sectPr w:rsidR="00DF0AC9" w:rsidSect="002513AB">
          <w:footerReference w:type="even" r:id="rId41"/>
          <w:footerReference w:type="default" r:id="rId42"/>
          <w:pgSz w:w="11906" w:h="16838" w:code="9"/>
          <w:pgMar w:top="1134" w:right="1134" w:bottom="1418" w:left="1134" w:header="709" w:footer="284" w:gutter="0"/>
          <w:cols w:space="708"/>
          <w:docGrid w:linePitch="360"/>
        </w:sectPr>
      </w:pPr>
      <w:r>
        <w:t>Summative evaluation – Conduct fieldwork with Living Learning participants (2023, 2024, 2025), conduct the economic analysis (February 2026) and finalise Summative Report (July 2026).</w:t>
      </w:r>
    </w:p>
    <w:p w14:paraId="06D63219" w14:textId="7A1629E4" w:rsidR="00A21DC2" w:rsidRDefault="00DB3176" w:rsidP="00320D05">
      <w:pPr>
        <w:pStyle w:val="Heading1"/>
        <w:spacing w:before="6200"/>
      </w:pPr>
      <w:bookmarkStart w:id="37" w:name="_Toc97809207"/>
      <w:bookmarkStart w:id="38" w:name="_Toc144843249"/>
      <w:r>
        <w:rPr>
          <w:noProof/>
        </w:rPr>
        <w:drawing>
          <wp:anchor distT="0" distB="0" distL="114300" distR="114300" simplePos="0" relativeHeight="251658240" behindDoc="1" locked="0" layoutInCell="1" allowOverlap="1" wp14:anchorId="294E9865" wp14:editId="6125AECD">
            <wp:simplePos x="0" y="0"/>
            <wp:positionH relativeFrom="page">
              <wp:align>left</wp:align>
            </wp:positionH>
            <wp:positionV relativeFrom="paragraph">
              <wp:posOffset>-720090</wp:posOffset>
            </wp:positionV>
            <wp:extent cx="9469793" cy="4178224"/>
            <wp:effectExtent l="0" t="0" r="0" b="0"/>
            <wp:wrapNone/>
            <wp:docPr id="26781922" name="Picture 267819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1922" name="Picture 8">
                      <a:extLst>
                        <a:ext uri="{C183D7F6-B498-43B3-948B-1728B52AA6E4}">
                          <adec:decorative xmlns:adec="http://schemas.microsoft.com/office/drawing/2017/decorative" val="1"/>
                        </a:ext>
                      </a:extLst>
                    </pic:cNvPr>
                    <pic:cNvPicPr>
                      <a:picLocks noChangeAspect="1" noChangeArrowheads="1"/>
                    </pic:cNvPicPr>
                  </pic:nvPicPr>
                  <pic:blipFill rotWithShape="1">
                    <a:blip r:embed="rId43">
                      <a:extLst>
                        <a:ext uri="{28A0092B-C50C-407E-A947-70E740481C1C}">
                          <a14:useLocalDpi xmlns:a14="http://schemas.microsoft.com/office/drawing/2010/main" val="0"/>
                        </a:ext>
                      </a:extLst>
                    </a:blip>
                    <a:srcRect t="12289" b="9417"/>
                    <a:stretch/>
                  </pic:blipFill>
                  <pic:spPr bwMode="auto">
                    <a:xfrm>
                      <a:off x="0" y="0"/>
                      <a:ext cx="9469793" cy="41782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1DC2">
        <w:t xml:space="preserve">Program </w:t>
      </w:r>
      <w:r w:rsidR="00AF449C">
        <w:t>design</w:t>
      </w:r>
      <w:bookmarkEnd w:id="37"/>
      <w:bookmarkEnd w:id="38"/>
    </w:p>
    <w:p w14:paraId="4A5F67A0" w14:textId="3E73C33F" w:rsidR="0053411F" w:rsidRPr="0053411F" w:rsidRDefault="0053411F" w:rsidP="0053411F">
      <w:r w:rsidRPr="0053411F">
        <w:t>This section examines KEQ F1. It explores the extent to which the Living Learning Program model reflects contemporary and emerging evidence for good policy and practice.</w:t>
      </w:r>
    </w:p>
    <w:p w14:paraId="326F5661" w14:textId="6DC9EF44" w:rsidR="00C212A5" w:rsidRDefault="00C212A5" w:rsidP="00962747">
      <w:pPr>
        <w:pStyle w:val="Head2"/>
      </w:pPr>
      <w:r>
        <w:t>Key messages</w:t>
      </w:r>
    </w:p>
    <w:p w14:paraId="5CE1651B" w14:textId="77777777" w:rsidR="00A37F0F" w:rsidRDefault="00A37F0F" w:rsidP="00A37F0F">
      <w:pPr>
        <w:pStyle w:val="ListBullet"/>
      </w:pPr>
      <w:r>
        <w:t xml:space="preserve">The program’s design has been informed by MCM’s experience delivering programs to this cohort and aligns with contemporary best-practice approaches. </w:t>
      </w:r>
    </w:p>
    <w:p w14:paraId="4DF095BF" w14:textId="77777777" w:rsidR="00A37F0F" w:rsidRDefault="00A37F0F" w:rsidP="00A37F0F">
      <w:pPr>
        <w:pStyle w:val="ListBullet"/>
      </w:pPr>
      <w:r>
        <w:t xml:space="preserve">The program’s design drew from existing MCM programs: </w:t>
      </w:r>
      <w:proofErr w:type="spellStart"/>
      <w:r>
        <w:t>Frontyard</w:t>
      </w:r>
      <w:proofErr w:type="spellEnd"/>
      <w:r>
        <w:t xml:space="preserve"> (Check-In), Key Worker model from Cradle to Kinder, and HHA. </w:t>
      </w:r>
    </w:p>
    <w:p w14:paraId="21ADB188" w14:textId="77777777" w:rsidR="00A37F0F" w:rsidRDefault="00A37F0F" w:rsidP="00A37F0F">
      <w:pPr>
        <w:pStyle w:val="ListBullet"/>
      </w:pPr>
      <w:r>
        <w:t xml:space="preserve">International and Australian literature shows that wraparound support has positive outcomes on attendance and improved wellbeing, enjoyment of school, and social functioning. The program design aligns with the 10 principles of wraparound support. Our review found no directly comparable program to Living Learning with all core elements included.  </w:t>
      </w:r>
    </w:p>
    <w:p w14:paraId="5D221735" w14:textId="77777777" w:rsidR="005E19EF" w:rsidRDefault="00A37F0F" w:rsidP="0095659E">
      <w:pPr>
        <w:pStyle w:val="ListBullet"/>
      </w:pPr>
      <w:r>
        <w:t>The integration of a range of elements into a single program and into a school setting (including adventure learning, assertive outreach, wraparound support) is novel. The program model evidences strong alignment between the program and best practice approaches for administering wraparound programs to vulnerable young people.</w:t>
      </w:r>
    </w:p>
    <w:p w14:paraId="64537A65" w14:textId="036C6A02" w:rsidR="00765BCF" w:rsidRDefault="0018117D" w:rsidP="0095659E">
      <w:pPr>
        <w:pStyle w:val="NormalBodyIntro"/>
      </w:pPr>
      <w:r w:rsidRPr="0095659E">
        <w:t>O</w:t>
      </w:r>
      <w:r w:rsidR="00F409FE" w:rsidRPr="0095659E">
        <w:t>rganisational experience</w:t>
      </w:r>
      <w:r w:rsidRPr="0095659E">
        <w:t xml:space="preserve"> administering successful programs to the target cohort informed </w:t>
      </w:r>
      <w:r w:rsidR="009D5482" w:rsidRPr="0095659E">
        <w:t xml:space="preserve">the </w:t>
      </w:r>
      <w:r w:rsidRPr="0095659E">
        <w:t>program</w:t>
      </w:r>
      <w:r w:rsidR="009D5482" w:rsidRPr="0095659E">
        <w:t>’s</w:t>
      </w:r>
      <w:r w:rsidRPr="0095659E">
        <w:t xml:space="preserve"> </w:t>
      </w:r>
      <w:proofErr w:type="gramStart"/>
      <w:r w:rsidRPr="0095659E">
        <w:t>design</w:t>
      </w:r>
      <w:proofErr w:type="gramEnd"/>
    </w:p>
    <w:p w14:paraId="7C561AC6" w14:textId="77777777" w:rsidR="00552012" w:rsidRDefault="00552012" w:rsidP="00552012">
      <w:r>
        <w:t>Program design was informed by three existing programs being administered by MCM. The Living Learning Program draws on insights gained and capacity built through MCM’s management of:</w:t>
      </w:r>
    </w:p>
    <w:p w14:paraId="0E4E07BB" w14:textId="43AC3191" w:rsidR="000811FA" w:rsidRDefault="00552012" w:rsidP="00552012">
      <w:pPr>
        <w:pStyle w:val="ListBullet"/>
      </w:pPr>
      <w:r>
        <w:t>HHA – Since 2012, MCM’s subsidiary school has provided alternative flexible education and learning options to young people who have struggled to engage in mainstream education. The experiences and lessons learnt through the operation of HHA built the conceptual foundation of the Living Learning Program. The focus on young people having supportive relationships with at least three adults was derived from HHA operations and constitutes a core part of the Living Learning model. HHA is the host setting of the Living Learning Program.</w:t>
      </w:r>
      <w:r w:rsidR="000811FA">
        <w:br w:type="page"/>
      </w:r>
    </w:p>
    <w:p w14:paraId="628B56B1" w14:textId="77777777" w:rsidR="00552012" w:rsidRDefault="00552012" w:rsidP="00552012">
      <w:pPr>
        <w:pStyle w:val="ListBullet"/>
      </w:pPr>
      <w:proofErr w:type="spellStart"/>
      <w:r>
        <w:t>Frontyard’s</w:t>
      </w:r>
      <w:proofErr w:type="spellEnd"/>
      <w:r>
        <w:t xml:space="preserve"> Check-In program – An integrated service model that addresses the physical, emotional, and social needs of young people (aged 12-24) who are disengaged, at risk of, or experiencing homelessness in Melbourne’s CBD. The Living Learning Program incorporates elements of the program’s step-up and step-down model of care, where individual needs inform the level of care and support provided. </w:t>
      </w:r>
    </w:p>
    <w:p w14:paraId="13362194" w14:textId="1689A244" w:rsidR="00B8316D" w:rsidRDefault="00552012" w:rsidP="00552012">
      <w:pPr>
        <w:pStyle w:val="ListBullet"/>
      </w:pPr>
      <w:r>
        <w:t xml:space="preserve">Cradle to Kinder – An intensive ante and postnatal support service to provide longer term, intensive </w:t>
      </w:r>
      <w:proofErr w:type="gramStart"/>
      <w:r>
        <w:t>family</w:t>
      </w:r>
      <w:proofErr w:type="gramEnd"/>
      <w:r>
        <w:t xml:space="preserve"> and early parenting support for a group of vulnerable young mothers and their children that supports new parents with a dedicated Key Worker. The key element that Living Learning has adopted from Cradle to Kinder is its </w:t>
      </w:r>
      <w:proofErr w:type="gramStart"/>
      <w:r>
        <w:t>three year</w:t>
      </w:r>
      <w:proofErr w:type="gramEnd"/>
      <w:r>
        <w:t xml:space="preserve"> case management model. The Living Learning Program also provides facilities and support for young parents, including young parents’ rooms at the Sunshine and Prahran campuses.</w:t>
      </w:r>
    </w:p>
    <w:p w14:paraId="362BF863" w14:textId="2B2D10BF" w:rsidR="00552012" w:rsidRDefault="004165A1" w:rsidP="004165A1">
      <w:r w:rsidRPr="004165A1">
        <w:t>The Living Learning Program adopts successful elements of each of these programs and has integrated these elements in a school setting. While Living Learning draws on an existing evidence base, as an integrated program, it is novel in its design and is a demonstratable example of a PAD funding innovation rather than expanding an evidence-based program.</w:t>
      </w:r>
    </w:p>
    <w:p w14:paraId="26C7B163" w14:textId="6E7B60B3" w:rsidR="004165A1" w:rsidRPr="004165A1" w:rsidRDefault="004165A1" w:rsidP="004165A1">
      <w:pPr>
        <w:pStyle w:val="HangingQuote"/>
        <w:rPr>
          <w:i w:val="0"/>
          <w:iCs/>
        </w:rPr>
      </w:pPr>
      <w:r w:rsidRPr="004165A1">
        <w:t xml:space="preserve">We identified a cohort within </w:t>
      </w:r>
      <w:r w:rsidRPr="004165A1">
        <w:rPr>
          <w:i w:val="0"/>
          <w:iCs/>
        </w:rPr>
        <w:t>[HHA]</w:t>
      </w:r>
      <w:r w:rsidRPr="004165A1">
        <w:t xml:space="preserve"> that needed more help. Mental health complexity was identified as the common thread. HHA was working well for most students, but there was still a small group of students requiring more support. The innovation was bringing this all together in a school setting. </w:t>
      </w:r>
      <w:r w:rsidRPr="004165A1">
        <w:rPr>
          <w:i w:val="0"/>
          <w:iCs/>
        </w:rPr>
        <w:t>(MCM stakeholder)</w:t>
      </w:r>
    </w:p>
    <w:p w14:paraId="61D5CAA4" w14:textId="5E3462DC" w:rsidR="00E1789A" w:rsidRDefault="00E1789A" w:rsidP="00E1789A">
      <w:pPr>
        <w:rPr>
          <w:b/>
          <w:sz w:val="24"/>
        </w:rPr>
      </w:pPr>
      <w:r w:rsidRPr="00E1789A">
        <w:rPr>
          <w:b/>
          <w:sz w:val="24"/>
        </w:rPr>
        <w:t xml:space="preserve">The Living Learning model is supported by evidence, and aligns with best practice </w:t>
      </w:r>
      <w:proofErr w:type="gramStart"/>
      <w:r w:rsidRPr="00E1789A">
        <w:rPr>
          <w:b/>
          <w:sz w:val="24"/>
        </w:rPr>
        <w:t>principles</w:t>
      </w:r>
      <w:proofErr w:type="gramEnd"/>
    </w:p>
    <w:p w14:paraId="402BE026" w14:textId="4E605CD2" w:rsidR="00E1789A" w:rsidRDefault="00E1789A" w:rsidP="00E1789A">
      <w:r>
        <w:t xml:space="preserve">The Living Learning model is supported by research and evaluation. It is based on best practice principles for administering wraparound mental health and education support to the target cohort. This evidence </w:t>
      </w:r>
      <w:proofErr w:type="gramStart"/>
      <w:r>
        <w:t>base</w:t>
      </w:r>
      <w:proofErr w:type="gramEnd"/>
      <w:r>
        <w:t xml:space="preserve"> for delivering wraparound mental health and specialist education support to young people experiencing mental ill-health has found that wraparound mental health and specialist education support in Australian schools for young people experiencing mental ill-health can lead to:</w:t>
      </w:r>
    </w:p>
    <w:p w14:paraId="6E42EECA" w14:textId="77777777" w:rsidR="00E1789A" w:rsidRDefault="00E1789A" w:rsidP="00E1789A">
      <w:pPr>
        <w:pStyle w:val="ListBullet"/>
      </w:pPr>
      <w:r>
        <w:t>increased school attendance and enjoyment of the school environment</w:t>
      </w:r>
    </w:p>
    <w:p w14:paraId="18CFA52F" w14:textId="77777777" w:rsidR="00E1789A" w:rsidRDefault="00E1789A" w:rsidP="00E1789A">
      <w:pPr>
        <w:pStyle w:val="ListBullet"/>
      </w:pPr>
      <w:r>
        <w:t xml:space="preserve">improved psychological wellbeing and reduced emotional </w:t>
      </w:r>
      <w:proofErr w:type="gramStart"/>
      <w:r>
        <w:t>stress</w:t>
      </w:r>
      <w:proofErr w:type="gramEnd"/>
    </w:p>
    <w:p w14:paraId="7100C1D4" w14:textId="77777777" w:rsidR="00E1789A" w:rsidRDefault="00E1789A" w:rsidP="00E1789A">
      <w:pPr>
        <w:pStyle w:val="ListBullet"/>
      </w:pPr>
      <w:r>
        <w:t xml:space="preserve">a significant decrease in the severity and occurrence of student conduct problems and hyperactivity </w:t>
      </w:r>
    </w:p>
    <w:p w14:paraId="6FAD751B" w14:textId="404CF201" w:rsidR="009705EF" w:rsidRDefault="00E1789A" w:rsidP="00E1789A">
      <w:pPr>
        <w:pStyle w:val="ListBullet"/>
      </w:pPr>
      <w:r>
        <w:t>improved social functioning and a reduction in the occurrence of peer problems.</w:t>
      </w:r>
    </w:p>
    <w:p w14:paraId="4D1E8DDA" w14:textId="77777777" w:rsidR="00D8288F" w:rsidRDefault="00D8288F" w:rsidP="00D8288F">
      <w:r>
        <w:t xml:space="preserve">A review of relevant literature found strong alignment between best practice principles and the Living Learning Program’s team-based and holistic approach towards addressing the needs of young people whose ability to successfully engage in education is inhibited by compounding factors. </w:t>
      </w:r>
    </w:p>
    <w:p w14:paraId="23AA9031" w14:textId="77777777" w:rsidR="004A4268" w:rsidRDefault="00D8288F" w:rsidP="00D8288F">
      <w:pPr>
        <w:sectPr w:rsidR="004A4268" w:rsidSect="002513AB">
          <w:pgSz w:w="11906" w:h="16838" w:code="9"/>
          <w:pgMar w:top="1134" w:right="1134" w:bottom="1418" w:left="1134" w:header="709" w:footer="284" w:gutter="0"/>
          <w:cols w:space="708"/>
          <w:docGrid w:linePitch="360"/>
        </w:sectPr>
      </w:pPr>
      <w:r>
        <w:t>The National Wraparound Initiative’s (NWI)</w:t>
      </w:r>
      <w:r w:rsidR="006D514D">
        <w:rPr>
          <w:rStyle w:val="FootnoteReference"/>
        </w:rPr>
        <w:footnoteReference w:id="4"/>
      </w:r>
      <w:r>
        <w:t xml:space="preserve"> principles for ‘wraparound support’ have become an internationally accepted standard for high-quality wraparound program design and implementation</w:t>
      </w:r>
      <w:r w:rsidRPr="00997749">
        <w:t>.</w:t>
      </w:r>
      <w:r w:rsidR="00893935" w:rsidRPr="00997749">
        <w:rPr>
          <w:rStyle w:val="FootnoteReference"/>
        </w:rPr>
        <w:footnoteReference w:id="5"/>
      </w:r>
      <w:r w:rsidR="008D08AC" w:rsidRPr="00997749">
        <w:t xml:space="preserve"> </w:t>
      </w:r>
      <w:r w:rsidRPr="00997749">
        <w:t>Their applicability in Australian contexts is confirmed in their usage by the Gonski Institute for Education in the</w:t>
      </w:r>
      <w:r>
        <w:t xml:space="preserve"> assessment of </w:t>
      </w:r>
      <w:proofErr w:type="gramStart"/>
      <w:r>
        <w:t>a</w:t>
      </w:r>
      <w:proofErr w:type="gramEnd"/>
      <w:r>
        <w:t xml:space="preserve"> NSW-based program comparable to Living Learning. A review of relevant literature and Living Learning Program documentation, along with interviews with Living Learning Program staff, revealed strong alignment between the program and the NWI’s principles.</w:t>
      </w:r>
    </w:p>
    <w:p w14:paraId="7778F6E7" w14:textId="06D994F9" w:rsidR="007B085D" w:rsidRDefault="00B60288" w:rsidP="00AE76B8">
      <w:pPr>
        <w:pStyle w:val="Heading1"/>
        <w:keepLines w:val="0"/>
        <w:spacing w:before="7200"/>
      </w:pPr>
      <w:bookmarkStart w:id="39" w:name="_Toc97809208"/>
      <w:bookmarkStart w:id="40" w:name="_Ref98514072"/>
      <w:bookmarkStart w:id="41" w:name="_Toc144843250"/>
      <w:r>
        <w:rPr>
          <w:noProof/>
        </w:rPr>
        <w:drawing>
          <wp:anchor distT="0" distB="0" distL="114300" distR="114300" simplePos="0" relativeHeight="251658255" behindDoc="1" locked="0" layoutInCell="1" allowOverlap="1" wp14:anchorId="60A89CFA" wp14:editId="12B74CEE">
            <wp:simplePos x="0" y="0"/>
            <wp:positionH relativeFrom="page">
              <wp:posOffset>-510746</wp:posOffset>
            </wp:positionH>
            <wp:positionV relativeFrom="paragraph">
              <wp:posOffset>-720090</wp:posOffset>
            </wp:positionV>
            <wp:extent cx="10365953" cy="4761470"/>
            <wp:effectExtent l="0" t="0" r="0" b="1270"/>
            <wp:wrapNone/>
            <wp:docPr id="1427222961" name="Picture 14272229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22961" name="Picture 9">
                      <a:extLst>
                        <a:ext uri="{C183D7F6-B498-43B3-948B-1728B52AA6E4}">
                          <adec:decorative xmlns:adec="http://schemas.microsoft.com/office/drawing/2017/decorative" val="1"/>
                        </a:ext>
                      </a:extLst>
                    </pic:cNvPr>
                    <pic:cNvPicPr>
                      <a:picLocks noChangeAspect="1" noChangeArrowheads="1"/>
                    </pic:cNvPicPr>
                  </pic:nvPicPr>
                  <pic:blipFill rotWithShape="1">
                    <a:blip r:embed="rId44">
                      <a:extLst>
                        <a:ext uri="{28A0092B-C50C-407E-A947-70E740481C1C}">
                          <a14:useLocalDpi xmlns:a14="http://schemas.microsoft.com/office/drawing/2010/main" val="0"/>
                        </a:ext>
                      </a:extLst>
                    </a:blip>
                    <a:srcRect t="9707" b="21419"/>
                    <a:stretch/>
                  </pic:blipFill>
                  <pic:spPr bwMode="auto">
                    <a:xfrm>
                      <a:off x="0" y="0"/>
                      <a:ext cx="10365953" cy="4761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1DC2">
        <w:t xml:space="preserve">Program </w:t>
      </w:r>
      <w:r w:rsidR="00BA56A9" w:rsidRPr="00217797">
        <w:t>implementation</w:t>
      </w:r>
      <w:bookmarkEnd w:id="39"/>
      <w:bookmarkEnd w:id="40"/>
      <w:bookmarkEnd w:id="41"/>
    </w:p>
    <w:p w14:paraId="78EC5099" w14:textId="7BEB876C" w:rsidR="0086420D" w:rsidRPr="0086420D" w:rsidRDefault="0086420D" w:rsidP="0086420D">
      <w:r w:rsidRPr="0086420D">
        <w:t>This section examines KEQ F2. It examines the extent to which the Living Learning Program has been implemented as planned, including the impact of COVID-19, adaptations to the program, and governance arrangements to support program delivery.</w:t>
      </w:r>
    </w:p>
    <w:p w14:paraId="4C4953A9" w14:textId="4B44B64C" w:rsidR="00266D08" w:rsidRDefault="00266D08" w:rsidP="00266D08">
      <w:pPr>
        <w:pStyle w:val="Head2"/>
      </w:pPr>
      <w:r>
        <w:t>Key messages</w:t>
      </w:r>
    </w:p>
    <w:p w14:paraId="1E97D199" w14:textId="77777777" w:rsidR="00374D79" w:rsidRDefault="00374D79" w:rsidP="00374D79">
      <w:pPr>
        <w:pStyle w:val="ListBullet"/>
      </w:pPr>
      <w:r>
        <w:t xml:space="preserve">The Living Learning Program commenced concurrently across all three HHA campuses at the start of the 2021 school year. The gradual stream of student enrolment (until July 2021) meant students were able to receive services immediately at the HHA campus closest to or most accessible to them. </w:t>
      </w:r>
    </w:p>
    <w:p w14:paraId="41509D6B" w14:textId="77777777" w:rsidR="00374D79" w:rsidRDefault="00374D79" w:rsidP="00374D79">
      <w:pPr>
        <w:pStyle w:val="ListBullet"/>
      </w:pPr>
      <w:r>
        <w:t xml:space="preserve">Due to COVID-19 restrictions, program commencement was delayed by nine months, however this meant there was more time to finalise program planning and for construction of the Sunshine campus to be completed. </w:t>
      </w:r>
    </w:p>
    <w:p w14:paraId="4CB3EC9C" w14:textId="77777777" w:rsidR="00374D79" w:rsidRDefault="00374D79" w:rsidP="00374D79">
      <w:pPr>
        <w:pStyle w:val="ListBullet"/>
      </w:pPr>
      <w:r>
        <w:t xml:space="preserve">Despite COVID-19 disruptions, the program has been implemented largely as intended, with some refinements made to internal processes, data collection mechanisms, and education plans. </w:t>
      </w:r>
    </w:p>
    <w:p w14:paraId="2D88F53D" w14:textId="77777777" w:rsidR="00374D79" w:rsidRDefault="00374D79" w:rsidP="00374D79">
      <w:pPr>
        <w:pStyle w:val="ListBullet"/>
      </w:pPr>
      <w:r>
        <w:t>Recruitment and staffing of the Living Learning Program has been successful and aligned with program requirements. Living Learning staff operate in a highly collaborative way and the small delay in recruiting a dedicated psychologist is considered to have had minimal impact on students.</w:t>
      </w:r>
    </w:p>
    <w:p w14:paraId="7A34F375" w14:textId="77777777" w:rsidR="00374D79" w:rsidRDefault="00374D79" w:rsidP="00374D79">
      <w:pPr>
        <w:pStyle w:val="ListBullet"/>
      </w:pPr>
      <w:r>
        <w:t>There is anecdotal evidence that participants attending the Sunshine campus are responding well to its purposeful design.</w:t>
      </w:r>
    </w:p>
    <w:p w14:paraId="555185A8" w14:textId="6CD1287E" w:rsidR="00B60288" w:rsidRDefault="00374D79" w:rsidP="00374D79">
      <w:pPr>
        <w:pStyle w:val="ListBullet"/>
      </w:pPr>
      <w:r>
        <w:t>Program processes for referral, enrolment and monitoring are well established. The program is tracking within budget and has generally been implemented in line with original design.</w:t>
      </w:r>
      <w:r w:rsidR="00B60288">
        <w:br w:type="page"/>
      </w:r>
    </w:p>
    <w:p w14:paraId="7A2BAAB3" w14:textId="4103E096" w:rsidR="00B20AAB" w:rsidRDefault="00625CBF" w:rsidP="00CF1CC8">
      <w:pPr>
        <w:pStyle w:val="Heading2"/>
      </w:pPr>
      <w:bookmarkStart w:id="42" w:name="_Toc97809209"/>
      <w:bookmarkStart w:id="43" w:name="_Toc144843251"/>
      <w:r>
        <w:t xml:space="preserve">Program </w:t>
      </w:r>
      <w:r w:rsidR="00937837">
        <w:t>e</w:t>
      </w:r>
      <w:r w:rsidR="00B20AAB" w:rsidRPr="00217797">
        <w:t>stablishment</w:t>
      </w:r>
      <w:bookmarkEnd w:id="42"/>
      <w:bookmarkEnd w:id="43"/>
    </w:p>
    <w:p w14:paraId="0AD90644" w14:textId="77777777" w:rsidR="00670764" w:rsidRDefault="00670764" w:rsidP="00670764">
      <w:pPr>
        <w:pStyle w:val="NormalBodyIntro"/>
      </w:pPr>
      <w:r>
        <w:t xml:space="preserve">Program commencement, referral and enrolment processes are established and generally working </w:t>
      </w:r>
      <w:proofErr w:type="gramStart"/>
      <w:r>
        <w:t>well</w:t>
      </w:r>
      <w:proofErr w:type="gramEnd"/>
      <w:r>
        <w:t xml:space="preserve"> </w:t>
      </w:r>
    </w:p>
    <w:p w14:paraId="42D2103B" w14:textId="684B8318" w:rsidR="00670764" w:rsidRPr="00997749" w:rsidRDefault="00670764" w:rsidP="00670764">
      <w:r>
        <w:t xml:space="preserve">Service delivery to Cohort 1 Living Learning participants commenced concurrently across all three HHA campuses in January 2021, after a nine-month postponement due to COVID-19. Living Learning students started receiving services as soon as their enrolment was finalised. The enrolment of students into Cohort 1 of the program </w:t>
      </w:r>
      <w:r w:rsidRPr="00997749">
        <w:t>occurred gradually throughout the first semester of 2021, with 76 students referred and 48 enrolled in the program.</w:t>
      </w:r>
      <w:r w:rsidR="00BE68BE" w:rsidRPr="00997749">
        <w:rPr>
          <w:rStyle w:val="FootnoteReference"/>
        </w:rPr>
        <w:footnoteReference w:id="6"/>
      </w:r>
    </w:p>
    <w:p w14:paraId="0FC583C0" w14:textId="3E8D3934" w:rsidR="00670764" w:rsidRDefault="00670764" w:rsidP="00670764">
      <w:r w:rsidRPr="00997749">
        <w:t>Staff confirmed that the referral and intake process was managed relatively well, in line with the Operational Manual. Staff reported any minor</w:t>
      </w:r>
      <w:r>
        <w:t xml:space="preserve"> issues had been resolved as the process became more streamlined. </w:t>
      </w:r>
    </w:p>
    <w:p w14:paraId="275C07D6" w14:textId="77777777" w:rsidR="00670764" w:rsidRDefault="00670764" w:rsidP="00670764">
      <w:r>
        <w:t xml:space="preserve">A shortcoming of the current enrolment process is that referral sources are not clearly documented. According to program estimates, approximately half of the referrals came directly from parents, and the other half from services (e.g., DFFH). Recruitment efforts have included generic mailouts to Victorian secondary school principals (facilitated by HHA) and direct marketing to relevant services, such as LOOKOUT centres and Navigator program coordinators. </w:t>
      </w:r>
    </w:p>
    <w:p w14:paraId="025D3D82" w14:textId="10A5613B" w:rsidR="00670764" w:rsidRDefault="00670764" w:rsidP="00670764">
      <w:r>
        <w:t xml:space="preserve">A consequence of delaying the commencement of Cohort 1 until 2021 has been that the referral period now sits across the Christmas school holiday period, which sees a significant decrease in activity at schools. This has caused a slight lull in referrals. However, as </w:t>
      </w:r>
      <w:proofErr w:type="gramStart"/>
      <w:r>
        <w:t>at</w:t>
      </w:r>
      <w:proofErr w:type="gramEnd"/>
      <w:r>
        <w:t xml:space="preserve"> 1 February 2022, the program had received 50 referrals for Cohort 2 indicating it does not pose a significant threat to the program’s success.</w:t>
      </w:r>
    </w:p>
    <w:p w14:paraId="397CAADE" w14:textId="77777777" w:rsidR="00CD0623" w:rsidRDefault="00CD0623" w:rsidP="00CD0623">
      <w:pPr>
        <w:pStyle w:val="NormalBodyIntro"/>
      </w:pPr>
      <w:r>
        <w:t xml:space="preserve">Despite some COVID-19 disruptions, the Living Learning Program team have been successfully </w:t>
      </w:r>
      <w:proofErr w:type="gramStart"/>
      <w:r>
        <w:t>recruited</w:t>
      </w:r>
      <w:proofErr w:type="gramEnd"/>
    </w:p>
    <w:p w14:paraId="7EB3DE16" w14:textId="77777777" w:rsidR="00CD0623" w:rsidRDefault="00CD0623" w:rsidP="00CD0623">
      <w:r>
        <w:t xml:space="preserve">Living Learning staff were recruited over a 14-month period, with a notable pause on recruitment in 2020 in line with COVID-19 disruptions and the program commencement delay. While the Program Manager and Learning Specialist were recruited in January 2020, the Program Manager was redeployed to MCM and the Learning Specialist to HHA throughout most of 2020. In September 2020, program planning and recruitment activity recommenced (as outlined in Figure 4 overleaf). The Initial Engagement Review (October 2021) found that recruitment and staffing of the Living Learning Program had been successful and aligned with program requirements. </w:t>
      </w:r>
    </w:p>
    <w:p w14:paraId="555BF138" w14:textId="77777777" w:rsidR="00CD0623" w:rsidRDefault="00CD0623" w:rsidP="00CD0623">
      <w:r>
        <w:t>The program faced some challenges and delays in recruiting a suitable psychologist, due to high demand for psychologists as the pandemic continued (as will be discussed further in Section 4.2). The Program Psychologist commenced in April 2021, several months after program commencement. Despite difficulties faced in recruiting a suitable psychologist, program staff were able to utilise existing HHA and Living Learning staff and supports to ensure that participants were not left without mental health support. In addition, according to Living Learning staff, over half of program participants have psychological support provided offsite that is independent from their enrolment in the program.</w:t>
      </w:r>
    </w:p>
    <w:p w14:paraId="2D2EA74C" w14:textId="4341DBAB" w:rsidR="00122C00" w:rsidRPr="00670764" w:rsidRDefault="00CD0623" w:rsidP="00CD0623">
      <w:r>
        <w:t xml:space="preserve">As </w:t>
      </w:r>
      <w:proofErr w:type="gramStart"/>
      <w:r>
        <w:t>at</w:t>
      </w:r>
      <w:proofErr w:type="gramEnd"/>
      <w:r>
        <w:t xml:space="preserve"> December 2021, the Program Psychologist was supporting up to 14 Living Learning students and intensively seeing five students with twice weekly sessions. Support provided through the Living Learning Program is more flexible than what an external psychologist may typically offer, with students able to attend sessions extending beyond one hour. The Program Psychologist also provided secondary consults for HHA Youth Workers, Living Learning Key Workers, and HHA Classroom Educators. In early 2022, the Program’s Psychologist resigned, and recruitment to fill the role commenced.</w:t>
      </w:r>
    </w:p>
    <w:p w14:paraId="07AB881D" w14:textId="7E3263D4" w:rsidR="004E59CB" w:rsidRDefault="001D52F7" w:rsidP="007C3D76">
      <w:pPr>
        <w:keepNext/>
      </w:pPr>
      <w:bookmarkStart w:id="44" w:name="_Ref95384972"/>
      <w:bookmarkStart w:id="45" w:name="_Toc97803385"/>
      <w:bookmarkStart w:id="46" w:name="_Toc144834311"/>
      <w:bookmarkStart w:id="47" w:name="_Toc144843285"/>
      <w:r>
        <w:t xml:space="preserve">Figure </w:t>
      </w:r>
      <w:r>
        <w:fldChar w:fldCharType="begin"/>
      </w:r>
      <w:r>
        <w:instrText xml:space="preserve"> SEQ Figure \* ARABIC </w:instrText>
      </w:r>
      <w:r>
        <w:fldChar w:fldCharType="separate"/>
      </w:r>
      <w:r w:rsidR="004A75C8">
        <w:rPr>
          <w:noProof/>
        </w:rPr>
        <w:t>4</w:t>
      </w:r>
      <w:r>
        <w:fldChar w:fldCharType="end"/>
      </w:r>
      <w:bookmarkEnd w:id="44"/>
      <w:r w:rsidRPr="001D52F7">
        <w:t xml:space="preserve"> </w:t>
      </w:r>
      <w:r>
        <w:t>Key dates in s</w:t>
      </w:r>
      <w:r w:rsidRPr="005F3A4A">
        <w:t>taff recruitment timeline</w:t>
      </w:r>
      <w:bookmarkEnd w:id="45"/>
      <w:bookmarkEnd w:id="46"/>
      <w:bookmarkEnd w:id="47"/>
    </w:p>
    <w:p w14:paraId="0C9167CF" w14:textId="59CD2A53" w:rsidR="00571441" w:rsidRDefault="00597CE9" w:rsidP="004E59CB">
      <w:r w:rsidRPr="00597CE9">
        <w:rPr>
          <w:noProof/>
        </w:rPr>
        <w:drawing>
          <wp:inline distT="0" distB="0" distL="0" distR="0" wp14:anchorId="2AF97313" wp14:editId="130B33F5">
            <wp:extent cx="6120130" cy="3408045"/>
            <wp:effectExtent l="0" t="0" r="0" b="1905"/>
            <wp:docPr id="580226694" name="Picture 580226694" descr="Figure 4 show the key dates in the staff recruitment timeline in relation to program commencement, with dots along timeline spanning January 2020 (when the Program Manager was recruited) to January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26694" name="Picture 1" descr="Figure 4 show the key dates in the staff recruitment timeline in relation to program commencement, with dots along timeline spanning January 2020 (when the Program Manager was recruited) to January 2022."/>
                    <pic:cNvPicPr/>
                  </pic:nvPicPr>
                  <pic:blipFill>
                    <a:blip r:embed="rId45"/>
                    <a:stretch>
                      <a:fillRect/>
                    </a:stretch>
                  </pic:blipFill>
                  <pic:spPr>
                    <a:xfrm>
                      <a:off x="0" y="0"/>
                      <a:ext cx="6120130" cy="3408045"/>
                    </a:xfrm>
                    <a:prstGeom prst="rect">
                      <a:avLst/>
                    </a:prstGeom>
                  </pic:spPr>
                </pic:pic>
              </a:graphicData>
            </a:graphic>
          </wp:inline>
        </w:drawing>
      </w:r>
    </w:p>
    <w:p w14:paraId="2E4B53C0" w14:textId="02CF3C64" w:rsidR="00571441" w:rsidRPr="00DA2F91" w:rsidRDefault="00571441" w:rsidP="00DA2F91">
      <w:pPr>
        <w:pStyle w:val="ImageSource"/>
        <w:rPr>
          <w:iCs/>
        </w:rPr>
      </w:pPr>
      <w:r w:rsidRPr="00DA2F91">
        <w:rPr>
          <w:iCs/>
        </w:rPr>
        <w:t xml:space="preserve">Source: </w:t>
      </w:r>
      <w:r w:rsidR="001D52F7" w:rsidRPr="00DA2F91">
        <w:rPr>
          <w:iCs/>
        </w:rPr>
        <w:t>Urbis i</w:t>
      </w:r>
      <w:r w:rsidRPr="00DA2F91">
        <w:rPr>
          <w:iCs/>
        </w:rPr>
        <w:t>nterviews with program staff</w:t>
      </w:r>
      <w:r w:rsidR="001D52F7" w:rsidRPr="00DA2F91">
        <w:rPr>
          <w:iCs/>
        </w:rPr>
        <w:t xml:space="preserve"> (</w:t>
      </w:r>
      <w:r w:rsidRPr="00DA2F91">
        <w:rPr>
          <w:iCs/>
        </w:rPr>
        <w:t>2021</w:t>
      </w:r>
      <w:r w:rsidR="001D52F7" w:rsidRPr="00DA2F91">
        <w:rPr>
          <w:iCs/>
        </w:rPr>
        <w:t>)</w:t>
      </w:r>
    </w:p>
    <w:p w14:paraId="27D4FC8A" w14:textId="77777777" w:rsidR="001B526B" w:rsidRDefault="001B526B" w:rsidP="001B526B">
      <w:pPr>
        <w:pStyle w:val="NormalBodyIntro"/>
      </w:pPr>
      <w:r>
        <w:t xml:space="preserve">The three campuses provide a range of supports and an informal </w:t>
      </w:r>
      <w:proofErr w:type="gramStart"/>
      <w:r>
        <w:t>environment</w:t>
      </w:r>
      <w:proofErr w:type="gramEnd"/>
      <w:r>
        <w:t xml:space="preserve"> </w:t>
      </w:r>
    </w:p>
    <w:p w14:paraId="30E8F4E1" w14:textId="77777777" w:rsidR="001B526B" w:rsidRDefault="001B526B" w:rsidP="001B526B">
      <w:r>
        <w:t xml:space="preserve">The Living Learning Program is delivered at all three hub-style HHA campuses: Sunshine (Western metro), Prahran (South-Eastern metro) and City (Melbourne CBD). All three sites have been designed with the intention of creating safe and inclusive spaces for young people experiencing complex barriers to participating in education. HHA staff confirmed that each campus aims to achieve a small school community atmosphere without overwhelming students who may have struggled in – or have trauma associated with – mainstream educational settings. </w:t>
      </w:r>
    </w:p>
    <w:p w14:paraId="740735CD" w14:textId="77777777" w:rsidR="001B526B" w:rsidRDefault="001B526B" w:rsidP="001B526B">
      <w:r>
        <w:t xml:space="preserve">The Sunshine campus is spread across a large ground floor and </w:t>
      </w:r>
      <w:proofErr w:type="gramStart"/>
      <w:r>
        <w:t>is located in</w:t>
      </w:r>
      <w:proofErr w:type="gramEnd"/>
      <w:r>
        <w:t xml:space="preserve"> the suburb’s main commercial and services district. It is a short walk from the campus to Sunshine Centrelink, Medicare, IPC Health, </w:t>
      </w:r>
      <w:proofErr w:type="spellStart"/>
      <w:r>
        <w:t>Orygen</w:t>
      </w:r>
      <w:proofErr w:type="spellEnd"/>
      <w:r>
        <w:t xml:space="preserve"> and Department of Justice offices. This site was designed and built in line with trauma-informed principles. </w:t>
      </w:r>
      <w:proofErr w:type="gramStart"/>
      <w:r>
        <w:t>The majority of</w:t>
      </w:r>
      <w:proofErr w:type="gramEnd"/>
      <w:r>
        <w:t xml:space="preserve"> Living Learning students attend this campus, which caters to over 180 HHA students in total. Construction of the Sunshine campus commenced in 2020 and was finalised in time for the start of the 2021 school year.</w:t>
      </w:r>
    </w:p>
    <w:p w14:paraId="53A7E00C" w14:textId="77777777" w:rsidR="001B526B" w:rsidRDefault="001B526B" w:rsidP="001B526B">
      <w:r>
        <w:t xml:space="preserve">The </w:t>
      </w:r>
      <w:proofErr w:type="gramStart"/>
      <w:r>
        <w:t>City</w:t>
      </w:r>
      <w:proofErr w:type="gramEnd"/>
      <w:r>
        <w:t xml:space="preserve"> campus is currently spread across the 7th and 8th floor of a CBD office building. Although not purpose-built, the space has been well adapted to meet the needs of HHA staff and students. The foyer, lift entry, and skyline views of Melbourne’s CBD assist in giving the campus an office-like feel, which is unlike a typical mainstream secondary school. </w:t>
      </w:r>
    </w:p>
    <w:p w14:paraId="27A11F1E" w14:textId="6A4B1FD2" w:rsidR="00217797" w:rsidRPr="00234C63" w:rsidRDefault="001B526B" w:rsidP="001B526B">
      <w:r>
        <w:t>The Prahran campus is located on the ground floor of a building shared by MCM and Melbourne Polytechnic in the centre of the Chapel Street shopping district. The Prahran Medicare and Centrelink offices are located 350 metres away from the campus. The presence of a tertiary college onsite makes the Prahran campus feel like a more mature environment than a typical mainstream secondary school.</w:t>
      </w:r>
      <w:r w:rsidR="00217797">
        <w:br w:type="page"/>
      </w:r>
    </w:p>
    <w:p w14:paraId="20EAF46A" w14:textId="699166F2" w:rsidR="00E46F00" w:rsidRDefault="00EF619B" w:rsidP="00BC2A96">
      <w:pPr>
        <w:spacing w:after="120" w:line="280" w:lineRule="atLeast"/>
      </w:pPr>
      <w:r w:rsidRPr="00EF619B">
        <w:rPr>
          <w:lang w:eastAsia="en-AU"/>
        </w:rPr>
        <w:fldChar w:fldCharType="begin"/>
      </w:r>
      <w:r w:rsidRPr="00EF619B">
        <w:rPr>
          <w:lang w:eastAsia="en-AU"/>
        </w:rPr>
        <w:instrText xml:space="preserve"> REF _Ref95386078 \h </w:instrText>
      </w:r>
      <w:r>
        <w:rPr>
          <w:lang w:eastAsia="en-AU"/>
        </w:rPr>
        <w:instrText xml:space="preserve"> \* MERGEFORMAT </w:instrText>
      </w:r>
      <w:r w:rsidRPr="00EF619B">
        <w:rPr>
          <w:lang w:eastAsia="en-AU"/>
        </w:rPr>
      </w:r>
      <w:r w:rsidRPr="00EF619B">
        <w:rPr>
          <w:lang w:eastAsia="en-AU"/>
        </w:rPr>
        <w:fldChar w:fldCharType="separate"/>
      </w:r>
      <w:r w:rsidR="004A75C8" w:rsidRPr="001D7FDD">
        <w:t xml:space="preserve">Table </w:t>
      </w:r>
      <w:r w:rsidR="004A75C8">
        <w:rPr>
          <w:noProof/>
        </w:rPr>
        <w:t>2</w:t>
      </w:r>
      <w:r w:rsidRPr="00EF619B">
        <w:rPr>
          <w:lang w:eastAsia="en-AU"/>
        </w:rPr>
        <w:fldChar w:fldCharType="end"/>
      </w:r>
      <w:r w:rsidR="00780518" w:rsidRPr="00EF619B">
        <w:rPr>
          <w:lang w:eastAsia="en-AU"/>
        </w:rPr>
        <w:t xml:space="preserve"> below</w:t>
      </w:r>
      <w:r w:rsidR="00780518">
        <w:rPr>
          <w:lang w:eastAsia="en-AU"/>
        </w:rPr>
        <w:t xml:space="preserve"> presents the key features of each campus and the number of enrolled students.</w:t>
      </w:r>
    </w:p>
    <w:p w14:paraId="7D430871" w14:textId="7D2CDA39" w:rsidR="00F22D4D" w:rsidRPr="001D7FDD" w:rsidRDefault="00F22D4D" w:rsidP="00F22D4D">
      <w:pPr>
        <w:pStyle w:val="Caption"/>
      </w:pPr>
      <w:bookmarkStart w:id="48" w:name="_Ref95386078"/>
      <w:bookmarkStart w:id="49" w:name="_Ref95386075"/>
      <w:bookmarkStart w:id="50" w:name="_Toc144834322"/>
      <w:bookmarkStart w:id="51" w:name="_Toc144843259"/>
      <w:r w:rsidRPr="001D7FDD">
        <w:t xml:space="preserve">Table </w:t>
      </w:r>
      <w:r>
        <w:fldChar w:fldCharType="begin"/>
      </w:r>
      <w:r>
        <w:instrText xml:space="preserve"> SEQ Table \* ARABIC </w:instrText>
      </w:r>
      <w:r>
        <w:fldChar w:fldCharType="separate"/>
      </w:r>
      <w:r w:rsidR="004A75C8">
        <w:rPr>
          <w:noProof/>
        </w:rPr>
        <w:t>2</w:t>
      </w:r>
      <w:r>
        <w:fldChar w:fldCharType="end"/>
      </w:r>
      <w:bookmarkEnd w:id="48"/>
      <w:r w:rsidR="00780518">
        <w:t xml:space="preserve"> Living Learning campuses and unique </w:t>
      </w:r>
      <w:proofErr w:type="gramStart"/>
      <w:r w:rsidR="00780518">
        <w:t>features</w:t>
      </w:r>
      <w:bookmarkEnd w:id="49"/>
      <w:bookmarkEnd w:id="50"/>
      <w:bookmarkEnd w:id="51"/>
      <w:proofErr w:type="gramEnd"/>
    </w:p>
    <w:tbl>
      <w:tblP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FFFFFF"/>
        <w:tblCellMar>
          <w:left w:w="0" w:type="dxa"/>
          <w:right w:w="0" w:type="dxa"/>
        </w:tblCellMar>
        <w:tblLook w:val="0420" w:firstRow="1" w:lastRow="0" w:firstColumn="0" w:lastColumn="0" w:noHBand="0" w:noVBand="1"/>
        <w:tblDescription w:val="{&quot;Ott&quot;:{&quot;FirstRow&quot;:{&quot;Font&quot;:{&quot;Bold&quot;:true,&quot;Color&quot;:{&quot;Key&quot;:&quot;Text2&quot;}},&quot;WordStyle&quot;:&quot;Table - Heading&quot;,&quot;LineSpacing&quot;:{},&quot;Margin&quot;:{},&quot;Borders&quot;:{&quot;Vertical&quot;:{&quot;Color&quot;:{&quot;Key&quot;:&quot;Borders&quot;},&quot;BorderWeight&quot;:&quot;Pt0_5&quot;},&quot;Horizontal&quot;:{&quot;Color&quot;:{&quot;Key&quot;:&quot;Borders&quot;},&quot;BorderWeight&quot;:&quot;Pt0_5&quot;},&quot;Left&quot;:{&quot;Color&quot;:{&quot;Key&quot;:&quot;Borders&quot;},&quot;BorderWeight&quot;:&quot;Pt0_5&quot;},&quot;Top&quot;:{&quot;Color&quot;:{&quot;Key&quot;:&quot;Borders&quot;},&quot;BorderWeight&quot;:&quot;Pt0_5&quot;},&quot;Right&quot;:{&quot;Color&quot;:{&quot;Key&quot;:&quot;Borders&quot;},&quot;BorderWeight&quot;:&quot;Pt0_5&quot;},&quot;Bottom&quot;:{&quot;Color&quot;:{&quot;Key&quot;:&quot;Borders&quot;},&quot;BorderWeight&quot;:&quot;Pt0_5&quot;,&quot;Type&quot;:&quot;Solid&quot;,&quot;Visible&quot;:true}}},&quot;LastRow&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r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LastColumn&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BandedRow&quot;:{&quot;Item&quot;:{&quot;BackgroundColor&quot;:{&quot;Key&quot;:&quot;Shading&quot;},&quot;Font&quot;:{},&quot;LineSpacing&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Type&quot;:&quot;BandFirst&quot;},&quot;BandedColumn&quot;:{&quot;Item&quot;:{&quot;Font&quot;:{},&quot;LineSpacing&quot;:{},&quot;Alignment&quot;:{},&quot;Margin&quot;:{},&quot;Borders&quot;:{&quot;Vertical&quot;:{&quot;BorderWeight&quot;:&quot;Pt0_5&quot;},&quot;Horizontal&quot;:{&quot;BorderWeight&quot;:&quot;Pt0_5&quot;},&quot;Left&quot;:{&quot;BorderWeight&quot;:&quot;Pt0_5&quot;},&quot;Top&quot;:{&quot;BorderWeight&quot;:&quot;Pt0_5&quot;},&quot;Right&quot;:{&quot;BorderWeight&quot;:&quot;Pt0_5&quot;},&quot;Bottom&quot;:{&quot;BorderWeight&quot;:&quot;Pt0_5&quot;}}}},&quot;FitRowHeightPp&quot;:true,&quot;ZeroMarginsWord&quot;:true,&quot;BackgroundColor&quot;:{&quot;Key&quot;:&quot;Background&quot;},&quot;Font&quot;:{&quot;Name&quot;:&quot;Arial&quot;,&quot;Size&quot;:10.0,&quot;Color&quot;:{&quot;Key&quot;:&quot;Text1&quot;}},&quot;WordStyle&quot;:&quot;Table - Text&quot;,&quot;LineSpacing&quot;:{&quot;Spacing&quot;:14.0},&quot;Alignment&quot;:{&quot;Horizontal&quot;:&quot;Left&quot;,&quot;Vertical&quot;:&quot;Top&quot;},&quot;Margin&quot;:{},&quot;Borders&quot;:{&quot;Vertical&quot;:{&quot;Color&quot;:{&quot;Key&quot;:&quot;Borders&quot;},&quot;BorderWeight&quot;:&quot;Pt0_5&quot;,&quot;Type&quot;:&quot;Solid&quot;,&quot;Visible&quot;:true},&quot;Horizontal&quot;:{&quot;Color&quot;:{&quot;Key&quot;:&quot;Borders&quot;},&quot;BorderWeight&quot;:&quot;Pt0_5&quot;,&quot;Type&quot;:&quot;Solid&quot;,&quot;Visible&quot;:true},&quot;Left&quot;:{&quot;Color&quot;:{&quot;Key&quot;:&quot;Borders&quot;},&quot;BorderWeight&quot;:&quot;Pt0_5&quot;,&quot;Type&quot;:&quot;Solid&quot;,&quot;Visible&quot;:true},&quot;Top&quot;:{&quot;Color&quot;:{&quot;Key&quot;:&quot;Borders&quot;},&quot;BorderWeight&quot;:&quot;Pt0_5&quot;,&quot;Type&quot;:&quot;Solid&quot;,&quot;Visible&quot;:true},&quot;Right&quot;:{&quot;Color&quot;:{&quot;Key&quot;:&quot;Borders&quot;},&quot;BorderWeight&quot;:&quot;Pt0_5&quot;,&quot;Type&quot;:&quot;Solid&quot;,&quot;Visible&quot;:true},&quot;Bottom&quot;:{&quot;Color&quot;:{&quot;Key&quot;:&quot;Borders&quot;},&quot;BorderWeight&quot;:&quot;Pt0_5&quot;,&quot;Type&quot;:&quot;Solid&quot;,&quot;Visible&quot;:true}}},&quot;Ccs&quot;:{&quot;Borders&quot;:&quot;217, 217, 217&quot;,&quot;Shading&quot;:&quot;242, 242, 242&quot;,&quot;Text1&quot;:&quot;64, 64, 64&quot;,&quot;Text2&quot;:&quot;Black&quot;,&quot;Background&quot;:&quot;White&quot;},&quot;Cop&quot;:{&quot;FirstRow&quot;:true,&quot;BandedRows&quot;:true},&quot;Ia&quot;:0.0}"/>
      </w:tblPr>
      <w:tblGrid>
        <w:gridCol w:w="1696"/>
        <w:gridCol w:w="5225"/>
        <w:gridCol w:w="2707"/>
      </w:tblGrid>
      <w:tr w:rsidR="006B3445" w:rsidRPr="001169EF" w14:paraId="60BE84A2" w14:textId="77777777" w:rsidTr="00B17CE1">
        <w:trPr>
          <w:tblHeader/>
        </w:trPr>
        <w:tc>
          <w:tcPr>
            <w:tcW w:w="1696" w:type="dxa"/>
            <w:shd w:val="clear" w:color="auto" w:fill="4B91D7"/>
          </w:tcPr>
          <w:p w14:paraId="0FA7E425" w14:textId="70443182" w:rsidR="00C47A67" w:rsidRPr="00780518" w:rsidRDefault="00C47A67" w:rsidP="00ED67E6">
            <w:pPr>
              <w:pStyle w:val="Table-Heading"/>
              <w:rPr>
                <w:color w:val="FFFFFF" w:themeColor="background1"/>
              </w:rPr>
            </w:pPr>
            <w:r w:rsidRPr="00D67DC2">
              <w:rPr>
                <w:color w:val="FFFFFF" w:themeColor="background1"/>
              </w:rPr>
              <w:t>HHA campus</w:t>
            </w:r>
          </w:p>
        </w:tc>
        <w:tc>
          <w:tcPr>
            <w:tcW w:w="5225" w:type="dxa"/>
            <w:shd w:val="clear" w:color="auto" w:fill="4B91D7"/>
          </w:tcPr>
          <w:p w14:paraId="36E8141E" w14:textId="032C4C67" w:rsidR="00C47A67" w:rsidRPr="00780518" w:rsidRDefault="00C47A67" w:rsidP="00780518">
            <w:pPr>
              <w:pStyle w:val="Table-Heading"/>
              <w:rPr>
                <w:color w:val="FFFFFF" w:themeColor="background1"/>
              </w:rPr>
            </w:pPr>
            <w:r w:rsidRPr="00D67DC2">
              <w:rPr>
                <w:color w:val="FFFFFF" w:themeColor="background1"/>
              </w:rPr>
              <w:t xml:space="preserve">Unique features </w:t>
            </w:r>
          </w:p>
        </w:tc>
        <w:tc>
          <w:tcPr>
            <w:tcW w:w="0" w:type="auto"/>
            <w:shd w:val="clear" w:color="auto" w:fill="4B91D7"/>
          </w:tcPr>
          <w:p w14:paraId="005890FA" w14:textId="557BCEC7" w:rsidR="00C47A67" w:rsidRPr="00780518" w:rsidRDefault="00E5299A" w:rsidP="00780518">
            <w:pPr>
              <w:pStyle w:val="Table-Heading"/>
              <w:rPr>
                <w:color w:val="FFFFFF" w:themeColor="background1"/>
              </w:rPr>
            </w:pPr>
            <w:r w:rsidRPr="00D67DC2">
              <w:rPr>
                <w:color w:val="FFFFFF" w:themeColor="background1"/>
              </w:rPr>
              <w:t>Number of students</w:t>
            </w:r>
            <w:r w:rsidR="00C47A67" w:rsidRPr="00D67DC2">
              <w:rPr>
                <w:color w:val="FFFFFF" w:themeColor="background1"/>
              </w:rPr>
              <w:t xml:space="preserve"> </w:t>
            </w:r>
          </w:p>
        </w:tc>
      </w:tr>
      <w:tr w:rsidR="006B3445" w:rsidRPr="001169EF" w14:paraId="160E3EAD" w14:textId="77777777" w:rsidTr="00B17CE1">
        <w:tc>
          <w:tcPr>
            <w:tcW w:w="1696" w:type="dxa"/>
            <w:shd w:val="clear" w:color="auto" w:fill="auto"/>
          </w:tcPr>
          <w:p w14:paraId="07F33571" w14:textId="71168DB1" w:rsidR="00C47A67" w:rsidRPr="00780518" w:rsidRDefault="00C47A67" w:rsidP="00ED67E6">
            <w:pPr>
              <w:pStyle w:val="Table-Text"/>
              <w:rPr>
                <w:rFonts w:cs="Arial"/>
                <w:szCs w:val="20"/>
              </w:rPr>
            </w:pPr>
            <w:r w:rsidRPr="00780518">
              <w:rPr>
                <w:rFonts w:cs="Arial"/>
                <w:szCs w:val="20"/>
              </w:rPr>
              <w:t xml:space="preserve">Sunshine </w:t>
            </w:r>
          </w:p>
        </w:tc>
        <w:tc>
          <w:tcPr>
            <w:tcW w:w="5225" w:type="dxa"/>
            <w:shd w:val="clear" w:color="auto" w:fill="auto"/>
          </w:tcPr>
          <w:p w14:paraId="0946AE46" w14:textId="77777777" w:rsidR="00C47A67" w:rsidRPr="00780518" w:rsidRDefault="00C47A67" w:rsidP="00780518">
            <w:pPr>
              <w:pStyle w:val="UrbisTableBullet"/>
              <w:ind w:left="470" w:hanging="357"/>
            </w:pPr>
            <w:r w:rsidRPr="00780518">
              <w:t xml:space="preserve">Purpose-built site; trauma informed design </w:t>
            </w:r>
          </w:p>
          <w:p w14:paraId="7798675A" w14:textId="77777777" w:rsidR="00C47A67" w:rsidRPr="00780518" w:rsidRDefault="00C47A67" w:rsidP="00780518">
            <w:pPr>
              <w:pStyle w:val="UrbisTableBullet"/>
              <w:ind w:left="470" w:hanging="357"/>
            </w:pPr>
            <w:r w:rsidRPr="00780518">
              <w:t>Basketball court</w:t>
            </w:r>
            <w:r w:rsidR="00955837" w:rsidRPr="00780518">
              <w:t xml:space="preserve"> and indoor courtyard </w:t>
            </w:r>
          </w:p>
          <w:p w14:paraId="2CC1E32E" w14:textId="77777777" w:rsidR="00C47A67" w:rsidRPr="00780518" w:rsidRDefault="00C47A67" w:rsidP="00780518">
            <w:pPr>
              <w:pStyle w:val="UrbisTableBullet"/>
              <w:ind w:left="470" w:hanging="357"/>
            </w:pPr>
            <w:r w:rsidRPr="00780518">
              <w:t xml:space="preserve">Young parents’ classroom and industrial kitchen for </w:t>
            </w:r>
            <w:r w:rsidR="00DD0ACB" w:rsidRPr="00780518">
              <w:t>VET</w:t>
            </w:r>
          </w:p>
          <w:p w14:paraId="1855D1D9" w14:textId="25351C60" w:rsidR="00C47A67" w:rsidRPr="00780518" w:rsidRDefault="00C47A67" w:rsidP="00780518">
            <w:pPr>
              <w:pStyle w:val="UrbisTableBullet"/>
              <w:ind w:left="470" w:hanging="357"/>
              <w:rPr>
                <w:rFonts w:ascii="Arial" w:hAnsi="Arial"/>
              </w:rPr>
            </w:pPr>
            <w:r w:rsidRPr="00780518">
              <w:t xml:space="preserve">Accessible via train and bus </w:t>
            </w:r>
          </w:p>
        </w:tc>
        <w:tc>
          <w:tcPr>
            <w:tcW w:w="0" w:type="auto"/>
            <w:shd w:val="clear" w:color="auto" w:fill="auto"/>
          </w:tcPr>
          <w:p w14:paraId="018E5F5A" w14:textId="77777777" w:rsidR="00E5299A" w:rsidRPr="00780518" w:rsidRDefault="00405ECF" w:rsidP="00ED67E6">
            <w:pPr>
              <w:pStyle w:val="Table-Text"/>
              <w:rPr>
                <w:rFonts w:cs="Arial"/>
                <w:szCs w:val="20"/>
              </w:rPr>
            </w:pPr>
            <w:r w:rsidRPr="00780518">
              <w:rPr>
                <w:rFonts w:cs="Arial"/>
                <w:szCs w:val="20"/>
              </w:rPr>
              <w:t>~</w:t>
            </w:r>
            <w:r w:rsidR="00E5299A" w:rsidRPr="00780518">
              <w:rPr>
                <w:rFonts w:cs="Arial"/>
                <w:szCs w:val="20"/>
              </w:rPr>
              <w:t xml:space="preserve">200 students </w:t>
            </w:r>
          </w:p>
          <w:p w14:paraId="2F60223D" w14:textId="4DECB651" w:rsidR="00C47A67" w:rsidRPr="00780518" w:rsidRDefault="00E5299A" w:rsidP="00ED67E6">
            <w:pPr>
              <w:pStyle w:val="Table-Text"/>
              <w:rPr>
                <w:rFonts w:cs="Arial"/>
                <w:szCs w:val="20"/>
              </w:rPr>
            </w:pPr>
            <w:r w:rsidRPr="00780518">
              <w:rPr>
                <w:rFonts w:cs="Arial"/>
                <w:szCs w:val="20"/>
              </w:rPr>
              <w:t>(</w:t>
            </w:r>
            <w:r w:rsidR="00C47A67" w:rsidRPr="00780518">
              <w:rPr>
                <w:rFonts w:cs="Arial"/>
                <w:szCs w:val="20"/>
              </w:rPr>
              <w:t>34</w:t>
            </w:r>
            <w:r w:rsidRPr="00780518">
              <w:rPr>
                <w:rFonts w:cs="Arial"/>
                <w:szCs w:val="20"/>
              </w:rPr>
              <w:t xml:space="preserve"> Living Learning participants)</w:t>
            </w:r>
          </w:p>
        </w:tc>
      </w:tr>
      <w:tr w:rsidR="006B3445" w:rsidRPr="001169EF" w14:paraId="2715CBFB" w14:textId="77777777" w:rsidTr="00B17CE1">
        <w:tc>
          <w:tcPr>
            <w:tcW w:w="1696" w:type="dxa"/>
            <w:shd w:val="clear" w:color="auto" w:fill="auto"/>
          </w:tcPr>
          <w:p w14:paraId="3B873562" w14:textId="0D1B2B3B" w:rsidR="00C47A67" w:rsidRPr="00780518" w:rsidRDefault="00C47A67" w:rsidP="00ED67E6">
            <w:pPr>
              <w:pStyle w:val="Table-Text"/>
              <w:rPr>
                <w:rFonts w:cs="Arial"/>
                <w:szCs w:val="20"/>
              </w:rPr>
            </w:pPr>
            <w:r w:rsidRPr="00780518">
              <w:rPr>
                <w:rFonts w:cs="Arial"/>
                <w:szCs w:val="20"/>
              </w:rPr>
              <w:t xml:space="preserve">City </w:t>
            </w:r>
          </w:p>
        </w:tc>
        <w:tc>
          <w:tcPr>
            <w:tcW w:w="5225" w:type="dxa"/>
            <w:shd w:val="clear" w:color="auto" w:fill="auto"/>
          </w:tcPr>
          <w:p w14:paraId="6656214A" w14:textId="77777777" w:rsidR="00C47A67" w:rsidRPr="00780518" w:rsidRDefault="00C47A67" w:rsidP="00780518">
            <w:pPr>
              <w:pStyle w:val="UrbisTableBullet"/>
              <w:ind w:left="470" w:hanging="357"/>
            </w:pPr>
            <w:r w:rsidRPr="00780518">
              <w:t>Site adapted to fi</w:t>
            </w:r>
            <w:r w:rsidR="00062219" w:rsidRPr="00780518">
              <w:t xml:space="preserve">t </w:t>
            </w:r>
            <w:proofErr w:type="gramStart"/>
            <w:r w:rsidRPr="00780518">
              <w:t>purpose</w:t>
            </w:r>
            <w:proofErr w:type="gramEnd"/>
            <w:r w:rsidRPr="00780518">
              <w:t xml:space="preserve"> </w:t>
            </w:r>
          </w:p>
          <w:p w14:paraId="11481031" w14:textId="77777777" w:rsidR="00C47A67" w:rsidRPr="00780518" w:rsidRDefault="00C47A67" w:rsidP="00780518">
            <w:pPr>
              <w:pStyle w:val="UrbisTableBullet"/>
              <w:ind w:left="470" w:hanging="357"/>
            </w:pPr>
            <w:r w:rsidRPr="00780518">
              <w:t xml:space="preserve">Visual arts room and library </w:t>
            </w:r>
          </w:p>
          <w:p w14:paraId="4D17D5D4" w14:textId="14A1E864" w:rsidR="00C47A67" w:rsidRPr="00780518" w:rsidRDefault="00C47A67" w:rsidP="00780518">
            <w:pPr>
              <w:pStyle w:val="UrbisTableBullet"/>
              <w:ind w:left="470" w:hanging="357"/>
              <w:rPr>
                <w:rFonts w:ascii="Arial" w:hAnsi="Arial"/>
              </w:rPr>
            </w:pPr>
            <w:r w:rsidRPr="00780518">
              <w:t xml:space="preserve">Accessible via train, </w:t>
            </w:r>
            <w:proofErr w:type="gramStart"/>
            <w:r w:rsidRPr="00780518">
              <w:t>tram</w:t>
            </w:r>
            <w:proofErr w:type="gramEnd"/>
            <w:r w:rsidRPr="00780518">
              <w:t xml:space="preserve"> and bus</w:t>
            </w:r>
          </w:p>
        </w:tc>
        <w:tc>
          <w:tcPr>
            <w:tcW w:w="0" w:type="auto"/>
            <w:shd w:val="clear" w:color="auto" w:fill="auto"/>
          </w:tcPr>
          <w:p w14:paraId="225D0DD6" w14:textId="77777777" w:rsidR="00405ECF" w:rsidRPr="00780518" w:rsidRDefault="00405ECF" w:rsidP="00E5299A">
            <w:pPr>
              <w:pStyle w:val="Table-Text"/>
              <w:rPr>
                <w:rFonts w:cs="Arial"/>
                <w:szCs w:val="20"/>
              </w:rPr>
            </w:pPr>
            <w:r w:rsidRPr="00780518">
              <w:rPr>
                <w:rFonts w:cs="Arial"/>
                <w:szCs w:val="20"/>
              </w:rPr>
              <w:t xml:space="preserve">~90 students </w:t>
            </w:r>
          </w:p>
          <w:p w14:paraId="26730F11" w14:textId="66E8857C" w:rsidR="00E5299A" w:rsidRPr="00780518" w:rsidRDefault="00405ECF" w:rsidP="00E5299A">
            <w:pPr>
              <w:pStyle w:val="Table-Text"/>
              <w:rPr>
                <w:rFonts w:cs="Arial"/>
                <w:szCs w:val="20"/>
              </w:rPr>
            </w:pPr>
            <w:r w:rsidRPr="00780518">
              <w:rPr>
                <w:rFonts w:cs="Arial"/>
                <w:szCs w:val="20"/>
              </w:rPr>
              <w:t>(</w:t>
            </w:r>
            <w:r w:rsidR="00C47A67" w:rsidRPr="00780518">
              <w:rPr>
                <w:rFonts w:cs="Arial"/>
                <w:szCs w:val="20"/>
              </w:rPr>
              <w:t xml:space="preserve">10 </w:t>
            </w:r>
            <w:r w:rsidRPr="00780518">
              <w:rPr>
                <w:rFonts w:cs="Arial"/>
                <w:szCs w:val="20"/>
              </w:rPr>
              <w:t>Living Learning participants)</w:t>
            </w:r>
            <w:r w:rsidR="00C47A67" w:rsidRPr="00780518">
              <w:rPr>
                <w:rFonts w:cs="Arial"/>
                <w:szCs w:val="20"/>
              </w:rPr>
              <w:t xml:space="preserve"> </w:t>
            </w:r>
          </w:p>
        </w:tc>
      </w:tr>
      <w:tr w:rsidR="006B3445" w:rsidRPr="001169EF" w14:paraId="54A8B4C2" w14:textId="77777777" w:rsidTr="00B17CE1">
        <w:tc>
          <w:tcPr>
            <w:tcW w:w="1696" w:type="dxa"/>
            <w:shd w:val="clear" w:color="auto" w:fill="auto"/>
          </w:tcPr>
          <w:p w14:paraId="0A3F16A2" w14:textId="0155CF7A" w:rsidR="00C47A67" w:rsidRPr="00780518" w:rsidRDefault="00C47A67" w:rsidP="00ED67E6">
            <w:pPr>
              <w:pStyle w:val="Table-Text"/>
              <w:rPr>
                <w:rFonts w:cs="Arial"/>
                <w:szCs w:val="20"/>
              </w:rPr>
            </w:pPr>
            <w:r w:rsidRPr="00780518">
              <w:rPr>
                <w:rFonts w:cs="Arial"/>
                <w:szCs w:val="20"/>
              </w:rPr>
              <w:t xml:space="preserve">Prahran </w:t>
            </w:r>
          </w:p>
        </w:tc>
        <w:tc>
          <w:tcPr>
            <w:tcW w:w="5225" w:type="dxa"/>
            <w:shd w:val="clear" w:color="auto" w:fill="auto"/>
          </w:tcPr>
          <w:p w14:paraId="54051E3C" w14:textId="77777777" w:rsidR="00C47A67" w:rsidRPr="00780518" w:rsidRDefault="00927F89" w:rsidP="00780518">
            <w:pPr>
              <w:pStyle w:val="UrbisTableBullet"/>
              <w:ind w:left="470" w:hanging="357"/>
            </w:pPr>
            <w:r w:rsidRPr="00780518">
              <w:t>Purposefully retrofitted</w:t>
            </w:r>
            <w:r w:rsidR="00C47A67" w:rsidRPr="00780518">
              <w:t xml:space="preserve"> site </w:t>
            </w:r>
          </w:p>
          <w:p w14:paraId="6365D65D" w14:textId="77777777" w:rsidR="00C47A67" w:rsidRPr="00780518" w:rsidRDefault="00C47A67" w:rsidP="00780518">
            <w:pPr>
              <w:pStyle w:val="UrbisTableBullet"/>
              <w:ind w:left="470" w:hanging="357"/>
            </w:pPr>
            <w:r w:rsidRPr="00780518">
              <w:t xml:space="preserve">Young parents’ classroom, music room and industrial kitchen for </w:t>
            </w:r>
            <w:r w:rsidR="00EA6C95" w:rsidRPr="00780518">
              <w:t>VET</w:t>
            </w:r>
          </w:p>
          <w:p w14:paraId="3153EC0A" w14:textId="54DD88AC" w:rsidR="00C47A67" w:rsidRPr="00780518" w:rsidRDefault="00C47A67" w:rsidP="00780518">
            <w:pPr>
              <w:pStyle w:val="UrbisTableBullet"/>
              <w:ind w:left="470" w:hanging="357"/>
              <w:rPr>
                <w:rFonts w:ascii="Arial" w:hAnsi="Arial"/>
              </w:rPr>
            </w:pPr>
            <w:r w:rsidRPr="00780518">
              <w:t>Accessible via train and tram</w:t>
            </w:r>
          </w:p>
        </w:tc>
        <w:tc>
          <w:tcPr>
            <w:tcW w:w="0" w:type="auto"/>
            <w:shd w:val="clear" w:color="auto" w:fill="auto"/>
          </w:tcPr>
          <w:p w14:paraId="51D114FC" w14:textId="77777777" w:rsidR="00405ECF" w:rsidRPr="00780518" w:rsidRDefault="00405ECF" w:rsidP="00ED67E6">
            <w:pPr>
              <w:pStyle w:val="Table-Text"/>
              <w:rPr>
                <w:rFonts w:cs="Arial"/>
                <w:szCs w:val="20"/>
              </w:rPr>
            </w:pPr>
            <w:r w:rsidRPr="00780518">
              <w:rPr>
                <w:rFonts w:cs="Arial"/>
                <w:szCs w:val="20"/>
              </w:rPr>
              <w:t xml:space="preserve">~60 students </w:t>
            </w:r>
          </w:p>
          <w:p w14:paraId="7B931565" w14:textId="5D1EF3F7" w:rsidR="00C47A67" w:rsidRPr="00780518" w:rsidRDefault="00405ECF" w:rsidP="00ED67E6">
            <w:pPr>
              <w:pStyle w:val="Table-Text"/>
              <w:rPr>
                <w:rFonts w:cs="Arial"/>
                <w:szCs w:val="20"/>
              </w:rPr>
            </w:pPr>
            <w:r w:rsidRPr="00780518">
              <w:rPr>
                <w:rFonts w:cs="Arial"/>
                <w:szCs w:val="20"/>
              </w:rPr>
              <w:t>(</w:t>
            </w:r>
            <w:r w:rsidR="00C47A67" w:rsidRPr="00780518">
              <w:rPr>
                <w:rFonts w:cs="Arial"/>
                <w:szCs w:val="20"/>
              </w:rPr>
              <w:t xml:space="preserve">4 </w:t>
            </w:r>
            <w:r w:rsidRPr="00780518">
              <w:rPr>
                <w:rFonts w:cs="Arial"/>
                <w:szCs w:val="20"/>
              </w:rPr>
              <w:t>Living Learning participants)</w:t>
            </w:r>
            <w:r w:rsidR="00C47A67" w:rsidRPr="00780518">
              <w:rPr>
                <w:rFonts w:cs="Arial"/>
                <w:szCs w:val="20"/>
              </w:rPr>
              <w:t xml:space="preserve"> </w:t>
            </w:r>
          </w:p>
        </w:tc>
      </w:tr>
    </w:tbl>
    <w:p w14:paraId="4AAAFFB0" w14:textId="77777777" w:rsidR="001249F4" w:rsidRDefault="001249F4" w:rsidP="009D6C42">
      <w:pPr>
        <w:pStyle w:val="NormalBodyIntro"/>
      </w:pPr>
      <w:r>
        <w:t xml:space="preserve">Despite challenges posed by COVID-19, the Engagement Team has provided a range of supports and activities that allow young people to pursue therapeutic pathways appropriate to their </w:t>
      </w:r>
      <w:proofErr w:type="gramStart"/>
      <w:r>
        <w:t>needs</w:t>
      </w:r>
      <w:proofErr w:type="gramEnd"/>
    </w:p>
    <w:p w14:paraId="1D1FD6C9" w14:textId="77777777" w:rsidR="001249F4" w:rsidRDefault="001249F4" w:rsidP="001249F4">
      <w:r>
        <w:t xml:space="preserve">The Engagement Team provide transport support and assertive outreach services, facilitate adventure learning </w:t>
      </w:r>
      <w:proofErr w:type="gramStart"/>
      <w:r>
        <w:t>activities</w:t>
      </w:r>
      <w:proofErr w:type="gramEnd"/>
      <w:r>
        <w:t xml:space="preserve"> and encourage Living Learning young people to be physically active. These supports and services are described below. </w:t>
      </w:r>
    </w:p>
    <w:p w14:paraId="697F9A4F" w14:textId="77777777" w:rsidR="001249F4" w:rsidRDefault="001249F4" w:rsidP="009D6C42">
      <w:pPr>
        <w:pStyle w:val="ListBullet"/>
      </w:pPr>
      <w:r>
        <w:t xml:space="preserve">Transport to school and appointments – The provision of transport to help young people get to school and to a range of appointments has proven to be a large component of Living Learning Engagement staff’s role. Recognising that it is unsustainable to provide individual transport to students indefinitely, the Engagement Team’s focus in 2021 was on building capacity (transport education) and confidence in a young person’s ability to get to school and appointments independently. By helping young people navigate and adopt sustainable habits, it is expected there will be a decreased need for assertive outreach among Cohort 1 participants. Program staff reported that an additional benefit of providing transport to young people has been the time journeys allow for informal, one-on-one conversations with young people. These journeys have been an important setting in which young people have strengthened their relationship with, and trust in, Living Learning staff. </w:t>
      </w:r>
    </w:p>
    <w:p w14:paraId="5F4FB8DE" w14:textId="77777777" w:rsidR="001249F4" w:rsidRDefault="001249F4" w:rsidP="009D6C42">
      <w:pPr>
        <w:pStyle w:val="ListBullet"/>
      </w:pPr>
      <w:r>
        <w:t xml:space="preserve">Home visits and assertive outreach – The Living Learning Program allows for home visits with young people, provided staff follow screening and safety protocols. Although it is uncommon for Engagement Team staff to enter a young person’s home, there were some circumstances in 2021 (i.e., when a young person was particularly anxious) that necessitated Engagement Team members conducting a home visit. </w:t>
      </w:r>
    </w:p>
    <w:p w14:paraId="33D6CD01" w14:textId="77777777" w:rsidR="003B6C0D" w:rsidRDefault="001249F4" w:rsidP="009D6C42">
      <w:pPr>
        <w:pStyle w:val="ListBullet"/>
      </w:pPr>
      <w:r>
        <w:t>Adventure learning activities – Adventure learning activities are organised by the Living Learning Engagement Team and are an integral and distinguishing component of the Living Learning Program. In 2021, adventure learning activities were delayed, and it was not until Term 4, 2021 that OceanMind and WILD activities were able to commence.</w:t>
      </w:r>
      <w:r w:rsidR="003B6C0D">
        <w:br w:type="page"/>
      </w:r>
    </w:p>
    <w:p w14:paraId="4B4850A5" w14:textId="77777777" w:rsidR="001249F4" w:rsidRDefault="001249F4" w:rsidP="009D6C42">
      <w:pPr>
        <w:pStyle w:val="ListBullet"/>
      </w:pPr>
      <w:r>
        <w:t xml:space="preserve">CORE health and fitness program – Living Learning young people have access to CORE, a trauma-informed and value-based health and fitness program that allows young people to develop goals and work on their fitness. In 2021, the CORE program facilitator developed a training program in consultation with the young person, who was able to elect to work with the program facilitator one-on-one, in pairs, or as a group, and may attend sessions 1-2 times per week. The uptake of CORE has been strong among Living Learning students. </w:t>
      </w:r>
    </w:p>
    <w:p w14:paraId="5564227C" w14:textId="77777777" w:rsidR="00347A4B" w:rsidRDefault="001249F4" w:rsidP="001249F4">
      <w:r>
        <w:t xml:space="preserve">Other supports – Animal assist and art therapy programs have also been rolled out to Living Learning students throughout the course of 2021, both of which have been well received by young people. The Living Learning Program used their own brokerage to fund </w:t>
      </w:r>
      <w:proofErr w:type="gramStart"/>
      <w:r>
        <w:t>a number of</w:t>
      </w:r>
      <w:proofErr w:type="gramEnd"/>
      <w:r>
        <w:t xml:space="preserve"> additional external services, such as psychology, occupational therapy and speech pathology.</w:t>
      </w:r>
    </w:p>
    <w:p w14:paraId="272007FB" w14:textId="77777777" w:rsidR="0005775B" w:rsidRDefault="0005775B" w:rsidP="0005775B">
      <w:pPr>
        <w:pStyle w:val="NormalBodyIntro"/>
      </w:pPr>
      <w:r>
        <w:t xml:space="preserve">Data collection processes are in place to monitor student wellbeing and program </w:t>
      </w:r>
      <w:proofErr w:type="gramStart"/>
      <w:r>
        <w:t>outcomes</w:t>
      </w:r>
      <w:proofErr w:type="gramEnd"/>
      <w:r>
        <w:t xml:space="preserve"> </w:t>
      </w:r>
    </w:p>
    <w:p w14:paraId="12DEF2AA" w14:textId="77777777" w:rsidR="0005775B" w:rsidRDefault="0005775B" w:rsidP="0005775B">
      <w:r>
        <w:t>Participant monitoring and data collection is critical in ensuring the targeted effectiveness of the Living Learning Program. A range of data points are collected by HHA and Living Learning Program staff and used to assess wellbeing, track a young person’s progress, and identify opportunities for improvement in different areas. These include:</w:t>
      </w:r>
    </w:p>
    <w:p w14:paraId="0E102C5E" w14:textId="77777777" w:rsidR="0005775B" w:rsidRDefault="0005775B" w:rsidP="0005775B">
      <w:pPr>
        <w:pStyle w:val="ListBullet"/>
      </w:pPr>
      <w:r>
        <w:t xml:space="preserve">class attendance </w:t>
      </w:r>
    </w:p>
    <w:p w14:paraId="1D82C600" w14:textId="6D82DA2E" w:rsidR="0005775B" w:rsidRDefault="0005775B" w:rsidP="0005775B">
      <w:pPr>
        <w:pStyle w:val="ListBullet"/>
      </w:pPr>
      <w:r>
        <w:t>psychological wellbeing measures</w:t>
      </w:r>
      <w:r>
        <w:rPr>
          <w:rStyle w:val="FootnoteReference"/>
        </w:rPr>
        <w:footnoteReference w:id="7"/>
      </w:r>
    </w:p>
    <w:p w14:paraId="3CF2BC27" w14:textId="77777777" w:rsidR="0005775B" w:rsidRDefault="0005775B" w:rsidP="0005775B">
      <w:pPr>
        <w:pStyle w:val="ListBullet"/>
      </w:pPr>
      <w:r>
        <w:t>educational attainment and goals through the BKSB assessment and the IEP</w:t>
      </w:r>
    </w:p>
    <w:p w14:paraId="4728E8F4" w14:textId="77777777" w:rsidR="0005775B" w:rsidRDefault="0005775B" w:rsidP="0005775B">
      <w:pPr>
        <w:pStyle w:val="ListBullet"/>
      </w:pPr>
      <w:r>
        <w:t>daily RIPPLE check-in and Strengths and Difficulties Questionnaire (SDQ)</w:t>
      </w:r>
    </w:p>
    <w:p w14:paraId="077DA8BE" w14:textId="77777777" w:rsidR="0005775B" w:rsidRDefault="0005775B" w:rsidP="0005775B">
      <w:pPr>
        <w:pStyle w:val="ListBullet"/>
      </w:pPr>
      <w:r>
        <w:t>experience of school (HHA Student Survey and the Living Learning Student Outcomes Survey).</w:t>
      </w:r>
    </w:p>
    <w:p w14:paraId="7F9C2953" w14:textId="7ABF3B2A" w:rsidR="00347A4B" w:rsidRDefault="0005775B" w:rsidP="0005775B">
      <w:r>
        <w:t xml:space="preserve">Supported by the program’s dedicated data analyst, staff utilise these datasets in conjunction with enrolment and demographic data, case notes, and staff observations to provide tailored support to young people. Living Learning Education Team staff explained the program has ambitions to be more evidence </w:t>
      </w:r>
      <w:proofErr w:type="gramStart"/>
      <w:r>
        <w:t>driven, and</w:t>
      </w:r>
      <w:proofErr w:type="gramEnd"/>
      <w:r>
        <w:t xml:space="preserve"> is increasingly using real time data to inform their approaches.</w:t>
      </w:r>
    </w:p>
    <w:p w14:paraId="1A001F88" w14:textId="1DF4AA63" w:rsidR="00A21DC2" w:rsidRDefault="008C7451" w:rsidP="00CF1CC8">
      <w:pPr>
        <w:pStyle w:val="Heading2"/>
      </w:pPr>
      <w:bookmarkStart w:id="52" w:name="_Ref95385472"/>
      <w:bookmarkStart w:id="53" w:name="_Toc97809210"/>
      <w:bookmarkStart w:id="54" w:name="_Toc144843252"/>
      <w:r>
        <w:t>I</w:t>
      </w:r>
      <w:r w:rsidR="00A21DC2">
        <w:t xml:space="preserve">mpacts of </w:t>
      </w:r>
      <w:r>
        <w:t>COVID</w:t>
      </w:r>
      <w:r w:rsidR="00A20953">
        <w:t>-19</w:t>
      </w:r>
      <w:r w:rsidR="00720EBE">
        <w:t xml:space="preserve">, program </w:t>
      </w:r>
      <w:r w:rsidR="00720EBE" w:rsidRPr="00217797">
        <w:t>adaptations</w:t>
      </w:r>
      <w:r w:rsidR="0016541B">
        <w:t xml:space="preserve"> and </w:t>
      </w:r>
      <w:r w:rsidR="004268A7">
        <w:t>implementation challenges</w:t>
      </w:r>
      <w:bookmarkEnd w:id="52"/>
      <w:bookmarkEnd w:id="53"/>
      <w:bookmarkEnd w:id="54"/>
    </w:p>
    <w:p w14:paraId="05863D88" w14:textId="77777777" w:rsidR="003B6C0D" w:rsidRDefault="003B6C0D" w:rsidP="003B6C0D">
      <w:pPr>
        <w:pStyle w:val="NormalBodyIntro"/>
      </w:pPr>
      <w:r>
        <w:t xml:space="preserve">In response to COVID-19 disruptions, the program commencement and referral period was postponed by nine months resulting in a change to the referral </w:t>
      </w:r>
      <w:proofErr w:type="gramStart"/>
      <w:r>
        <w:t>timelines</w:t>
      </w:r>
      <w:proofErr w:type="gramEnd"/>
      <w:r>
        <w:t xml:space="preserve"> </w:t>
      </w:r>
    </w:p>
    <w:p w14:paraId="09F33472" w14:textId="77777777" w:rsidR="003B6C0D" w:rsidRDefault="003B6C0D" w:rsidP="003B6C0D">
      <w:r>
        <w:t xml:space="preserve">The nine-month program postponement has permanently changed the start date for all subsequent Living Learning participant cohorts. As Cohorts 2 and 3 will now commence in Term 1 rather than Term 2 of each year, the program’s three-month referral period now sits across the December school holidays. This presents some challenges, as it is harder to receive information necessary to the enrolment process (e.g., confirmation of eligibility) from a potential participant's previous school during this period. </w:t>
      </w:r>
    </w:p>
    <w:p w14:paraId="522FA911" w14:textId="77777777" w:rsidR="003B6C0D" w:rsidRDefault="003B6C0D" w:rsidP="003B6C0D">
      <w:r>
        <w:t xml:space="preserve">The seven months it took to secure the Program Psychologist was attributed to a shortage in recruitment options caused by increased demand for mental health care providers during the pandemic. During this protracted recruitment period, contingency plans were developed by Living Learning staff which accommodated for the situation in which recruitment did not result in the appointment of an appropriate psychologist. It was recognised by program stakeholders that HHA already employed a vocational psychologist who was onsite and that most students had their own mental health supports in place. Other recruitment options were explored and expanding the scope of the role was considered. However, by April 2021 (three months after Cohort 1 had officially commenced) the Program Psychologist was able to commence activities as had been intended in the original program design. </w:t>
      </w:r>
    </w:p>
    <w:p w14:paraId="0975DF19" w14:textId="77777777" w:rsidR="003B6C0D" w:rsidRDefault="003B6C0D" w:rsidP="003B6C0D">
      <w:r>
        <w:t xml:space="preserve">As mentioned, the Program Psychologist resigned in early 2022, and the recruitment process to fill the role commenced immediately. Given the significant effort required to fill the role initially and the ongoing shortage of mental health supports spurred by the pandemic, the timing required to find a suitable candidate is unknown. Contingencies being considered by the program include funds being directed into funding external mental health care providers for Living Learning participants. If this option were pursued, Living Learning staff would act in a mental health brokerage position, assisting young people in accessing public or affordable mental health services. </w:t>
      </w:r>
    </w:p>
    <w:p w14:paraId="1E5F2140" w14:textId="09FC8778" w:rsidR="00D60AAD" w:rsidRPr="00D60AAD" w:rsidRDefault="003B6C0D" w:rsidP="003B6C0D">
      <w:r>
        <w:t xml:space="preserve">An unforeseen benefit for of the program’s commencement having been delayed until 2021 was that there was more time for MCM and HHA to design and construct the purpose-built Sunshine campus, where </w:t>
      </w:r>
      <w:proofErr w:type="gramStart"/>
      <w:r>
        <w:t>the majority of</w:t>
      </w:r>
      <w:proofErr w:type="gramEnd"/>
      <w:r>
        <w:t xml:space="preserve"> these Living Learning participants attend school.</w:t>
      </w:r>
    </w:p>
    <w:p w14:paraId="78BE1FD7" w14:textId="77777777" w:rsidR="00981208" w:rsidRDefault="00981208" w:rsidP="00981208">
      <w:pPr>
        <w:pStyle w:val="NormalBodyIntro"/>
      </w:pPr>
      <w:r>
        <w:t xml:space="preserve">COVID-19 lockdowns and remote learning significantly disrupted the program’s face-to-face design and planned adventure </w:t>
      </w:r>
      <w:proofErr w:type="gramStart"/>
      <w:r>
        <w:t>activities</w:t>
      </w:r>
      <w:proofErr w:type="gramEnd"/>
    </w:p>
    <w:p w14:paraId="30D86581" w14:textId="77777777" w:rsidR="00981208" w:rsidRDefault="00981208" w:rsidP="00981208">
      <w:r>
        <w:t xml:space="preserve">Program delivery pivoted online when lockdowns throughout 2021 necessitated remote learning. As the Living Learning Program is intended to be a face-to-face program, this represented a significant deviation from the program’s design. During this time, young people were not able to regularly attend the secure and safe environment HHA campuses provide. </w:t>
      </w:r>
    </w:p>
    <w:p w14:paraId="78BADD00" w14:textId="77777777" w:rsidR="00981208" w:rsidRDefault="00981208" w:rsidP="00981208">
      <w:r>
        <w:t xml:space="preserve">While the program was delivered remotely, the core focus for Living Learning staff was providing students with engagement, connection, and resilience-building tools. This was important given the already high rates of disengagement and mental health diagnoses in Cohort 1 participants. Staff described the loss of momentum and engagement as the main impact of remote learning, which has been slow to recover. COVID-19 lockdowns also disrupted the delivery of offsite adventure activities. For around six months, adventure learning activities such as OceanMind and WILD were put on hold, in alignment with Department of Education and Training (DET) directives. Adventure activities were able to recommence in Term 4. </w:t>
      </w:r>
    </w:p>
    <w:p w14:paraId="33BD52B8" w14:textId="77777777" w:rsidR="00981208" w:rsidRDefault="00981208" w:rsidP="00981208">
      <w:r>
        <w:t>Throughout lockdowns, one campus was open to provide access for HHA students deemed vulnerable (as per DET rules), which was accessed by some Living Learning students. Living Learning staff confirmed that the Engagement Team largely continued their outreach work, engaging with Living Learning students over the phone or meeting in outdoor settings which has important wellbeing benefits for Living Learning students. This feature of the Living Learning Program is not present in the HHA service delivery offering.</w:t>
      </w:r>
    </w:p>
    <w:p w14:paraId="011B314B" w14:textId="77777777" w:rsidR="00981208" w:rsidRDefault="00981208" w:rsidP="00981208">
      <w:pPr>
        <w:pStyle w:val="HangingQuote"/>
      </w:pPr>
      <w:r>
        <w:t xml:space="preserve">The separation of the Living Learning Program from HHA </w:t>
      </w:r>
      <w:proofErr w:type="gramStart"/>
      <w:r>
        <w:t>actually benefited</w:t>
      </w:r>
      <w:proofErr w:type="gramEnd"/>
      <w:r>
        <w:t xml:space="preserve"> Living Learning during this time. DET rules were quite strict, and Living Learning was not obliged to follow these for outreach. </w:t>
      </w:r>
      <w:r w:rsidRPr="00981208">
        <w:rPr>
          <w:i w:val="0"/>
          <w:iCs/>
        </w:rPr>
        <w:t>(Living Learning staff)</w:t>
      </w:r>
    </w:p>
    <w:p w14:paraId="742FE439" w14:textId="0B3EB290" w:rsidR="003B6C0D" w:rsidRDefault="00981208" w:rsidP="00981208">
      <w:r>
        <w:t xml:space="preserve">The ongoing engagement which occurred with Living Learning participants may have contributed to the higher attendance rates seen in Term 3 and 4 compared to the general HHA student population (as will be discussed in Section 5). As </w:t>
      </w:r>
      <w:proofErr w:type="gramStart"/>
      <w:r>
        <w:t>at</w:t>
      </w:r>
      <w:proofErr w:type="gramEnd"/>
      <w:r>
        <w:t xml:space="preserve"> December 2021, some HHA students were yet to re-engage in school after lockdowns acted as catalysts for wavering attendance. Graduation and VCAL achievement also decreased across HHA during this period, while mental health issues increased.</w:t>
      </w:r>
    </w:p>
    <w:p w14:paraId="454A99AD" w14:textId="77777777" w:rsidR="00FC6B3D" w:rsidRDefault="00FC6B3D" w:rsidP="00FC6B3D">
      <w:pPr>
        <w:pStyle w:val="NormalBodyIntro"/>
      </w:pPr>
      <w:r>
        <w:t xml:space="preserve">The program has been implemented largely as intended with refinements made to internal processes, data collection mechanisms and education </w:t>
      </w:r>
      <w:proofErr w:type="gramStart"/>
      <w:r>
        <w:t>plans</w:t>
      </w:r>
      <w:proofErr w:type="gramEnd"/>
      <w:r>
        <w:t xml:space="preserve"> </w:t>
      </w:r>
    </w:p>
    <w:p w14:paraId="59F65A43" w14:textId="4BF094B5" w:rsidR="00FC6B3D" w:rsidRDefault="00FC6B3D" w:rsidP="00FC6B3D">
      <w:r>
        <w:t>The program has generally implemented in line with its original design and is tracking within budget. In a key program adjustment, enrolment processes have been streamlined to expedite confirmation of a young person’s eligibility and reduce administrative burden. At the program’s outset, there were two discrete processes for enrolling young person in HHA and in the Living Learning Program. Staff recognised the unnecessary burden that two processes for enrolment was having on young people and their support networks. In early 2021, Living Learning enrolment was integrated into HHA’s existing process. Ambiguity associated with verifying that a young person met the program’s eligibility criteria also posed a significant administrative burden for Living Learning and HHA staff.</w:t>
      </w:r>
      <w:r w:rsidR="00E435E8">
        <w:rPr>
          <w:rStyle w:val="FootnoteReference"/>
        </w:rPr>
        <w:footnoteReference w:id="8"/>
      </w:r>
    </w:p>
    <w:p w14:paraId="5AF1A311" w14:textId="77777777" w:rsidR="00FC6B3D" w:rsidRDefault="00FC6B3D" w:rsidP="00FC6B3D">
      <w:r>
        <w:t xml:space="preserve">This process has now been simplified and requires a young person’s last school to confirm the young person has attended less than ten days of school in the past 90 days, rather than providing records of actual attendance. This has assisted in addressing delays to confirmation of enrolment in the program and allows for the quicker onboarding of Living Learning participants. </w:t>
      </w:r>
    </w:p>
    <w:p w14:paraId="23049230" w14:textId="4E54B93A" w:rsidR="00FC6B3D" w:rsidRDefault="00FC6B3D" w:rsidP="008631D8">
      <w:pPr>
        <w:pStyle w:val="HangingQuote"/>
      </w:pPr>
      <w:r>
        <w:t xml:space="preserve">Having two different processes for enrolment didn’t make sense, so we wanted to make enrolment processes one in the same. Living Learning now picks up students through HHA enrolment. This keeps administrative work on the staff side, and from a student or parent perspective it’s one simple process. We want a simple, </w:t>
      </w:r>
      <w:proofErr w:type="gramStart"/>
      <w:r>
        <w:t>straightforward</w:t>
      </w:r>
      <w:proofErr w:type="gramEnd"/>
      <w:r>
        <w:t xml:space="preserve"> and unobtrusive user experience. </w:t>
      </w:r>
      <w:r w:rsidRPr="008631D8">
        <w:rPr>
          <w:i w:val="0"/>
          <w:iCs/>
        </w:rPr>
        <w:t>(Living Learning staff)</w:t>
      </w:r>
    </w:p>
    <w:p w14:paraId="0168FD62" w14:textId="77777777" w:rsidR="00FC6B3D" w:rsidRDefault="00FC6B3D" w:rsidP="00FC6B3D">
      <w:r>
        <w:t>The Living Learning Program has adopted more effective tools to enhance staff’s understanding of a young person’s mental health and individual circumstances on any given day. Adopted in Term 3, the RIPPLE tool replaces the Ready to Learn (R2L) assessment. The R2L assessment was conducted by asking young people at the start of their school day to indicate, in front of their peers, how receptive they felt they could be to learning that day. Recognising the limitations of R2L, the Education Team adopted RIPPLE, a brief online check-in survey distributed to young people before the start of each school day. RIPPLE asks a series of seven questions, giving the young person the opportunity to convey privately to program staff whether they are hungry, tired, sad, or struggling with friendships. This data is accessible to a young person’s classroom team in real time and used to determine the extent to which a young person is ‘ready to learn’, allowing staff to base their lesson plans on data. The classroom team can also take immediate action to address tangible barriers to learning, such as facilitating breakfast or other immediate needs.</w:t>
      </w:r>
    </w:p>
    <w:p w14:paraId="0A33F8BC" w14:textId="33CD36B9" w:rsidR="00462168" w:rsidRDefault="00FC6B3D" w:rsidP="00FC6B3D">
      <w:r>
        <w:t xml:space="preserve">Over the course of 2021, the program’s Education Team decided to combine the Individual Learning Plan and Individual Education Plan into one succinct and actionable working document. This decision was made on the basis that the development of two separate documents was placing considerable pressure on HHA and Living Learning educators, meaning neither document was being completed adequately, nor were they particularly meaningful or truly ‘owned’ by Living Learning participants. A single, streamlined IEP is now developed and then reviewed at a young person’s Welcome Back meeting – a constructive goal-setting discussion held with a young person at the end of each school holiday period. The document is intended to be a student-facing, working document that scales down to key ideas to assist a student in directing their learning and identifying their goals. Young people are encouraged to bring a key support person to these meetings, which may include a family member, </w:t>
      </w:r>
      <w:proofErr w:type="gramStart"/>
      <w:r>
        <w:t>friend</w:t>
      </w:r>
      <w:proofErr w:type="gramEnd"/>
      <w:r>
        <w:t xml:space="preserve"> or Key Worker. Staff report that Welcome Back meetings have been well attended by Living Learning students, a success which program staff have attributed to the agency students have in identifying goals which are truly meaningful to them.</w:t>
      </w:r>
    </w:p>
    <w:p w14:paraId="2AEC3C83" w14:textId="77777777" w:rsidR="002620A4" w:rsidRDefault="002620A4" w:rsidP="002620A4">
      <w:pPr>
        <w:pStyle w:val="NormalBodyIntro"/>
      </w:pPr>
      <w:r>
        <w:t>The program has faced some implementation challenges including managing limited space on campuses, accommodating higher than expected class attendance and embedding the program in an existing school setting.</w:t>
      </w:r>
    </w:p>
    <w:p w14:paraId="43DA390B" w14:textId="77777777" w:rsidR="002620A4" w:rsidRDefault="002620A4" w:rsidP="002620A4">
      <w:r>
        <w:t xml:space="preserve">The following areas were identified by Living Learning and HHA staff as ongoing challenges to the implementation of the program and operation of HHA: </w:t>
      </w:r>
    </w:p>
    <w:p w14:paraId="25CB3177" w14:textId="77777777" w:rsidR="002620A4" w:rsidRDefault="002620A4" w:rsidP="002620A4">
      <w:pPr>
        <w:pStyle w:val="ListBullet"/>
      </w:pPr>
      <w:r>
        <w:t>Higher attendance of Living Learning students is putting pressure on classroom sizes and teaching capacity – While acknowledging that higher attendance by Living Learning students is a positive and intended outcome of the program, in the short term this has caused some resourcing challenges and adjustments for HHA teaching staff. A key aspect of the HHA and Living Learning model is the ability to provide tailored support enabled by small classroom sizes. Stakeholders from MCM reflected there is sufficient ability within the MCM governance structure to escalate and address this operational risk.</w:t>
      </w:r>
    </w:p>
    <w:p w14:paraId="7F356D3B" w14:textId="6E09A73B" w:rsidR="00061395" w:rsidRDefault="002620A4" w:rsidP="002620A4">
      <w:pPr>
        <w:pStyle w:val="ListBullet"/>
      </w:pPr>
      <w:r>
        <w:t>Managing limited space on campuses with competing needs for rooms and private spaces – across all campuses, HHA and Living Learning staff reported that student numbers are reaching capacity for the space available. While the Sunshine campus was only finalised in late 2020, the site is already considered by many staff to be too small and lacking in private and dedicated spaces to be used by Living Learning staff. While the ongoing juggle for rooms and space is a common challenge in school settings, some Living Learning staff consider this a hindrance to effective program implementation.</w:t>
      </w:r>
      <w:r w:rsidR="00061395">
        <w:br w:type="page"/>
      </w:r>
    </w:p>
    <w:p w14:paraId="28F6AFCE" w14:textId="0172C852" w:rsidR="002620A4" w:rsidRDefault="002620A4" w:rsidP="002620A4">
      <w:pPr>
        <w:pStyle w:val="HangingQuote"/>
      </w:pPr>
      <w:r>
        <w:t xml:space="preserve">There's been a struggle to fit Living Learning activities into the space that's available at the school. Sometimes Living Learning Programs need to be compromised </w:t>
      </w:r>
      <w:proofErr w:type="gramStart"/>
      <w:r>
        <w:t>in order to</w:t>
      </w:r>
      <w:proofErr w:type="gramEnd"/>
      <w:r>
        <w:t xml:space="preserve"> fit in what's happening. And sometimes we </w:t>
      </w:r>
      <w:proofErr w:type="gramStart"/>
      <w:r>
        <w:t>have to</w:t>
      </w:r>
      <w:proofErr w:type="gramEnd"/>
      <w:r>
        <w:t xml:space="preserve"> compromise HHA programs in order to make room for Living Learning. </w:t>
      </w:r>
      <w:proofErr w:type="gramStart"/>
      <w:r>
        <w:t>So</w:t>
      </w:r>
      <w:proofErr w:type="gramEnd"/>
      <w:r>
        <w:t xml:space="preserve"> I'd definitely say there's a space shortage, which makes things difficult. (HHA staff)</w:t>
      </w:r>
    </w:p>
    <w:p w14:paraId="1AC34456" w14:textId="5BEDCB12" w:rsidR="002620A4" w:rsidRDefault="002620A4" w:rsidP="002620A4">
      <w:pPr>
        <w:pStyle w:val="ListBullet"/>
      </w:pPr>
      <w:r>
        <w:t>Managing demand and resources for transporting students to campus and appointments – As discussed earlier, in the first year of the program, there was strong uptake of transport services provided by the Living Learning Engagement Team. Staff reported spending a significant proportion of their time transporting students to or from school or essential appointments. While this service is highly valued and contributing to positive attendance rates among students, the longer-term sustainability of this service is being re-assessed by Living Learning and HHA. Plans are currently in place to invest in an HHA bus to assist in meeting the demand.</w:t>
      </w:r>
    </w:p>
    <w:p w14:paraId="2828276C" w14:textId="5DA809A5" w:rsidR="002620A4" w:rsidRDefault="002620A4">
      <w:pPr>
        <w:pStyle w:val="ListBullet"/>
      </w:pPr>
      <w:r>
        <w:t>Living Learning has had a mixed impact on HHA staff and students – HHA staff were supportive of the program and confirmed that Living Learning has been beneficial for HHA students by providing additional resources in the classroom and some access to adventures activities.</w:t>
      </w:r>
      <w:r>
        <w:rPr>
          <w:rStyle w:val="FootnoteReference"/>
        </w:rPr>
        <w:footnoteReference w:id="9"/>
      </w:r>
      <w:r>
        <w:t xml:space="preserve"> At the same time, HHA staff acknowledged that the program has put some pressure on classroom size and managing rooms and resources, particularly in cases where Living Learning activities occur at times which are out of sync with the school calendar. Some stakeholders reported many Living Learning staff are new to working in a school setting, meaning they are unfamiliar with the wide range of risk-based policies governing schools.</w:t>
      </w:r>
    </w:p>
    <w:p w14:paraId="6D7ED770" w14:textId="1286F149" w:rsidR="00541CFC" w:rsidRDefault="00435F98" w:rsidP="00E435E8">
      <w:pPr>
        <w:pStyle w:val="HangingQuote"/>
        <w:rPr>
          <w:i w:val="0"/>
          <w:iCs/>
        </w:rPr>
      </w:pPr>
      <w:r>
        <w:rPr>
          <w:i w:val="0"/>
          <w:iCs/>
          <w:noProof/>
        </w:rPr>
        <w:drawing>
          <wp:anchor distT="0" distB="0" distL="114300" distR="114300" simplePos="0" relativeHeight="251658256" behindDoc="0" locked="0" layoutInCell="1" allowOverlap="1" wp14:anchorId="6DF4C9D8" wp14:editId="2C74AB43">
            <wp:simplePos x="0" y="0"/>
            <wp:positionH relativeFrom="margin">
              <wp:align>center</wp:align>
            </wp:positionH>
            <wp:positionV relativeFrom="paragraph">
              <wp:posOffset>1104108</wp:posOffset>
            </wp:positionV>
            <wp:extent cx="8534403" cy="4050302"/>
            <wp:effectExtent l="0" t="0" r="0" b="7620"/>
            <wp:wrapNone/>
            <wp:docPr id="2088276279" name="Picture 20882762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276279" name="Picture 11">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534403" cy="4050302"/>
                    </a:xfrm>
                    <a:prstGeom prst="rect">
                      <a:avLst/>
                    </a:prstGeom>
                    <a:noFill/>
                  </pic:spPr>
                </pic:pic>
              </a:graphicData>
            </a:graphic>
            <wp14:sizeRelH relativeFrom="page">
              <wp14:pctWidth>0</wp14:pctWidth>
            </wp14:sizeRelH>
            <wp14:sizeRelV relativeFrom="page">
              <wp14:pctHeight>0</wp14:pctHeight>
            </wp14:sizeRelV>
          </wp:anchor>
        </w:drawing>
      </w:r>
      <w:r w:rsidR="002620A4">
        <w:t xml:space="preserve">The Living Learning Program provides lots of really engaging activities for not only the students that are within the Living Learning Program, but also for students that are outside it as well. </w:t>
      </w:r>
      <w:proofErr w:type="gramStart"/>
      <w:r w:rsidR="002620A4">
        <w:t>So</w:t>
      </w:r>
      <w:proofErr w:type="gramEnd"/>
      <w:r w:rsidR="002620A4">
        <w:t xml:space="preserve"> one example of that would be the CORE program that they run two days a week here at Sunshine. </w:t>
      </w:r>
      <w:r w:rsidR="002620A4" w:rsidRPr="009A40EE">
        <w:rPr>
          <w:i w:val="0"/>
          <w:iCs/>
        </w:rPr>
        <w:t>(HHA staff)</w:t>
      </w:r>
      <w:r w:rsidR="00541CFC">
        <w:rPr>
          <w:i w:val="0"/>
          <w:iCs/>
        </w:rPr>
        <w:br w:type="page"/>
      </w:r>
    </w:p>
    <w:p w14:paraId="1AADCC97" w14:textId="39A5DD41" w:rsidR="00204560" w:rsidRDefault="00A21DC2" w:rsidP="00660625">
      <w:pPr>
        <w:pStyle w:val="Heading2"/>
      </w:pPr>
      <w:bookmarkStart w:id="55" w:name="_Toc97809211"/>
      <w:bookmarkStart w:id="56" w:name="_Toc144843253"/>
      <w:r>
        <w:t xml:space="preserve">Governance </w:t>
      </w:r>
      <w:r w:rsidR="002742DA" w:rsidRPr="00E44BFC">
        <w:t>arrangements</w:t>
      </w:r>
      <w:bookmarkEnd w:id="55"/>
      <w:bookmarkEnd w:id="56"/>
    </w:p>
    <w:p w14:paraId="667DC043" w14:textId="0318D5A2" w:rsidR="009A40EE" w:rsidRDefault="009A40EE" w:rsidP="00B81488">
      <w:pPr>
        <w:pStyle w:val="NormalBodyIntro"/>
      </w:pPr>
      <w:r>
        <w:t xml:space="preserve">The Joint Working Group is an appropriate and effective </w:t>
      </w:r>
      <w:proofErr w:type="gramStart"/>
      <w:r>
        <w:t>forum</w:t>
      </w:r>
      <w:proofErr w:type="gramEnd"/>
    </w:p>
    <w:p w14:paraId="0145AE99" w14:textId="77777777" w:rsidR="009A40EE" w:rsidRDefault="009A40EE" w:rsidP="009A40EE">
      <w:r>
        <w:t xml:space="preserve">The Living Learning PAD Joint Working Group (JWG) was established in 2019 to provide advice and guidance on the implementation of the Implementation Agreement (IA). The JWG’s four distinct roles are to: </w:t>
      </w:r>
    </w:p>
    <w:p w14:paraId="6947D867" w14:textId="77777777" w:rsidR="009A40EE" w:rsidRDefault="009A40EE" w:rsidP="009A40EE">
      <w:pPr>
        <w:pStyle w:val="ListBullet"/>
      </w:pPr>
      <w:r>
        <w:t xml:space="preserve">provide advice on matters regarding the implementation and performance of the Living Learning PAD </w:t>
      </w:r>
    </w:p>
    <w:p w14:paraId="0445E9CC" w14:textId="77777777" w:rsidR="009A40EE" w:rsidRDefault="009A40EE" w:rsidP="009A40EE">
      <w:pPr>
        <w:pStyle w:val="ListBullet"/>
      </w:pPr>
      <w:r>
        <w:t xml:space="preserve">advise and agree on material changes to program delivery and </w:t>
      </w:r>
      <w:proofErr w:type="gramStart"/>
      <w:r>
        <w:t>processes</w:t>
      </w:r>
      <w:proofErr w:type="gramEnd"/>
    </w:p>
    <w:p w14:paraId="0926F827" w14:textId="77777777" w:rsidR="009A40EE" w:rsidRDefault="009A40EE" w:rsidP="009A40EE">
      <w:pPr>
        <w:pStyle w:val="ListBullet"/>
      </w:pPr>
      <w:r>
        <w:t>formally review the Living Learning Program and PAD arrangement on an annual basis, including consideration of the appropriateness of baselines and target success rates</w:t>
      </w:r>
    </w:p>
    <w:p w14:paraId="5B541F26" w14:textId="370A96C2" w:rsidR="009A40EE" w:rsidRDefault="009A40EE" w:rsidP="009A40EE">
      <w:pPr>
        <w:pStyle w:val="ListBullet"/>
      </w:pPr>
      <w:r>
        <w:t>provide advice on matters of formal Dispute Resolution.</w:t>
      </w:r>
    </w:p>
    <w:p w14:paraId="0B6A9CDC" w14:textId="422C8884" w:rsidR="00541CFC" w:rsidRDefault="00D355E9" w:rsidP="00D355E9">
      <w:r>
        <w:t>The JWG membership comprises MCM Chief Executive Officer (co-chair), the Responsible Deputy Secretary of DFFH (co-chair), the Government (DFFH) Contract Manager, senior representatives from DTF and DFFH, MCM’s Chief Financial Officer, the Living Learning Program manager and the HHA Principal. The group met quarterly throughout 2020-2021. Stakeholders reported that the governance structure is working well and reflected that all members of the group remain committed to the successful delivery of the PAD and the program.</w:t>
      </w:r>
    </w:p>
    <w:p w14:paraId="218D29B8" w14:textId="7C765B0B" w:rsidR="00D355E9" w:rsidRDefault="00D355E9" w:rsidP="00D355E9">
      <w:r>
        <w:t>An internal review in late 2021 found the structure and format of Living Learning PAD JWG meetings is comparable with that of other PADs and SIBs across Australian jurisdictions and that the JWG membership is of an appropriate level of escalation required for issues of the Living Learning Program.</w:t>
      </w:r>
      <w:r w:rsidR="00CB7A57">
        <w:rPr>
          <w:rStyle w:val="FootnoteReference"/>
        </w:rPr>
        <w:footnoteReference w:id="10"/>
      </w:r>
      <w:r>
        <w:t xml:space="preserve"> The JWG acknowledged the internal review’s finding that there is potential to strengthen the clarity in the roles and responsibilities of key stakeholders in the JWG, and that this could be partially attributed to differences between “actual and practical responsibilities.”</w:t>
      </w:r>
      <w:r w:rsidR="0061453F">
        <w:rPr>
          <w:rStyle w:val="FootnoteReference"/>
        </w:rPr>
        <w:footnoteReference w:id="11"/>
      </w:r>
      <w:r>
        <w:t xml:space="preserve"> In response to this finding, work is currently underway to define roles more clearly through the development of Terms of Reference (TOR) for the Operational Working Group, and updating the TOR for the Evaluation Steering Committee and JWG. </w:t>
      </w:r>
    </w:p>
    <w:p w14:paraId="3F86483E" w14:textId="77777777" w:rsidR="00D355E9" w:rsidRDefault="00D355E9" w:rsidP="00D355E9">
      <w:r>
        <w:t xml:space="preserve">Governance stakeholders confirmed that the JWG has effectively and collegially navigated matters which had potential to jeopardise the success of the Living Learning PAD. Foremost of these was the decision to delay the Term 2, 2020 commencement of the program. At the first official meeting of the JWG on 31 March 2020, MCM strongly recommended to the JWG that commencement be delayed until 2021. This recommendation was made on the basis that COVID-19 was threatening the ability of the program to operate as intended, by providing face-to-face flexible support for program participants and, as a result, there was a high risk that this would jeopardise the achievement of the payable outcome measure targets. </w:t>
      </w:r>
    </w:p>
    <w:p w14:paraId="4E17C5DF" w14:textId="77777777" w:rsidR="00733644" w:rsidRDefault="00D355E9" w:rsidP="00D355E9">
      <w:r>
        <w:t>The JWG subsequently sought Ministerial approval for a delay in commencement. In April 2020, MCM and the Minister for Youth jointly agreed to delay the commencement until Term 1, 2021. The JWG agreed that the Department of Premier and Cabinet, DTF and MCM would work together to develop a set of criteria that would allow the program to commence once met.</w:t>
      </w:r>
      <w:r w:rsidR="00BE2ECD">
        <w:rPr>
          <w:rStyle w:val="FootnoteReference"/>
        </w:rPr>
        <w:footnoteReference w:id="12"/>
      </w:r>
      <w:r>
        <w:t xml:space="preserve"> Parameters to inform decision making about a revised start date and conditions for restart were subsequently documented and agreed to, which included key issues alongside indicators of readiness to commence. Documentation of these decisions is well recorded and evidences a clear and actionable risk management strategy. </w:t>
      </w:r>
    </w:p>
    <w:p w14:paraId="416F6368" w14:textId="3A10673A" w:rsidR="009A40EE" w:rsidRDefault="00D355E9" w:rsidP="00404633">
      <w:pPr>
        <w:pStyle w:val="NormalBodyIntro"/>
      </w:pPr>
      <w:r>
        <w:t xml:space="preserve">The Operational Working Group is functioning as intended to work through operational </w:t>
      </w:r>
      <w:proofErr w:type="gramStart"/>
      <w:r>
        <w:t>issues</w:t>
      </w:r>
      <w:proofErr w:type="gramEnd"/>
    </w:p>
    <w:p w14:paraId="7B94257A" w14:textId="77777777" w:rsidR="0059336B" w:rsidRDefault="0059336B" w:rsidP="0059336B">
      <w:r>
        <w:t xml:space="preserve">The Living Learning PAD Operational Working Group (OWG) was established in early 2020 to offer a forum for: reporting on day-to-day matters; information sharing; resolving operational issues not requiring escalations to the JWG; and routinely reviewing the Operations Manual to establish whether any amendments are necessary. </w:t>
      </w:r>
    </w:p>
    <w:p w14:paraId="7D6EBE2A" w14:textId="77777777" w:rsidR="0059336B" w:rsidRDefault="0059336B" w:rsidP="0059336B">
      <w:r>
        <w:t>Membership of the OWG is determined by the Contract Officers and includes representatives from MCM, DFFH and DTF representatives. Since its establishment in 2020, OWG meetings have reduced in frequency from fortnightly to six-weekly. Occasionally, incidental meetings are held to resolve issues which have arisen and to organise specific items. OWG members described incidental meetings as an informal space in which members could “talk things through”. One member noted that the OWG facilitates respectful discussion, and that it is important that parties approach the forum as “equal partners”.</w:t>
      </w:r>
    </w:p>
    <w:p w14:paraId="360C2FBA" w14:textId="1C825369" w:rsidR="0059336B" w:rsidRDefault="0059336B" w:rsidP="0059336B">
      <w:r>
        <w:t>The internal review (led by DFFH) found that the “formalisation of processes as part of the OWG would be beneficial”, however some OWG members indicated that the less formal structure of the OWG and its meetings aided in the facilitation of useful discussion. In response to this finding, as noted above, work is currently underway to define roles more clearly through the development of Terms of Reference for the OWG.</w:t>
      </w:r>
    </w:p>
    <w:p w14:paraId="324838EE" w14:textId="02893538" w:rsidR="0059336B" w:rsidRDefault="006511FE" w:rsidP="006511FE">
      <w:pPr>
        <w:pStyle w:val="HangingQuote"/>
        <w:rPr>
          <w:i w:val="0"/>
          <w:iCs/>
        </w:rPr>
      </w:pPr>
      <w:r>
        <w:t xml:space="preserve">The OWG has been a positive space that has allowed stakeholders to sort things out as a team. Although there have been a few instances of difficulty (such as needing to clarify things which hadn’t been considered) OWG members have gotten through everything in a civil manner. </w:t>
      </w:r>
      <w:r w:rsidRPr="006511FE">
        <w:rPr>
          <w:i w:val="0"/>
          <w:iCs/>
        </w:rPr>
        <w:t>(Living Learning staff)</w:t>
      </w:r>
    </w:p>
    <w:p w14:paraId="6729D979" w14:textId="77777777" w:rsidR="00795E41" w:rsidRDefault="00795E41" w:rsidP="00795E41">
      <w:pPr>
        <w:pStyle w:val="NormalBodyIntro"/>
      </w:pPr>
      <w:r>
        <w:t xml:space="preserve">MCM and HHA governance mechanisms have been </w:t>
      </w:r>
      <w:proofErr w:type="gramStart"/>
      <w:r>
        <w:t>established</w:t>
      </w:r>
      <w:proofErr w:type="gramEnd"/>
    </w:p>
    <w:p w14:paraId="34D71C3B" w14:textId="4B88D67D" w:rsidR="00B15B68" w:rsidRDefault="00795E41" w:rsidP="00795E41">
      <w:r>
        <w:t>The MCM Governance Committee is an internal governance mechanism for the Living Learning PAD that sits within MCM’s organisational governance structure. Membership of the MCM Governance Committee includes the Living Learning PAD Program Manager, the MCM CEO and General Manager of Corporate Services and the HHA Principal. In these meetings, the Program Manager gives six-weekly progress updates of operational matters and presenting available program data. Given the need for close and effective working relationships between the program and HHA, some stakeholders believe there would be benefit in the Assistant Principal of Wellbeing and Inclusion being included in governance of Living Learning PAD.</w:t>
      </w:r>
    </w:p>
    <w:p w14:paraId="3B6254F0" w14:textId="77777777" w:rsidR="00795E41" w:rsidRDefault="00795E41" w:rsidP="00795E41">
      <w:pPr>
        <w:pStyle w:val="NormalBodyIntro"/>
      </w:pPr>
      <w:r>
        <w:t xml:space="preserve">There are some areas of misalignment in the policies and operational governance of the Living Learning Program within the HHA school setting </w:t>
      </w:r>
      <w:proofErr w:type="gramStart"/>
      <w:r>
        <w:t>operations</w:t>
      </w:r>
      <w:proofErr w:type="gramEnd"/>
      <w:r>
        <w:t xml:space="preserve"> </w:t>
      </w:r>
    </w:p>
    <w:p w14:paraId="46614657" w14:textId="77777777" w:rsidR="00795E41" w:rsidRDefault="00795E41" w:rsidP="00795E41">
      <w:r>
        <w:t xml:space="preserve">The Living Learning Program operates in a unique environment as a funded program delivered by MCM largely within the existing HHA school. HHA is governed as a school in line with state government policies, however these operational and staff policies do not apply to Living Learning staff employed to deliver the Living Learning Program. Stakeholders reported that MCM policies are divisional, and the Living Learning PAD is a separate entity which does not fit within any of MCM’s divisions. As a result, there have been a small number of incidents in which HHA and Living Learning staff were operating under different risk-based approaches in their engagement with students. </w:t>
      </w:r>
    </w:p>
    <w:p w14:paraId="1CD45891" w14:textId="77777777" w:rsidR="00795E41" w:rsidRDefault="00795E41" w:rsidP="00795E41">
      <w:r>
        <w:t xml:space="preserve">While overall, staff described the program in positive terms, staff from both HHA and Living Learning reported some inconsistencies and misunderstanding about how </w:t>
      </w:r>
      <w:proofErr w:type="gramStart"/>
      <w:r>
        <w:t>HHA</w:t>
      </w:r>
      <w:proofErr w:type="gramEnd"/>
      <w:r>
        <w:t xml:space="preserve"> and the Living Learning Program resources can be used. </w:t>
      </w:r>
      <w:proofErr w:type="gramStart"/>
      <w:r>
        <w:t>In particular, HHA</w:t>
      </w:r>
      <w:proofErr w:type="gramEnd"/>
      <w:r>
        <w:t xml:space="preserve"> staff expressed a desire to access the Living Learning psychologist to support HHA students through challenging times. </w:t>
      </w:r>
    </w:p>
    <w:p w14:paraId="195667CD" w14:textId="232C92D1" w:rsidR="00795E41" w:rsidRDefault="005F1E02" w:rsidP="00795E41">
      <w:pPr>
        <w:pStyle w:val="HangingQuote"/>
      </w:pPr>
      <w:r>
        <w:rPr>
          <w:noProof/>
        </w:rPr>
        <mc:AlternateContent>
          <mc:Choice Requires="wps">
            <w:drawing>
              <wp:anchor distT="0" distB="0" distL="114300" distR="114300" simplePos="0" relativeHeight="251658257" behindDoc="0" locked="0" layoutInCell="1" allowOverlap="1" wp14:anchorId="458A7320" wp14:editId="0002C321">
                <wp:simplePos x="0" y="0"/>
                <wp:positionH relativeFrom="column">
                  <wp:posOffset>691788</wp:posOffset>
                </wp:positionH>
                <wp:positionV relativeFrom="paragraph">
                  <wp:posOffset>969010</wp:posOffset>
                </wp:positionV>
                <wp:extent cx="4745355" cy="0"/>
                <wp:effectExtent l="0" t="19050" r="55245" b="38100"/>
                <wp:wrapTopAndBottom/>
                <wp:docPr id="1604458260" name="Straight Connector 16044582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745355" cy="0"/>
                        </a:xfrm>
                        <a:prstGeom prst="line">
                          <a:avLst/>
                        </a:prstGeom>
                        <a:ln w="57150"/>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xmlns:a="http://schemas.openxmlformats.org/drawingml/2006/main" xmlns:adec="http://schemas.microsoft.com/office/drawing/2017/decorative" xmlns:pic="http://schemas.openxmlformats.org/drawingml/2006/picture" xmlns:a14="http://schemas.microsoft.com/office/drawing/2010/main" xmlns:a16="http://schemas.microsoft.com/office/drawing/2014/main" xmlns:arto="http://schemas.microsoft.com/office/word/2006/arto">
            <w:pict w14:anchorId="63B61689">
              <v:line id="Straight Connector 12" style="position:absolute;z-index:251663372;visibility:visible;mso-wrap-style:square;mso-wrap-distance-left:9pt;mso-wrap-distance-top:0;mso-wrap-distance-right:9pt;mso-wrap-distance-bottom:0;mso-position-horizontal:absolute;mso-position-horizontal-relative:text;mso-position-vertical:absolute;mso-position-vertical-relative:text" alt="&quot;&quot;" o:spid="_x0000_s1026" strokecolor="#5960aa [3046]" strokeweight="4.5pt" from="54.45pt,76.3pt" to="428.1pt,76.3pt" w14:anchorId="599A1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">
                <w10:wrap type="topAndBottom"/>
              </v:line>
            </w:pict>
          </mc:Fallback>
        </mc:AlternateContent>
      </w:r>
      <w:proofErr w:type="gramStart"/>
      <w:r w:rsidR="00795E41">
        <w:t>So</w:t>
      </w:r>
      <w:proofErr w:type="gramEnd"/>
      <w:r w:rsidR="00795E41">
        <w:t xml:space="preserve"> there's been a big learning curve in terms of the Living Learning staff, acclimatising to the school setting and the school policies and procedures, and likewise us getting used to what the </w:t>
      </w:r>
      <w:r w:rsidR="00795E41" w:rsidRPr="00795E41">
        <w:rPr>
          <w:i w:val="0"/>
          <w:iCs/>
        </w:rPr>
        <w:t>[Living Learning Program]</w:t>
      </w:r>
      <w:r w:rsidR="00795E41">
        <w:t xml:space="preserve"> restrictions are. </w:t>
      </w:r>
      <w:r w:rsidR="00795E41" w:rsidRPr="00795E41">
        <w:rPr>
          <w:i w:val="0"/>
          <w:iCs/>
        </w:rPr>
        <w:t>(HHA staff)</w:t>
      </w:r>
      <w:r w:rsidRPr="005F1E02">
        <w:rPr>
          <w:noProof/>
        </w:rPr>
        <w:t xml:space="preserve"> </w:t>
      </w:r>
    </w:p>
    <w:p w14:paraId="6E60E662" w14:textId="77777777" w:rsidR="00C33938" w:rsidRDefault="00795E41" w:rsidP="00795E41">
      <w:pPr>
        <w:pStyle w:val="HangingQuote"/>
        <w:rPr>
          <w:i w:val="0"/>
          <w:iCs/>
        </w:rPr>
        <w:sectPr w:rsidR="00C33938" w:rsidSect="002513AB">
          <w:pgSz w:w="11906" w:h="16838" w:code="9"/>
          <w:pgMar w:top="1134" w:right="1134" w:bottom="1418" w:left="1134" w:header="709" w:footer="284" w:gutter="0"/>
          <w:cols w:space="708"/>
          <w:docGrid w:linePitch="360"/>
        </w:sectPr>
      </w:pPr>
      <w:r>
        <w:t xml:space="preserve">There are risk appetite differences between Living Learning and HHA. We need policies to create clarity around what Living Learning staff can do and how this applies to HHA. </w:t>
      </w:r>
      <w:r w:rsidRPr="00795E41">
        <w:rPr>
          <w:i w:val="0"/>
          <w:iCs/>
        </w:rPr>
        <w:t>(Living Learning staff)</w:t>
      </w:r>
    </w:p>
    <w:p w14:paraId="16950DD0" w14:textId="4098B381" w:rsidR="009272B1" w:rsidRDefault="004B0375" w:rsidP="004A0CC1">
      <w:pPr>
        <w:pStyle w:val="Heading1"/>
        <w:spacing w:before="8000"/>
      </w:pPr>
      <w:bookmarkStart w:id="57" w:name="_Ref95395600"/>
      <w:bookmarkStart w:id="58" w:name="_Toc97809212"/>
      <w:bookmarkStart w:id="59" w:name="_Toc144843254"/>
      <w:r>
        <w:rPr>
          <w:noProof/>
        </w:rPr>
        <w:drawing>
          <wp:anchor distT="0" distB="0" distL="114300" distR="114300" simplePos="0" relativeHeight="251658258" behindDoc="1" locked="0" layoutInCell="1" allowOverlap="1" wp14:anchorId="288D881E" wp14:editId="3B392B6C">
            <wp:simplePos x="0" y="0"/>
            <wp:positionH relativeFrom="page">
              <wp:align>left</wp:align>
            </wp:positionH>
            <wp:positionV relativeFrom="paragraph">
              <wp:posOffset>-719455</wp:posOffset>
            </wp:positionV>
            <wp:extent cx="7611473" cy="5110223"/>
            <wp:effectExtent l="0" t="0" r="8890" b="0"/>
            <wp:wrapNone/>
            <wp:docPr id="683965507" name="Picture 6839655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965507" name="Picture 14">
                      <a:extLst>
                        <a:ext uri="{C183D7F6-B498-43B3-948B-1728B52AA6E4}">
                          <adec:decorative xmlns:adec="http://schemas.microsoft.com/office/drawing/2017/decorative" val="1"/>
                        </a:ext>
                      </a:extLst>
                    </pic:cNvPr>
                    <pic:cNvPicPr>
                      <a:picLocks noChangeAspect="1" noChangeArrowheads="1"/>
                    </pic:cNvPicPr>
                  </pic:nvPicPr>
                  <pic:blipFill rotWithShape="1">
                    <a:blip r:embed="rId47">
                      <a:extLst>
                        <a:ext uri="{28A0092B-C50C-407E-A947-70E740481C1C}">
                          <a14:useLocalDpi xmlns:a14="http://schemas.microsoft.com/office/drawing/2010/main" val="0"/>
                        </a:ext>
                      </a:extLst>
                    </a:blip>
                    <a:srcRect b="10533"/>
                    <a:stretch/>
                  </pic:blipFill>
                  <pic:spPr bwMode="auto">
                    <a:xfrm>
                      <a:off x="0" y="0"/>
                      <a:ext cx="7630369" cy="51229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2C70">
        <w:t>E</w:t>
      </w:r>
      <w:r w:rsidR="00644D05">
        <w:t>merging outcomes</w:t>
      </w:r>
      <w:r w:rsidR="00EA215D">
        <w:t xml:space="preserve"> for </w:t>
      </w:r>
      <w:r w:rsidR="008E07DE">
        <w:t xml:space="preserve">Living Learning young </w:t>
      </w:r>
      <w:proofErr w:type="gramStart"/>
      <w:r w:rsidR="008E07DE">
        <w:t>people</w:t>
      </w:r>
      <w:bookmarkEnd w:id="57"/>
      <w:bookmarkEnd w:id="58"/>
      <w:bookmarkEnd w:id="59"/>
      <w:proofErr w:type="gramEnd"/>
    </w:p>
    <w:p w14:paraId="5AB79D9E" w14:textId="62004D0C" w:rsidR="00506406" w:rsidRPr="00506406" w:rsidRDefault="00506406" w:rsidP="00506406">
      <w:r w:rsidRPr="00506406">
        <w:t>This section presents available data on the Living Learning student cohort and emerging outcomes from the first year of program delivery.</w:t>
      </w:r>
    </w:p>
    <w:p w14:paraId="784FDF85" w14:textId="65BCBB7A" w:rsidR="00E75EDB" w:rsidRDefault="00E75EDB" w:rsidP="00E75EDB">
      <w:pPr>
        <w:pStyle w:val="Head2"/>
      </w:pPr>
      <w:r>
        <w:t>Key messages</w:t>
      </w:r>
    </w:p>
    <w:p w14:paraId="2662506F" w14:textId="77777777" w:rsidR="00DC1C00" w:rsidRDefault="00DC1C00" w:rsidP="00DC1C00">
      <w:pPr>
        <w:pStyle w:val="ListBullet"/>
      </w:pPr>
      <w:r>
        <w:t xml:space="preserve">The Cohort 1 student profile is largely as expected, with multiple mental health diagnoses and a range of other complexities including interaction with the justice system represented. </w:t>
      </w:r>
    </w:p>
    <w:p w14:paraId="24B4796F" w14:textId="77777777" w:rsidR="00DC1C00" w:rsidRDefault="00DC1C00" w:rsidP="00DC1C00">
      <w:pPr>
        <w:pStyle w:val="ListBullet"/>
      </w:pPr>
      <w:r>
        <w:t xml:space="preserve">Despite the challenges of lockdown and remote learning, there was no attrition among the 48 participants of Cohort 1 in 2021. </w:t>
      </w:r>
    </w:p>
    <w:p w14:paraId="3AA35943" w14:textId="77777777" w:rsidR="00DC1C00" w:rsidRDefault="00DC1C00" w:rsidP="00DC1C00">
      <w:pPr>
        <w:pStyle w:val="ListBullet"/>
      </w:pPr>
      <w:r>
        <w:t xml:space="preserve">Throughout the year, Living Learning students had higher rates of attendance compared to the broader HHA student cohort, although attendance rates declined for all students as the year progressed. </w:t>
      </w:r>
    </w:p>
    <w:p w14:paraId="27A43330" w14:textId="77777777" w:rsidR="00DC1C00" w:rsidRDefault="00DC1C00" w:rsidP="00DC1C00">
      <w:pPr>
        <w:pStyle w:val="ListBullet"/>
      </w:pPr>
      <w:r>
        <w:t xml:space="preserve">Program data on changes in literacy and numeracy is limited due to lower attendance in Term 4, however available data shows some improvement for a small proportion of participants. </w:t>
      </w:r>
    </w:p>
    <w:p w14:paraId="614C75BA" w14:textId="77777777" w:rsidR="00DC1C00" w:rsidRDefault="00DC1C00" w:rsidP="00DC1C00">
      <w:pPr>
        <w:pStyle w:val="ListBullet"/>
      </w:pPr>
      <w:r>
        <w:t xml:space="preserve">In general, Living Learning young people reported more positive attitudes and perceptions of school than the boarder HHA student population. </w:t>
      </w:r>
    </w:p>
    <w:p w14:paraId="0AF3454D" w14:textId="66AD06E7" w:rsidR="00C33938" w:rsidRDefault="00DC1C00" w:rsidP="00DC1C00">
      <w:pPr>
        <w:pStyle w:val="ListBullet"/>
      </w:pPr>
      <w:r>
        <w:t>Living Learning staff have observed some positive outcomes for students including more proactive help-seeking behaviour, increased confidence and independence, and budding friendships and support networks among some students.</w:t>
      </w:r>
      <w:r w:rsidR="00C33938">
        <w:br w:type="page"/>
      </w:r>
    </w:p>
    <w:p w14:paraId="19DF27CC" w14:textId="49C717A3" w:rsidR="0068323B" w:rsidRDefault="0068323B" w:rsidP="0068323B">
      <w:pPr>
        <w:pStyle w:val="NormalBodyIntro"/>
      </w:pPr>
      <w:r w:rsidRPr="0068323B">
        <w:t xml:space="preserve">The Cohort 1 student profile is largely as expected with multiple mental health </w:t>
      </w:r>
      <w:proofErr w:type="gramStart"/>
      <w:r w:rsidRPr="0068323B">
        <w:t>diagnoses</w:t>
      </w:r>
      <w:proofErr w:type="gramEnd"/>
    </w:p>
    <w:p w14:paraId="00D5786B" w14:textId="6AAB40F9" w:rsidR="0068323B" w:rsidRPr="00C33938" w:rsidRDefault="00C33938" w:rsidP="00C33938">
      <w:r w:rsidRPr="00C33938">
        <w:t>Nearly two thirds (65%) of Living Learning young people were aged between 16-18 years at the time of enrolment in the program.  As shown in Figure 5 overleaf, anxiety and depression are prevalent in this cohort, with approximately two thirds of young people having this diagnosis (69% and 65% respectively). Among Cohort 1, 90 per cent of participants were born in Australia and six per cent of participants identified as Aboriginal, compared to one per cent of the general population from the intake area. Half of the participants identify as female (50%), 40 per cent as male and the remaining ten per cent identify as non-binary, trans or intersex. Among Cohort 1, six per cent of participants are parents.</w:t>
      </w:r>
    </w:p>
    <w:p w14:paraId="679D9EDC" w14:textId="51A69EF5" w:rsidR="008B48CF" w:rsidRDefault="008B48CF" w:rsidP="008B48CF">
      <w:pPr>
        <w:pStyle w:val="Caption"/>
      </w:pPr>
      <w:bookmarkStart w:id="60" w:name="_Ref95315755"/>
      <w:bookmarkStart w:id="61" w:name="_Toc97803386"/>
      <w:bookmarkStart w:id="62" w:name="_Toc144834312"/>
      <w:bookmarkStart w:id="63" w:name="_Toc144843286"/>
      <w:r>
        <w:t xml:space="preserve">Figure </w:t>
      </w:r>
      <w:r>
        <w:fldChar w:fldCharType="begin"/>
      </w:r>
      <w:r>
        <w:instrText xml:space="preserve"> SEQ Figure \* ARABIC </w:instrText>
      </w:r>
      <w:r>
        <w:fldChar w:fldCharType="separate"/>
      </w:r>
      <w:r w:rsidR="004A75C8">
        <w:rPr>
          <w:noProof/>
        </w:rPr>
        <w:t>5</w:t>
      </w:r>
      <w:r>
        <w:fldChar w:fldCharType="end"/>
      </w:r>
      <w:bookmarkEnd w:id="60"/>
      <w:r>
        <w:t xml:space="preserve"> Profile of Living Learning participants</w:t>
      </w:r>
      <w:bookmarkEnd w:id="61"/>
      <w:bookmarkEnd w:id="62"/>
      <w:bookmarkEnd w:id="63"/>
    </w:p>
    <w:p w14:paraId="7D15F52B" w14:textId="6D30B9F6" w:rsidR="00554F25" w:rsidRDefault="003E7234" w:rsidP="00D5186C">
      <w:pPr>
        <w:keepNext/>
        <w:jc w:val="center"/>
      </w:pPr>
      <w:r>
        <w:rPr>
          <w:noProof/>
          <w:sz w:val="16"/>
          <w:szCs w:val="16"/>
        </w:rPr>
        <w:drawing>
          <wp:inline distT="0" distB="0" distL="0" distR="0" wp14:anchorId="55EC08B5" wp14:editId="1154A502">
            <wp:extent cx="6083109" cy="3640823"/>
            <wp:effectExtent l="0" t="0" r="0" b="0"/>
            <wp:docPr id="94" name="Picture 94" descr="Figure 5 includes four graphs that show the gender distribution, age distribution, mental health diagnosis and living situation of Living Learning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Figure 5 includes four graphs that show the gender distribution, age distribution, mental health diagnosis and living situation of Living Learning participants."/>
                    <pic:cNvPicPr/>
                  </pic:nvPicPr>
                  <pic:blipFill rotWithShape="1">
                    <a:blip r:embed="rId48" cstate="print">
                      <a:extLst>
                        <a:ext uri="{28A0092B-C50C-407E-A947-70E740481C1C}">
                          <a14:useLocalDpi xmlns:a14="http://schemas.microsoft.com/office/drawing/2010/main" val="0"/>
                        </a:ext>
                      </a:extLst>
                    </a:blip>
                    <a:srcRect b="9034"/>
                    <a:stretch/>
                  </pic:blipFill>
                  <pic:spPr bwMode="auto">
                    <a:xfrm>
                      <a:off x="0" y="0"/>
                      <a:ext cx="6084000" cy="3641356"/>
                    </a:xfrm>
                    <a:prstGeom prst="rect">
                      <a:avLst/>
                    </a:prstGeom>
                    <a:ln>
                      <a:noFill/>
                    </a:ln>
                    <a:extLst>
                      <a:ext uri="{53640926-AAD7-44D8-BBD7-CCE9431645EC}">
                        <a14:shadowObscured xmlns:a14="http://schemas.microsoft.com/office/drawing/2010/main"/>
                      </a:ext>
                    </a:extLst>
                  </pic:spPr>
                </pic:pic>
              </a:graphicData>
            </a:graphic>
          </wp:inline>
        </w:drawing>
      </w:r>
    </w:p>
    <w:p w14:paraId="4E20F6CB" w14:textId="46D12CAF" w:rsidR="00C83454" w:rsidRDefault="00554F25" w:rsidP="007328A6">
      <w:pPr>
        <w:pStyle w:val="ImageSource"/>
      </w:pPr>
      <w:r>
        <w:t xml:space="preserve">Source: MCM </w:t>
      </w:r>
      <w:r w:rsidRPr="00501991">
        <w:t>Living Learning Report to Joint Working Group</w:t>
      </w:r>
      <w:r w:rsidR="00BA62CB">
        <w:t xml:space="preserve"> (</w:t>
      </w:r>
      <w:r w:rsidRPr="00501991">
        <w:t>2021</w:t>
      </w:r>
      <w:r w:rsidR="00BA62CB">
        <w:t>)</w:t>
      </w:r>
      <w:r w:rsidR="00C83454">
        <w:br w:type="page"/>
      </w:r>
    </w:p>
    <w:p w14:paraId="3EEEB085" w14:textId="7EE523E9" w:rsidR="00337B27" w:rsidRPr="00337B27" w:rsidRDefault="00337B27" w:rsidP="00337B27">
      <w:bookmarkStart w:id="64" w:name="_Ref95316216"/>
      <w:bookmarkStart w:id="65" w:name="_Toc97803387"/>
      <w:bookmarkStart w:id="66" w:name="_Toc144834313"/>
      <w:r w:rsidRPr="00337B27">
        <w:t xml:space="preserve">The majority of Cohort 1 live at home with family members (65%), 13 per cent live independently, while 17 per cent are living in out-of-home care (OOHC) or crisis accommodation. The distance students live from an HHA campus varies widely. Data collected by MCM shows that 94 per cent of program participants live in the western metropolitan local government areas of </w:t>
      </w:r>
      <w:proofErr w:type="spellStart"/>
      <w:r w:rsidRPr="00337B27">
        <w:t>Brimbank</w:t>
      </w:r>
      <w:proofErr w:type="spellEnd"/>
      <w:r w:rsidRPr="00337B27">
        <w:t xml:space="preserve">, Hobsons Bay, </w:t>
      </w:r>
      <w:proofErr w:type="gramStart"/>
      <w:r w:rsidRPr="00337B27">
        <w:t>Melton</w:t>
      </w:r>
      <w:proofErr w:type="gramEnd"/>
      <w:r w:rsidRPr="00337B27">
        <w:t xml:space="preserve"> and Wyndham, as shown in </w:t>
      </w:r>
      <w:r w:rsidR="00DC16E2">
        <w:fldChar w:fldCharType="begin"/>
      </w:r>
      <w:r w:rsidR="00DC16E2">
        <w:instrText xml:space="preserve"> REF _Ref144839870 \h </w:instrText>
      </w:r>
      <w:r w:rsidR="00DC16E2">
        <w:fldChar w:fldCharType="separate"/>
      </w:r>
      <w:r w:rsidR="00DC16E2">
        <w:t xml:space="preserve">Figure </w:t>
      </w:r>
      <w:r w:rsidR="00DC16E2">
        <w:rPr>
          <w:noProof/>
        </w:rPr>
        <w:t>6</w:t>
      </w:r>
      <w:r w:rsidR="00DC16E2">
        <w:fldChar w:fldCharType="end"/>
      </w:r>
      <w:r w:rsidRPr="00337B27">
        <w:t xml:space="preserve"> </w:t>
      </w:r>
      <w:r>
        <w:t>in the following</w:t>
      </w:r>
      <w:r w:rsidRPr="00337B27">
        <w:t>.</w:t>
      </w:r>
    </w:p>
    <w:p w14:paraId="4AEF5E52" w14:textId="58333114" w:rsidR="00593A6C" w:rsidRDefault="00593A6C" w:rsidP="00593A6C">
      <w:pPr>
        <w:pStyle w:val="Caption"/>
      </w:pPr>
      <w:bookmarkStart w:id="67" w:name="_Ref144839870"/>
      <w:bookmarkStart w:id="68" w:name="_Toc144843287"/>
      <w:r>
        <w:t xml:space="preserve">Figure </w:t>
      </w:r>
      <w:r>
        <w:fldChar w:fldCharType="begin"/>
      </w:r>
      <w:r>
        <w:instrText xml:space="preserve"> SEQ Figure \* ARABIC </w:instrText>
      </w:r>
      <w:r>
        <w:fldChar w:fldCharType="separate"/>
      </w:r>
      <w:r w:rsidR="004A75C8">
        <w:rPr>
          <w:noProof/>
        </w:rPr>
        <w:t>6</w:t>
      </w:r>
      <w:r>
        <w:fldChar w:fldCharType="end"/>
      </w:r>
      <w:bookmarkEnd w:id="64"/>
      <w:bookmarkEnd w:id="67"/>
      <w:r w:rsidRPr="00593A6C">
        <w:t xml:space="preserve"> </w:t>
      </w:r>
      <w:r w:rsidRPr="005304F9">
        <w:t>Distribution</w:t>
      </w:r>
      <w:r>
        <w:t xml:space="preserve"> </w:t>
      </w:r>
      <w:r w:rsidRPr="005304F9">
        <w:t>of L</w:t>
      </w:r>
      <w:r w:rsidR="00B62725">
        <w:t>iving Learning</w:t>
      </w:r>
      <w:r w:rsidRPr="005304F9">
        <w:t xml:space="preserve"> </w:t>
      </w:r>
      <w:r w:rsidR="00C83454">
        <w:t>c</w:t>
      </w:r>
      <w:r w:rsidR="002B3DCA">
        <w:t>ohort</w:t>
      </w:r>
      <w:r w:rsidRPr="005304F9">
        <w:t xml:space="preserve"> students</w:t>
      </w:r>
      <w:bookmarkEnd w:id="65"/>
      <w:bookmarkEnd w:id="66"/>
      <w:bookmarkEnd w:id="68"/>
    </w:p>
    <w:p w14:paraId="26F560AE" w14:textId="3F668882" w:rsidR="003F08C1" w:rsidRDefault="003F08C1" w:rsidP="00554F25">
      <w:pPr>
        <w:rPr>
          <w:sz w:val="18"/>
          <w:szCs w:val="18"/>
        </w:rPr>
      </w:pPr>
      <w:r w:rsidRPr="005A4D84">
        <w:rPr>
          <w:noProof/>
        </w:rPr>
        <w:drawing>
          <wp:inline distT="0" distB="0" distL="0" distR="0" wp14:anchorId="5B8FBC9D" wp14:editId="35E92256">
            <wp:extent cx="6120130" cy="3931920"/>
            <wp:effectExtent l="0" t="0" r="0" b="0"/>
            <wp:docPr id="90" name="Picture 90" descr="Figure 6 shows a map of Melbourne, with pinpoints showing the approximate home address of Living Learning cohort 1 participants in relation to the three HHA campuses.">
              <a:extLst xmlns:a="http://schemas.openxmlformats.org/drawingml/2006/main">
                <a:ext uri="{FF2B5EF4-FFF2-40B4-BE49-F238E27FC236}">
                  <a16:creationId xmlns:a16="http://schemas.microsoft.com/office/drawing/2014/main" id="{A29BA584-4B85-4FA3-90F9-F34421C05A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Figure 6 shows a map of Melbourne, with pinpoints showing the approximate home address of Living Learning cohort 1 participants in relation to the three HHA campuses.">
                      <a:extLst>
                        <a:ext uri="{FF2B5EF4-FFF2-40B4-BE49-F238E27FC236}">
                          <a16:creationId xmlns:a16="http://schemas.microsoft.com/office/drawing/2014/main" id="{A29BA584-4B85-4FA3-90F9-F34421C05A02}"/>
                        </a:ext>
                      </a:extLst>
                    </pic:cNvPr>
                    <pic:cNvPicPr>
                      <a:picLocks noChangeAspect="1"/>
                    </pic:cNvPicPr>
                  </pic:nvPicPr>
                  <pic:blipFill>
                    <a:blip r:embed="rId49"/>
                    <a:stretch>
                      <a:fillRect/>
                    </a:stretch>
                  </pic:blipFill>
                  <pic:spPr>
                    <a:xfrm>
                      <a:off x="0" y="0"/>
                      <a:ext cx="6120130" cy="3931920"/>
                    </a:xfrm>
                    <a:prstGeom prst="rect">
                      <a:avLst/>
                    </a:prstGeom>
                  </pic:spPr>
                </pic:pic>
              </a:graphicData>
            </a:graphic>
          </wp:inline>
        </w:drawing>
      </w:r>
    </w:p>
    <w:p w14:paraId="1FED9632" w14:textId="17A70E4B" w:rsidR="005F32B4" w:rsidRDefault="005F32B4" w:rsidP="00C03C65">
      <w:pPr>
        <w:pStyle w:val="ImageSource"/>
      </w:pPr>
      <w:r w:rsidRPr="00201EC7">
        <w:t xml:space="preserve">Source: </w:t>
      </w:r>
      <w:r>
        <w:t xml:space="preserve">MCM </w:t>
      </w:r>
      <w:r w:rsidRPr="00201EC7">
        <w:t>Living Learning Report to Joint Working Group</w:t>
      </w:r>
      <w:r w:rsidR="00C07227">
        <w:t xml:space="preserve"> (</w:t>
      </w:r>
      <w:r w:rsidRPr="00201EC7">
        <w:t>2021</w:t>
      </w:r>
      <w:r w:rsidR="00C07227">
        <w:t>)</w:t>
      </w:r>
    </w:p>
    <w:p w14:paraId="0A357D95" w14:textId="77777777" w:rsidR="00E6468B" w:rsidRDefault="00E6468B" w:rsidP="006763BB">
      <w:pPr>
        <w:pStyle w:val="NormalBodyIntro"/>
      </w:pPr>
      <w:r>
        <w:t xml:space="preserve">A significant proportion of Cohort 1 have complex </w:t>
      </w:r>
      <w:proofErr w:type="gramStart"/>
      <w:r>
        <w:t>needs</w:t>
      </w:r>
      <w:proofErr w:type="gramEnd"/>
      <w:r>
        <w:t xml:space="preserve"> </w:t>
      </w:r>
    </w:p>
    <w:p w14:paraId="00CBDD18" w14:textId="316E2826" w:rsidR="00E6468B" w:rsidRDefault="00E6468B" w:rsidP="00E6468B">
      <w:r>
        <w:t>Program data highlights many Living Learning participants have complex needs. For example, a large majority of Cohort 1 participants were assessed as having an ‘extensive’ NCCD level of adjustment, necessitating substantial adjustments to accommodate their disability and/or high support needs.</w:t>
      </w:r>
      <w:r w:rsidR="009D42B7">
        <w:rPr>
          <w:rStyle w:val="FootnoteReference"/>
        </w:rPr>
        <w:footnoteReference w:id="13"/>
      </w:r>
      <w:r>
        <w:t xml:space="preserve"> Further, four fifths of Cohort 1 participants (80%) had attended zero days of school in the three months prior to enrolment, while one fifth (19%) had not attended school in over two years. More than one quarter (27%) of Cohort 1 participants had some involvement with the criminal justice system.</w:t>
      </w:r>
      <w:r w:rsidR="009D42B7">
        <w:rPr>
          <w:rStyle w:val="FootnoteReference"/>
        </w:rPr>
        <w:footnoteReference w:id="14"/>
      </w:r>
      <w:r>
        <w:t xml:space="preserve"> </w:t>
      </w:r>
    </w:p>
    <w:p w14:paraId="27ED914D" w14:textId="73155B83" w:rsidR="002D6A31" w:rsidRDefault="00E6468B" w:rsidP="00E6468B">
      <w:r>
        <w:t>The high incidence of mental illness, intensive support needs, housing instability, engagement with the justice system, and school non-attendance is indicative of a cohort facing varied and complex barriers to successfully re-engaging in education.</w:t>
      </w:r>
      <w:r w:rsidR="002D6A31">
        <w:br w:type="page"/>
      </w:r>
    </w:p>
    <w:p w14:paraId="5FEBF78F" w14:textId="77777777" w:rsidR="00E6468B" w:rsidRDefault="00E6468B" w:rsidP="002D6A31">
      <w:pPr>
        <w:pStyle w:val="NormalBodyIntro"/>
      </w:pPr>
      <w:r>
        <w:t xml:space="preserve">Living Learning participants maintained a consistently higher level of attendance in 2021 compared to HHA </w:t>
      </w:r>
      <w:proofErr w:type="gramStart"/>
      <w:r>
        <w:t>students</w:t>
      </w:r>
      <w:proofErr w:type="gramEnd"/>
      <w:r>
        <w:t xml:space="preserve"> </w:t>
      </w:r>
    </w:p>
    <w:p w14:paraId="60CF2738" w14:textId="32925F20" w:rsidR="00E6468B" w:rsidRDefault="00E6468B" w:rsidP="00E6468B">
      <w:r>
        <w:t>While a small number of young people enrolled and then dropped out during the replacement period since Cohort 1 was confirmed in July 2021, there has been no attrition.</w:t>
      </w:r>
      <w:r w:rsidR="00596271">
        <w:rPr>
          <w:rStyle w:val="FootnoteReference"/>
        </w:rPr>
        <w:footnoteReference w:id="15"/>
      </w:r>
    </w:p>
    <w:p w14:paraId="2285C4EF" w14:textId="0620697D" w:rsidR="00E6468B" w:rsidRPr="00E6468B" w:rsidRDefault="00E6468B" w:rsidP="00E6468B">
      <w:r>
        <w:t xml:space="preserve">As shown in Figure 7 below, attendance of students across all HHA campuses showed a downward trend from Term 2 to Term 4, which is likely attributable to the COVID-19 pandemic, associated </w:t>
      </w:r>
      <w:proofErr w:type="gramStart"/>
      <w:r>
        <w:t>lockdowns</w:t>
      </w:r>
      <w:proofErr w:type="gramEnd"/>
      <w:r>
        <w:t xml:space="preserve"> and remote learning. However, compared to the rest of HHA’s student population, Living Learning participants maintained a higher level of attendance throughout 2021, though there was a declining trend in Term 3 and 4. Among Living Learning participants, attendance at the Sunshine campus was higher, compared to the city and Prahran campuses, over Term 1 and 2. This may be attributable to the larger number of students and greater social connections at the Sunshine campus, in addition to trauma-informed design and layout of the campus.</w:t>
      </w:r>
    </w:p>
    <w:p w14:paraId="399C45AD" w14:textId="2378C73F" w:rsidR="0045724D" w:rsidRDefault="00FD67D0" w:rsidP="0039756F">
      <w:pPr>
        <w:pStyle w:val="Caption"/>
      </w:pPr>
      <w:bookmarkStart w:id="69" w:name="_Ref95315713"/>
      <w:bookmarkStart w:id="70" w:name="_Toc97803388"/>
      <w:bookmarkStart w:id="71" w:name="_Toc144834314"/>
      <w:bookmarkStart w:id="72" w:name="_Toc144843288"/>
      <w:r>
        <w:t>Figure</w:t>
      </w:r>
      <w:r w:rsidR="002E1406">
        <w:t xml:space="preserve"> </w:t>
      </w:r>
      <w:r w:rsidR="008B48CF">
        <w:fldChar w:fldCharType="begin"/>
      </w:r>
      <w:r w:rsidR="008B48CF">
        <w:instrText xml:space="preserve"> SEQ Figure \* ARABIC </w:instrText>
      </w:r>
      <w:r w:rsidR="008B48CF">
        <w:fldChar w:fldCharType="separate"/>
      </w:r>
      <w:r w:rsidR="004A75C8">
        <w:rPr>
          <w:noProof/>
        </w:rPr>
        <w:t>7</w:t>
      </w:r>
      <w:r w:rsidR="008B48CF">
        <w:fldChar w:fldCharType="end"/>
      </w:r>
      <w:bookmarkEnd w:id="69"/>
      <w:r w:rsidR="002E1406" w:rsidRPr="008B48CF">
        <w:t xml:space="preserve"> </w:t>
      </w:r>
      <w:r w:rsidR="002E1406" w:rsidRPr="00FD67D0">
        <w:t xml:space="preserve">Living Learning </w:t>
      </w:r>
      <w:r w:rsidRPr="00FD67D0">
        <w:t>and HHA</w:t>
      </w:r>
      <w:r w:rsidR="002E1406" w:rsidRPr="00FD67D0">
        <w:t xml:space="preserve"> </w:t>
      </w:r>
      <w:r w:rsidR="00CA397D" w:rsidRPr="00FD67D0">
        <w:t>attendance</w:t>
      </w:r>
      <w:r w:rsidR="00CA397D">
        <w:t xml:space="preserve"> </w:t>
      </w:r>
      <w:r w:rsidR="00583C76">
        <w:t xml:space="preserve">(%) </w:t>
      </w:r>
      <w:r w:rsidRPr="00FD67D0">
        <w:t xml:space="preserve">by term, </w:t>
      </w:r>
      <w:proofErr w:type="gramStart"/>
      <w:r w:rsidRPr="00FD67D0">
        <w:t>2021</w:t>
      </w:r>
      <w:bookmarkEnd w:id="70"/>
      <w:bookmarkEnd w:id="71"/>
      <w:bookmarkEnd w:id="72"/>
      <w:proofErr w:type="gramEnd"/>
    </w:p>
    <w:p w14:paraId="02FF5F2C" w14:textId="586BF31F" w:rsidR="001868A1" w:rsidRPr="001868A1" w:rsidRDefault="001868A1" w:rsidP="00507E9C">
      <w:pPr>
        <w:spacing w:before="160"/>
      </w:pPr>
      <w:r w:rsidRPr="001868A1">
        <w:rPr>
          <w:noProof/>
        </w:rPr>
        <w:drawing>
          <wp:inline distT="0" distB="0" distL="0" distR="0" wp14:anchorId="405ADA7B" wp14:editId="7E3736B9">
            <wp:extent cx="6120130" cy="2927350"/>
            <wp:effectExtent l="0" t="0" r="0" b="6350"/>
            <wp:docPr id="2023557572" name="Picture 2023557572" descr="Figure 7 is a chart showing the attendance of Living Learning participants throughout 2021, in relation to the attendance of other HHA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57572" name="Picture 1" descr="Figure 7 is a chart showing the attendance of Living Learning participants throughout 2021, in relation to the attendance of other HHA students."/>
                    <pic:cNvPicPr/>
                  </pic:nvPicPr>
                  <pic:blipFill>
                    <a:blip r:embed="rId50"/>
                    <a:stretch>
                      <a:fillRect/>
                    </a:stretch>
                  </pic:blipFill>
                  <pic:spPr>
                    <a:xfrm>
                      <a:off x="0" y="0"/>
                      <a:ext cx="6120130" cy="2927350"/>
                    </a:xfrm>
                    <a:prstGeom prst="rect">
                      <a:avLst/>
                    </a:prstGeom>
                  </pic:spPr>
                </pic:pic>
              </a:graphicData>
            </a:graphic>
          </wp:inline>
        </w:drawing>
      </w:r>
    </w:p>
    <w:p w14:paraId="2641ADDA" w14:textId="3EC9F7A5" w:rsidR="004C4355" w:rsidRPr="004C4355" w:rsidRDefault="004C4355" w:rsidP="00B45072">
      <w:pPr>
        <w:pStyle w:val="ImageSource"/>
        <w:spacing w:after="0"/>
      </w:pPr>
      <w:r w:rsidRPr="004C4355">
        <w:t>Base n=</w:t>
      </w:r>
      <w:r w:rsidR="00006DFA">
        <w:t>47 (</w:t>
      </w:r>
      <w:r w:rsidR="000431C3">
        <w:t xml:space="preserve">Living Learning </w:t>
      </w:r>
      <w:r w:rsidR="00006DFA">
        <w:t>participants)</w:t>
      </w:r>
      <w:r w:rsidR="00860146">
        <w:t xml:space="preserve"> </w:t>
      </w:r>
      <w:r w:rsidR="00406583">
        <w:t xml:space="preserve">n=69 </w:t>
      </w:r>
      <w:r w:rsidR="00DF2B25">
        <w:t xml:space="preserve">(HHA student population) </w:t>
      </w:r>
    </w:p>
    <w:p w14:paraId="5E6A5ACC" w14:textId="6F38F4DD" w:rsidR="00060F52" w:rsidRPr="001228F1" w:rsidRDefault="00060F52" w:rsidP="00B45072">
      <w:pPr>
        <w:pStyle w:val="ImageSource"/>
        <w:spacing w:after="0"/>
      </w:pPr>
      <w:r w:rsidRPr="001228F1">
        <w:t>Source: MCM attendance data</w:t>
      </w:r>
      <w:r w:rsidR="001228F1">
        <w:t xml:space="preserve">, January 2022 </w:t>
      </w:r>
    </w:p>
    <w:p w14:paraId="3A46AA34" w14:textId="16E4837D" w:rsidR="00C83454" w:rsidRDefault="00960BFC" w:rsidP="0039756F">
      <w:pPr>
        <w:pStyle w:val="ImageSource"/>
      </w:pPr>
      <w:r w:rsidRPr="00272541">
        <w:t xml:space="preserve">Note: </w:t>
      </w:r>
      <w:r w:rsidR="00E247FC" w:rsidRPr="00272541">
        <w:t xml:space="preserve">The number of days onsite varies across classes. Attendance figures are </w:t>
      </w:r>
      <w:r w:rsidR="00EA14B9" w:rsidRPr="00272541">
        <w:t>adjusted and benchmarked</w:t>
      </w:r>
      <w:r w:rsidR="008E0EED">
        <w:t xml:space="preserve"> </w:t>
      </w:r>
      <w:r w:rsidR="002B76DF" w:rsidRPr="002B76DF">
        <w:t>against all expected attendance days for each class</w:t>
      </w:r>
      <w:r w:rsidR="009E2BF5">
        <w:t xml:space="preserve">. </w:t>
      </w:r>
      <w:r w:rsidR="00C83454">
        <w:br w:type="page"/>
      </w:r>
    </w:p>
    <w:p w14:paraId="77B47B9A" w14:textId="77777777" w:rsidR="00966EEB" w:rsidRDefault="00966EEB" w:rsidP="00966EEB">
      <w:r>
        <w:t xml:space="preserve">Living Learning staff reflected that a range of factors related to COVID-19 and lockdowns contributed to a decline in attendance throughout the year. As described in Section 1.2, face-to-face engagement is a core part of the Living Learning model, and, not surprisingly, the inability to provide outreach support and engagement had a significant impact on young people feeling connected to the program and to school. Long periods of remote learning meant young people faced challenges in building or maintaining relationships with their peers and classmates. Some young people reportedly experienced challenges accessing a safe and appropriate space to learn online, while others felt uncomfortable and awkward being in an online forum. </w:t>
      </w:r>
    </w:p>
    <w:p w14:paraId="61F6C17F" w14:textId="77777777" w:rsidR="00966EEB" w:rsidRDefault="00966EEB" w:rsidP="00966EEB">
      <w:r>
        <w:t>While onsite learning was available in Term 4, the return to school proved a difficult transition for many students. Long lockdowns resulted in many young people losing their regular daily routines, so the return to school was a challenge. Staff reflected that the increased travel time and adjustment in sleeping hours were particularly challenging for students. It was noted that students showed significantly less stamina and a lack of motivation in Term 4 with summer holidays approaching. Staff also reported some young people (and their families) experienced significant fears around their health when it was time to return to school.</w:t>
      </w:r>
    </w:p>
    <w:p w14:paraId="526A1D65" w14:textId="77777777" w:rsidR="00966EEB" w:rsidRDefault="00966EEB" w:rsidP="00D33EAE">
      <w:pPr>
        <w:pStyle w:val="NormalBodyIntro"/>
      </w:pPr>
      <w:r>
        <w:t xml:space="preserve">Literacy and numeracy results show some improvements over the first year of the </w:t>
      </w:r>
      <w:proofErr w:type="gramStart"/>
      <w:r>
        <w:t>program</w:t>
      </w:r>
      <w:proofErr w:type="gramEnd"/>
      <w:r>
        <w:t xml:space="preserve"> </w:t>
      </w:r>
    </w:p>
    <w:p w14:paraId="4E7E40C6" w14:textId="610C2BFD" w:rsidR="00966EEB" w:rsidRDefault="00966EEB" w:rsidP="00966EEB">
      <w:r>
        <w:t>Changes in the literacy and numeracy skills of Living Learning participants is being measured using the Basic Key Skills Builder (BKSB) assessment, which is conducted online twice a year. At HHA, the aim is to bring students up to level 3 BKSB</w:t>
      </w:r>
      <w:r w:rsidR="00406E6A">
        <w:rPr>
          <w:rStyle w:val="FootnoteReference"/>
        </w:rPr>
        <w:footnoteReference w:id="16"/>
      </w:r>
      <w:r>
        <w:t xml:space="preserve"> by the end of their time at HHA and/or in the Living Learning Program. Results from BKSB assessments for students who completed it in both Term 1 and Term 4 of 2021 show that: </w:t>
      </w:r>
    </w:p>
    <w:p w14:paraId="5DC99E9C" w14:textId="77777777" w:rsidR="00966EEB" w:rsidRDefault="00966EEB" w:rsidP="0046288D">
      <w:pPr>
        <w:pStyle w:val="ListBullet"/>
      </w:pPr>
      <w:r>
        <w:t xml:space="preserve">27 per cent of Living Learning participants who completed both numeracy assessments (n=15) have increased their BKSB level </w:t>
      </w:r>
    </w:p>
    <w:p w14:paraId="642D7CB1" w14:textId="77777777" w:rsidR="00966EEB" w:rsidRDefault="00966EEB" w:rsidP="0046288D">
      <w:pPr>
        <w:pStyle w:val="ListBullet"/>
      </w:pPr>
      <w:r>
        <w:t>17 per cent of Living Learning participants who completed both English assessments (n=12) have increased their BKSB level.</w:t>
      </w:r>
    </w:p>
    <w:p w14:paraId="0D0355DF" w14:textId="77777777" w:rsidR="00966EEB" w:rsidRDefault="00966EEB" w:rsidP="00966EEB">
      <w:r>
        <w:t>It is important to note a large range for improvement within one BKSB level, meaning many more students may have increased their skills, yet retained the same BKSB level. Staff reported that COVID-19 had a significant impact on the program’s ability to accurately track literacy and numeracy throughout the year. For the second BKSB assessment in Term 4, data was collected for 15 of the 48 students. This was attributed to lower student attendance and engagement. In 2022, the first BKSB assessment is scheduled for Term 1, week 5 and aims to address this lack of data.</w:t>
      </w:r>
    </w:p>
    <w:p w14:paraId="5402124B" w14:textId="77777777" w:rsidR="00966EEB" w:rsidRDefault="00966EEB" w:rsidP="00966EEB">
      <w:r>
        <w:t xml:space="preserve">While Living Learning participants were engaged in remote learning, the focus for program staff was primarily on engagement and the important task of keeping young people connected to HHA during the lockdown period. While overall, Living Learning staff are pleased with how the program provided literacy and numeracy support in 2021, staff reflected the tutorial program did not have the intended impact. Low attendance and limited engagement in the tutorial program were identified as the main reasons for the lack of success. Staff reflected that a combination of factors contributed to low attendance including a lack of wellbeing support in the classroom, the pressure of introducing students to multiple staff members (tutorials not run by their regular class teams), the significant disruption of multiple lockdowns, and a lack of routine. </w:t>
      </w:r>
    </w:p>
    <w:p w14:paraId="6E84AF9E" w14:textId="77777777" w:rsidR="00966EEB" w:rsidRDefault="00966EEB" w:rsidP="00134563">
      <w:pPr>
        <w:pStyle w:val="NormalBodyIntro"/>
      </w:pPr>
      <w:r>
        <w:t xml:space="preserve">There is early evidence that Living Learning students feel supported by staff and the school environment to access mental and physical health </w:t>
      </w:r>
      <w:proofErr w:type="gramStart"/>
      <w:r>
        <w:t>supports</w:t>
      </w:r>
      <w:proofErr w:type="gramEnd"/>
      <w:r>
        <w:t xml:space="preserve"> </w:t>
      </w:r>
    </w:p>
    <w:p w14:paraId="73524192" w14:textId="77777777" w:rsidR="00966EEB" w:rsidRDefault="00966EEB" w:rsidP="00966EEB">
      <w:r>
        <w:t>Results from the Student Outcomes Survey conducted in Term 2 and Term 4 of 2021 show some emerging positive outcomes. The program has delivered consistent results in its first year of operating including:</w:t>
      </w:r>
    </w:p>
    <w:p w14:paraId="69945870" w14:textId="77777777" w:rsidR="00966EEB" w:rsidRDefault="00966EEB" w:rsidP="001E0751">
      <w:pPr>
        <w:pStyle w:val="ListBullet"/>
      </w:pPr>
      <w:r>
        <w:t>almost all Living Learning participants (100% in Term 2, 97% in Term 4) reported they believed Living Learning staff were ‘on their side’ (n=31)</w:t>
      </w:r>
    </w:p>
    <w:p w14:paraId="1675C8D1" w14:textId="2C86B2E7" w:rsidR="00966EEB" w:rsidRDefault="00966EEB" w:rsidP="001E0751">
      <w:pPr>
        <w:pStyle w:val="ListBullet"/>
      </w:pPr>
      <w:r>
        <w:t>more than four in five (87% in Term 2 and 4) of Living Learning participants reported they were satisfied with the mental health support provided at school (n=31).</w:t>
      </w:r>
    </w:p>
    <w:p w14:paraId="472BE014" w14:textId="28C902EA" w:rsidR="001E0751" w:rsidRPr="001E0751" w:rsidRDefault="001E0751" w:rsidP="001E0751">
      <w:r w:rsidRPr="001E0751">
        <w:t>As shown in Figure 8 in the following, results from the Student Outcomes Survey indicate significant improvements from Term 2 to Term 4 in terms of students’ physical health, ability to make friends, staff confidants, and access to appropriate supports.</w:t>
      </w:r>
    </w:p>
    <w:p w14:paraId="2E953360" w14:textId="3672D626" w:rsidR="00F84C84" w:rsidRDefault="00F84C84" w:rsidP="00F84C84">
      <w:pPr>
        <w:pStyle w:val="Caption"/>
      </w:pPr>
      <w:bookmarkStart w:id="73" w:name="_Ref95376803"/>
      <w:bookmarkStart w:id="74" w:name="_Toc97803389"/>
      <w:bookmarkStart w:id="75" w:name="_Toc144834315"/>
      <w:bookmarkStart w:id="76" w:name="_Toc144843289"/>
      <w:r>
        <w:t xml:space="preserve">Figure </w:t>
      </w:r>
      <w:r>
        <w:fldChar w:fldCharType="begin"/>
      </w:r>
      <w:r>
        <w:instrText xml:space="preserve"> SEQ Figure \* ARABIC </w:instrText>
      </w:r>
      <w:r>
        <w:fldChar w:fldCharType="separate"/>
      </w:r>
      <w:r w:rsidR="004A75C8">
        <w:rPr>
          <w:noProof/>
        </w:rPr>
        <w:t>8</w:t>
      </w:r>
      <w:r>
        <w:fldChar w:fldCharType="end"/>
      </w:r>
      <w:bookmarkEnd w:id="73"/>
      <w:r>
        <w:t xml:space="preserve"> </w:t>
      </w:r>
      <w:r w:rsidRPr="007B3474">
        <w:t>Living Learning Student Outcomes Survey</w:t>
      </w:r>
      <w:r>
        <w:t xml:space="preserve"> areas of positive improvement in </w:t>
      </w:r>
      <w:proofErr w:type="gramStart"/>
      <w:r>
        <w:t>2021</w:t>
      </w:r>
      <w:bookmarkEnd w:id="74"/>
      <w:bookmarkEnd w:id="75"/>
      <w:bookmarkEnd w:id="76"/>
      <w:proofErr w:type="gramEnd"/>
    </w:p>
    <w:p w14:paraId="56A6A1AD" w14:textId="3A8E3020" w:rsidR="007832B2" w:rsidRPr="007832B2" w:rsidRDefault="007832B2" w:rsidP="007832B2">
      <w:r w:rsidRPr="007832B2">
        <w:rPr>
          <w:noProof/>
        </w:rPr>
        <w:drawing>
          <wp:inline distT="0" distB="0" distL="0" distR="0" wp14:anchorId="7BD90799" wp14:editId="2BF5755E">
            <wp:extent cx="6120130" cy="3199342"/>
            <wp:effectExtent l="0" t="0" r="0" b="1270"/>
            <wp:docPr id="1376642747" name="Picture 1376642747" descr="Figure 8 is a chart showing areas in which Living Learning participants reported positive change between Term 2 and Term 4,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42747" name="Picture 1" descr="Figure 8 is a chart showing areas in which Living Learning participants reported positive change between Term 2 and Term 4, 2021."/>
                    <pic:cNvPicPr/>
                  </pic:nvPicPr>
                  <pic:blipFill rotWithShape="1">
                    <a:blip r:embed="rId51"/>
                    <a:srcRect t="2074"/>
                    <a:stretch/>
                  </pic:blipFill>
                  <pic:spPr bwMode="auto">
                    <a:xfrm>
                      <a:off x="0" y="0"/>
                      <a:ext cx="6120130" cy="3199342"/>
                    </a:xfrm>
                    <a:prstGeom prst="rect">
                      <a:avLst/>
                    </a:prstGeom>
                    <a:ln>
                      <a:noFill/>
                    </a:ln>
                    <a:extLst>
                      <a:ext uri="{53640926-AAD7-44D8-BBD7-CCE9431645EC}">
                        <a14:shadowObscured xmlns:a14="http://schemas.microsoft.com/office/drawing/2010/main"/>
                      </a:ext>
                    </a:extLst>
                  </pic:spPr>
                </pic:pic>
              </a:graphicData>
            </a:graphic>
          </wp:inline>
        </w:drawing>
      </w:r>
    </w:p>
    <w:p w14:paraId="5431E91F" w14:textId="01F1E2C5" w:rsidR="000652D6" w:rsidRDefault="00F84C84" w:rsidP="00F360A4">
      <w:pPr>
        <w:pStyle w:val="ImageSource"/>
        <w:spacing w:after="0"/>
      </w:pPr>
      <w:bookmarkStart w:id="77" w:name="_Hlk95377354"/>
      <w:r>
        <w:t>Base n=31</w:t>
      </w:r>
    </w:p>
    <w:p w14:paraId="543BB9CF" w14:textId="56871D1E" w:rsidR="00F84C84" w:rsidRDefault="000652D6" w:rsidP="00F360A4">
      <w:pPr>
        <w:pStyle w:val="ImageSource"/>
        <w:spacing w:after="0"/>
      </w:pPr>
      <w:r>
        <w:t>Note: D</w:t>
      </w:r>
      <w:r w:rsidR="00A82EE8">
        <w:t xml:space="preserve">ata is presented for the same students in Terms </w:t>
      </w:r>
      <w:r w:rsidR="002043AC">
        <w:t xml:space="preserve">2 and 4 </w:t>
      </w:r>
    </w:p>
    <w:p w14:paraId="60A43368" w14:textId="77777777" w:rsidR="00A90348" w:rsidRDefault="008A49CB" w:rsidP="00F360A4">
      <w:pPr>
        <w:pStyle w:val="ImageSource"/>
      </w:pPr>
      <w:r w:rsidRPr="001972E5">
        <w:t xml:space="preserve">Source: Living Learning Student Outcomes Survey, provided by Living Learning Data Analyst </w:t>
      </w:r>
      <w:r w:rsidR="000652D6">
        <w:t>(</w:t>
      </w:r>
      <w:r w:rsidRPr="001972E5">
        <w:t>2022</w:t>
      </w:r>
      <w:r w:rsidR="000652D6">
        <w:t>)</w:t>
      </w:r>
      <w:bookmarkEnd w:id="77"/>
    </w:p>
    <w:p w14:paraId="644D665B" w14:textId="77777777" w:rsidR="00A90348" w:rsidRDefault="00A90348" w:rsidP="00A90348">
      <w:r w:rsidRPr="00A90348">
        <w:t xml:space="preserve">There were </w:t>
      </w:r>
      <w:proofErr w:type="gramStart"/>
      <w:r w:rsidRPr="00A90348">
        <w:t>a number of</w:t>
      </w:r>
      <w:proofErr w:type="gramEnd"/>
      <w:r w:rsidRPr="00A90348">
        <w:t xml:space="preserve"> student outcome areas that trended downward from Term 2 to Term 4. As shown in Figure 9 below, a comparison of Term 2 and Term 4 responses showed a decline in school attendance in Terms 3 and 4, consistent with program attendance data. There was also a decline in enthusiasm for attending school and in class agency. As discussed above, Living Learning staff reported COVID-19 lockdowns and the disruption to face-to-face engagement had a significant impact on participant experience.  </w:t>
      </w:r>
    </w:p>
    <w:p w14:paraId="1E8CED1D" w14:textId="77777777" w:rsidR="00A90348" w:rsidRDefault="001E5989" w:rsidP="00A90348">
      <w:pPr>
        <w:pStyle w:val="Caption"/>
      </w:pPr>
      <w:bookmarkStart w:id="78" w:name="_Ref95377155"/>
      <w:bookmarkStart w:id="79" w:name="_Toc97803390"/>
      <w:bookmarkStart w:id="80" w:name="_Toc144834316"/>
      <w:bookmarkStart w:id="81" w:name="_Toc144843290"/>
      <w:r>
        <w:t xml:space="preserve">Figure </w:t>
      </w:r>
      <w:r>
        <w:fldChar w:fldCharType="begin"/>
      </w:r>
      <w:r>
        <w:instrText xml:space="preserve"> SEQ Figure \* ARABIC </w:instrText>
      </w:r>
      <w:r>
        <w:fldChar w:fldCharType="separate"/>
      </w:r>
      <w:r w:rsidR="004A75C8">
        <w:rPr>
          <w:noProof/>
        </w:rPr>
        <w:t>9</w:t>
      </w:r>
      <w:r>
        <w:fldChar w:fldCharType="end"/>
      </w:r>
      <w:bookmarkEnd w:id="78"/>
      <w:r>
        <w:t xml:space="preserve"> </w:t>
      </w:r>
      <w:r w:rsidRPr="007B3474">
        <w:t>Living Learning Student Outcomes Survey</w:t>
      </w:r>
      <w:r>
        <w:t xml:space="preserve"> areas of decline </w:t>
      </w:r>
      <w:proofErr w:type="gramStart"/>
      <w:r>
        <w:t>2021</w:t>
      </w:r>
      <w:bookmarkEnd w:id="79"/>
      <w:bookmarkEnd w:id="80"/>
      <w:bookmarkEnd w:id="81"/>
      <w:proofErr w:type="gramEnd"/>
    </w:p>
    <w:p w14:paraId="621033C5" w14:textId="6DCB7856" w:rsidR="001E5989" w:rsidRDefault="008831C6" w:rsidP="008831C6">
      <w:r w:rsidRPr="008831C6">
        <w:rPr>
          <w:noProof/>
        </w:rPr>
        <w:drawing>
          <wp:inline distT="0" distB="0" distL="0" distR="0" wp14:anchorId="31D470F5" wp14:editId="6A805830">
            <wp:extent cx="6120130" cy="2528358"/>
            <wp:effectExtent l="0" t="0" r="0" b="5715"/>
            <wp:docPr id="5764969" name="Picture 5764969" descr="Figure 9 is a chart showing areas in which Living Learning participants reported negative change between Term 2 and Term 4,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4969" name="Picture 1" descr="Figure 9 is a chart showing areas in which Living Learning participants reported negative change between Term 2 and Term 4, 2021."/>
                    <pic:cNvPicPr/>
                  </pic:nvPicPr>
                  <pic:blipFill rotWithShape="1">
                    <a:blip r:embed="rId52"/>
                    <a:srcRect t="4631"/>
                    <a:stretch/>
                  </pic:blipFill>
                  <pic:spPr bwMode="auto">
                    <a:xfrm>
                      <a:off x="0" y="0"/>
                      <a:ext cx="6120130" cy="2528358"/>
                    </a:xfrm>
                    <a:prstGeom prst="rect">
                      <a:avLst/>
                    </a:prstGeom>
                    <a:ln>
                      <a:noFill/>
                    </a:ln>
                    <a:extLst>
                      <a:ext uri="{53640926-AAD7-44D8-BBD7-CCE9431645EC}">
                        <a14:shadowObscured xmlns:a14="http://schemas.microsoft.com/office/drawing/2010/main"/>
                      </a:ext>
                    </a:extLst>
                  </pic:spPr>
                </pic:pic>
              </a:graphicData>
            </a:graphic>
          </wp:inline>
        </w:drawing>
      </w:r>
      <w:r w:rsidR="001E5989">
        <w:t xml:space="preserve"> </w:t>
      </w:r>
    </w:p>
    <w:p w14:paraId="4672C36B" w14:textId="01F1E2C5" w:rsidR="000652D6" w:rsidRDefault="000652D6" w:rsidP="006E56C9">
      <w:pPr>
        <w:pStyle w:val="ImageSource"/>
        <w:spacing w:after="0"/>
      </w:pPr>
      <w:r>
        <w:t>Base n=31</w:t>
      </w:r>
    </w:p>
    <w:p w14:paraId="1466F778" w14:textId="01F1E2C5" w:rsidR="000652D6" w:rsidRDefault="000652D6" w:rsidP="006E56C9">
      <w:pPr>
        <w:pStyle w:val="ImageSource"/>
        <w:spacing w:after="0"/>
      </w:pPr>
      <w:r>
        <w:t xml:space="preserve">Note: Data is presented for the same students in Terms 2 and 4 </w:t>
      </w:r>
    </w:p>
    <w:p w14:paraId="11A606C3" w14:textId="77777777" w:rsidR="009A7EE6" w:rsidRDefault="000652D6" w:rsidP="006E56C9">
      <w:pPr>
        <w:pStyle w:val="ImageSource"/>
      </w:pPr>
      <w:r w:rsidRPr="001972E5">
        <w:t xml:space="preserve">Source: Living Learning Student Outcomes Survey, provided by Living Learning Data Analyst </w:t>
      </w:r>
      <w:r>
        <w:t>(</w:t>
      </w:r>
      <w:r w:rsidRPr="001972E5">
        <w:t>2022</w:t>
      </w:r>
      <w:r>
        <w:t>)</w:t>
      </w:r>
    </w:p>
    <w:p w14:paraId="0547C84A" w14:textId="77777777" w:rsidR="009A7EE6" w:rsidRDefault="009A7EE6" w:rsidP="009A7EE6">
      <w:pPr>
        <w:pStyle w:val="NormalBodyIntro"/>
      </w:pPr>
      <w:bookmarkStart w:id="82" w:name="_Ref95484407"/>
      <w:bookmarkStart w:id="83" w:name="_Toc97803391"/>
      <w:bookmarkStart w:id="84" w:name="_Toc144834317"/>
      <w:r>
        <w:t xml:space="preserve">Living Learning participants are generally more positive about their school experience than their HHA-only </w:t>
      </w:r>
      <w:proofErr w:type="gramStart"/>
      <w:r>
        <w:t>peers</w:t>
      </w:r>
      <w:proofErr w:type="gramEnd"/>
    </w:p>
    <w:p w14:paraId="0D9396D0" w14:textId="2DDB725C" w:rsidR="009A7EE6" w:rsidRPr="009A7EE6" w:rsidRDefault="009A7EE6" w:rsidP="009A7EE6">
      <w:r>
        <w:t>The responses by Living Learning participants in the end of year HHA Student Satisfaction Survey 2021 indicate a more positive experience among Cohort 1 participants, compared to HHA-only students. For example, as shown in Figure 10 below, Living Learning participants were more likely to report they understood the topics in class and felt their teacher provided useful feedback, compared to other HHA students. Living Learning participants also reported significantly higher levels of motivation and happiness in school.</w:t>
      </w:r>
    </w:p>
    <w:p w14:paraId="5994A8B1" w14:textId="34892D17" w:rsidR="00DF54CB" w:rsidRDefault="000652D6" w:rsidP="00D024D3">
      <w:pPr>
        <w:pStyle w:val="Caption"/>
        <w:tabs>
          <w:tab w:val="left" w:pos="4111"/>
        </w:tabs>
      </w:pPr>
      <w:bookmarkStart w:id="85" w:name="_Toc144843291"/>
      <w:r>
        <w:t xml:space="preserve">Figure </w:t>
      </w:r>
      <w:r>
        <w:fldChar w:fldCharType="begin"/>
      </w:r>
      <w:r>
        <w:instrText xml:space="preserve"> SEQ Figure \* ARABIC </w:instrText>
      </w:r>
      <w:r>
        <w:fldChar w:fldCharType="separate"/>
      </w:r>
      <w:r w:rsidR="004A75C8">
        <w:rPr>
          <w:noProof/>
        </w:rPr>
        <w:t>10</w:t>
      </w:r>
      <w:r>
        <w:fldChar w:fldCharType="end"/>
      </w:r>
      <w:bookmarkEnd w:id="82"/>
      <w:r w:rsidR="00975573">
        <w:t xml:space="preserve"> </w:t>
      </w:r>
      <w:r w:rsidR="00975573" w:rsidRPr="00887765">
        <w:t xml:space="preserve">Living Learning </w:t>
      </w:r>
      <w:r w:rsidR="00975573">
        <w:t xml:space="preserve">participants </w:t>
      </w:r>
      <w:r w:rsidR="00975573" w:rsidRPr="00887765">
        <w:t>and HHA student responses to the Student Satisfaction Survey 2021</w:t>
      </w:r>
      <w:bookmarkEnd w:id="83"/>
      <w:bookmarkEnd w:id="84"/>
      <w:bookmarkEnd w:id="85"/>
    </w:p>
    <w:p w14:paraId="4B693BF0" w14:textId="4204A2D4" w:rsidR="00F373AD" w:rsidRPr="00F373AD" w:rsidRDefault="00F373AD" w:rsidP="00F373AD">
      <w:r w:rsidRPr="00F373AD">
        <w:rPr>
          <w:noProof/>
        </w:rPr>
        <w:drawing>
          <wp:inline distT="0" distB="0" distL="0" distR="0" wp14:anchorId="46E76560" wp14:editId="5DEE9F76">
            <wp:extent cx="6120130" cy="2994025"/>
            <wp:effectExtent l="0" t="0" r="0" b="0"/>
            <wp:docPr id="1840803224" name="Picture 1840803224" descr="Figure 10 is a chart showing the attitudes of Living Learning participants as at the end of 2021, in relation to the attitudes of other HHA students. The chart shows Living Learning participants felt more positively towards H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03224" name="Picture 1" descr="Figure 10 is a chart showing the attitudes of Living Learning participants as at the end of 2021, in relation to the attitudes of other HHA students. The chart shows Living Learning participants felt more positively towards HHA."/>
                    <pic:cNvPicPr/>
                  </pic:nvPicPr>
                  <pic:blipFill>
                    <a:blip r:embed="rId53"/>
                    <a:stretch>
                      <a:fillRect/>
                    </a:stretch>
                  </pic:blipFill>
                  <pic:spPr>
                    <a:xfrm>
                      <a:off x="0" y="0"/>
                      <a:ext cx="6120130" cy="2994025"/>
                    </a:xfrm>
                    <a:prstGeom prst="rect">
                      <a:avLst/>
                    </a:prstGeom>
                  </pic:spPr>
                </pic:pic>
              </a:graphicData>
            </a:graphic>
          </wp:inline>
        </w:drawing>
      </w:r>
    </w:p>
    <w:p w14:paraId="7ED66D8E" w14:textId="24535897" w:rsidR="00E760AC" w:rsidRDefault="00E760AC" w:rsidP="006E56C9">
      <w:pPr>
        <w:pStyle w:val="ImageSource"/>
        <w:spacing w:after="0"/>
      </w:pPr>
      <w:r>
        <w:t xml:space="preserve">Base n=24 (Living Learning participants) </w:t>
      </w:r>
      <w:r w:rsidR="0051765C">
        <w:t>n=69 (HHA student population)</w:t>
      </w:r>
    </w:p>
    <w:p w14:paraId="4DA006D9" w14:textId="776528AD" w:rsidR="00945766" w:rsidRDefault="00945766" w:rsidP="006E56C9">
      <w:pPr>
        <w:pStyle w:val="ImageSource"/>
      </w:pPr>
      <w:r>
        <w:t xml:space="preserve">Source: </w:t>
      </w:r>
      <w:r w:rsidRPr="00FD010D">
        <w:t>HHA Student Satisfaction Survey 2021</w:t>
      </w:r>
      <w:r>
        <w:t>, provided by Living Learning Data Analyst (2022)</w:t>
      </w:r>
    </w:p>
    <w:p w14:paraId="47834BE1" w14:textId="68532AB3" w:rsidR="002D7DF4" w:rsidRDefault="002D7DF4" w:rsidP="002D7DF4">
      <w:r>
        <w:t>Living Learning staff reported that despite a very challenging year of lockdowns and remote learning, many program participants showed great resilience. Among some participants, they noted positive behaviour changes such as:</w:t>
      </w:r>
    </w:p>
    <w:p w14:paraId="6B8A6C25" w14:textId="77777777" w:rsidR="002D7DF4" w:rsidRDefault="002D7DF4" w:rsidP="00205855">
      <w:pPr>
        <w:pStyle w:val="ListBullet"/>
      </w:pPr>
      <w:r>
        <w:t>more proactive help-seeking behaviour</w:t>
      </w:r>
    </w:p>
    <w:p w14:paraId="44943F7B" w14:textId="6558BA9C" w:rsidR="002D7DF4" w:rsidRDefault="00205855" w:rsidP="00205855">
      <w:pPr>
        <w:pStyle w:val="ListBullet"/>
      </w:pPr>
      <w:r>
        <w:t>i</w:t>
      </w:r>
      <w:r w:rsidR="002D7DF4">
        <w:t>ncreased confidence and independence</w:t>
      </w:r>
    </w:p>
    <w:p w14:paraId="0281620B" w14:textId="3491D7FD" w:rsidR="002D7DF4" w:rsidRDefault="002D7DF4" w:rsidP="00205855">
      <w:pPr>
        <w:pStyle w:val="ListBullet"/>
      </w:pPr>
      <w:r>
        <w:t>development of friendships and support networks among Living Learning participants.</w:t>
      </w:r>
    </w:p>
    <w:p w14:paraId="2BF76D02" w14:textId="1176CF04" w:rsidR="00205855" w:rsidRDefault="00205855" w:rsidP="00205855">
      <w:r w:rsidRPr="00205855">
        <w:t>Staff provided positive examples of participants taking more initiative in their lives, saving money to buy furniture and move in with newly made friends from the program.</w:t>
      </w:r>
    </w:p>
    <w:p w14:paraId="5C10200D" w14:textId="45CE1CD1" w:rsidR="006440F4" w:rsidRPr="00C83454" w:rsidRDefault="005C08CF" w:rsidP="00AA6DA3">
      <w:pPr>
        <w:pStyle w:val="HangingQuote"/>
      </w:pPr>
      <w:r w:rsidRPr="005C08CF">
        <w:t xml:space="preserve">[Living Learning participants] make new friends here. They feel that they're like-minded people here, and they feel safe. They don't feel judged, they feel they can be themselves. They feel safe enough to come and speak to me about what they need. </w:t>
      </w:r>
      <w:r w:rsidRPr="00027E5C">
        <w:rPr>
          <w:i w:val="0"/>
          <w:iCs/>
        </w:rPr>
        <w:t>(Living Learning staff)</w:t>
      </w:r>
    </w:p>
    <w:p w14:paraId="2F5B37D2" w14:textId="77777777" w:rsidR="00C83454" w:rsidRDefault="00C83454" w:rsidP="00C83454">
      <w:pPr>
        <w:sectPr w:rsidR="00C83454" w:rsidSect="00C83454">
          <w:footerReference w:type="default" r:id="rId54"/>
          <w:pgSz w:w="11906" w:h="16838" w:code="9"/>
          <w:pgMar w:top="1134" w:right="1134" w:bottom="1418" w:left="1134" w:header="709" w:footer="284" w:gutter="0"/>
          <w:cols w:space="708"/>
          <w:docGrid w:linePitch="360"/>
        </w:sectPr>
      </w:pPr>
    </w:p>
    <w:p w14:paraId="647D6927" w14:textId="6C129E4D" w:rsidR="002F2759" w:rsidRPr="00414308" w:rsidRDefault="008F7A1D" w:rsidP="00736E4F">
      <w:pPr>
        <w:pStyle w:val="Head1"/>
      </w:pPr>
      <w:bookmarkStart w:id="86" w:name="_Toc22026809"/>
      <w:bookmarkStart w:id="87" w:name="_Toc97809219"/>
      <w:bookmarkStart w:id="88" w:name="_Toc144843255"/>
      <w:r>
        <w:t>Disclaimer</w:t>
      </w:r>
      <w:bookmarkEnd w:id="86"/>
      <w:bookmarkEnd w:id="87"/>
      <w:bookmarkEnd w:id="88"/>
    </w:p>
    <w:p w14:paraId="124940EA" w14:textId="77777777" w:rsidR="007C3C6A" w:rsidRDefault="007C3C6A" w:rsidP="007C3C6A">
      <w:r>
        <w:t>This report is dated 18 March 2022 and incorporates information and events up to that date only and excludes any information arising, or event occurring, after that date which may affect the validity of Urbis Pty Ltd (</w:t>
      </w:r>
      <w:r w:rsidRPr="00B37624">
        <w:rPr>
          <w:b/>
          <w:bCs/>
        </w:rPr>
        <w:t>Urbis</w:t>
      </w:r>
      <w:r>
        <w:t>) opinion in this report. Urbis prepared this report on the instructions, and for the benefit only, of Department of Treasury and Finance (</w:t>
      </w:r>
      <w:r w:rsidRPr="00D469F3">
        <w:rPr>
          <w:b/>
          <w:bCs/>
        </w:rPr>
        <w:t>Instructing Party</w:t>
      </w:r>
      <w:r>
        <w:t>) for the purpose of Formative Report (</w:t>
      </w:r>
      <w:r w:rsidRPr="00D469F3">
        <w:rPr>
          <w:b/>
          <w:bCs/>
        </w:rPr>
        <w:t>Purpose</w:t>
      </w:r>
      <w:r>
        <w:t>) and not for any other purpose or use. To the extent permitted by applicable law, Urbis expressly disclaims all liability, whether direct or indirect, to the Instructing Party which relies or purports to rely on this report for any purpose other than the Purpose, and to any other person which relies or purports to rely on this report for any purpose whatsoever (including the Purpose).</w:t>
      </w:r>
    </w:p>
    <w:p w14:paraId="1F4C1D83" w14:textId="77777777" w:rsidR="007C3C6A" w:rsidRDefault="007C3C6A" w:rsidP="007C3C6A">
      <w:r>
        <w:t xml:space="preserve">In preparing this report, Urbis was required to make judgements which may be affected by unforeseen future events, the </w:t>
      </w:r>
      <w:proofErr w:type="gramStart"/>
      <w:r>
        <w:t>likelihood</w:t>
      </w:r>
      <w:proofErr w:type="gramEnd"/>
      <w:r>
        <w:t xml:space="preserve"> and effects of which are not capable of precise assessment.</w:t>
      </w:r>
    </w:p>
    <w:p w14:paraId="4614EF86" w14:textId="77777777" w:rsidR="007C3C6A" w:rsidRDefault="007C3C6A" w:rsidP="007C3C6A">
      <w:r>
        <w:t xml:space="preserve">All surveys, forecasts, </w:t>
      </w:r>
      <w:proofErr w:type="gramStart"/>
      <w:r>
        <w:t>projections</w:t>
      </w:r>
      <w:proofErr w:type="gramEnd"/>
      <w:r>
        <w:t xml:space="preserve"> and recommendations contained in or associated with this report are made in good faith and on the basis of information supplied to Urbis at the date of this report, and upon which Urbis relied. Achievement of the projections and budgets set out in this report will depend, among other things, on the actions of others over which Urbis has no control.</w:t>
      </w:r>
    </w:p>
    <w:p w14:paraId="2C35C5B7" w14:textId="77777777" w:rsidR="007C3C6A" w:rsidRDefault="007C3C6A" w:rsidP="007C3C6A">
      <w:r>
        <w:t>In preparing this report, Urbis may rely on or refer to documents in a language other than English, which Urbis may arrange to be translated. Urbis is not responsible for the accuracy or completeness of such translations and disclaims any liability for any statement or opinion made in this report being inaccurate or incomplete arising from such translations.</w:t>
      </w:r>
    </w:p>
    <w:p w14:paraId="25EED5BF" w14:textId="77777777" w:rsidR="007C3C6A" w:rsidRDefault="007C3C6A" w:rsidP="007C3C6A">
      <w:r>
        <w:t>Whilst Urbis has made all reasonable inquiries it believes necessary in preparing this report, it is not responsible for determining the completeness or accuracy of information provided to it. Urbis (including its officers and personnel) is not liable for any errors or omissions, including in information provided by the Instructing Party or another person or upon which Urbis relies, provided that such errors or omissions are not made by Urbis recklessly or in bad faith.</w:t>
      </w:r>
    </w:p>
    <w:p w14:paraId="39A5520A" w14:textId="7DE77240" w:rsidR="00C568BA" w:rsidRPr="004E658A" w:rsidRDefault="007C3C6A" w:rsidP="001C6F56">
      <w:r>
        <w:t>This report has been prepared with due care and diligence by Urbis and the statements and opinions given by Urbis in this report are given in good faith and in the reasonable belief that they are correct and not misleading, subject to the limitations above.</w:t>
      </w:r>
    </w:p>
    <w:p w14:paraId="589E8FF7" w14:textId="4ABFC2E9" w:rsidR="00C568BA" w:rsidRPr="007E4973" w:rsidRDefault="00C568BA" w:rsidP="001C6F56">
      <w:pPr>
        <w:rPr>
          <w:lang w:val="en-AU"/>
        </w:rPr>
        <w:sectPr w:rsidR="00C568BA" w:rsidRPr="007E4973" w:rsidSect="009974FF">
          <w:footerReference w:type="even" r:id="rId55"/>
          <w:footerReference w:type="default" r:id="rId56"/>
          <w:pgSz w:w="11906" w:h="16838" w:code="9"/>
          <w:pgMar w:top="1134" w:right="1418" w:bottom="1134" w:left="1134" w:header="709" w:footer="284" w:gutter="0"/>
          <w:cols w:space="708"/>
          <w:docGrid w:linePitch="360"/>
        </w:sectPr>
      </w:pPr>
    </w:p>
    <w:p w14:paraId="307616BB" w14:textId="7DFA882B" w:rsidR="00FD22F4" w:rsidRPr="007E4973" w:rsidRDefault="00913A5B" w:rsidP="0055490E">
      <w:pPr>
        <w:rPr>
          <w:lang w:val="en-AU"/>
        </w:rPr>
      </w:pPr>
      <w:r w:rsidRPr="00A228D4">
        <w:rPr>
          <w:noProof/>
          <w:highlight w:val="yellow"/>
        </w:rPr>
        <w:drawing>
          <wp:anchor distT="0" distB="0" distL="114300" distR="114300" simplePos="0" relativeHeight="251658247" behindDoc="0" locked="0" layoutInCell="1" allowOverlap="1" wp14:anchorId="479C61F9" wp14:editId="67782B8D">
            <wp:simplePos x="0" y="0"/>
            <wp:positionH relativeFrom="margin">
              <wp:posOffset>0</wp:posOffset>
            </wp:positionH>
            <wp:positionV relativeFrom="margin">
              <wp:posOffset>-635</wp:posOffset>
            </wp:positionV>
            <wp:extent cx="1196185" cy="8892000"/>
            <wp:effectExtent l="0" t="0" r="4445" b="4445"/>
            <wp:wrapNone/>
            <wp:docPr id="165" name="Picture 1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196185" cy="8892000"/>
                    </a:xfrm>
                    <a:prstGeom prst="rect">
                      <a:avLst/>
                    </a:prstGeom>
                  </pic:spPr>
                </pic:pic>
              </a:graphicData>
            </a:graphic>
            <wp14:sizeRelH relativeFrom="margin">
              <wp14:pctWidth>0</wp14:pctWidth>
            </wp14:sizeRelH>
            <wp14:sizeRelV relativeFrom="margin">
              <wp14:pctHeight>0</wp14:pctHeight>
            </wp14:sizeRelV>
          </wp:anchor>
        </w:drawing>
      </w:r>
      <w:r w:rsidR="00A228D4" w:rsidRPr="007E4973">
        <w:rPr>
          <w:lang w:val="en-AU"/>
        </w:rPr>
        <w:t xml:space="preserve"> </w:t>
      </w:r>
    </w:p>
    <w:sectPr w:rsidR="00FD22F4" w:rsidRPr="007E4973" w:rsidSect="004B72A7">
      <w:footerReference w:type="even" r:id="rId58"/>
      <w:footerReference w:type="default" r:id="rId59"/>
      <w:pgSz w:w="11906" w:h="16838" w:code="9"/>
      <w:pgMar w:top="1134" w:right="1134" w:bottom="1418" w:left="1134"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F6A75A0" w14:textId="77777777" w:rsidR="00BD2E28" w:rsidRPr="00DD773B" w:rsidRDefault="00BD2E28" w:rsidP="009E4B94">
      <w:r w:rsidRPr="00DD773B">
        <w:separator/>
      </w:r>
    </w:p>
  </w:endnote>
  <w:endnote w:type="continuationSeparator" w:id="0">
    <w:p w14:paraId="518443E2" w14:textId="77777777" w:rsidR="00BD2E28" w:rsidRPr="00DD773B" w:rsidRDefault="00BD2E28" w:rsidP="009E4B94">
      <w:r w:rsidRPr="00DD773B">
        <w:continuationSeparator/>
      </w:r>
    </w:p>
  </w:endnote>
  <w:endnote w:type="continuationNotice" w:id="1">
    <w:p w14:paraId="0C52B45B" w14:textId="77777777" w:rsidR="00BD2E28" w:rsidRPr="00DD773B" w:rsidRDefault="00BD2E2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Flama Cond Bold">
    <w:charset w:val="00"/>
    <w:family w:val="auto"/>
    <w:pitch w:val="variable"/>
    <w:sig w:usb0="00000003" w:usb1="00000000" w:usb2="00000000" w:usb3="00000000" w:csb0="00000001" w:csb1="00000000"/>
    <w:embedRegular r:id="rId1" w:fontKey="{AE0B9956-1344-4158-B8BE-3ED15A16B192}"/>
    <w:embedBold r:id="rId2" w:fontKey="{8AA76345-928D-491D-98A0-4DFC6C72EAF7}"/>
  </w:font>
  <w:font w:name="Arial Narrow">
    <w:charset w:val="00"/>
    <w:family w:val="swiss"/>
    <w:pitch w:val="variable"/>
    <w:sig w:usb0="00000287" w:usb1="000008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embedRegular r:id="rId3" w:fontKey="{D5D12381-E9DD-43ED-BFD0-C923E1261C59}"/>
    <w:embedBold r:id="rId4" w:fontKey="{5180BC34-633F-4133-BD01-102B39558437}"/>
    <w:embedItalic r:id="rId5" w:fontKey="{70843E06-1E36-4D1D-92E4-40578AAAB0B5}"/>
    <w:embedBoldItalic r:id="rId6" w:fontKey="{9F2A6F30-4192-4EE4-BB9A-E629AE92D29F}"/>
  </w:font>
  <w:font w:name="Arial Black">
    <w:panose1 w:val="020B0A04020102020204"/>
    <w:charset w:val="00"/>
    <w:family w:val="swiss"/>
    <w:pitch w:val="variable"/>
    <w:sig w:usb0="A00002AF" w:usb1="400078FB" w:usb2="00000000" w:usb3="00000000" w:csb0="0000009F" w:csb1="00000000"/>
    <w:embedRegular r:id="rId7" w:fontKey="{4FE69CE4-F4FF-4850-94C6-AC8E93D6FAF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4A5B123C" w:rsidRPr="00DD773B" w14:paraId="154FD563" w14:textId="77777777" w:rsidTr="4A5B123C">
      <w:tc>
        <w:tcPr>
          <w:tcW w:w="3210" w:type="dxa"/>
        </w:tcPr>
        <w:p w14:paraId="36CA7B24" w14:textId="1F2FD8E9" w:rsidR="4A5B123C" w:rsidRPr="00DD773B" w:rsidRDefault="002D477D" w:rsidP="4A5B123C">
          <w:pPr>
            <w:pStyle w:val="Header"/>
            <w:ind w:left="-115"/>
          </w:pPr>
          <w:r>
            <w:rPr>
              <w:noProof/>
            </w:rPr>
            <mc:AlternateContent>
              <mc:Choice Requires="wps">
                <w:drawing>
                  <wp:anchor distT="0" distB="0" distL="114300" distR="114300" simplePos="0" relativeHeight="251658240" behindDoc="0" locked="0" layoutInCell="0" allowOverlap="1" wp14:anchorId="09A122A3" wp14:editId="2C2BC22A">
                    <wp:simplePos x="0" y="9365456"/>
                    <wp:positionH relativeFrom="page">
                      <wp:align>center</wp:align>
                    </wp:positionH>
                    <wp:positionV relativeFrom="page">
                      <wp:align>bottom</wp:align>
                    </wp:positionV>
                    <wp:extent cx="7772400" cy="502285"/>
                    <wp:effectExtent l="0" t="0" r="0" b="12065"/>
                    <wp:wrapNone/>
                    <wp:docPr id="20" name="Text Box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72400" cy="5022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EB3E1F4" w14:textId="43D79526" w:rsidR="002D477D" w:rsidRPr="002D477D" w:rsidRDefault="002D477D" w:rsidP="002D477D">
                                <w:pPr>
                                  <w:spacing w:after="0"/>
                                  <w:jc w:val="center"/>
                                  <w:rPr>
                                    <w:rFonts w:ascii="Arial Black" w:hAnsi="Arial Black"/>
                                    <w:color w:val="000000"/>
                                  </w:rPr>
                                </w:pPr>
                                <w:r w:rsidRPr="002D477D">
                                  <w:rPr>
                                    <w:rFonts w:ascii="Arial Black" w:hAnsi="Arial Black"/>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9A122A3" id="_x0000_t202" coordsize="21600,21600" o:spt="202" path="m,l,21600r21600,l21600,xe">
                    <v:stroke joinstyle="miter"/>
                    <v:path gradientshapeok="t" o:connecttype="rect"/>
                  </v:shapetype>
                  <v:shape id="Text Box 20" o:spid="_x0000_s1026" type="#_x0000_t202" alt="&quot;&quot;" style="position:absolute;left:0;text-align:left;margin-left:0;margin-top:0;width:612pt;height:39.55pt;z-index:25165824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" o:allowincell="f" filled="f" stroked="f" strokeweight=".5pt">
                    <v:textbox inset=",0,,0">
                      <w:txbxContent>
                        <w:p w14:paraId="5EB3E1F4" w14:textId="43D79526" w:rsidR="002D477D" w:rsidRPr="002D477D" w:rsidRDefault="002D477D" w:rsidP="002D477D">
                          <w:pPr>
                            <w:spacing w:after="0"/>
                            <w:jc w:val="center"/>
                            <w:rPr>
                              <w:rFonts w:ascii="Arial Black" w:hAnsi="Arial Black"/>
                              <w:color w:val="000000"/>
                            </w:rPr>
                          </w:pPr>
                          <w:r w:rsidRPr="002D477D">
                            <w:rPr>
                              <w:rFonts w:ascii="Arial Black" w:hAnsi="Arial Black"/>
                              <w:color w:val="000000"/>
                            </w:rPr>
                            <w:t>OFFICIAL</w:t>
                          </w:r>
                        </w:p>
                      </w:txbxContent>
                    </v:textbox>
                    <w10:wrap anchorx="page" anchory="page"/>
                  </v:shape>
                </w:pict>
              </mc:Fallback>
            </mc:AlternateContent>
          </w:r>
        </w:p>
      </w:tc>
      <w:tc>
        <w:tcPr>
          <w:tcW w:w="3210" w:type="dxa"/>
        </w:tcPr>
        <w:p w14:paraId="0B87E25C" w14:textId="0EDED51E" w:rsidR="4A5B123C" w:rsidRPr="00DD773B" w:rsidRDefault="4A5B123C" w:rsidP="4A5B123C">
          <w:pPr>
            <w:pStyle w:val="Header"/>
            <w:jc w:val="center"/>
          </w:pPr>
        </w:p>
      </w:tc>
      <w:tc>
        <w:tcPr>
          <w:tcW w:w="3210" w:type="dxa"/>
        </w:tcPr>
        <w:p w14:paraId="149E9513" w14:textId="12DC112B" w:rsidR="4A5B123C" w:rsidRPr="00DD773B" w:rsidRDefault="4A5B123C" w:rsidP="4A5B123C">
          <w:pPr>
            <w:pStyle w:val="Header"/>
            <w:ind w:right="-115"/>
            <w:jc w:val="right"/>
          </w:pPr>
        </w:p>
      </w:tc>
    </w:tr>
  </w:tbl>
  <w:p w14:paraId="2F7DCB25" w14:textId="2FA78D60" w:rsidR="00C629FE" w:rsidRPr="00DD773B" w:rsidRDefault="00C629F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EEE79F" w14:textId="006D5442" w:rsidR="00C83454" w:rsidRPr="00DD773B" w:rsidRDefault="0099546C" w:rsidP="00CD74B0">
    <w:pPr>
      <w:pStyle w:val="Footer"/>
      <w:jc w:val="right"/>
    </w:pPr>
    <w:fldSimple w:instr="STYLEREF  &quot;Heading 1&quot;  \* MERGEFORMAT">
      <w:r w:rsidR="00997749">
        <w:rPr>
          <w:noProof/>
        </w:rPr>
        <w:t>Emerging outcomes for Living Learning young people</w:t>
      </w:r>
    </w:fldSimple>
    <w:r w:rsidR="006117EF">
      <w:t xml:space="preserve"> | </w:t>
    </w:r>
    <w:r w:rsidR="006117EF">
      <w:fldChar w:fldCharType="begin"/>
    </w:r>
    <w:r w:rsidR="006117EF">
      <w:instrText xml:space="preserve"> PAGE   \* MERGEFORMAT </w:instrText>
    </w:r>
    <w:r w:rsidR="006117EF">
      <w:fldChar w:fldCharType="separate"/>
    </w:r>
    <w:r w:rsidR="006117EF">
      <w:t>35</w:t>
    </w:r>
    <w:r w:rsidR="006117EF">
      <w:rPr>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3AC8CA" w14:textId="7C6A20C4" w:rsidR="009974FF" w:rsidRPr="00B75B78" w:rsidRDefault="00B75B78" w:rsidP="00B75B78">
    <w:pPr>
      <w:pStyle w:val="Footer"/>
      <w:tabs>
        <w:tab w:val="clear" w:pos="4513"/>
        <w:tab w:val="clear" w:pos="9026"/>
      </w:tabs>
      <w:jc w:val="both"/>
      <w:rPr>
        <w:rStyle w:val="PageNumber"/>
        <w:sz w:val="20"/>
      </w:rPr>
    </w:pPr>
    <w:r>
      <w:fldChar w:fldCharType="begin"/>
    </w:r>
    <w:r>
      <w:instrText xml:space="preserve"> PAGE   \* MERGEFORMAT </w:instrText>
    </w:r>
    <w:r>
      <w:fldChar w:fldCharType="separate"/>
    </w:r>
    <w:r>
      <w:t>62</w:t>
    </w:r>
    <w:r>
      <w:rPr>
        <w:noProof/>
      </w:rPr>
      <w:fldChar w:fldCharType="end"/>
    </w:r>
    <w:r>
      <w:rPr>
        <w:noProof/>
      </w:rPr>
      <w:t xml:space="preserve"> | </w:t>
    </w:r>
    <w:r>
      <w:rPr>
        <w:noProof/>
      </w:rPr>
      <w:fldChar w:fldCharType="begin"/>
    </w:r>
    <w:r>
      <w:rPr>
        <w:noProof/>
      </w:rPr>
      <w:instrText xml:space="preserve"> TITLE   \* MERGEFORMAT </w:instrText>
    </w:r>
    <w:r>
      <w:rPr>
        <w:noProof/>
      </w:rPr>
      <w:fldChar w:fldCharType="separate"/>
    </w:r>
    <w:r w:rsidR="004A75C8">
      <w:rPr>
        <w:noProof/>
      </w:rPr>
      <w:t>Evaluation of the LLPAD - Formative Report</w:t>
    </w:r>
    <w:r>
      <w:rPr>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7226FD" w14:textId="19692642" w:rsidR="0055490E" w:rsidRPr="00DD773B" w:rsidRDefault="0099546C" w:rsidP="00B75B78">
    <w:pPr>
      <w:pStyle w:val="Footer"/>
      <w:jc w:val="right"/>
    </w:pPr>
    <w:r>
      <w:fldChar w:fldCharType="begin"/>
    </w:r>
    <w:r>
      <w:instrText xml:space="preserve"> STYLEREF  "Appendix A"  \* MERGEFORMAT </w:instrText>
    </w:r>
    <w:r>
      <w:fldChar w:fldCharType="separate"/>
    </w:r>
    <w:r w:rsidR="00997749">
      <w:rPr>
        <w:b/>
        <w:bCs/>
        <w:noProof/>
        <w:lang w:val="en-US"/>
      </w:rPr>
      <w:t>Error! No text of specified style in document.</w:t>
    </w:r>
    <w:r>
      <w:rPr>
        <w:noProof/>
      </w:rPr>
      <w:fldChar w:fldCharType="end"/>
    </w:r>
    <w:r w:rsidR="00B75B78">
      <w:t xml:space="preserve"> | </w:t>
    </w:r>
    <w:r w:rsidR="00B75B78">
      <w:fldChar w:fldCharType="begin"/>
    </w:r>
    <w:r w:rsidR="00B75B78">
      <w:instrText xml:space="preserve"> PAGE   \* MERGEFORMAT </w:instrText>
    </w:r>
    <w:r w:rsidR="00B75B78">
      <w:fldChar w:fldCharType="separate"/>
    </w:r>
    <w:r w:rsidR="00B75B78">
      <w:t>63</w:t>
    </w:r>
    <w:r w:rsidR="00B75B78">
      <w:rPr>
        <w:noProof/>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D29865" w14:textId="77777777" w:rsidR="00B45672" w:rsidRPr="00DD773B" w:rsidRDefault="00B45672" w:rsidP="000F6349">
    <w:pPr>
      <w:pStyle w:val="Footertextleft"/>
      <w:spacing w:after="0"/>
      <w:rPr>
        <w:rStyle w:val="PageNumber"/>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CD56F5" w14:textId="77777777" w:rsidR="00FD22F4" w:rsidRPr="00DD773B" w:rsidRDefault="00FD22F4" w:rsidP="006743F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5177C6" w14:textId="181F5857" w:rsidR="0042505F" w:rsidRPr="00DD773B" w:rsidRDefault="0042505F" w:rsidP="00B0615A">
    <w:pPr>
      <w:pStyle w:val="Footer"/>
    </w:pPr>
    <w:r w:rsidRPr="00DD773B">
      <w:fldChar w:fldCharType="begin"/>
    </w:r>
    <w:r w:rsidRPr="00DD773B">
      <w:instrText xml:space="preserve"> FILENAME  </w:instrText>
    </w:r>
    <w:r w:rsidRPr="00DD773B">
      <w:fldChar w:fldCharType="separate"/>
    </w:r>
    <w:r w:rsidR="004A75C8">
      <w:rPr>
        <w:noProof/>
      </w:rPr>
      <w:t>LL PAD evaluation - Formative Report Final_22032022_Accessible Abridged</w:t>
    </w:r>
    <w:r w:rsidRPr="00DD773B">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6F3A50" w14:textId="77777777" w:rsidR="001B70A7" w:rsidRDefault="001B70A7" w:rsidP="00194009">
    <w:pPr>
      <w:pStyle w:val="Footer"/>
      <w:rPr>
        <w:color w:val="808080" w:themeColor="background1" w:themeShade="80"/>
      </w:rPr>
    </w:pPr>
  </w:p>
  <w:p w14:paraId="1C6B2D7A" w14:textId="14DFA0BE" w:rsidR="0042505F" w:rsidRPr="00DD773B" w:rsidRDefault="0042505F" w:rsidP="0019400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6B27A5" w14:textId="32C80401" w:rsidR="0042505F" w:rsidRPr="00DD773B" w:rsidRDefault="0042505F" w:rsidP="006743F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17C110" w14:textId="3489E1AE" w:rsidR="0042505F" w:rsidRPr="00DD773B" w:rsidRDefault="0042505F" w:rsidP="00B0615A">
    <w:pPr>
      <w:pStyle w:val="Footer"/>
    </w:pPr>
    <w:r w:rsidRPr="00DD773B">
      <w:fldChar w:fldCharType="begin"/>
    </w:r>
    <w:r w:rsidRPr="00DD773B">
      <w:instrText xml:space="preserve"> FILENAME  </w:instrText>
    </w:r>
    <w:r w:rsidRPr="00DD773B">
      <w:fldChar w:fldCharType="separate"/>
    </w:r>
    <w:r w:rsidR="004A75C8">
      <w:rPr>
        <w:noProof/>
      </w:rPr>
      <w:t>LL PAD evaluation - Formative Report Final_22032022_Accessible Abridged</w:t>
    </w:r>
    <w:r w:rsidRPr="00DD773B">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1487FE" w14:textId="779BBE00" w:rsidR="007C693D" w:rsidRPr="00DD773B" w:rsidRDefault="009D008C" w:rsidP="009D008C">
    <w:pPr>
      <w:pStyle w:val="Footer"/>
      <w:tabs>
        <w:tab w:val="clear" w:pos="4513"/>
        <w:tab w:val="clear" w:pos="9026"/>
      </w:tabs>
      <w:jc w:val="both"/>
    </w:pPr>
    <w:r>
      <w:fldChar w:fldCharType="begin"/>
    </w:r>
    <w:r>
      <w:instrText xml:space="preserve"> PAGE   \* MERGEFORMAT </w:instrText>
    </w:r>
    <w:r>
      <w:fldChar w:fldCharType="separate"/>
    </w:r>
    <w:r>
      <w:rPr>
        <w:noProof/>
      </w:rPr>
      <w:t>1</w:t>
    </w:r>
    <w:r>
      <w:rPr>
        <w:noProof/>
      </w:rPr>
      <w:fldChar w:fldCharType="end"/>
    </w:r>
    <w:r w:rsidR="00140799">
      <w:rPr>
        <w:noProof/>
      </w:rPr>
      <w:t xml:space="preserve"> | </w:t>
    </w:r>
    <w:r w:rsidR="00140799">
      <w:rPr>
        <w:noProof/>
      </w:rPr>
      <w:fldChar w:fldCharType="begin"/>
    </w:r>
    <w:r w:rsidR="00140799">
      <w:rPr>
        <w:noProof/>
      </w:rPr>
      <w:instrText xml:space="preserve"> TITLE   \* MERGEFORMAT </w:instrText>
    </w:r>
    <w:r w:rsidR="00140799">
      <w:rPr>
        <w:noProof/>
      </w:rPr>
      <w:fldChar w:fldCharType="separate"/>
    </w:r>
    <w:r w:rsidR="004A75C8">
      <w:rPr>
        <w:noProof/>
      </w:rPr>
      <w:t>Evaluation of the LLPAD - Formative Report</w:t>
    </w:r>
    <w:r w:rsidR="00140799">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91BD22" w14:textId="4E420DB5" w:rsidR="007C693D" w:rsidRPr="00DD773B" w:rsidRDefault="0099546C" w:rsidP="009D008C">
    <w:pPr>
      <w:pStyle w:val="Footer"/>
      <w:jc w:val="right"/>
    </w:pPr>
    <w:fldSimple w:instr="STYLEREF  Head1  \* MERGEFORMAT">
      <w:r w:rsidR="00997749">
        <w:rPr>
          <w:noProof/>
        </w:rPr>
        <w:t>Executive summary</w:t>
      </w:r>
    </w:fldSimple>
    <w:r w:rsidR="00140799">
      <w:t xml:space="preserve"> </w:t>
    </w:r>
    <w:r w:rsidR="009D008C">
      <w:t>|</w:t>
    </w:r>
    <w:r w:rsidR="00140799">
      <w:t xml:space="preserve"> </w:t>
    </w:r>
    <w:r w:rsidR="009D008C">
      <w:fldChar w:fldCharType="begin"/>
    </w:r>
    <w:r w:rsidR="009D008C">
      <w:instrText xml:space="preserve"> PAGE   \* MERGEFORMAT </w:instrText>
    </w:r>
    <w:r w:rsidR="009D008C">
      <w:fldChar w:fldCharType="separate"/>
    </w:r>
    <w:r w:rsidR="009D008C">
      <w:rPr>
        <w:noProof/>
      </w:rPr>
      <w:t>1</w:t>
    </w:r>
    <w:r w:rsidR="009D008C">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77916F" w14:textId="339A7929" w:rsidR="002513AB" w:rsidRPr="00DD773B" w:rsidRDefault="002513AB" w:rsidP="009D008C">
    <w:pPr>
      <w:pStyle w:val="Footer"/>
      <w:tabs>
        <w:tab w:val="clear" w:pos="4513"/>
        <w:tab w:val="clear" w:pos="9026"/>
      </w:tabs>
      <w:jc w:val="both"/>
    </w:pPr>
    <w:r>
      <w:fldChar w:fldCharType="begin"/>
    </w:r>
    <w:r>
      <w:instrText xml:space="preserve"> PAGE   \* MERGEFORMAT </w:instrText>
    </w:r>
    <w:r>
      <w:fldChar w:fldCharType="separate"/>
    </w:r>
    <w:r>
      <w:rPr>
        <w:noProof/>
      </w:rPr>
      <w:t>1</w:t>
    </w:r>
    <w:r>
      <w:rPr>
        <w:noProof/>
      </w:rPr>
      <w:fldChar w:fldCharType="end"/>
    </w:r>
    <w:r>
      <w:rPr>
        <w:noProof/>
      </w:rPr>
      <w:t xml:space="preserve"> | </w:t>
    </w:r>
    <w:r>
      <w:rPr>
        <w:noProof/>
      </w:rPr>
      <w:fldChar w:fldCharType="begin"/>
    </w:r>
    <w:r>
      <w:rPr>
        <w:noProof/>
      </w:rPr>
      <w:instrText xml:space="preserve"> TITLE   \* MERGEFORMAT </w:instrText>
    </w:r>
    <w:r>
      <w:rPr>
        <w:noProof/>
      </w:rPr>
      <w:fldChar w:fldCharType="separate"/>
    </w:r>
    <w:r w:rsidR="004A75C8">
      <w:rPr>
        <w:noProof/>
      </w:rPr>
      <w:t>Evaluation of the LLPAD - Formative Report</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3270C8" w14:textId="2F23FD51" w:rsidR="002513AB" w:rsidRPr="00DD773B" w:rsidRDefault="0099546C" w:rsidP="009D008C">
    <w:pPr>
      <w:pStyle w:val="Footer"/>
      <w:jc w:val="right"/>
    </w:pPr>
    <w:fldSimple w:instr="STYLEREF  &quot;Heading 1&quot;  \* MERGEFORMAT">
      <w:r w:rsidR="00997749">
        <w:rPr>
          <w:noProof/>
        </w:rPr>
        <w:t>Program implementation</w:t>
      </w:r>
    </w:fldSimple>
    <w:r w:rsidR="002513AB">
      <w:t xml:space="preserve"> | </w:t>
    </w:r>
    <w:r w:rsidR="002513AB">
      <w:fldChar w:fldCharType="begin"/>
    </w:r>
    <w:r w:rsidR="002513AB">
      <w:instrText xml:space="preserve"> PAGE   \* MERGEFORMAT </w:instrText>
    </w:r>
    <w:r w:rsidR="002513AB">
      <w:fldChar w:fldCharType="separate"/>
    </w:r>
    <w:r w:rsidR="002513AB">
      <w:rPr>
        <w:noProof/>
      </w:rPr>
      <w:t>1</w:t>
    </w:r>
    <w:r w:rsidR="002513AB">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020193" w14:textId="77777777" w:rsidR="00BD2E28" w:rsidRPr="00DD773B" w:rsidRDefault="00BD2E28" w:rsidP="00597022">
      <w:pPr>
        <w:pStyle w:val="FootnoteSeparator"/>
      </w:pPr>
    </w:p>
  </w:footnote>
  <w:footnote w:type="continuationSeparator" w:id="0">
    <w:p w14:paraId="54855382" w14:textId="77777777" w:rsidR="00BD2E28" w:rsidRPr="00DD773B" w:rsidRDefault="00BD2E28" w:rsidP="009E4B94">
      <w:r w:rsidRPr="00DD773B">
        <w:continuationSeparator/>
      </w:r>
    </w:p>
  </w:footnote>
  <w:footnote w:type="continuationNotice" w:id="1">
    <w:p w14:paraId="7B94FC02" w14:textId="77777777" w:rsidR="00BD2E28" w:rsidRPr="00DD773B" w:rsidRDefault="00BD2E28">
      <w:pPr>
        <w:spacing w:after="0"/>
      </w:pPr>
    </w:p>
  </w:footnote>
  <w:footnote w:id="2">
    <w:p w14:paraId="69B63657" w14:textId="7C4489D9" w:rsidR="00487A60" w:rsidRPr="00487A60" w:rsidRDefault="00487A60" w:rsidP="00FA4D11">
      <w:pPr>
        <w:pStyle w:val="FootnoteText"/>
        <w:rPr>
          <w:lang w:val="en-AU"/>
        </w:rPr>
      </w:pPr>
      <w:r>
        <w:rPr>
          <w:rStyle w:val="FootnoteReference"/>
        </w:rPr>
        <w:footnoteRef/>
      </w:r>
      <w:r>
        <w:t xml:space="preserve"> </w:t>
      </w:r>
      <w:r w:rsidR="00FA4D11">
        <w:tab/>
      </w:r>
      <w:r w:rsidRPr="00487A60">
        <w:t xml:space="preserve">DTF (2021). </w:t>
      </w:r>
      <w:r w:rsidRPr="00FA4D11">
        <w:rPr>
          <w:i/>
          <w:iCs/>
        </w:rPr>
        <w:t>Principles of Partnerships Addressing Disadvantage</w:t>
      </w:r>
      <w:r w:rsidRPr="00487A60">
        <w:t xml:space="preserve">. Retrieved from </w:t>
      </w:r>
      <w:hyperlink r:id="rId1" w:history="1">
        <w:r w:rsidR="00FA4D11" w:rsidRPr="000A3508">
          <w:rPr>
            <w:rStyle w:val="Hyperlink"/>
          </w:rPr>
          <w:t>https://www.dtf.vic.gov.au/partnerships-addressing-disadvantage/principles-partnerships-addressing-disadvantage</w:t>
        </w:r>
      </w:hyperlink>
      <w:r w:rsidR="00FA4D11">
        <w:t xml:space="preserve"> </w:t>
      </w:r>
    </w:p>
  </w:footnote>
  <w:footnote w:id="3">
    <w:p w14:paraId="3485B0C5" w14:textId="6C69551F" w:rsidR="00FB79DC" w:rsidRPr="00FB79DC" w:rsidRDefault="00FB79DC">
      <w:pPr>
        <w:pStyle w:val="FootnoteText"/>
      </w:pPr>
      <w:r>
        <w:rPr>
          <w:rStyle w:val="FootnoteReference"/>
        </w:rPr>
        <w:footnoteRef/>
      </w:r>
      <w:r>
        <w:t xml:space="preserve"> </w:t>
      </w:r>
      <w:r>
        <w:tab/>
      </w:r>
      <w:r w:rsidRPr="00FB79DC">
        <w:t xml:space="preserve">DTF (2018). </w:t>
      </w:r>
      <w:r w:rsidRPr="00FB79DC">
        <w:rPr>
          <w:i/>
          <w:iCs/>
        </w:rPr>
        <w:t>RFP – Partnerships Addressing Disadvantage</w:t>
      </w:r>
      <w:r w:rsidRPr="00FB79DC">
        <w:t xml:space="preserve">. Retrieved from </w:t>
      </w:r>
      <w:hyperlink r:id="rId2" w:history="1">
        <w:r w:rsidRPr="000A3508">
          <w:rPr>
            <w:rStyle w:val="Hyperlink"/>
          </w:rPr>
          <w:t>https://www.tenders.vic.gov.au/tender/view?id=97081</w:t>
        </w:r>
      </w:hyperlink>
      <w:r>
        <w:t xml:space="preserve"> </w:t>
      </w:r>
    </w:p>
  </w:footnote>
  <w:footnote w:id="4">
    <w:p w14:paraId="57BA0D3E" w14:textId="1C110DAF" w:rsidR="006D514D" w:rsidRPr="006D514D" w:rsidRDefault="006D514D">
      <w:pPr>
        <w:pStyle w:val="FootnoteText"/>
      </w:pPr>
      <w:r>
        <w:rPr>
          <w:rStyle w:val="FootnoteReference"/>
        </w:rPr>
        <w:footnoteRef/>
      </w:r>
      <w:r>
        <w:t xml:space="preserve"> </w:t>
      </w:r>
      <w:r>
        <w:tab/>
      </w:r>
      <w:r w:rsidRPr="006D514D">
        <w:t>The NWI was established in the United States in 2003. Central to the NWI’s conceptualisation of ‘wraparound’ as a universally applicable concept are the Ten Guiding Principles of Wraparound, which specifies (among others) that a successful service should be individualised and strengths-, team- and outcome-based.</w:t>
      </w:r>
    </w:p>
  </w:footnote>
  <w:footnote w:id="5">
    <w:p w14:paraId="79C4E3F1" w14:textId="6E24268C" w:rsidR="00893935" w:rsidRPr="00893935" w:rsidRDefault="00893935">
      <w:pPr>
        <w:pStyle w:val="FootnoteText"/>
      </w:pPr>
      <w:r>
        <w:rPr>
          <w:rStyle w:val="FootnoteReference"/>
        </w:rPr>
        <w:footnoteRef/>
      </w:r>
      <w:r>
        <w:t xml:space="preserve"> </w:t>
      </w:r>
      <w:r>
        <w:tab/>
      </w:r>
      <w:r w:rsidRPr="00893935">
        <w:t>Urbis, Literature review on education and mental health interventions for young people, February 2022.</w:t>
      </w:r>
    </w:p>
  </w:footnote>
  <w:footnote w:id="6">
    <w:p w14:paraId="33F11ACB" w14:textId="7E774F27" w:rsidR="00BE68BE" w:rsidRPr="00BE68BE" w:rsidRDefault="00BE68BE">
      <w:pPr>
        <w:pStyle w:val="FootnoteText"/>
      </w:pPr>
      <w:r>
        <w:rPr>
          <w:rStyle w:val="FootnoteReference"/>
        </w:rPr>
        <w:footnoteRef/>
      </w:r>
      <w:r>
        <w:t xml:space="preserve"> </w:t>
      </w:r>
      <w:r>
        <w:tab/>
      </w:r>
      <w:r w:rsidRPr="00BE68BE">
        <w:t xml:space="preserve">The enrolment period for Cohort 1 was open from November 2020 to July 2021 and includes a </w:t>
      </w:r>
      <w:proofErr w:type="gramStart"/>
      <w:r w:rsidRPr="00BE68BE">
        <w:t>six month</w:t>
      </w:r>
      <w:proofErr w:type="gramEnd"/>
      <w:r w:rsidRPr="00BE68BE">
        <w:t xml:space="preserve"> replacement period where students on the waiting list could be offered places in the program, provided there was room to accommodate them. In this period, three students dropped out of the program and those spots were taken up by other young people</w:t>
      </w:r>
      <w:r>
        <w:t>.</w:t>
      </w:r>
    </w:p>
  </w:footnote>
  <w:footnote w:id="7">
    <w:p w14:paraId="1B0CB95F" w14:textId="710E32FF" w:rsidR="0005775B" w:rsidRPr="0005775B" w:rsidRDefault="0005775B" w:rsidP="0005775B">
      <w:pPr>
        <w:pStyle w:val="FootnoteText"/>
      </w:pPr>
      <w:r>
        <w:rPr>
          <w:rStyle w:val="FootnoteReference"/>
        </w:rPr>
        <w:footnoteRef/>
      </w:r>
      <w:r>
        <w:t xml:space="preserve"> </w:t>
      </w:r>
      <w:r>
        <w:tab/>
      </w:r>
      <w:r w:rsidRPr="0005775B">
        <w:t>Psychological wellbeing measures used included K10 (measure of psychological distress), Depression Anxiety Stress Scales 21 (DASS 21), Revised Child Anxiety and Depression Scale (RCADS), and Mental Health Outcomes.</w:t>
      </w:r>
    </w:p>
  </w:footnote>
  <w:footnote w:id="8">
    <w:p w14:paraId="22476633" w14:textId="486CD859" w:rsidR="00E435E8" w:rsidRPr="00E435E8" w:rsidRDefault="00E435E8">
      <w:pPr>
        <w:pStyle w:val="FootnoteText"/>
      </w:pPr>
      <w:r>
        <w:rPr>
          <w:rStyle w:val="FootnoteReference"/>
        </w:rPr>
        <w:footnoteRef/>
      </w:r>
      <w:r>
        <w:t xml:space="preserve"> </w:t>
      </w:r>
      <w:r>
        <w:tab/>
      </w:r>
      <w:r w:rsidRPr="00E435E8">
        <w:t xml:space="preserve">Eligibility criteria for the program is attendance of ten days or less in the past </w:t>
      </w:r>
      <w:proofErr w:type="gramStart"/>
      <w:r w:rsidRPr="00E435E8">
        <w:t>three month</w:t>
      </w:r>
      <w:proofErr w:type="gramEnd"/>
      <w:r w:rsidRPr="00E435E8">
        <w:t xml:space="preserve"> period of education, employment or training.</w:t>
      </w:r>
    </w:p>
  </w:footnote>
  <w:footnote w:id="9">
    <w:p w14:paraId="668354E7" w14:textId="1CDFCCA8" w:rsidR="002620A4" w:rsidRPr="002620A4" w:rsidRDefault="002620A4">
      <w:pPr>
        <w:pStyle w:val="FootnoteText"/>
      </w:pPr>
      <w:r>
        <w:rPr>
          <w:rStyle w:val="FootnoteReference"/>
        </w:rPr>
        <w:footnoteRef/>
      </w:r>
      <w:r>
        <w:t xml:space="preserve"> </w:t>
      </w:r>
      <w:r>
        <w:tab/>
      </w:r>
      <w:r w:rsidRPr="002620A4">
        <w:t>Facilities and activities are prioritised for Living Learning young people.</w:t>
      </w:r>
    </w:p>
  </w:footnote>
  <w:footnote w:id="10">
    <w:p w14:paraId="3BDE29C1" w14:textId="393956F5" w:rsidR="00CB7A57" w:rsidRPr="00CB7A57" w:rsidRDefault="00CB7A57">
      <w:pPr>
        <w:pStyle w:val="FootnoteText"/>
      </w:pPr>
      <w:r>
        <w:rPr>
          <w:rStyle w:val="FootnoteReference"/>
        </w:rPr>
        <w:footnoteRef/>
      </w:r>
      <w:r>
        <w:t xml:space="preserve"> </w:t>
      </w:r>
      <w:r>
        <w:tab/>
      </w:r>
      <w:r w:rsidRPr="00CB7A57">
        <w:t>The Initial Review was jointly conducted by DFFH and MCM in Sept – November 2021.</w:t>
      </w:r>
    </w:p>
  </w:footnote>
  <w:footnote w:id="11">
    <w:p w14:paraId="57B064E0" w14:textId="56B0B4BF" w:rsidR="0061453F" w:rsidRPr="0061453F" w:rsidRDefault="0061453F">
      <w:pPr>
        <w:pStyle w:val="FootnoteText"/>
      </w:pPr>
      <w:r>
        <w:rPr>
          <w:rStyle w:val="FootnoteReference"/>
        </w:rPr>
        <w:footnoteRef/>
      </w:r>
      <w:r>
        <w:t xml:space="preserve"> </w:t>
      </w:r>
      <w:r>
        <w:tab/>
      </w:r>
      <w:r w:rsidRPr="0061453F">
        <w:t>Living Learning Initial Engagement Review - Endorsed by JWG 2021 10 13, p.7.</w:t>
      </w:r>
    </w:p>
  </w:footnote>
  <w:footnote w:id="12">
    <w:p w14:paraId="05B7878F" w14:textId="1097EBDC" w:rsidR="00BE2ECD" w:rsidRPr="00BE2ECD" w:rsidRDefault="00BE2ECD">
      <w:pPr>
        <w:pStyle w:val="FootnoteText"/>
      </w:pPr>
      <w:r>
        <w:rPr>
          <w:rStyle w:val="FootnoteReference"/>
        </w:rPr>
        <w:footnoteRef/>
      </w:r>
      <w:r>
        <w:t xml:space="preserve"> </w:t>
      </w:r>
      <w:r w:rsidRPr="00BE2ECD">
        <w:t>In January 2021, the Office for Youth moved from the Department of Premier and Cabinet to DFFH. The Joint Working Group Terms of Reference were revised accordingly.</w:t>
      </w:r>
    </w:p>
  </w:footnote>
  <w:footnote w:id="13">
    <w:p w14:paraId="62EA29CD" w14:textId="15475E84" w:rsidR="009D42B7" w:rsidRPr="009D42B7" w:rsidRDefault="009D42B7">
      <w:pPr>
        <w:pStyle w:val="FootnoteText"/>
      </w:pPr>
      <w:r>
        <w:rPr>
          <w:rStyle w:val="FootnoteReference"/>
        </w:rPr>
        <w:footnoteRef/>
      </w:r>
      <w:r>
        <w:t xml:space="preserve"> </w:t>
      </w:r>
      <w:r w:rsidRPr="009D42B7">
        <w:t>The collection of data for the Nationally Consistent Collection of Data on School Students with Disability (NCCD) is based on the professional judgement of teachers and school teams about the adjustments provided for students as part of day-to-day practice. Adjustments are actions taken to enable a student with disability to access and participate in education on the same basis as other students.</w:t>
      </w:r>
    </w:p>
  </w:footnote>
  <w:footnote w:id="14">
    <w:p w14:paraId="6FE9B8EC" w14:textId="0E90275F" w:rsidR="009D42B7" w:rsidRPr="009D42B7" w:rsidRDefault="009D42B7">
      <w:pPr>
        <w:pStyle w:val="FootnoteText"/>
      </w:pPr>
      <w:r>
        <w:rPr>
          <w:rStyle w:val="FootnoteReference"/>
        </w:rPr>
        <w:footnoteRef/>
      </w:r>
      <w:r>
        <w:t xml:space="preserve"> </w:t>
      </w:r>
      <w:r w:rsidRPr="009D42B7">
        <w:t>These were with either current court orders or pending charges.</w:t>
      </w:r>
    </w:p>
  </w:footnote>
  <w:footnote w:id="15">
    <w:p w14:paraId="779C1A44" w14:textId="5D26C3B0" w:rsidR="00596271" w:rsidRPr="00596271" w:rsidRDefault="00596271">
      <w:pPr>
        <w:pStyle w:val="FootnoteText"/>
      </w:pPr>
      <w:r>
        <w:rPr>
          <w:rStyle w:val="FootnoteReference"/>
        </w:rPr>
        <w:footnoteRef/>
      </w:r>
      <w:r>
        <w:t xml:space="preserve"> </w:t>
      </w:r>
      <w:r w:rsidR="00D7688E" w:rsidRPr="00D7688E">
        <w:t>The replacement period is a six-month period from the commencement date of each Cohort where eligible students can join the LL program if the cohort is less than 48. If the current cohort is full, any eligible referrals can enrol in HHA and join an active waitlist for the Living Learning Program. If a space becomes available through attrition/drop out, then the next student in line can take the opening and become a part of the Living Learning cohort.</w:t>
      </w:r>
    </w:p>
  </w:footnote>
  <w:footnote w:id="16">
    <w:p w14:paraId="65836B05" w14:textId="6616ABA8" w:rsidR="00406E6A" w:rsidRPr="00406E6A" w:rsidRDefault="00406E6A">
      <w:pPr>
        <w:pStyle w:val="FootnoteText"/>
      </w:pPr>
      <w:r>
        <w:rPr>
          <w:rStyle w:val="FootnoteReference"/>
        </w:rPr>
        <w:footnoteRef/>
      </w:r>
      <w:r>
        <w:t xml:space="preserve"> </w:t>
      </w:r>
      <w:r w:rsidRPr="00406E6A">
        <w:t>Level 3 BKSB is deemed to be a ‘functional’ level of literacy and numeracy.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719B7A" w14:textId="77777777" w:rsidR="0042505F" w:rsidRPr="00DD773B" w:rsidRDefault="0042505F" w:rsidP="00B0615A">
    <w:pPr>
      <w:pStyle w:val="Header"/>
    </w:pPr>
  </w:p>
  <w:p w14:paraId="0C668ED6" w14:textId="77777777" w:rsidR="0042505F" w:rsidRPr="00DD773B" w:rsidRDefault="0042505F" w:rsidP="00B0615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EB564B" w14:textId="77777777" w:rsidR="0042505F" w:rsidRPr="00DD773B" w:rsidRDefault="0042505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E1AB5" w14:textId="77777777" w:rsidR="0042505F" w:rsidRPr="00DD773B" w:rsidRDefault="0042505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1CA9FF" w14:textId="77777777" w:rsidR="0042505F" w:rsidRPr="00DD773B" w:rsidRDefault="0042505F" w:rsidP="00B0615A">
    <w:pPr>
      <w:pStyle w:val="Header"/>
    </w:pPr>
  </w:p>
  <w:p w14:paraId="4EB2448C" w14:textId="77777777" w:rsidR="0042505F" w:rsidRPr="00DD773B" w:rsidRDefault="0042505F" w:rsidP="00B0615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7F485DE4"/>
    <w:lvl w:ilvl="0">
      <w:start w:val="1"/>
      <w:numFmt w:val="decimal"/>
      <w:pStyle w:val="ListNumber5"/>
      <w:lvlText w:val="%1."/>
      <w:lvlJc w:val="left"/>
      <w:pPr>
        <w:tabs>
          <w:tab w:val="num" w:pos="2409"/>
        </w:tabs>
        <w:ind w:left="2409" w:hanging="360"/>
      </w:pPr>
    </w:lvl>
  </w:abstractNum>
  <w:abstractNum w:abstractNumId="1" w15:restartNumberingAfterBreak="0">
    <w:nsid w:val="FFFFFF80"/>
    <w:multiLevelType w:val="singleLevel"/>
    <w:tmpl w:val="774042C4"/>
    <w:lvl w:ilvl="0">
      <w:start w:val="1"/>
      <w:numFmt w:val="bullet"/>
      <w:pStyle w:val="ListBullet5"/>
      <w:lvlText w:val=""/>
      <w:lvlJc w:val="left"/>
      <w:pPr>
        <w:tabs>
          <w:tab w:val="num" w:pos="1492"/>
        </w:tabs>
        <w:ind w:left="1492" w:hanging="360"/>
      </w:pPr>
      <w:rPr>
        <w:rFonts w:ascii="Symbol" w:hAnsi="Symbol" w:hint="default"/>
      </w:rPr>
    </w:lvl>
  </w:abstractNum>
  <w:abstractNum w:abstractNumId="2" w15:restartNumberingAfterBreak="0">
    <w:nsid w:val="FFFFFF89"/>
    <w:multiLevelType w:val="singleLevel"/>
    <w:tmpl w:val="D9E48494"/>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2A94EDE"/>
    <w:multiLevelType w:val="hybridMultilevel"/>
    <w:tmpl w:val="B15C917E"/>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44031B6"/>
    <w:multiLevelType w:val="hybridMultilevel"/>
    <w:tmpl w:val="BE0A0AF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5D14C25"/>
    <w:multiLevelType w:val="multilevel"/>
    <w:tmpl w:val="B2B20078"/>
    <w:lvl w:ilvl="0">
      <w:numFmt w:val="decimal"/>
      <w:lvlText w:val=""/>
      <w:lvlJc w:val="left"/>
    </w:lvl>
    <w:lvl w:ilvl="1">
      <w:numFmt w:val="decimal"/>
      <w:pStyle w:val="Appendix2"/>
      <w:lvlText w:val=""/>
      <w:lvlJc w:val="left"/>
    </w:lvl>
    <w:lvl w:ilvl="2">
      <w:numFmt w:val="decimal"/>
      <w:pStyle w:val="Appendix3"/>
      <w:lvlText w:val=""/>
      <w:lvlJc w:val="left"/>
    </w:lvl>
    <w:lvl w:ilvl="3">
      <w:numFmt w:val="decimal"/>
      <w:pStyle w:val="Appendix4"/>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61C1C22"/>
    <w:multiLevelType w:val="hybridMultilevel"/>
    <w:tmpl w:val="1210677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7B37CB7"/>
    <w:multiLevelType w:val="hybridMultilevel"/>
    <w:tmpl w:val="7C22B36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08374388"/>
    <w:multiLevelType w:val="hybridMultilevel"/>
    <w:tmpl w:val="DD42D9D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09687D59"/>
    <w:multiLevelType w:val="hybridMultilevel"/>
    <w:tmpl w:val="10FCE45E"/>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DD84623"/>
    <w:multiLevelType w:val="hybridMultilevel"/>
    <w:tmpl w:val="0428CB68"/>
    <w:lvl w:ilvl="0" w:tplc="FE386F60">
      <w:start w:val="1"/>
      <w:numFmt w:val="decimal"/>
      <w:lvlText w:val="%1."/>
      <w:lvlJc w:val="left"/>
      <w:pPr>
        <w:ind w:left="360" w:hanging="360"/>
      </w:pPr>
      <w:rPr>
        <w:rFonts w:hint="default"/>
        <w:i w:val="0"/>
        <w:iCs w:val="0"/>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0DFE7859"/>
    <w:multiLevelType w:val="hybridMultilevel"/>
    <w:tmpl w:val="5020465C"/>
    <w:lvl w:ilvl="0" w:tplc="ADB2397C">
      <w:start w:val="1"/>
      <w:numFmt w:val="upperLetter"/>
      <w:pStyle w:val="AppendixA"/>
      <w:lvlText w:val="Appendix %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F2D5CA2"/>
    <w:multiLevelType w:val="hybridMultilevel"/>
    <w:tmpl w:val="136C6B0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07F1314"/>
    <w:multiLevelType w:val="hybridMultilevel"/>
    <w:tmpl w:val="347E292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10FE0320"/>
    <w:multiLevelType w:val="multilevel"/>
    <w:tmpl w:val="B2B20078"/>
    <w:styleLink w:val="ListNumberList"/>
    <w:lvl w:ilvl="0">
      <w:start w:val="1"/>
      <w:numFmt w:val="decimal"/>
      <w:pStyle w:val="ListNumber"/>
      <w:lvlText w:val="%1."/>
      <w:lvlJc w:val="left"/>
      <w:pPr>
        <w:ind w:left="340" w:hanging="340"/>
      </w:pPr>
      <w:rPr>
        <w:rFonts w:ascii="Arial" w:hAnsi="Arial" w:cs="Arial" w:hint="default"/>
      </w:rPr>
    </w:lvl>
    <w:lvl w:ilvl="1">
      <w:start w:val="1"/>
      <w:numFmt w:val="decimal"/>
      <w:pStyle w:val="ListNumber2"/>
      <w:lvlText w:val="%1.%2."/>
      <w:lvlJc w:val="left"/>
      <w:pPr>
        <w:ind w:left="964" w:hanging="624"/>
      </w:pPr>
      <w:rPr>
        <w:rFonts w:hint="default"/>
      </w:rPr>
    </w:lvl>
    <w:lvl w:ilvl="2">
      <w:start w:val="1"/>
      <w:numFmt w:val="decimal"/>
      <w:pStyle w:val="ListNumber3"/>
      <w:lvlText w:val="%1.%2.%3."/>
      <w:lvlJc w:val="left"/>
      <w:pPr>
        <w:ind w:left="1758" w:hanging="794"/>
      </w:pPr>
      <w:rPr>
        <w:rFonts w:hint="default"/>
      </w:rPr>
    </w:lvl>
    <w:lvl w:ilvl="3">
      <w:start w:val="1"/>
      <w:numFmt w:val="decimal"/>
      <w:pStyle w:val="ListNumber4"/>
      <w:lvlText w:val="%1.%2.%3.%4."/>
      <w:lvlJc w:val="left"/>
      <w:pPr>
        <w:ind w:left="2722" w:hanging="964"/>
      </w:pPr>
      <w:rPr>
        <w:rFonts w:hint="default"/>
      </w:rPr>
    </w:lvl>
    <w:lvl w:ilvl="4">
      <w:start w:val="1"/>
      <w:numFmt w:val="decimal"/>
      <w:lvlText w:val="%1.%2.%3.%4.%5."/>
      <w:lvlJc w:val="left"/>
      <w:pPr>
        <w:ind w:left="2892" w:hanging="1134"/>
      </w:pPr>
      <w:rPr>
        <w:rFonts w:hint="default"/>
      </w:rPr>
    </w:lvl>
    <w:lvl w:ilvl="5">
      <w:start w:val="1"/>
      <w:numFmt w:val="decimal"/>
      <w:lvlText w:val="%1.%2.%3.%4.%5.%6."/>
      <w:lvlJc w:val="left"/>
      <w:pPr>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15" w15:restartNumberingAfterBreak="0">
    <w:nsid w:val="14A81ABD"/>
    <w:multiLevelType w:val="multilevel"/>
    <w:tmpl w:val="3DF8DE0E"/>
    <w:styleLink w:val="ListLetters"/>
    <w:lvl w:ilvl="0">
      <w:start w:val="1"/>
      <w:numFmt w:val="lowerLetter"/>
      <w:lvlText w:val="(%1)"/>
      <w:lvlJc w:val="left"/>
      <w:pPr>
        <w:ind w:left="340" w:hanging="340"/>
      </w:pPr>
      <w:rPr>
        <w:rFonts w:ascii="Arial" w:hAnsi="Arial" w:cs="Arial" w:hint="default"/>
        <w:color w:val="666666" w:themeColor="text2"/>
      </w:rPr>
    </w:lvl>
    <w:lvl w:ilvl="1">
      <w:start w:val="1"/>
      <w:numFmt w:val="lowerRoman"/>
      <w:lvlText w:val="(%2)"/>
      <w:lvlJc w:val="left"/>
      <w:pPr>
        <w:ind w:left="680" w:hanging="340"/>
      </w:pPr>
      <w:rPr>
        <w:rFonts w:hint="default"/>
        <w:color w:val="404040"/>
      </w:rPr>
    </w:lvl>
    <w:lvl w:ilvl="2">
      <w:start w:val="1"/>
      <w:numFmt w:val="none"/>
      <w:lvlRestart w:val="0"/>
      <w:lvlText w:val=""/>
      <w:lvlJc w:val="righ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righ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16" w15:restartNumberingAfterBreak="0">
    <w:nsid w:val="164C0455"/>
    <w:multiLevelType w:val="hybridMultilevel"/>
    <w:tmpl w:val="B38EC89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16A56DB3"/>
    <w:multiLevelType w:val="hybridMultilevel"/>
    <w:tmpl w:val="8178494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1B246C97"/>
    <w:multiLevelType w:val="multilevel"/>
    <w:tmpl w:val="4256558C"/>
    <w:styleLink w:val="ListAppendix1"/>
    <w:lvl w:ilvl="0">
      <w:start w:val="1"/>
      <w:numFmt w:val="upperLetter"/>
      <w:lvlText w:val="Appendix %1"/>
      <w:lvlJc w:val="left"/>
      <w:pPr>
        <w:tabs>
          <w:tab w:val="num" w:pos="3402"/>
        </w:tabs>
        <w:ind w:left="3402" w:hanging="3402"/>
      </w:pPr>
      <w:rPr>
        <w:rFonts w:ascii="Flama Cond Bold" w:hAnsi="Flama Cond Bold" w:cs="Arial" w:hint="default"/>
        <w:b w:val="0"/>
        <w:i w:val="0"/>
        <w:color w:val="auto"/>
        <w:sz w:val="48"/>
      </w:rPr>
    </w:lvl>
    <w:lvl w:ilvl="1">
      <w:start w:val="1"/>
      <w:numFmt w:val="decimal"/>
      <w:lvlRestart w:val="0"/>
      <w:lvlText w:val="%1.%2"/>
      <w:lvlJc w:val="left"/>
      <w:pPr>
        <w:ind w:left="1701" w:hanging="1701"/>
      </w:pPr>
      <w:rPr>
        <w:rFonts w:ascii="Arial" w:hAnsi="Arial" w:hint="default"/>
        <w:b w:val="0"/>
        <w:i w:val="0"/>
        <w:sz w:val="26"/>
      </w:rPr>
    </w:lvl>
    <w:lvl w:ilvl="2">
      <w:start w:val="1"/>
      <w:numFmt w:val="decimal"/>
      <w:lvlRestart w:val="0"/>
      <w:lvlText w:val="%1.%2.%3"/>
      <w:lvlJc w:val="left"/>
      <w:pPr>
        <w:ind w:left="1701" w:hanging="1701"/>
      </w:pPr>
      <w:rPr>
        <w:rFonts w:ascii="Arial" w:hAnsi="Arial" w:hint="default"/>
        <w:b w:val="0"/>
        <w:i w:val="0"/>
        <w:sz w:val="24"/>
      </w:rPr>
    </w:lvl>
    <w:lvl w:ilvl="3">
      <w:start w:val="1"/>
      <w:numFmt w:val="decimal"/>
      <w:lvlRestart w:val="0"/>
      <w:lvlText w:val="%1.%2.%3.%4"/>
      <w:lvlJc w:val="left"/>
      <w:pPr>
        <w:ind w:left="1701" w:hanging="1701"/>
      </w:pPr>
      <w:rPr>
        <w:rFonts w:ascii="Arial" w:hAnsi="Arial" w:hint="default"/>
        <w:b w:val="0"/>
        <w:i w:val="0"/>
        <w:sz w:val="22"/>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19" w15:restartNumberingAfterBreak="0">
    <w:nsid w:val="1C7D180E"/>
    <w:multiLevelType w:val="hybridMultilevel"/>
    <w:tmpl w:val="E7CE49B0"/>
    <w:lvl w:ilvl="0" w:tplc="0C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1CA23587"/>
    <w:multiLevelType w:val="hybridMultilevel"/>
    <w:tmpl w:val="67F496C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DC71DC9"/>
    <w:multiLevelType w:val="hybridMultilevel"/>
    <w:tmpl w:val="9EE68172"/>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1DD05E42"/>
    <w:multiLevelType w:val="hybridMultilevel"/>
    <w:tmpl w:val="8C6ED04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1F6C24F0"/>
    <w:multiLevelType w:val="hybridMultilevel"/>
    <w:tmpl w:val="8D6E1B0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27924AD8"/>
    <w:multiLevelType w:val="multilevel"/>
    <w:tmpl w:val="3DF8DE0E"/>
    <w:lvl w:ilvl="0">
      <w:numFmt w:val="decimal"/>
      <w:pStyle w:val="ListLetter"/>
      <w:lvlText w:val=""/>
      <w:lvlJc w:val="left"/>
    </w:lvl>
    <w:lvl w:ilvl="1">
      <w:numFmt w:val="decimal"/>
      <w:pStyle w:val="ListLetter2"/>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295321A3"/>
    <w:multiLevelType w:val="hybridMultilevel"/>
    <w:tmpl w:val="5DD8B53E"/>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2E582FB7"/>
    <w:multiLevelType w:val="hybridMultilevel"/>
    <w:tmpl w:val="564626A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32800D66"/>
    <w:multiLevelType w:val="hybridMultilevel"/>
    <w:tmpl w:val="7500FA8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33F74D43"/>
    <w:multiLevelType w:val="multilevel"/>
    <w:tmpl w:val="CA6C33A8"/>
    <w:styleLink w:val="ListBullets"/>
    <w:lvl w:ilvl="0">
      <w:start w:val="1"/>
      <w:numFmt w:val="bullet"/>
      <w:pStyle w:val="ListBullet"/>
      <w:lvlText w:val=""/>
      <w:lvlJc w:val="left"/>
      <w:pPr>
        <w:ind w:left="340" w:hanging="340"/>
      </w:pPr>
      <w:rPr>
        <w:rFonts w:ascii="Wingdings" w:hAnsi="Wingdings" w:hint="default"/>
        <w:color w:val="404040"/>
        <w:sz w:val="20"/>
      </w:rPr>
    </w:lvl>
    <w:lvl w:ilvl="1">
      <w:start w:val="1"/>
      <w:numFmt w:val="bullet"/>
      <w:pStyle w:val="ListBullet2"/>
      <w:lvlText w:val="‒"/>
      <w:lvlJc w:val="left"/>
      <w:pPr>
        <w:ind w:left="680" w:hanging="340"/>
      </w:pPr>
      <w:rPr>
        <w:rFonts w:ascii="Arial" w:hAnsi="Arial" w:hint="default"/>
        <w:color w:val="404040"/>
      </w:rPr>
    </w:lvl>
    <w:lvl w:ilvl="2">
      <w:start w:val="1"/>
      <w:numFmt w:val="bullet"/>
      <w:pStyle w:val="ListBullet3"/>
      <w:lvlText w:val=""/>
      <w:lvlJc w:val="left"/>
      <w:pPr>
        <w:ind w:left="1191" w:hanging="340"/>
      </w:pPr>
      <w:rPr>
        <w:rFonts w:ascii="Symbol" w:hAnsi="Symbol" w:hint="default"/>
        <w:color w:val="404040"/>
      </w:rPr>
    </w:lvl>
    <w:lvl w:ilvl="3">
      <w:start w:val="1"/>
      <w:numFmt w:val="bullet"/>
      <w:pStyle w:val="ListBullet4"/>
      <w:lvlText w:val="‒"/>
      <w:lvlJc w:val="left"/>
      <w:pPr>
        <w:ind w:left="1360" w:hanging="340"/>
      </w:pPr>
      <w:rPr>
        <w:rFonts w:ascii="Arial" w:hAnsi="Arial" w:hint="default"/>
        <w:color w:val="404040"/>
      </w:rPr>
    </w:lvl>
    <w:lvl w:ilvl="4">
      <w:start w:val="1"/>
      <w:numFmt w:val="bullet"/>
      <w:lvlText w:val="‒"/>
      <w:lvlJc w:val="left"/>
      <w:pPr>
        <w:ind w:left="1700" w:hanging="340"/>
      </w:pPr>
      <w:rPr>
        <w:rFonts w:ascii="Arial" w:hAnsi="Arial" w:hint="default"/>
        <w:color w:val="666666" w:themeColor="text2"/>
      </w:rPr>
    </w:lvl>
    <w:lvl w:ilvl="5">
      <w:start w:val="1"/>
      <w:numFmt w:val="bullet"/>
      <w:lvlText w:val="‒"/>
      <w:lvlJc w:val="left"/>
      <w:pPr>
        <w:ind w:left="2040" w:hanging="340"/>
      </w:pPr>
      <w:rPr>
        <w:rFonts w:ascii="Arial" w:hAnsi="Arial" w:hint="default"/>
        <w:color w:val="666666" w:themeColor="text2"/>
      </w:rPr>
    </w:lvl>
    <w:lvl w:ilvl="6">
      <w:start w:val="1"/>
      <w:numFmt w:val="bullet"/>
      <w:lvlText w:val="‒"/>
      <w:lvlJc w:val="left"/>
      <w:pPr>
        <w:ind w:left="2380" w:hanging="340"/>
      </w:pPr>
      <w:rPr>
        <w:rFonts w:ascii="Arial" w:hAnsi="Arial" w:hint="default"/>
        <w:color w:val="666666" w:themeColor="text2"/>
      </w:rPr>
    </w:lvl>
    <w:lvl w:ilvl="7">
      <w:start w:val="1"/>
      <w:numFmt w:val="bullet"/>
      <w:lvlText w:val="‒"/>
      <w:lvlJc w:val="left"/>
      <w:pPr>
        <w:ind w:left="2720" w:hanging="340"/>
      </w:pPr>
      <w:rPr>
        <w:rFonts w:ascii="Arial" w:hAnsi="Arial" w:hint="default"/>
        <w:color w:val="666666" w:themeColor="text2"/>
      </w:rPr>
    </w:lvl>
    <w:lvl w:ilvl="8">
      <w:start w:val="1"/>
      <w:numFmt w:val="bullet"/>
      <w:lvlText w:val="‒"/>
      <w:lvlJc w:val="left"/>
      <w:pPr>
        <w:ind w:left="3060" w:hanging="340"/>
      </w:pPr>
      <w:rPr>
        <w:rFonts w:ascii="Arial" w:hAnsi="Arial" w:hint="default"/>
        <w:color w:val="666666" w:themeColor="text2"/>
      </w:rPr>
    </w:lvl>
  </w:abstractNum>
  <w:abstractNum w:abstractNumId="29" w15:restartNumberingAfterBreak="0">
    <w:nsid w:val="38764422"/>
    <w:multiLevelType w:val="hybridMultilevel"/>
    <w:tmpl w:val="3F06235E"/>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3BA20628"/>
    <w:multiLevelType w:val="multilevel"/>
    <w:tmpl w:val="6D36355C"/>
    <w:lvl w:ilvl="0">
      <w:numFmt w:val="decimal"/>
      <w:pStyle w:val="Appendix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402F15BB"/>
    <w:multiLevelType w:val="hybridMultilevel"/>
    <w:tmpl w:val="98103A02"/>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42F039DA"/>
    <w:multiLevelType w:val="hybridMultilevel"/>
    <w:tmpl w:val="4AAACD1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46E4674B"/>
    <w:multiLevelType w:val="hybridMultilevel"/>
    <w:tmpl w:val="0DEA1E4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4B7207C6"/>
    <w:multiLevelType w:val="multilevel"/>
    <w:tmpl w:val="E5C07AEE"/>
    <w:styleLink w:val="ListTableNumberBullets"/>
    <w:lvl w:ilvl="0">
      <w:start w:val="1"/>
      <w:numFmt w:val="decimal"/>
      <w:pStyle w:val="Table-NumberBullet"/>
      <w:lvlText w:val="%1."/>
      <w:lvlJc w:val="left"/>
      <w:pPr>
        <w:ind w:left="454" w:hanging="341"/>
      </w:pPr>
      <w:rPr>
        <w:rFonts w:hint="default"/>
      </w:rPr>
    </w:lvl>
    <w:lvl w:ilvl="1">
      <w:start w:val="1"/>
      <w:numFmt w:val="lowerLetter"/>
      <w:pStyle w:val="Table-NumberBullet2"/>
      <w:lvlText w:val="%2."/>
      <w:lvlJc w:val="left"/>
      <w:pPr>
        <w:ind w:left="907" w:hanging="453"/>
      </w:pPr>
      <w:rPr>
        <w:rFonts w:hint="default"/>
      </w:rPr>
    </w:lvl>
    <w:lvl w:ilvl="2">
      <w:start w:val="1"/>
      <w:numFmt w:val="lowerRoman"/>
      <w:pStyle w:val="Table-NumberBullet3"/>
      <w:lvlText w:val="%3."/>
      <w:lvlJc w:val="left"/>
      <w:pPr>
        <w:ind w:left="1247" w:hanging="34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9"/>
      <w:lvlJc w:val="left"/>
      <w:pPr>
        <w:tabs>
          <w:tab w:val="num" w:pos="4536"/>
        </w:tabs>
        <w:ind w:left="0" w:firstLine="0"/>
      </w:pPr>
      <w:rPr>
        <w:rFonts w:hint="default"/>
      </w:rPr>
    </w:lvl>
  </w:abstractNum>
  <w:abstractNum w:abstractNumId="35" w15:restartNumberingAfterBreak="0">
    <w:nsid w:val="4D7D6EDE"/>
    <w:multiLevelType w:val="hybridMultilevel"/>
    <w:tmpl w:val="F1D03D6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4E3A49DD"/>
    <w:multiLevelType w:val="hybridMultilevel"/>
    <w:tmpl w:val="913AE392"/>
    <w:lvl w:ilvl="0" w:tplc="F7D8AB36">
      <w:start w:val="1"/>
      <w:numFmt w:val="bullet"/>
      <w:pStyle w:val="UrbisTableBullet"/>
      <w:lvlText w:val=""/>
      <w:lvlJc w:val="left"/>
      <w:pPr>
        <w:ind w:left="360" w:hanging="360"/>
      </w:pPr>
      <w:rPr>
        <w:rFonts w:ascii="Wingdings" w:hAnsi="Wingdings" w:hint="default"/>
        <w:color w:val="auto"/>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4FBC2E5D"/>
    <w:multiLevelType w:val="hybridMultilevel"/>
    <w:tmpl w:val="601C8858"/>
    <w:lvl w:ilvl="0" w:tplc="272896F4">
      <w:start w:val="1"/>
      <w:numFmt w:val="decimal"/>
      <w:pStyle w:val="NormalNumbered"/>
      <w:lvlText w:val="%1."/>
      <w:lvlJc w:val="left"/>
      <w:pPr>
        <w:tabs>
          <w:tab w:val="num" w:pos="714"/>
        </w:tabs>
        <w:ind w:left="714" w:hanging="714"/>
      </w:pPr>
      <w:rPr>
        <w:rFonts w:ascii="Arial" w:hAnsi="Arial" w:hint="default"/>
        <w:b w:val="0"/>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4FC3357D"/>
    <w:multiLevelType w:val="multilevel"/>
    <w:tmpl w:val="0809001F"/>
    <w:styleLink w:val="111111"/>
    <w:lvl w:ilvl="0">
      <w:start w:val="1"/>
      <w:numFmt w:val="decimal"/>
      <w:lvlText w:val="%1."/>
      <w:lvlJc w:val="left"/>
      <w:pPr>
        <w:ind w:left="360" w:hanging="360"/>
      </w:pPr>
      <w:rPr>
        <w:rFonts w:ascii="Arial" w:hAnsi="Arial" w:cs="Arial"/>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50AF0C4D"/>
    <w:multiLevelType w:val="multilevel"/>
    <w:tmpl w:val="18BEAD54"/>
    <w:styleLink w:val="ListHeadings"/>
    <w:lvl w:ilvl="0">
      <w:start w:val="1"/>
      <w:numFmt w:val="decimal"/>
      <w:lvlText w:val="%1."/>
      <w:lvlJc w:val="left"/>
      <w:pPr>
        <w:ind w:left="851" w:hanging="851"/>
      </w:pPr>
      <w:rPr>
        <w:rFonts w:ascii="Flama Cond Bold" w:hAnsi="Flama Cond Bold" w:cs="Arial" w:hint="default"/>
      </w:rPr>
    </w:lvl>
    <w:lvl w:ilvl="1">
      <w:start w:val="1"/>
      <w:numFmt w:val="decimal"/>
      <w:lvlText w:val="%1.%2."/>
      <w:lvlJc w:val="left"/>
      <w:pPr>
        <w:ind w:left="851" w:hanging="851"/>
      </w:pPr>
      <w:rPr>
        <w:rFonts w:ascii="Flama Cond Bold" w:hAnsi="Flama Cond Bold" w:hint="default"/>
      </w:rPr>
    </w:lvl>
    <w:lvl w:ilvl="2">
      <w:start w:val="1"/>
      <w:numFmt w:val="decimal"/>
      <w:lvlText w:val="%1.%2.%3."/>
      <w:lvlJc w:val="left"/>
      <w:pPr>
        <w:ind w:left="851" w:hanging="851"/>
      </w:pPr>
      <w:rPr>
        <w:rFonts w:ascii="Arial" w:hAnsi="Arial" w:hint="default"/>
      </w:rPr>
    </w:lvl>
    <w:lvl w:ilvl="3">
      <w:start w:val="1"/>
      <w:numFmt w:val="decimal"/>
      <w:lvlText w:val="%1.%2.%3.%4."/>
      <w:lvlJc w:val="left"/>
      <w:pPr>
        <w:tabs>
          <w:tab w:val="num" w:pos="851"/>
        </w:tabs>
        <w:ind w:left="851" w:hanging="851"/>
      </w:pPr>
      <w:rPr>
        <w:rFonts w:ascii="Arial" w:hAnsi="Arial" w:hint="default"/>
      </w:rPr>
    </w:lvl>
    <w:lvl w:ilvl="4">
      <w:start w:val="1"/>
      <w:numFmt w:val="decimal"/>
      <w:lvlText w:val="%1.%2.%3.%4.%5."/>
      <w:lvlJc w:val="left"/>
      <w:pPr>
        <w:ind w:left="0" w:firstLine="0"/>
      </w:pPr>
      <w:rPr>
        <w:rFonts w:ascii="Arial Narrow" w:hAnsi="Arial Narrow" w:hint="default"/>
      </w:rPr>
    </w:lvl>
    <w:lvl w:ilvl="5">
      <w:start w:val="1"/>
      <w:numFmt w:val="decimal"/>
      <w:lvlText w:val="%1.%2.%3.%4.%5.%6."/>
      <w:lvlJc w:val="left"/>
      <w:pPr>
        <w:ind w:left="0" w:firstLine="0"/>
      </w:pPr>
      <w:rPr>
        <w:rFonts w:ascii="Arial Narrow" w:hAnsi="Arial Narrow" w:hint="default"/>
      </w:rPr>
    </w:lvl>
    <w:lvl w:ilvl="6">
      <w:start w:val="1"/>
      <w:numFmt w:val="decimal"/>
      <w:lvlText w:val="%1.%2.%3.%4.%5.%6.%7."/>
      <w:lvlJc w:val="left"/>
      <w:pPr>
        <w:ind w:left="0" w:firstLine="0"/>
      </w:pPr>
      <w:rPr>
        <w:rFonts w:ascii="Arial Narrow" w:hAnsi="Arial Narrow" w:hint="default"/>
      </w:rPr>
    </w:lvl>
    <w:lvl w:ilvl="7">
      <w:start w:val="1"/>
      <w:numFmt w:val="decimal"/>
      <w:lvlText w:val="%1.%2.%3.%4.%5.%6.%7.%8."/>
      <w:lvlJc w:val="left"/>
      <w:pPr>
        <w:ind w:left="0" w:firstLine="0"/>
      </w:pPr>
      <w:rPr>
        <w:rFonts w:ascii="Arial Narrow" w:hAnsi="Arial Narrow" w:hint="default"/>
      </w:rPr>
    </w:lvl>
    <w:lvl w:ilvl="8">
      <w:start w:val="1"/>
      <w:numFmt w:val="decimal"/>
      <w:lvlText w:val="%1.%2.%3.%4.%5.%6.%7.%8.%9."/>
      <w:lvlJc w:val="left"/>
      <w:pPr>
        <w:ind w:left="0" w:firstLine="0"/>
      </w:pPr>
      <w:rPr>
        <w:rFonts w:ascii="Arial Narrow" w:hAnsi="Arial Narrow" w:hint="default"/>
      </w:rPr>
    </w:lvl>
  </w:abstractNum>
  <w:abstractNum w:abstractNumId="40" w15:restartNumberingAfterBreak="0">
    <w:nsid w:val="5149354A"/>
    <w:multiLevelType w:val="hybridMultilevel"/>
    <w:tmpl w:val="17A0B160"/>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552B10C5"/>
    <w:multiLevelType w:val="multilevel"/>
    <w:tmpl w:val="5CEC4328"/>
    <w:styleLink w:val="ListTableBullets"/>
    <w:lvl w:ilvl="0">
      <w:start w:val="1"/>
      <w:numFmt w:val="bullet"/>
      <w:lvlText w:val=""/>
      <w:lvlJc w:val="left"/>
      <w:pPr>
        <w:ind w:left="454" w:hanging="341"/>
      </w:pPr>
      <w:rPr>
        <w:rFonts w:ascii="Wingdings" w:hAnsi="Wingdings" w:hint="default"/>
        <w:color w:val="404040"/>
      </w:rPr>
    </w:lvl>
    <w:lvl w:ilvl="1">
      <w:start w:val="1"/>
      <w:numFmt w:val="none"/>
      <w:lvlText w:val=""/>
      <w:lvlJc w:val="left"/>
      <w:pPr>
        <w:ind w:left="0" w:firstLine="0"/>
      </w:pPr>
      <w:rPr>
        <w:rFonts w:hint="default"/>
        <w:color w:val="404040"/>
      </w:rPr>
    </w:lvl>
    <w:lvl w:ilvl="2">
      <w:start w:val="1"/>
      <w:numFmt w:val="none"/>
      <w:lvlText w:val=""/>
      <w:lvlJc w:val="left"/>
      <w:pPr>
        <w:ind w:left="0" w:firstLine="0"/>
      </w:pPr>
      <w:rPr>
        <w:rFonts w:hint="default"/>
        <w:color w:val="404040"/>
      </w:rPr>
    </w:lvl>
    <w:lvl w:ilvl="3">
      <w:start w:val="1"/>
      <w:numFmt w:val="bullet"/>
      <w:lvlText w:val="‒"/>
      <w:lvlJc w:val="left"/>
      <w:pPr>
        <w:ind w:left="1361" w:hanging="340"/>
      </w:pPr>
      <w:rPr>
        <w:rFonts w:ascii="Arial" w:hAnsi="Arial" w:hint="default"/>
        <w:color w:val="404040"/>
      </w:rPr>
    </w:lvl>
    <w:lvl w:ilvl="4">
      <w:start w:val="1"/>
      <w:numFmt w:val="bullet"/>
      <w:lvlText w:val="‒"/>
      <w:lvlJc w:val="left"/>
      <w:pPr>
        <w:ind w:left="1361" w:hanging="340"/>
      </w:pPr>
      <w:rPr>
        <w:rFonts w:ascii="Arial" w:hAnsi="Arial" w:hint="default"/>
        <w:color w:val="666666" w:themeColor="text2"/>
      </w:rPr>
    </w:lvl>
    <w:lvl w:ilvl="5">
      <w:start w:val="1"/>
      <w:numFmt w:val="bullet"/>
      <w:lvlText w:val="‒"/>
      <w:lvlJc w:val="left"/>
      <w:pPr>
        <w:ind w:left="1361" w:hanging="340"/>
      </w:pPr>
      <w:rPr>
        <w:rFonts w:ascii="Arial" w:hAnsi="Arial" w:hint="default"/>
        <w:color w:val="666666" w:themeColor="text2"/>
      </w:rPr>
    </w:lvl>
    <w:lvl w:ilvl="6">
      <w:start w:val="1"/>
      <w:numFmt w:val="bullet"/>
      <w:lvlText w:val="‒"/>
      <w:lvlJc w:val="left"/>
      <w:pPr>
        <w:ind w:left="1361" w:hanging="340"/>
      </w:pPr>
      <w:rPr>
        <w:rFonts w:ascii="Arial" w:hAnsi="Arial" w:hint="default"/>
        <w:color w:val="666666" w:themeColor="text2"/>
      </w:rPr>
    </w:lvl>
    <w:lvl w:ilvl="7">
      <w:start w:val="1"/>
      <w:numFmt w:val="bullet"/>
      <w:lvlText w:val="‒"/>
      <w:lvlJc w:val="left"/>
      <w:pPr>
        <w:ind w:left="1361" w:hanging="340"/>
      </w:pPr>
      <w:rPr>
        <w:rFonts w:ascii="Arial" w:hAnsi="Arial" w:hint="default"/>
        <w:color w:val="666666" w:themeColor="text2"/>
      </w:rPr>
    </w:lvl>
    <w:lvl w:ilvl="8">
      <w:start w:val="1"/>
      <w:numFmt w:val="bullet"/>
      <w:lvlText w:val="‒"/>
      <w:lvlJc w:val="left"/>
      <w:pPr>
        <w:ind w:left="1361" w:hanging="340"/>
      </w:pPr>
      <w:rPr>
        <w:rFonts w:ascii="Arial" w:hAnsi="Arial" w:hint="default"/>
        <w:color w:val="666666" w:themeColor="text2"/>
      </w:rPr>
    </w:lvl>
  </w:abstractNum>
  <w:abstractNum w:abstractNumId="42" w15:restartNumberingAfterBreak="0">
    <w:nsid w:val="58B13895"/>
    <w:multiLevelType w:val="hybridMultilevel"/>
    <w:tmpl w:val="CBF2A40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60A012CE"/>
    <w:multiLevelType w:val="hybridMultilevel"/>
    <w:tmpl w:val="3116A616"/>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635C1E69"/>
    <w:multiLevelType w:val="hybridMultilevel"/>
    <w:tmpl w:val="D22673B8"/>
    <w:lvl w:ilvl="0" w:tplc="F998D2C8">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5" w15:restartNumberingAfterBreak="0">
    <w:nsid w:val="66C72425"/>
    <w:multiLevelType w:val="hybridMultilevel"/>
    <w:tmpl w:val="99E67D10"/>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67613D5C"/>
    <w:multiLevelType w:val="multilevel"/>
    <w:tmpl w:val="5CEC4328"/>
    <w:lvl w:ilvl="0">
      <w:numFmt w:val="decimal"/>
      <w:pStyle w:val="Table-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6B1E2C0E"/>
    <w:multiLevelType w:val="hybridMultilevel"/>
    <w:tmpl w:val="8138B4D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15:restartNumberingAfterBreak="0">
    <w:nsid w:val="778A38DA"/>
    <w:multiLevelType w:val="hybridMultilevel"/>
    <w:tmpl w:val="9FB09CDE"/>
    <w:lvl w:ilvl="0" w:tplc="831E9DFA">
      <w:start w:val="1"/>
      <w:numFmt w:val="decimal"/>
      <w:lvlText w:val="%1."/>
      <w:lvlJc w:val="left"/>
      <w:pPr>
        <w:ind w:left="720" w:hanging="360"/>
      </w:pPr>
      <w:rPr>
        <w:i w:val="0"/>
        <w:iCs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7B65179F"/>
    <w:multiLevelType w:val="multilevel"/>
    <w:tmpl w:val="08ACF004"/>
    <w:styleLink w:val="1ai"/>
    <w:lvl w:ilvl="0">
      <w:start w:val="1"/>
      <w:numFmt w:val="decimal"/>
      <w:pStyle w:val="Heading1"/>
      <w:lvlText w:val="%1."/>
      <w:lvlJc w:val="left"/>
      <w:pPr>
        <w:ind w:left="851" w:hanging="851"/>
      </w:pPr>
      <w:rPr>
        <w:rFonts w:ascii="Flama Cond Bold" w:hAnsi="Flama Cond Bold" w:cs="Arial" w:hint="default"/>
      </w:rPr>
    </w:lvl>
    <w:lvl w:ilvl="1">
      <w:start w:val="1"/>
      <w:numFmt w:val="decimal"/>
      <w:pStyle w:val="Heading2"/>
      <w:lvlText w:val="%1.%2."/>
      <w:lvlJc w:val="left"/>
      <w:pPr>
        <w:ind w:left="851" w:hanging="851"/>
      </w:pPr>
      <w:rPr>
        <w:rFonts w:ascii="Flama Cond Bold" w:hAnsi="Flama Cond Bold" w:hint="default"/>
      </w:rPr>
    </w:lvl>
    <w:lvl w:ilvl="2">
      <w:start w:val="1"/>
      <w:numFmt w:val="decimal"/>
      <w:pStyle w:val="Heading3"/>
      <w:lvlText w:val="%1.%2.%3."/>
      <w:lvlJc w:val="left"/>
      <w:pPr>
        <w:ind w:left="851" w:hanging="851"/>
      </w:pPr>
      <w:rPr>
        <w:rFonts w:ascii="Arial" w:hAnsi="Arial" w:hint="default"/>
      </w:rPr>
    </w:lvl>
    <w:lvl w:ilvl="3">
      <w:start w:val="1"/>
      <w:numFmt w:val="decimal"/>
      <w:pStyle w:val="Heading4"/>
      <w:lvlText w:val="%1.%2.%3.%4."/>
      <w:lvlJc w:val="left"/>
      <w:pPr>
        <w:tabs>
          <w:tab w:val="num" w:pos="851"/>
        </w:tabs>
        <w:ind w:left="851" w:hanging="851"/>
      </w:pPr>
      <w:rPr>
        <w:rFonts w:ascii="Arial" w:hAnsi="Arial" w:hint="default"/>
      </w:rPr>
    </w:lvl>
    <w:lvl w:ilvl="4">
      <w:start w:val="1"/>
      <w:numFmt w:val="decimal"/>
      <w:lvlText w:val="%1.%2.%3.%4.%5."/>
      <w:lvlJc w:val="left"/>
      <w:pPr>
        <w:ind w:left="0" w:firstLine="0"/>
      </w:pPr>
      <w:rPr>
        <w:rFonts w:ascii="Arial Narrow" w:hAnsi="Arial Narrow" w:hint="default"/>
      </w:rPr>
    </w:lvl>
    <w:lvl w:ilvl="5">
      <w:start w:val="1"/>
      <w:numFmt w:val="decimal"/>
      <w:lvlText w:val="%1.%2.%3.%4.%5.%6."/>
      <w:lvlJc w:val="left"/>
      <w:pPr>
        <w:ind w:left="0" w:firstLine="0"/>
      </w:pPr>
      <w:rPr>
        <w:rFonts w:ascii="Arial Narrow" w:hAnsi="Arial Narrow" w:hint="default"/>
      </w:rPr>
    </w:lvl>
    <w:lvl w:ilvl="6">
      <w:start w:val="1"/>
      <w:numFmt w:val="decimal"/>
      <w:lvlText w:val="%1.%2.%3.%4.%5.%6.%7."/>
      <w:lvlJc w:val="left"/>
      <w:pPr>
        <w:ind w:left="0" w:firstLine="0"/>
      </w:pPr>
      <w:rPr>
        <w:rFonts w:ascii="Arial Narrow" w:hAnsi="Arial Narrow" w:hint="default"/>
      </w:rPr>
    </w:lvl>
    <w:lvl w:ilvl="7">
      <w:start w:val="1"/>
      <w:numFmt w:val="decimal"/>
      <w:lvlText w:val="%1.%2.%3.%4.%5.%6.%7.%8."/>
      <w:lvlJc w:val="left"/>
      <w:pPr>
        <w:ind w:left="0" w:firstLine="0"/>
      </w:pPr>
      <w:rPr>
        <w:rFonts w:ascii="Arial Narrow" w:hAnsi="Arial Narrow" w:hint="default"/>
      </w:rPr>
    </w:lvl>
    <w:lvl w:ilvl="8">
      <w:start w:val="1"/>
      <w:numFmt w:val="decimal"/>
      <w:lvlText w:val="%1.%2.%3.%4.%5.%6.%7.%8.%9."/>
      <w:lvlJc w:val="left"/>
      <w:pPr>
        <w:ind w:left="0" w:firstLine="0"/>
      </w:pPr>
      <w:rPr>
        <w:rFonts w:ascii="Arial Narrow" w:hAnsi="Arial Narrow" w:hint="default"/>
      </w:rPr>
    </w:lvl>
  </w:abstractNum>
  <w:abstractNum w:abstractNumId="50" w15:restartNumberingAfterBreak="0">
    <w:nsid w:val="7E433793"/>
    <w:multiLevelType w:val="hybridMultilevel"/>
    <w:tmpl w:val="7F98885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864053085">
    <w:abstractNumId w:val="28"/>
  </w:num>
  <w:num w:numId="2" w16cid:durableId="473260356">
    <w:abstractNumId w:val="1"/>
  </w:num>
  <w:num w:numId="3" w16cid:durableId="1714962853">
    <w:abstractNumId w:val="37"/>
  </w:num>
  <w:num w:numId="4" w16cid:durableId="1014575036">
    <w:abstractNumId w:val="15"/>
  </w:num>
  <w:num w:numId="5" w16cid:durableId="1704473145">
    <w:abstractNumId w:val="46"/>
  </w:num>
  <w:num w:numId="6" w16cid:durableId="1623490478">
    <w:abstractNumId w:val="36"/>
  </w:num>
  <w:num w:numId="7" w16cid:durableId="30615874">
    <w:abstractNumId w:val="39"/>
  </w:num>
  <w:num w:numId="8" w16cid:durableId="1943033374">
    <w:abstractNumId w:val="27"/>
  </w:num>
  <w:num w:numId="9" w16cid:durableId="555698357">
    <w:abstractNumId w:val="14"/>
    <w:lvlOverride w:ilvl="0">
      <w:lvl w:ilvl="0">
        <w:start w:val="1"/>
        <w:numFmt w:val="decimal"/>
        <w:pStyle w:val="ListNumber"/>
        <w:lvlText w:val="%1."/>
        <w:lvlJc w:val="left"/>
        <w:pPr>
          <w:ind w:left="340" w:hanging="340"/>
        </w:pPr>
        <w:rPr>
          <w:rFonts w:ascii="Arial" w:hAnsi="Arial" w:cs="Arial" w:hint="default"/>
        </w:rPr>
      </w:lvl>
    </w:lvlOverride>
    <w:lvlOverride w:ilvl="1">
      <w:lvl w:ilvl="1">
        <w:start w:val="1"/>
        <w:numFmt w:val="decimal"/>
        <w:pStyle w:val="ListNumber2"/>
        <w:lvlText w:val="%1.%2."/>
        <w:lvlJc w:val="left"/>
        <w:pPr>
          <w:ind w:left="964" w:hanging="624"/>
        </w:pPr>
        <w:rPr>
          <w:rFonts w:hint="default"/>
        </w:rPr>
      </w:lvl>
    </w:lvlOverride>
    <w:lvlOverride w:ilvl="2">
      <w:lvl w:ilvl="2">
        <w:start w:val="1"/>
        <w:numFmt w:val="decimal"/>
        <w:pStyle w:val="ListNumber3"/>
        <w:lvlText w:val="%1.%2.%3."/>
        <w:lvlJc w:val="left"/>
        <w:pPr>
          <w:ind w:left="1758" w:hanging="794"/>
        </w:pPr>
        <w:rPr>
          <w:rFonts w:hint="default"/>
        </w:rPr>
      </w:lvl>
    </w:lvlOverride>
    <w:lvlOverride w:ilvl="3">
      <w:lvl w:ilvl="3">
        <w:start w:val="1"/>
        <w:numFmt w:val="decimal"/>
        <w:pStyle w:val="ListNumber4"/>
        <w:lvlText w:val="%1.%2.%3.%4."/>
        <w:lvlJc w:val="left"/>
        <w:pPr>
          <w:ind w:left="2722" w:hanging="964"/>
        </w:pPr>
        <w:rPr>
          <w:rFonts w:hint="default"/>
        </w:rPr>
      </w:lvl>
    </w:lvlOverride>
    <w:lvlOverride w:ilvl="4">
      <w:lvl w:ilvl="4">
        <w:start w:val="1"/>
        <w:numFmt w:val="decimal"/>
        <w:lvlText w:val="%1.%2.%3.%4.%5."/>
        <w:lvlJc w:val="left"/>
        <w:pPr>
          <w:ind w:left="2892" w:hanging="1134"/>
        </w:pPr>
        <w:rPr>
          <w:rFonts w:hint="default"/>
        </w:rPr>
      </w:lvl>
    </w:lvlOverride>
    <w:lvlOverride w:ilvl="5">
      <w:lvl w:ilvl="5">
        <w:start w:val="1"/>
        <w:numFmt w:val="decimal"/>
        <w:lvlText w:val="%1.%2.%3.%4.%5.%6."/>
        <w:lvlJc w:val="left"/>
        <w:pPr>
          <w:ind w:left="3119" w:hanging="1361"/>
        </w:pPr>
        <w:rPr>
          <w:rFonts w:hint="default"/>
        </w:rPr>
      </w:lvl>
    </w:lvlOverride>
    <w:lvlOverride w:ilvl="6">
      <w:lvl w:ilvl="6">
        <w:start w:val="1"/>
        <w:numFmt w:val="decimal"/>
        <w:lvlText w:val="%1.%2.%3.%4.%5.%6.%7."/>
        <w:lvlJc w:val="left"/>
        <w:pPr>
          <w:ind w:left="3289" w:hanging="1531"/>
        </w:pPr>
        <w:rPr>
          <w:rFonts w:hint="default"/>
        </w:rPr>
      </w:lvl>
    </w:lvlOverride>
    <w:lvlOverride w:ilvl="7">
      <w:lvl w:ilvl="7">
        <w:start w:val="1"/>
        <w:numFmt w:val="decimal"/>
        <w:lvlText w:val="%1.%2.%3.%4.%5.%6.%7.%8."/>
        <w:lvlJc w:val="left"/>
        <w:pPr>
          <w:ind w:left="3459" w:hanging="1701"/>
        </w:pPr>
        <w:rPr>
          <w:rFonts w:hint="default"/>
        </w:rPr>
      </w:lvl>
    </w:lvlOverride>
    <w:lvlOverride w:ilvl="8">
      <w:lvl w:ilvl="8">
        <w:start w:val="1"/>
        <w:numFmt w:val="decimal"/>
        <w:lvlText w:val="%1.%2.%3.%4.%5.%6.%7.%8.%9."/>
        <w:lvlJc w:val="left"/>
        <w:pPr>
          <w:ind w:left="3686" w:hanging="1928"/>
        </w:pPr>
        <w:rPr>
          <w:rFonts w:hint="default"/>
        </w:rPr>
      </w:lvl>
    </w:lvlOverride>
  </w:num>
  <w:num w:numId="10" w16cid:durableId="795753132">
    <w:abstractNumId w:val="44"/>
    <w:lvlOverride w:ilvl="0">
      <w:startOverride w:val="1"/>
    </w:lvlOverride>
  </w:num>
  <w:num w:numId="11" w16cid:durableId="1803116359">
    <w:abstractNumId w:val="49"/>
    <w:lvlOverride w:ilvl="0">
      <w:lvl w:ilvl="0">
        <w:start w:val="1"/>
        <w:numFmt w:val="decimal"/>
        <w:pStyle w:val="Heading1"/>
        <w:lvlText w:val="%1."/>
        <w:lvlJc w:val="left"/>
        <w:pPr>
          <w:ind w:left="851" w:hanging="851"/>
        </w:pPr>
        <w:rPr>
          <w:rFonts w:asciiTheme="majorHAnsi" w:hAnsiTheme="majorHAnsi" w:cstheme="majorHAnsi" w:hint="default"/>
        </w:rPr>
      </w:lvl>
    </w:lvlOverride>
    <w:lvlOverride w:ilvl="1">
      <w:lvl w:ilvl="1">
        <w:start w:val="1"/>
        <w:numFmt w:val="decimal"/>
        <w:pStyle w:val="Heading2"/>
        <w:lvlText w:val="%1.%2."/>
        <w:lvlJc w:val="left"/>
        <w:pPr>
          <w:ind w:left="851" w:hanging="851"/>
        </w:pPr>
        <w:rPr>
          <w:rFonts w:asciiTheme="majorHAnsi" w:hAnsiTheme="majorHAnsi" w:cstheme="majorHAnsi" w:hint="default"/>
          <w:b/>
          <w:bCs/>
        </w:rPr>
      </w:lvl>
    </w:lvlOverride>
  </w:num>
  <w:num w:numId="12" w16cid:durableId="2120832633">
    <w:abstractNumId w:val="14"/>
  </w:num>
  <w:num w:numId="13" w16cid:durableId="1539200993">
    <w:abstractNumId w:val="41"/>
  </w:num>
  <w:num w:numId="14" w16cid:durableId="1638146639">
    <w:abstractNumId w:val="34"/>
  </w:num>
  <w:num w:numId="15" w16cid:durableId="1665818094">
    <w:abstractNumId w:val="19"/>
  </w:num>
  <w:num w:numId="16" w16cid:durableId="1469127646">
    <w:abstractNumId w:val="10"/>
  </w:num>
  <w:num w:numId="17" w16cid:durableId="1506364882">
    <w:abstractNumId w:val="48"/>
  </w:num>
  <w:num w:numId="18" w16cid:durableId="408190709">
    <w:abstractNumId w:val="20"/>
  </w:num>
  <w:num w:numId="19" w16cid:durableId="1988898131">
    <w:abstractNumId w:val="30"/>
    <w:lvlOverride w:ilvl="0">
      <w:lvl w:ilvl="0">
        <w:start w:val="1"/>
        <w:numFmt w:val="upperLetter"/>
        <w:pStyle w:val="Appendix1"/>
        <w:lvlText w:val="Appendix %1"/>
        <w:lvlJc w:val="left"/>
        <w:pPr>
          <w:tabs>
            <w:tab w:val="num" w:pos="3402"/>
          </w:tabs>
          <w:ind w:left="3402" w:hanging="3402"/>
        </w:pPr>
        <w:rPr>
          <w:rFonts w:asciiTheme="majorHAnsi" w:hAnsiTheme="majorHAnsi" w:cstheme="majorHAnsi" w:hint="default"/>
          <w:b/>
          <w:bCs/>
          <w:i w:val="0"/>
          <w:color w:val="auto"/>
          <w:sz w:val="48"/>
        </w:rPr>
      </w:lvl>
    </w:lvlOverride>
    <w:lvlOverride w:ilvl="1">
      <w:lvl w:ilvl="1">
        <w:numFmt w:val="decimal"/>
        <w:lvlRestart w:val="0"/>
        <w:lvlText w:val="%1.%2"/>
        <w:lvlJc w:val="left"/>
        <w:pPr>
          <w:ind w:left="1701" w:hanging="1701"/>
        </w:pPr>
        <w:rPr>
          <w:rFonts w:ascii="Arial" w:hAnsi="Arial" w:hint="default"/>
          <w:b w:val="0"/>
          <w:i w:val="0"/>
          <w:sz w:val="26"/>
        </w:rPr>
      </w:lvl>
    </w:lvlOverride>
    <w:lvlOverride w:ilvl="2">
      <w:lvl w:ilvl="2">
        <w:numFmt w:val="decimal"/>
        <w:lvlRestart w:val="0"/>
        <w:lvlText w:val="%1.%2.%3"/>
        <w:lvlJc w:val="left"/>
        <w:pPr>
          <w:ind w:left="1701" w:hanging="1701"/>
        </w:pPr>
        <w:rPr>
          <w:rFonts w:ascii="Arial" w:hAnsi="Arial" w:hint="default"/>
          <w:b w:val="0"/>
          <w:i w:val="0"/>
          <w:sz w:val="24"/>
        </w:rPr>
      </w:lvl>
    </w:lvlOverride>
    <w:lvlOverride w:ilvl="3">
      <w:lvl w:ilvl="3">
        <w:numFmt w:val="decimal"/>
        <w:lvlRestart w:val="0"/>
        <w:lvlText w:val="%1.%2.%3.%4"/>
        <w:lvlJc w:val="left"/>
        <w:pPr>
          <w:ind w:left="1701" w:hanging="1701"/>
        </w:pPr>
        <w:rPr>
          <w:rFonts w:ascii="Arial" w:hAnsi="Arial" w:hint="default"/>
          <w:b w:val="0"/>
          <w:i w:val="0"/>
          <w:sz w:val="22"/>
        </w:rPr>
      </w:lvl>
    </w:lvlOverride>
    <w:lvlOverride w:ilvl="4">
      <w:lvl w:ilvl="4">
        <w:numFmt w:val="none"/>
        <w:lvlRestart w:val="0"/>
        <w:suff w:val="nothing"/>
        <w:lvlText w:val=""/>
        <w:lvlJc w:val="left"/>
        <w:pPr>
          <w:ind w:left="0" w:firstLine="0"/>
        </w:pPr>
        <w:rPr>
          <w:rFonts w:hint="default"/>
        </w:rPr>
      </w:lvl>
    </w:lvlOverride>
    <w:lvlOverride w:ilvl="5">
      <w:lvl w:ilvl="5">
        <w:numFmt w:val="none"/>
        <w:lvlRestart w:val="0"/>
        <w:suff w:val="nothing"/>
        <w:lvlText w:val=""/>
        <w:lvlJc w:val="left"/>
        <w:pPr>
          <w:ind w:left="0" w:firstLine="0"/>
        </w:pPr>
        <w:rPr>
          <w:rFonts w:hint="default"/>
        </w:rPr>
      </w:lvl>
    </w:lvlOverride>
    <w:lvlOverride w:ilvl="6">
      <w:lvl w:ilvl="6">
        <w:numFmt w:val="none"/>
        <w:lvlRestart w:val="0"/>
        <w:suff w:val="nothing"/>
        <w:lvlText w:val=""/>
        <w:lvlJc w:val="left"/>
        <w:pPr>
          <w:ind w:left="0" w:firstLine="0"/>
        </w:pPr>
        <w:rPr>
          <w:rFonts w:hint="default"/>
        </w:rPr>
      </w:lvl>
    </w:lvlOverride>
    <w:lvlOverride w:ilvl="7">
      <w:lvl w:ilvl="7">
        <w:numFmt w:val="none"/>
        <w:lvlRestart w:val="0"/>
        <w:suff w:val="nothing"/>
        <w:lvlText w:val=""/>
        <w:lvlJc w:val="left"/>
        <w:pPr>
          <w:ind w:left="0" w:firstLine="0"/>
        </w:pPr>
        <w:rPr>
          <w:rFonts w:hint="default"/>
        </w:rPr>
      </w:lvl>
    </w:lvlOverride>
    <w:lvlOverride w:ilvl="8">
      <w:lvl w:ilvl="8">
        <w:numFmt w:val="none"/>
        <w:lvlRestart w:val="0"/>
        <w:suff w:val="nothing"/>
        <w:lvlText w:val=""/>
        <w:lvlJc w:val="left"/>
        <w:pPr>
          <w:ind w:left="0" w:firstLine="0"/>
        </w:pPr>
        <w:rPr>
          <w:rFonts w:hint="default"/>
        </w:rPr>
      </w:lvl>
    </w:lvlOverride>
  </w:num>
  <w:num w:numId="20" w16cid:durableId="874082365">
    <w:abstractNumId w:val="45"/>
  </w:num>
  <w:num w:numId="21" w16cid:durableId="799347102">
    <w:abstractNumId w:val="6"/>
  </w:num>
  <w:num w:numId="22" w16cid:durableId="1762753600">
    <w:abstractNumId w:val="33"/>
  </w:num>
  <w:num w:numId="23" w16cid:durableId="1524662232">
    <w:abstractNumId w:val="23"/>
  </w:num>
  <w:num w:numId="24" w16cid:durableId="1483739597">
    <w:abstractNumId w:val="35"/>
  </w:num>
  <w:num w:numId="25" w16cid:durableId="1151677253">
    <w:abstractNumId w:val="9"/>
  </w:num>
  <w:num w:numId="26" w16cid:durableId="457453265">
    <w:abstractNumId w:val="16"/>
  </w:num>
  <w:num w:numId="27" w16cid:durableId="1924559315">
    <w:abstractNumId w:val="8"/>
  </w:num>
  <w:num w:numId="28" w16cid:durableId="904536556">
    <w:abstractNumId w:val="17"/>
  </w:num>
  <w:num w:numId="29" w16cid:durableId="1577471582">
    <w:abstractNumId w:val="12"/>
  </w:num>
  <w:num w:numId="30" w16cid:durableId="368728251">
    <w:abstractNumId w:val="50"/>
  </w:num>
  <w:num w:numId="31" w16cid:durableId="1842819727">
    <w:abstractNumId w:val="42"/>
  </w:num>
  <w:num w:numId="32" w16cid:durableId="1474181186">
    <w:abstractNumId w:val="3"/>
  </w:num>
  <w:num w:numId="33" w16cid:durableId="604314808">
    <w:abstractNumId w:val="13"/>
  </w:num>
  <w:num w:numId="34" w16cid:durableId="1374110219">
    <w:abstractNumId w:val="22"/>
  </w:num>
  <w:num w:numId="35" w16cid:durableId="1951155998">
    <w:abstractNumId w:val="7"/>
  </w:num>
  <w:num w:numId="36" w16cid:durableId="732393717">
    <w:abstractNumId w:val="21"/>
  </w:num>
  <w:num w:numId="37" w16cid:durableId="1390569992">
    <w:abstractNumId w:val="25"/>
  </w:num>
  <w:num w:numId="38" w16cid:durableId="1288514681">
    <w:abstractNumId w:val="32"/>
  </w:num>
  <w:num w:numId="39" w16cid:durableId="803693356">
    <w:abstractNumId w:val="31"/>
  </w:num>
  <w:num w:numId="40" w16cid:durableId="714736759">
    <w:abstractNumId w:val="29"/>
  </w:num>
  <w:num w:numId="41" w16cid:durableId="1357778287">
    <w:abstractNumId w:val="26"/>
  </w:num>
  <w:num w:numId="42" w16cid:durableId="74211905">
    <w:abstractNumId w:val="18"/>
  </w:num>
  <w:num w:numId="43" w16cid:durableId="298146588">
    <w:abstractNumId w:val="43"/>
  </w:num>
  <w:num w:numId="44" w16cid:durableId="75982591">
    <w:abstractNumId w:val="40"/>
  </w:num>
  <w:num w:numId="45" w16cid:durableId="587270967">
    <w:abstractNumId w:val="47"/>
  </w:num>
  <w:num w:numId="46" w16cid:durableId="104661053">
    <w:abstractNumId w:val="4"/>
  </w:num>
  <w:num w:numId="47" w16cid:durableId="576133182">
    <w:abstractNumId w:val="24"/>
  </w:num>
  <w:num w:numId="48" w16cid:durableId="1129324506">
    <w:abstractNumId w:val="0"/>
  </w:num>
  <w:num w:numId="49" w16cid:durableId="226693804">
    <w:abstractNumId w:val="5"/>
    <w:lvlOverride w:ilvl="0">
      <w:lvl w:ilvl="0">
        <w:start w:val="1"/>
        <w:numFmt w:val="upperLetter"/>
        <w:lvlText w:val="Appendix %1"/>
        <w:lvlJc w:val="left"/>
        <w:pPr>
          <w:tabs>
            <w:tab w:val="num" w:pos="3402"/>
          </w:tabs>
          <w:ind w:left="3402" w:hanging="3402"/>
        </w:pPr>
        <w:rPr>
          <w:rFonts w:ascii="Flama Cond Bold" w:hAnsi="Flama Cond Bold" w:hint="default"/>
          <w:b w:val="0"/>
          <w:i w:val="0"/>
          <w:color w:val="auto"/>
          <w:sz w:val="48"/>
        </w:rPr>
      </w:lvl>
    </w:lvlOverride>
  </w:num>
  <w:num w:numId="50" w16cid:durableId="1220634510">
    <w:abstractNumId w:val="38"/>
  </w:num>
  <w:num w:numId="51" w16cid:durableId="1218399164">
    <w:abstractNumId w:val="14"/>
    <w:lvlOverride w:ilvl="0">
      <w:startOverride w:val="1"/>
      <w:lvl w:ilvl="0">
        <w:start w:val="1"/>
        <w:numFmt w:val="decimal"/>
        <w:pStyle w:val="ListNumber"/>
        <w:lvlText w:val="%1."/>
        <w:lvlJc w:val="left"/>
        <w:pPr>
          <w:ind w:left="340" w:hanging="340"/>
        </w:pPr>
        <w:rPr>
          <w:rFonts w:ascii="Arial" w:hAnsi="Arial" w:cs="Arial" w:hint="default"/>
        </w:rPr>
      </w:lvl>
    </w:lvlOverride>
    <w:lvlOverride w:ilvl="1">
      <w:startOverride w:val="1"/>
      <w:lvl w:ilvl="1">
        <w:start w:val="1"/>
        <w:numFmt w:val="decimal"/>
        <w:pStyle w:val="ListNumber2"/>
        <w:lvlText w:val="%1.%2."/>
        <w:lvlJc w:val="left"/>
        <w:pPr>
          <w:ind w:left="964" w:hanging="624"/>
        </w:pPr>
        <w:rPr>
          <w:rFonts w:hint="default"/>
        </w:rPr>
      </w:lvl>
    </w:lvlOverride>
    <w:lvlOverride w:ilvl="2">
      <w:startOverride w:val="1"/>
      <w:lvl w:ilvl="2">
        <w:start w:val="1"/>
        <w:numFmt w:val="decimal"/>
        <w:pStyle w:val="ListNumber3"/>
        <w:lvlText w:val="%1.%2.%3."/>
        <w:lvlJc w:val="left"/>
        <w:pPr>
          <w:ind w:left="1758" w:hanging="794"/>
        </w:pPr>
        <w:rPr>
          <w:rFonts w:hint="default"/>
        </w:rPr>
      </w:lvl>
    </w:lvlOverride>
    <w:lvlOverride w:ilvl="3">
      <w:startOverride w:val="1"/>
      <w:lvl w:ilvl="3">
        <w:start w:val="1"/>
        <w:numFmt w:val="decimal"/>
        <w:pStyle w:val="ListNumber4"/>
        <w:lvlText w:val="%1.%2.%3.%4."/>
        <w:lvlJc w:val="left"/>
        <w:pPr>
          <w:ind w:left="2722" w:hanging="964"/>
        </w:pPr>
        <w:rPr>
          <w:rFonts w:hint="default"/>
        </w:rPr>
      </w:lvl>
    </w:lvlOverride>
    <w:lvlOverride w:ilvl="4">
      <w:startOverride w:val="1"/>
      <w:lvl w:ilvl="4">
        <w:start w:val="1"/>
        <w:numFmt w:val="decimal"/>
        <w:lvlText w:val="%1.%2.%3.%4.%5."/>
        <w:lvlJc w:val="left"/>
        <w:pPr>
          <w:ind w:left="2892" w:hanging="1134"/>
        </w:pPr>
        <w:rPr>
          <w:rFonts w:hint="default"/>
        </w:rPr>
      </w:lvl>
    </w:lvlOverride>
    <w:lvlOverride w:ilvl="5">
      <w:startOverride w:val="1"/>
      <w:lvl w:ilvl="5">
        <w:start w:val="1"/>
        <w:numFmt w:val="decimal"/>
        <w:lvlText w:val="%1.%2.%3.%4.%5.%6."/>
        <w:lvlJc w:val="left"/>
        <w:pPr>
          <w:ind w:left="3119" w:hanging="1361"/>
        </w:pPr>
        <w:rPr>
          <w:rFonts w:hint="default"/>
        </w:rPr>
      </w:lvl>
    </w:lvlOverride>
    <w:lvlOverride w:ilvl="6">
      <w:startOverride w:val="1"/>
      <w:lvl w:ilvl="6">
        <w:start w:val="1"/>
        <w:numFmt w:val="decimal"/>
        <w:lvlText w:val="%1.%2.%3.%4.%5.%6.%7."/>
        <w:lvlJc w:val="left"/>
        <w:pPr>
          <w:ind w:left="3289" w:hanging="1531"/>
        </w:pPr>
        <w:rPr>
          <w:rFonts w:hint="default"/>
        </w:rPr>
      </w:lvl>
    </w:lvlOverride>
    <w:lvlOverride w:ilvl="7">
      <w:startOverride w:val="1"/>
      <w:lvl w:ilvl="7">
        <w:start w:val="1"/>
        <w:numFmt w:val="decimal"/>
        <w:lvlText w:val="%1.%2.%3.%4.%5.%6.%7.%8."/>
        <w:lvlJc w:val="left"/>
        <w:pPr>
          <w:ind w:left="3459" w:hanging="1701"/>
        </w:pPr>
        <w:rPr>
          <w:rFonts w:hint="default"/>
        </w:rPr>
      </w:lvl>
    </w:lvlOverride>
    <w:lvlOverride w:ilvl="8">
      <w:startOverride w:val="1"/>
      <w:lvl w:ilvl="8">
        <w:start w:val="1"/>
        <w:numFmt w:val="decimal"/>
        <w:lvlText w:val="%1.%2.%3.%4.%5.%6.%7.%8.%9."/>
        <w:lvlJc w:val="left"/>
        <w:pPr>
          <w:ind w:left="3686" w:hanging="1928"/>
        </w:pPr>
        <w:rPr>
          <w:rFonts w:hint="default"/>
        </w:rPr>
      </w:lvl>
    </w:lvlOverride>
  </w:num>
  <w:num w:numId="52" w16cid:durableId="505511193">
    <w:abstractNumId w:val="49"/>
  </w:num>
  <w:num w:numId="53" w16cid:durableId="966006709">
    <w:abstractNumId w:val="30"/>
    <w:lvlOverride w:ilvl="0">
      <w:lvl w:ilvl="0">
        <w:start w:val="1"/>
        <w:numFmt w:val="upperLetter"/>
        <w:pStyle w:val="Appendix1"/>
        <w:lvlText w:val="Appendix %1"/>
        <w:lvlJc w:val="left"/>
        <w:pPr>
          <w:tabs>
            <w:tab w:val="num" w:pos="3402"/>
          </w:tabs>
          <w:ind w:left="3402" w:hanging="3402"/>
        </w:pPr>
        <w:rPr>
          <w:rFonts w:asciiTheme="majorHAnsi" w:hAnsiTheme="majorHAnsi" w:cstheme="majorHAnsi" w:hint="default"/>
          <w:b/>
          <w:bCs/>
          <w:i w:val="0"/>
          <w:color w:val="auto"/>
          <w:sz w:val="48"/>
        </w:rPr>
      </w:lvl>
    </w:lvlOverride>
    <w:lvlOverride w:ilvl="1">
      <w:lvl w:ilvl="1">
        <w:start w:val="1"/>
        <w:numFmt w:val="decimal"/>
        <w:lvlRestart w:val="0"/>
        <w:lvlText w:val="%1.%2"/>
        <w:lvlJc w:val="left"/>
        <w:pPr>
          <w:ind w:left="1701" w:hanging="1701"/>
        </w:pPr>
        <w:rPr>
          <w:rFonts w:ascii="Arial" w:hAnsi="Arial" w:hint="default"/>
          <w:b w:val="0"/>
          <w:i w:val="0"/>
          <w:sz w:val="26"/>
        </w:rPr>
      </w:lvl>
    </w:lvlOverride>
    <w:lvlOverride w:ilvl="2">
      <w:lvl w:ilvl="2">
        <w:start w:val="1"/>
        <w:numFmt w:val="decimal"/>
        <w:lvlRestart w:val="0"/>
        <w:lvlText w:val="%1.%2.%3"/>
        <w:lvlJc w:val="left"/>
        <w:pPr>
          <w:ind w:left="1701" w:hanging="1701"/>
        </w:pPr>
        <w:rPr>
          <w:rFonts w:ascii="Arial" w:hAnsi="Arial" w:hint="default"/>
          <w:b w:val="0"/>
          <w:i w:val="0"/>
          <w:sz w:val="24"/>
        </w:rPr>
      </w:lvl>
    </w:lvlOverride>
    <w:lvlOverride w:ilvl="3">
      <w:lvl w:ilvl="3">
        <w:start w:val="1"/>
        <w:numFmt w:val="decimal"/>
        <w:lvlRestart w:val="0"/>
        <w:lvlText w:val="%1.%2.%3.%4"/>
        <w:lvlJc w:val="left"/>
        <w:pPr>
          <w:ind w:left="1701" w:hanging="1701"/>
        </w:pPr>
        <w:rPr>
          <w:rFonts w:ascii="Arial" w:hAnsi="Arial" w:hint="default"/>
          <w:b w:val="0"/>
          <w:i w:val="0"/>
          <w:sz w:val="22"/>
        </w:rPr>
      </w:lvl>
    </w:lvlOverride>
    <w:lvlOverride w:ilvl="4">
      <w:lvl w:ilvl="4">
        <w:start w:val="1"/>
        <w:numFmt w:val="none"/>
        <w:lvlRestart w:val="0"/>
        <w:suff w:val="nothing"/>
        <w:lvlText w:val=""/>
        <w:lvlJc w:val="left"/>
        <w:pPr>
          <w:ind w:left="0" w:firstLine="0"/>
        </w:pPr>
        <w:rPr>
          <w:rFonts w:hint="default"/>
        </w:rPr>
      </w:lvl>
    </w:lvlOverride>
    <w:lvlOverride w:ilvl="5">
      <w:lvl w:ilvl="5">
        <w:start w:val="1"/>
        <w:numFmt w:val="none"/>
        <w:lvlRestart w:val="0"/>
        <w:suff w:val="nothing"/>
        <w:lvlText w:val=""/>
        <w:lvlJc w:val="left"/>
        <w:pPr>
          <w:ind w:left="0" w:firstLine="0"/>
        </w:pPr>
        <w:rPr>
          <w:rFonts w:hint="default"/>
        </w:rPr>
      </w:lvl>
    </w:lvlOverride>
    <w:lvlOverride w:ilvl="6">
      <w:lvl w:ilvl="6">
        <w:start w:val="1"/>
        <w:numFmt w:val="none"/>
        <w:lvlRestart w:val="0"/>
        <w:suff w:val="nothing"/>
        <w:lvlText w:val=""/>
        <w:lvlJc w:val="left"/>
        <w:pPr>
          <w:ind w:left="0" w:firstLine="0"/>
        </w:pPr>
        <w:rPr>
          <w:rFonts w:hint="default"/>
        </w:rPr>
      </w:lvl>
    </w:lvlOverride>
    <w:lvlOverride w:ilvl="7">
      <w:lvl w:ilvl="7">
        <w:start w:val="1"/>
        <w:numFmt w:val="none"/>
        <w:lvlRestart w:val="0"/>
        <w:suff w:val="nothing"/>
        <w:lvlText w:val=""/>
        <w:lvlJc w:val="left"/>
        <w:pPr>
          <w:ind w:left="0" w:firstLine="0"/>
        </w:pPr>
        <w:rPr>
          <w:rFonts w:hint="default"/>
        </w:rPr>
      </w:lvl>
    </w:lvlOverride>
    <w:lvlOverride w:ilvl="8">
      <w:lvl w:ilvl="8">
        <w:start w:val="1"/>
        <w:numFmt w:val="none"/>
        <w:lvlRestart w:val="0"/>
        <w:suff w:val="nothing"/>
        <w:lvlText w:val=""/>
        <w:lvlJc w:val="left"/>
        <w:pPr>
          <w:ind w:left="0" w:firstLine="0"/>
        </w:pPr>
        <w:rPr>
          <w:rFonts w:hint="default"/>
        </w:rPr>
      </w:lvl>
    </w:lvlOverride>
  </w:num>
  <w:num w:numId="54" w16cid:durableId="1609120765">
    <w:abstractNumId w:val="11"/>
  </w:num>
  <w:num w:numId="55" w16cid:durableId="1855531980">
    <w:abstractNumId w:val="2"/>
  </w:num>
  <w:num w:numId="56" w16cid:durableId="1974361308">
    <w:abstractNumId w:val="28"/>
  </w:num>
  <w:num w:numId="57" w16cid:durableId="1340962357">
    <w:abstractNumId w:val="49"/>
    <w:lvlOverride w:ilvl="0">
      <w:lvl w:ilvl="0">
        <w:start w:val="1"/>
        <w:numFmt w:val="decimal"/>
        <w:pStyle w:val="Heading1"/>
        <w:lvlText w:val="%1."/>
        <w:lvlJc w:val="left"/>
        <w:pPr>
          <w:ind w:left="851" w:hanging="851"/>
        </w:pPr>
        <w:rPr>
          <w:rFonts w:asciiTheme="majorHAnsi" w:hAnsiTheme="majorHAnsi" w:cstheme="majorHAnsi" w:hint="default"/>
        </w:rPr>
      </w:lvl>
    </w:lvlOverride>
    <w:lvlOverride w:ilvl="1">
      <w:lvl w:ilvl="1">
        <w:start w:val="1"/>
        <w:numFmt w:val="decimal"/>
        <w:pStyle w:val="Heading2"/>
        <w:lvlText w:val="%1.%2."/>
        <w:lvlJc w:val="left"/>
        <w:pPr>
          <w:ind w:left="851" w:hanging="851"/>
        </w:pPr>
        <w:rPr>
          <w:rFonts w:asciiTheme="majorHAnsi" w:hAnsiTheme="majorHAnsi" w:cstheme="majorHAnsi" w:hint="default"/>
          <w:b/>
          <w:bCs/>
        </w:rPr>
      </w:lvl>
    </w:lvlOverride>
  </w:num>
  <w:num w:numId="58" w16cid:durableId="1860003642">
    <w:abstractNumId w:val="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mirrorMargin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304"/>
  <w:hyphenationZone w:val="425"/>
  <w:doNotHyphenateCaps/>
  <w:evenAndOddHeaders/>
  <w:characterSpacingControl w:val="doNotCompress"/>
  <w:savePreviewPicture/>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EyNTQyNrQwN7MwtrBU0lEKTi0uzszPAykwrgUA+ncV9SwAAAA="/>
  </w:docVars>
  <w:rsids>
    <w:rsidRoot w:val="009E4B94"/>
    <w:rsid w:val="00000244"/>
    <w:rsid w:val="000005AA"/>
    <w:rsid w:val="00000708"/>
    <w:rsid w:val="00000AE2"/>
    <w:rsid w:val="00000E0F"/>
    <w:rsid w:val="00000EDC"/>
    <w:rsid w:val="00001203"/>
    <w:rsid w:val="0000151E"/>
    <w:rsid w:val="00001706"/>
    <w:rsid w:val="000017AF"/>
    <w:rsid w:val="00001B10"/>
    <w:rsid w:val="00001B9A"/>
    <w:rsid w:val="00001DE6"/>
    <w:rsid w:val="00001E48"/>
    <w:rsid w:val="0000251A"/>
    <w:rsid w:val="000028F7"/>
    <w:rsid w:val="00002AF0"/>
    <w:rsid w:val="00002C78"/>
    <w:rsid w:val="00002CE2"/>
    <w:rsid w:val="00002D23"/>
    <w:rsid w:val="00002E61"/>
    <w:rsid w:val="00003021"/>
    <w:rsid w:val="00003A49"/>
    <w:rsid w:val="00003A85"/>
    <w:rsid w:val="00003E41"/>
    <w:rsid w:val="00003F48"/>
    <w:rsid w:val="000045F9"/>
    <w:rsid w:val="00004865"/>
    <w:rsid w:val="00004BE9"/>
    <w:rsid w:val="00005192"/>
    <w:rsid w:val="0000527E"/>
    <w:rsid w:val="00005485"/>
    <w:rsid w:val="000054C6"/>
    <w:rsid w:val="000054E4"/>
    <w:rsid w:val="0000556E"/>
    <w:rsid w:val="00005752"/>
    <w:rsid w:val="00005849"/>
    <w:rsid w:val="00006191"/>
    <w:rsid w:val="00006392"/>
    <w:rsid w:val="0000643C"/>
    <w:rsid w:val="000065BC"/>
    <w:rsid w:val="000069CC"/>
    <w:rsid w:val="00006D70"/>
    <w:rsid w:val="00006D93"/>
    <w:rsid w:val="00006DFA"/>
    <w:rsid w:val="00007109"/>
    <w:rsid w:val="000072FB"/>
    <w:rsid w:val="000079E0"/>
    <w:rsid w:val="00007A93"/>
    <w:rsid w:val="00007AAF"/>
    <w:rsid w:val="00007DBB"/>
    <w:rsid w:val="000100C1"/>
    <w:rsid w:val="000101CE"/>
    <w:rsid w:val="000103B4"/>
    <w:rsid w:val="000104CA"/>
    <w:rsid w:val="00010C1F"/>
    <w:rsid w:val="00010DF4"/>
    <w:rsid w:val="00010F14"/>
    <w:rsid w:val="0001106D"/>
    <w:rsid w:val="000110DD"/>
    <w:rsid w:val="000112D3"/>
    <w:rsid w:val="000113DF"/>
    <w:rsid w:val="0001168A"/>
    <w:rsid w:val="00011793"/>
    <w:rsid w:val="000117C6"/>
    <w:rsid w:val="000118AE"/>
    <w:rsid w:val="00011A78"/>
    <w:rsid w:val="00011B0E"/>
    <w:rsid w:val="00011DCE"/>
    <w:rsid w:val="00011E13"/>
    <w:rsid w:val="00011F6D"/>
    <w:rsid w:val="0001228A"/>
    <w:rsid w:val="00012678"/>
    <w:rsid w:val="00012704"/>
    <w:rsid w:val="00012EBD"/>
    <w:rsid w:val="00012F89"/>
    <w:rsid w:val="00013363"/>
    <w:rsid w:val="0001340A"/>
    <w:rsid w:val="00013B69"/>
    <w:rsid w:val="00013CB6"/>
    <w:rsid w:val="00013E71"/>
    <w:rsid w:val="00013F6A"/>
    <w:rsid w:val="00014293"/>
    <w:rsid w:val="000143FA"/>
    <w:rsid w:val="00014682"/>
    <w:rsid w:val="00014DEE"/>
    <w:rsid w:val="00014F0C"/>
    <w:rsid w:val="00015493"/>
    <w:rsid w:val="00015847"/>
    <w:rsid w:val="00015925"/>
    <w:rsid w:val="000159B4"/>
    <w:rsid w:val="000159CC"/>
    <w:rsid w:val="00015A38"/>
    <w:rsid w:val="00015BFD"/>
    <w:rsid w:val="00015EE9"/>
    <w:rsid w:val="00015F1B"/>
    <w:rsid w:val="00015F1D"/>
    <w:rsid w:val="000162CD"/>
    <w:rsid w:val="0001655D"/>
    <w:rsid w:val="0001688F"/>
    <w:rsid w:val="00016E4F"/>
    <w:rsid w:val="000172C5"/>
    <w:rsid w:val="00017339"/>
    <w:rsid w:val="000173E6"/>
    <w:rsid w:val="0001799E"/>
    <w:rsid w:val="00017D90"/>
    <w:rsid w:val="00017F0F"/>
    <w:rsid w:val="000201B5"/>
    <w:rsid w:val="0002022C"/>
    <w:rsid w:val="0002065A"/>
    <w:rsid w:val="00020DC0"/>
    <w:rsid w:val="00020E41"/>
    <w:rsid w:val="00020F05"/>
    <w:rsid w:val="000212AE"/>
    <w:rsid w:val="0002140A"/>
    <w:rsid w:val="00021B85"/>
    <w:rsid w:val="000223BD"/>
    <w:rsid w:val="00022872"/>
    <w:rsid w:val="00023338"/>
    <w:rsid w:val="0002338F"/>
    <w:rsid w:val="000236EC"/>
    <w:rsid w:val="000237BA"/>
    <w:rsid w:val="00023C7F"/>
    <w:rsid w:val="00023E34"/>
    <w:rsid w:val="000240EA"/>
    <w:rsid w:val="000241F6"/>
    <w:rsid w:val="0002437A"/>
    <w:rsid w:val="000244D4"/>
    <w:rsid w:val="000244D9"/>
    <w:rsid w:val="0002497C"/>
    <w:rsid w:val="000249FC"/>
    <w:rsid w:val="00024BB9"/>
    <w:rsid w:val="000254A4"/>
    <w:rsid w:val="000255F6"/>
    <w:rsid w:val="00025864"/>
    <w:rsid w:val="00025CFD"/>
    <w:rsid w:val="00025D64"/>
    <w:rsid w:val="00026076"/>
    <w:rsid w:val="00026318"/>
    <w:rsid w:val="000268CF"/>
    <w:rsid w:val="0002694C"/>
    <w:rsid w:val="00026963"/>
    <w:rsid w:val="000269EC"/>
    <w:rsid w:val="00026BB6"/>
    <w:rsid w:val="0002722D"/>
    <w:rsid w:val="00027780"/>
    <w:rsid w:val="00027985"/>
    <w:rsid w:val="00027A35"/>
    <w:rsid w:val="00027E5C"/>
    <w:rsid w:val="00030256"/>
    <w:rsid w:val="00030477"/>
    <w:rsid w:val="000304C4"/>
    <w:rsid w:val="00030A81"/>
    <w:rsid w:val="00030A9F"/>
    <w:rsid w:val="00030BB3"/>
    <w:rsid w:val="00030DA7"/>
    <w:rsid w:val="00030E8D"/>
    <w:rsid w:val="000314CC"/>
    <w:rsid w:val="00031556"/>
    <w:rsid w:val="000317CE"/>
    <w:rsid w:val="00032806"/>
    <w:rsid w:val="0003303B"/>
    <w:rsid w:val="000331DB"/>
    <w:rsid w:val="0003327A"/>
    <w:rsid w:val="00033537"/>
    <w:rsid w:val="000337AD"/>
    <w:rsid w:val="000337BE"/>
    <w:rsid w:val="00033BD4"/>
    <w:rsid w:val="0003407C"/>
    <w:rsid w:val="00034199"/>
    <w:rsid w:val="00034451"/>
    <w:rsid w:val="0003481A"/>
    <w:rsid w:val="00034A20"/>
    <w:rsid w:val="00034A60"/>
    <w:rsid w:val="00034DF0"/>
    <w:rsid w:val="00034F0A"/>
    <w:rsid w:val="00035255"/>
    <w:rsid w:val="0003529F"/>
    <w:rsid w:val="000359FA"/>
    <w:rsid w:val="00035BA3"/>
    <w:rsid w:val="00035C3D"/>
    <w:rsid w:val="00035D2C"/>
    <w:rsid w:val="00035F19"/>
    <w:rsid w:val="0003612A"/>
    <w:rsid w:val="00036208"/>
    <w:rsid w:val="00036318"/>
    <w:rsid w:val="0003664B"/>
    <w:rsid w:val="0003674E"/>
    <w:rsid w:val="000367EE"/>
    <w:rsid w:val="00036999"/>
    <w:rsid w:val="00036C78"/>
    <w:rsid w:val="00036E17"/>
    <w:rsid w:val="00036E64"/>
    <w:rsid w:val="0003700B"/>
    <w:rsid w:val="00037434"/>
    <w:rsid w:val="00037A45"/>
    <w:rsid w:val="00037B6C"/>
    <w:rsid w:val="00037BA1"/>
    <w:rsid w:val="00037DA3"/>
    <w:rsid w:val="00040246"/>
    <w:rsid w:val="0004049B"/>
    <w:rsid w:val="00040582"/>
    <w:rsid w:val="00040590"/>
    <w:rsid w:val="0004082C"/>
    <w:rsid w:val="000409C1"/>
    <w:rsid w:val="00040A42"/>
    <w:rsid w:val="00041402"/>
    <w:rsid w:val="000417A9"/>
    <w:rsid w:val="00041A50"/>
    <w:rsid w:val="00041A91"/>
    <w:rsid w:val="00041DC8"/>
    <w:rsid w:val="00041DD9"/>
    <w:rsid w:val="00041E0C"/>
    <w:rsid w:val="00041EFA"/>
    <w:rsid w:val="00042057"/>
    <w:rsid w:val="00042251"/>
    <w:rsid w:val="000425EA"/>
    <w:rsid w:val="00042CF8"/>
    <w:rsid w:val="00042D6E"/>
    <w:rsid w:val="00042DC8"/>
    <w:rsid w:val="00042F59"/>
    <w:rsid w:val="00042FA8"/>
    <w:rsid w:val="000431C3"/>
    <w:rsid w:val="00043368"/>
    <w:rsid w:val="0004348E"/>
    <w:rsid w:val="0004359A"/>
    <w:rsid w:val="00043979"/>
    <w:rsid w:val="00043A89"/>
    <w:rsid w:val="00043B76"/>
    <w:rsid w:val="00043F74"/>
    <w:rsid w:val="00043FFA"/>
    <w:rsid w:val="00044292"/>
    <w:rsid w:val="0004483A"/>
    <w:rsid w:val="00044861"/>
    <w:rsid w:val="00044A68"/>
    <w:rsid w:val="00044B4C"/>
    <w:rsid w:val="000452C6"/>
    <w:rsid w:val="000458DC"/>
    <w:rsid w:val="00045CA0"/>
    <w:rsid w:val="00045E48"/>
    <w:rsid w:val="00046223"/>
    <w:rsid w:val="0004670E"/>
    <w:rsid w:val="00046864"/>
    <w:rsid w:val="000468D4"/>
    <w:rsid w:val="00046DD7"/>
    <w:rsid w:val="00046F6E"/>
    <w:rsid w:val="0004715C"/>
    <w:rsid w:val="00047332"/>
    <w:rsid w:val="00047708"/>
    <w:rsid w:val="000478EE"/>
    <w:rsid w:val="00047A91"/>
    <w:rsid w:val="00047C11"/>
    <w:rsid w:val="00047CC5"/>
    <w:rsid w:val="0005048D"/>
    <w:rsid w:val="0005049E"/>
    <w:rsid w:val="00050525"/>
    <w:rsid w:val="00050AE1"/>
    <w:rsid w:val="00050B58"/>
    <w:rsid w:val="00050CC5"/>
    <w:rsid w:val="00051108"/>
    <w:rsid w:val="000513F4"/>
    <w:rsid w:val="00051EEB"/>
    <w:rsid w:val="00051F3E"/>
    <w:rsid w:val="00052185"/>
    <w:rsid w:val="00052262"/>
    <w:rsid w:val="0005236F"/>
    <w:rsid w:val="000526E5"/>
    <w:rsid w:val="00052847"/>
    <w:rsid w:val="00052D65"/>
    <w:rsid w:val="00052DC9"/>
    <w:rsid w:val="00053263"/>
    <w:rsid w:val="000535F5"/>
    <w:rsid w:val="00053C55"/>
    <w:rsid w:val="00053CF9"/>
    <w:rsid w:val="0005413A"/>
    <w:rsid w:val="0005434B"/>
    <w:rsid w:val="0005437E"/>
    <w:rsid w:val="00054434"/>
    <w:rsid w:val="0005479E"/>
    <w:rsid w:val="00054FD1"/>
    <w:rsid w:val="00055170"/>
    <w:rsid w:val="00055452"/>
    <w:rsid w:val="0005545E"/>
    <w:rsid w:val="00055604"/>
    <w:rsid w:val="00055703"/>
    <w:rsid w:val="00055769"/>
    <w:rsid w:val="00055EA1"/>
    <w:rsid w:val="000560FD"/>
    <w:rsid w:val="00056134"/>
    <w:rsid w:val="000562CC"/>
    <w:rsid w:val="00056340"/>
    <w:rsid w:val="0005658A"/>
    <w:rsid w:val="00056627"/>
    <w:rsid w:val="00056636"/>
    <w:rsid w:val="000569EC"/>
    <w:rsid w:val="00056AFF"/>
    <w:rsid w:val="00056C3B"/>
    <w:rsid w:val="00057108"/>
    <w:rsid w:val="000573DF"/>
    <w:rsid w:val="0005765D"/>
    <w:rsid w:val="0005775B"/>
    <w:rsid w:val="000577BB"/>
    <w:rsid w:val="00057838"/>
    <w:rsid w:val="00057957"/>
    <w:rsid w:val="00057BC2"/>
    <w:rsid w:val="00057D8F"/>
    <w:rsid w:val="00057DA2"/>
    <w:rsid w:val="00057FFE"/>
    <w:rsid w:val="00060180"/>
    <w:rsid w:val="0006028C"/>
    <w:rsid w:val="00060328"/>
    <w:rsid w:val="0006032F"/>
    <w:rsid w:val="00060588"/>
    <w:rsid w:val="000605A6"/>
    <w:rsid w:val="00060960"/>
    <w:rsid w:val="00060C67"/>
    <w:rsid w:val="00060C94"/>
    <w:rsid w:val="00060D45"/>
    <w:rsid w:val="00060F52"/>
    <w:rsid w:val="000611D9"/>
    <w:rsid w:val="00061294"/>
    <w:rsid w:val="00061395"/>
    <w:rsid w:val="0006139C"/>
    <w:rsid w:val="000614CB"/>
    <w:rsid w:val="00061561"/>
    <w:rsid w:val="000616DB"/>
    <w:rsid w:val="00061709"/>
    <w:rsid w:val="0006191C"/>
    <w:rsid w:val="000619F9"/>
    <w:rsid w:val="00061AB5"/>
    <w:rsid w:val="00061B36"/>
    <w:rsid w:val="00062219"/>
    <w:rsid w:val="00062382"/>
    <w:rsid w:val="000626CC"/>
    <w:rsid w:val="00062826"/>
    <w:rsid w:val="0006285E"/>
    <w:rsid w:val="00062A1B"/>
    <w:rsid w:val="00062E32"/>
    <w:rsid w:val="00062FA2"/>
    <w:rsid w:val="000630D6"/>
    <w:rsid w:val="00063251"/>
    <w:rsid w:val="000632A1"/>
    <w:rsid w:val="000633C5"/>
    <w:rsid w:val="0006347A"/>
    <w:rsid w:val="0006370E"/>
    <w:rsid w:val="00063B86"/>
    <w:rsid w:val="00063F82"/>
    <w:rsid w:val="000643B7"/>
    <w:rsid w:val="00064C6F"/>
    <w:rsid w:val="00064E0C"/>
    <w:rsid w:val="00064F77"/>
    <w:rsid w:val="000652D6"/>
    <w:rsid w:val="00065572"/>
    <w:rsid w:val="000655EF"/>
    <w:rsid w:val="00065813"/>
    <w:rsid w:val="00065A66"/>
    <w:rsid w:val="00065CFD"/>
    <w:rsid w:val="00066556"/>
    <w:rsid w:val="000665FE"/>
    <w:rsid w:val="00066619"/>
    <w:rsid w:val="00066A4E"/>
    <w:rsid w:val="00066B81"/>
    <w:rsid w:val="00066BD8"/>
    <w:rsid w:val="00066D48"/>
    <w:rsid w:val="00066F11"/>
    <w:rsid w:val="000670E9"/>
    <w:rsid w:val="000672C1"/>
    <w:rsid w:val="00067369"/>
    <w:rsid w:val="000679DD"/>
    <w:rsid w:val="00067BA8"/>
    <w:rsid w:val="00067C39"/>
    <w:rsid w:val="00067CAF"/>
    <w:rsid w:val="00067D54"/>
    <w:rsid w:val="00067D86"/>
    <w:rsid w:val="000702F9"/>
    <w:rsid w:val="000703B0"/>
    <w:rsid w:val="000705E1"/>
    <w:rsid w:val="00070610"/>
    <w:rsid w:val="0007085E"/>
    <w:rsid w:val="00070A11"/>
    <w:rsid w:val="00070B73"/>
    <w:rsid w:val="00070D5E"/>
    <w:rsid w:val="000711E7"/>
    <w:rsid w:val="0007125D"/>
    <w:rsid w:val="000714C9"/>
    <w:rsid w:val="000716B8"/>
    <w:rsid w:val="00071771"/>
    <w:rsid w:val="00071C2B"/>
    <w:rsid w:val="00071D90"/>
    <w:rsid w:val="00072469"/>
    <w:rsid w:val="0007293E"/>
    <w:rsid w:val="00072AC7"/>
    <w:rsid w:val="00072AE0"/>
    <w:rsid w:val="00072D06"/>
    <w:rsid w:val="00073201"/>
    <w:rsid w:val="0007323E"/>
    <w:rsid w:val="00073280"/>
    <w:rsid w:val="00073B6A"/>
    <w:rsid w:val="00073BF3"/>
    <w:rsid w:val="00073E6F"/>
    <w:rsid w:val="00073FE9"/>
    <w:rsid w:val="00074305"/>
    <w:rsid w:val="000744FB"/>
    <w:rsid w:val="00074695"/>
    <w:rsid w:val="000747BF"/>
    <w:rsid w:val="00074801"/>
    <w:rsid w:val="000748AE"/>
    <w:rsid w:val="00074AB7"/>
    <w:rsid w:val="00074DBD"/>
    <w:rsid w:val="00074DF0"/>
    <w:rsid w:val="000751F8"/>
    <w:rsid w:val="00075328"/>
    <w:rsid w:val="000753A7"/>
    <w:rsid w:val="000759EC"/>
    <w:rsid w:val="00075AB2"/>
    <w:rsid w:val="00075B12"/>
    <w:rsid w:val="00075B88"/>
    <w:rsid w:val="00075C50"/>
    <w:rsid w:val="00075CEB"/>
    <w:rsid w:val="00076038"/>
    <w:rsid w:val="00076144"/>
    <w:rsid w:val="0007615A"/>
    <w:rsid w:val="0007647D"/>
    <w:rsid w:val="00076537"/>
    <w:rsid w:val="00076768"/>
    <w:rsid w:val="00076897"/>
    <w:rsid w:val="0007787C"/>
    <w:rsid w:val="00077938"/>
    <w:rsid w:val="00077B48"/>
    <w:rsid w:val="00077EC1"/>
    <w:rsid w:val="00080049"/>
    <w:rsid w:val="0008039C"/>
    <w:rsid w:val="0008093D"/>
    <w:rsid w:val="00080A1C"/>
    <w:rsid w:val="00080DF4"/>
    <w:rsid w:val="00080E22"/>
    <w:rsid w:val="00080E6E"/>
    <w:rsid w:val="00080EC2"/>
    <w:rsid w:val="000810E3"/>
    <w:rsid w:val="000811FA"/>
    <w:rsid w:val="00081320"/>
    <w:rsid w:val="000813B5"/>
    <w:rsid w:val="000814EF"/>
    <w:rsid w:val="0008164A"/>
    <w:rsid w:val="00081793"/>
    <w:rsid w:val="000822AE"/>
    <w:rsid w:val="00082518"/>
    <w:rsid w:val="00082598"/>
    <w:rsid w:val="000827D0"/>
    <w:rsid w:val="00082C16"/>
    <w:rsid w:val="00082D26"/>
    <w:rsid w:val="00082E39"/>
    <w:rsid w:val="00082F96"/>
    <w:rsid w:val="0008308D"/>
    <w:rsid w:val="00083291"/>
    <w:rsid w:val="000833F7"/>
    <w:rsid w:val="00083615"/>
    <w:rsid w:val="0008364D"/>
    <w:rsid w:val="000836BC"/>
    <w:rsid w:val="00083762"/>
    <w:rsid w:val="00083B05"/>
    <w:rsid w:val="00083CE8"/>
    <w:rsid w:val="00083D47"/>
    <w:rsid w:val="00083E5A"/>
    <w:rsid w:val="00083F2F"/>
    <w:rsid w:val="00083FF3"/>
    <w:rsid w:val="000842C6"/>
    <w:rsid w:val="0008441E"/>
    <w:rsid w:val="00084540"/>
    <w:rsid w:val="000845F1"/>
    <w:rsid w:val="0008475A"/>
    <w:rsid w:val="000849A2"/>
    <w:rsid w:val="00084ACB"/>
    <w:rsid w:val="00085271"/>
    <w:rsid w:val="00085AA4"/>
    <w:rsid w:val="00085DF5"/>
    <w:rsid w:val="00085EE0"/>
    <w:rsid w:val="000860E2"/>
    <w:rsid w:val="000861BF"/>
    <w:rsid w:val="00086243"/>
    <w:rsid w:val="0008628D"/>
    <w:rsid w:val="00086335"/>
    <w:rsid w:val="000863BC"/>
    <w:rsid w:val="00086712"/>
    <w:rsid w:val="0008678D"/>
    <w:rsid w:val="000869B5"/>
    <w:rsid w:val="00086C07"/>
    <w:rsid w:val="0008703C"/>
    <w:rsid w:val="000870D1"/>
    <w:rsid w:val="00087212"/>
    <w:rsid w:val="00087300"/>
    <w:rsid w:val="0008747D"/>
    <w:rsid w:val="00087480"/>
    <w:rsid w:val="00087575"/>
    <w:rsid w:val="000878E0"/>
    <w:rsid w:val="00087A02"/>
    <w:rsid w:val="00087BF8"/>
    <w:rsid w:val="00087D78"/>
    <w:rsid w:val="00090119"/>
    <w:rsid w:val="000903B5"/>
    <w:rsid w:val="00090422"/>
    <w:rsid w:val="0009044B"/>
    <w:rsid w:val="00090A09"/>
    <w:rsid w:val="00090AD9"/>
    <w:rsid w:val="00090C12"/>
    <w:rsid w:val="00090C23"/>
    <w:rsid w:val="000910FD"/>
    <w:rsid w:val="00091107"/>
    <w:rsid w:val="00091110"/>
    <w:rsid w:val="0009112D"/>
    <w:rsid w:val="000915F5"/>
    <w:rsid w:val="0009168C"/>
    <w:rsid w:val="00091795"/>
    <w:rsid w:val="0009191E"/>
    <w:rsid w:val="00091A61"/>
    <w:rsid w:val="00091A70"/>
    <w:rsid w:val="00091C7B"/>
    <w:rsid w:val="00091D87"/>
    <w:rsid w:val="00091D96"/>
    <w:rsid w:val="00091EFF"/>
    <w:rsid w:val="0009218C"/>
    <w:rsid w:val="000923E3"/>
    <w:rsid w:val="00092583"/>
    <w:rsid w:val="000929ED"/>
    <w:rsid w:val="000930B1"/>
    <w:rsid w:val="000930B3"/>
    <w:rsid w:val="000934F7"/>
    <w:rsid w:val="00093815"/>
    <w:rsid w:val="00093D2A"/>
    <w:rsid w:val="00094058"/>
    <w:rsid w:val="000941CA"/>
    <w:rsid w:val="000943C9"/>
    <w:rsid w:val="0009443B"/>
    <w:rsid w:val="000945A1"/>
    <w:rsid w:val="00094A3B"/>
    <w:rsid w:val="00094ABD"/>
    <w:rsid w:val="00095728"/>
    <w:rsid w:val="00095D1F"/>
    <w:rsid w:val="00095FBB"/>
    <w:rsid w:val="0009612D"/>
    <w:rsid w:val="0009618A"/>
    <w:rsid w:val="0009685E"/>
    <w:rsid w:val="00096890"/>
    <w:rsid w:val="00096B81"/>
    <w:rsid w:val="00096C09"/>
    <w:rsid w:val="00096F4D"/>
    <w:rsid w:val="0009714C"/>
    <w:rsid w:val="000973B0"/>
    <w:rsid w:val="0009745F"/>
    <w:rsid w:val="000974B4"/>
    <w:rsid w:val="00097A46"/>
    <w:rsid w:val="00097BC7"/>
    <w:rsid w:val="00097E87"/>
    <w:rsid w:val="00097EFE"/>
    <w:rsid w:val="000A08D2"/>
    <w:rsid w:val="000A0C3B"/>
    <w:rsid w:val="000A0D88"/>
    <w:rsid w:val="000A0EB9"/>
    <w:rsid w:val="000A1456"/>
    <w:rsid w:val="000A15D9"/>
    <w:rsid w:val="000A16E8"/>
    <w:rsid w:val="000A1741"/>
    <w:rsid w:val="000A198D"/>
    <w:rsid w:val="000A19CF"/>
    <w:rsid w:val="000A1A15"/>
    <w:rsid w:val="000A2319"/>
    <w:rsid w:val="000A2342"/>
    <w:rsid w:val="000A2A72"/>
    <w:rsid w:val="000A2B6B"/>
    <w:rsid w:val="000A2CEF"/>
    <w:rsid w:val="000A2FC6"/>
    <w:rsid w:val="000A3434"/>
    <w:rsid w:val="000A3899"/>
    <w:rsid w:val="000A3912"/>
    <w:rsid w:val="000A3CCF"/>
    <w:rsid w:val="000A41D4"/>
    <w:rsid w:val="000A4214"/>
    <w:rsid w:val="000A4329"/>
    <w:rsid w:val="000A4413"/>
    <w:rsid w:val="000A4590"/>
    <w:rsid w:val="000A4735"/>
    <w:rsid w:val="000A47D0"/>
    <w:rsid w:val="000A4A7D"/>
    <w:rsid w:val="000A4BD7"/>
    <w:rsid w:val="000A5102"/>
    <w:rsid w:val="000A551D"/>
    <w:rsid w:val="000A55EC"/>
    <w:rsid w:val="000A5625"/>
    <w:rsid w:val="000A59FC"/>
    <w:rsid w:val="000A5AC0"/>
    <w:rsid w:val="000A5D41"/>
    <w:rsid w:val="000A61B9"/>
    <w:rsid w:val="000A63D3"/>
    <w:rsid w:val="000A6419"/>
    <w:rsid w:val="000A656B"/>
    <w:rsid w:val="000A6A4B"/>
    <w:rsid w:val="000A70B2"/>
    <w:rsid w:val="000A7122"/>
    <w:rsid w:val="000A7361"/>
    <w:rsid w:val="000A7368"/>
    <w:rsid w:val="000A7582"/>
    <w:rsid w:val="000A762F"/>
    <w:rsid w:val="000A7C3B"/>
    <w:rsid w:val="000A7DB4"/>
    <w:rsid w:val="000A7EF0"/>
    <w:rsid w:val="000A7EF2"/>
    <w:rsid w:val="000A7F00"/>
    <w:rsid w:val="000B00C0"/>
    <w:rsid w:val="000B035F"/>
    <w:rsid w:val="000B0ACF"/>
    <w:rsid w:val="000B0CC9"/>
    <w:rsid w:val="000B0D7D"/>
    <w:rsid w:val="000B0F02"/>
    <w:rsid w:val="000B120C"/>
    <w:rsid w:val="000B1228"/>
    <w:rsid w:val="000B15B6"/>
    <w:rsid w:val="000B1F04"/>
    <w:rsid w:val="000B2079"/>
    <w:rsid w:val="000B22CB"/>
    <w:rsid w:val="000B2801"/>
    <w:rsid w:val="000B28F1"/>
    <w:rsid w:val="000B2B64"/>
    <w:rsid w:val="000B2B8A"/>
    <w:rsid w:val="000B2CA0"/>
    <w:rsid w:val="000B2E92"/>
    <w:rsid w:val="000B3043"/>
    <w:rsid w:val="000B337F"/>
    <w:rsid w:val="000B3525"/>
    <w:rsid w:val="000B3685"/>
    <w:rsid w:val="000B47B3"/>
    <w:rsid w:val="000B481E"/>
    <w:rsid w:val="000B4895"/>
    <w:rsid w:val="000B4949"/>
    <w:rsid w:val="000B4D33"/>
    <w:rsid w:val="000B4F8F"/>
    <w:rsid w:val="000B53AD"/>
    <w:rsid w:val="000B584D"/>
    <w:rsid w:val="000B58BB"/>
    <w:rsid w:val="000B5954"/>
    <w:rsid w:val="000B5E70"/>
    <w:rsid w:val="000B5F17"/>
    <w:rsid w:val="000B6036"/>
    <w:rsid w:val="000B63E1"/>
    <w:rsid w:val="000B65D5"/>
    <w:rsid w:val="000B675A"/>
    <w:rsid w:val="000B6821"/>
    <w:rsid w:val="000B6941"/>
    <w:rsid w:val="000B6B13"/>
    <w:rsid w:val="000B6C14"/>
    <w:rsid w:val="000B6C6A"/>
    <w:rsid w:val="000B6D5C"/>
    <w:rsid w:val="000B78EF"/>
    <w:rsid w:val="000B7991"/>
    <w:rsid w:val="000B7D57"/>
    <w:rsid w:val="000B7E9C"/>
    <w:rsid w:val="000C00B2"/>
    <w:rsid w:val="000C01BD"/>
    <w:rsid w:val="000C0B44"/>
    <w:rsid w:val="000C0D62"/>
    <w:rsid w:val="000C0EDF"/>
    <w:rsid w:val="000C10C4"/>
    <w:rsid w:val="000C1312"/>
    <w:rsid w:val="000C1426"/>
    <w:rsid w:val="000C1552"/>
    <w:rsid w:val="000C1639"/>
    <w:rsid w:val="000C1BAC"/>
    <w:rsid w:val="000C1C34"/>
    <w:rsid w:val="000C1D15"/>
    <w:rsid w:val="000C1D31"/>
    <w:rsid w:val="000C1E81"/>
    <w:rsid w:val="000C2275"/>
    <w:rsid w:val="000C25E0"/>
    <w:rsid w:val="000C26BF"/>
    <w:rsid w:val="000C27CF"/>
    <w:rsid w:val="000C27F4"/>
    <w:rsid w:val="000C2A71"/>
    <w:rsid w:val="000C2B82"/>
    <w:rsid w:val="000C2BBA"/>
    <w:rsid w:val="000C2BDF"/>
    <w:rsid w:val="000C3115"/>
    <w:rsid w:val="000C36CE"/>
    <w:rsid w:val="000C38C2"/>
    <w:rsid w:val="000C3BF1"/>
    <w:rsid w:val="000C3E58"/>
    <w:rsid w:val="000C4502"/>
    <w:rsid w:val="000C4704"/>
    <w:rsid w:val="000C4756"/>
    <w:rsid w:val="000C4948"/>
    <w:rsid w:val="000C50A7"/>
    <w:rsid w:val="000C5162"/>
    <w:rsid w:val="000C53BB"/>
    <w:rsid w:val="000C5443"/>
    <w:rsid w:val="000C5AFD"/>
    <w:rsid w:val="000C5B5E"/>
    <w:rsid w:val="000C5C1A"/>
    <w:rsid w:val="000C5C79"/>
    <w:rsid w:val="000C60FB"/>
    <w:rsid w:val="000C627E"/>
    <w:rsid w:val="000C6462"/>
    <w:rsid w:val="000C646B"/>
    <w:rsid w:val="000C66C9"/>
    <w:rsid w:val="000C6748"/>
    <w:rsid w:val="000C6836"/>
    <w:rsid w:val="000C69A4"/>
    <w:rsid w:val="000C6CBC"/>
    <w:rsid w:val="000C73D7"/>
    <w:rsid w:val="000C7406"/>
    <w:rsid w:val="000C75F7"/>
    <w:rsid w:val="000C78AC"/>
    <w:rsid w:val="000C7AF6"/>
    <w:rsid w:val="000C7F7C"/>
    <w:rsid w:val="000D0260"/>
    <w:rsid w:val="000D03F9"/>
    <w:rsid w:val="000D053B"/>
    <w:rsid w:val="000D0540"/>
    <w:rsid w:val="000D0E0C"/>
    <w:rsid w:val="000D108F"/>
    <w:rsid w:val="000D1264"/>
    <w:rsid w:val="000D1E1F"/>
    <w:rsid w:val="000D1F23"/>
    <w:rsid w:val="000D2475"/>
    <w:rsid w:val="000D2694"/>
    <w:rsid w:val="000D300A"/>
    <w:rsid w:val="000D312C"/>
    <w:rsid w:val="000D338E"/>
    <w:rsid w:val="000D34C6"/>
    <w:rsid w:val="000D3925"/>
    <w:rsid w:val="000D3AC1"/>
    <w:rsid w:val="000D3B68"/>
    <w:rsid w:val="000D3BF0"/>
    <w:rsid w:val="000D3C9B"/>
    <w:rsid w:val="000D3F86"/>
    <w:rsid w:val="000D42A3"/>
    <w:rsid w:val="000D43B4"/>
    <w:rsid w:val="000D4467"/>
    <w:rsid w:val="000D447B"/>
    <w:rsid w:val="000D4515"/>
    <w:rsid w:val="000D463B"/>
    <w:rsid w:val="000D4D6D"/>
    <w:rsid w:val="000D4E60"/>
    <w:rsid w:val="000D50CD"/>
    <w:rsid w:val="000D52DE"/>
    <w:rsid w:val="000D5439"/>
    <w:rsid w:val="000D557B"/>
    <w:rsid w:val="000D55C4"/>
    <w:rsid w:val="000D5689"/>
    <w:rsid w:val="000D59F2"/>
    <w:rsid w:val="000D5BCC"/>
    <w:rsid w:val="000D5D17"/>
    <w:rsid w:val="000D5DB4"/>
    <w:rsid w:val="000D66FC"/>
    <w:rsid w:val="000D68BC"/>
    <w:rsid w:val="000D690F"/>
    <w:rsid w:val="000D6C2E"/>
    <w:rsid w:val="000D6C9B"/>
    <w:rsid w:val="000D6D5D"/>
    <w:rsid w:val="000D71DE"/>
    <w:rsid w:val="000D7975"/>
    <w:rsid w:val="000D7F92"/>
    <w:rsid w:val="000E0167"/>
    <w:rsid w:val="000E053B"/>
    <w:rsid w:val="000E0700"/>
    <w:rsid w:val="000E071C"/>
    <w:rsid w:val="000E085C"/>
    <w:rsid w:val="000E0A0F"/>
    <w:rsid w:val="000E0E8A"/>
    <w:rsid w:val="000E0F09"/>
    <w:rsid w:val="000E136C"/>
    <w:rsid w:val="000E1636"/>
    <w:rsid w:val="000E1BCA"/>
    <w:rsid w:val="000E1BCB"/>
    <w:rsid w:val="000E1BFD"/>
    <w:rsid w:val="000E1FA8"/>
    <w:rsid w:val="000E20CE"/>
    <w:rsid w:val="000E274C"/>
    <w:rsid w:val="000E290B"/>
    <w:rsid w:val="000E2AAD"/>
    <w:rsid w:val="000E2B1E"/>
    <w:rsid w:val="000E384A"/>
    <w:rsid w:val="000E3F2A"/>
    <w:rsid w:val="000E41D6"/>
    <w:rsid w:val="000E4343"/>
    <w:rsid w:val="000E485B"/>
    <w:rsid w:val="000E48BB"/>
    <w:rsid w:val="000E516C"/>
    <w:rsid w:val="000E5208"/>
    <w:rsid w:val="000E57E5"/>
    <w:rsid w:val="000E58D3"/>
    <w:rsid w:val="000E5C3E"/>
    <w:rsid w:val="000E601A"/>
    <w:rsid w:val="000E6236"/>
    <w:rsid w:val="000E63A0"/>
    <w:rsid w:val="000E65B1"/>
    <w:rsid w:val="000E65EF"/>
    <w:rsid w:val="000E667C"/>
    <w:rsid w:val="000E69EC"/>
    <w:rsid w:val="000E6BC3"/>
    <w:rsid w:val="000E6CBA"/>
    <w:rsid w:val="000E6F1C"/>
    <w:rsid w:val="000E6FCF"/>
    <w:rsid w:val="000E6FF9"/>
    <w:rsid w:val="000E7367"/>
    <w:rsid w:val="000E7839"/>
    <w:rsid w:val="000E7B9B"/>
    <w:rsid w:val="000E7C2F"/>
    <w:rsid w:val="000E7C63"/>
    <w:rsid w:val="000E7F1C"/>
    <w:rsid w:val="000F02A0"/>
    <w:rsid w:val="000F02D3"/>
    <w:rsid w:val="000F050B"/>
    <w:rsid w:val="000F0C15"/>
    <w:rsid w:val="000F0EBC"/>
    <w:rsid w:val="000F0F8D"/>
    <w:rsid w:val="000F11EE"/>
    <w:rsid w:val="000F1579"/>
    <w:rsid w:val="000F15D5"/>
    <w:rsid w:val="000F19C8"/>
    <w:rsid w:val="000F1AB7"/>
    <w:rsid w:val="000F1EDC"/>
    <w:rsid w:val="000F25E7"/>
    <w:rsid w:val="000F26F9"/>
    <w:rsid w:val="000F28EC"/>
    <w:rsid w:val="000F2AC8"/>
    <w:rsid w:val="000F2B1E"/>
    <w:rsid w:val="000F2D11"/>
    <w:rsid w:val="000F2D35"/>
    <w:rsid w:val="000F3020"/>
    <w:rsid w:val="000F3177"/>
    <w:rsid w:val="000F3293"/>
    <w:rsid w:val="000F32C3"/>
    <w:rsid w:val="000F33BF"/>
    <w:rsid w:val="000F35AB"/>
    <w:rsid w:val="000F362A"/>
    <w:rsid w:val="000F3675"/>
    <w:rsid w:val="000F383D"/>
    <w:rsid w:val="000F3E89"/>
    <w:rsid w:val="000F4368"/>
    <w:rsid w:val="000F43A8"/>
    <w:rsid w:val="000F4737"/>
    <w:rsid w:val="000F4B34"/>
    <w:rsid w:val="000F4E9E"/>
    <w:rsid w:val="000F4EF9"/>
    <w:rsid w:val="000F4F8C"/>
    <w:rsid w:val="000F4F9A"/>
    <w:rsid w:val="000F55B6"/>
    <w:rsid w:val="000F5A9B"/>
    <w:rsid w:val="000F6349"/>
    <w:rsid w:val="000F634B"/>
    <w:rsid w:val="000F63C2"/>
    <w:rsid w:val="000F65DE"/>
    <w:rsid w:val="000F6F3C"/>
    <w:rsid w:val="000F71E0"/>
    <w:rsid w:val="000F73DB"/>
    <w:rsid w:val="000F75BB"/>
    <w:rsid w:val="000F7A69"/>
    <w:rsid w:val="000F7D72"/>
    <w:rsid w:val="000F7F30"/>
    <w:rsid w:val="001003F0"/>
    <w:rsid w:val="001004EC"/>
    <w:rsid w:val="00100A52"/>
    <w:rsid w:val="00100DB9"/>
    <w:rsid w:val="00100E60"/>
    <w:rsid w:val="00101188"/>
    <w:rsid w:val="001018E3"/>
    <w:rsid w:val="001020D4"/>
    <w:rsid w:val="001022F1"/>
    <w:rsid w:val="00102491"/>
    <w:rsid w:val="00102517"/>
    <w:rsid w:val="00102822"/>
    <w:rsid w:val="001028A2"/>
    <w:rsid w:val="00102A69"/>
    <w:rsid w:val="00102CDF"/>
    <w:rsid w:val="00103447"/>
    <w:rsid w:val="00103743"/>
    <w:rsid w:val="001039C0"/>
    <w:rsid w:val="001039F0"/>
    <w:rsid w:val="00103DB3"/>
    <w:rsid w:val="0010483C"/>
    <w:rsid w:val="001049D4"/>
    <w:rsid w:val="00104A50"/>
    <w:rsid w:val="00104B80"/>
    <w:rsid w:val="00104D80"/>
    <w:rsid w:val="001051F1"/>
    <w:rsid w:val="001054B3"/>
    <w:rsid w:val="001054D0"/>
    <w:rsid w:val="00105605"/>
    <w:rsid w:val="00105607"/>
    <w:rsid w:val="0010569F"/>
    <w:rsid w:val="00105955"/>
    <w:rsid w:val="0010595C"/>
    <w:rsid w:val="00105BE4"/>
    <w:rsid w:val="00105D49"/>
    <w:rsid w:val="00106277"/>
    <w:rsid w:val="00106412"/>
    <w:rsid w:val="00106489"/>
    <w:rsid w:val="00106519"/>
    <w:rsid w:val="00106654"/>
    <w:rsid w:val="001069E9"/>
    <w:rsid w:val="00106B36"/>
    <w:rsid w:val="00106CF7"/>
    <w:rsid w:val="00106D86"/>
    <w:rsid w:val="00106F97"/>
    <w:rsid w:val="0010741C"/>
    <w:rsid w:val="001074F6"/>
    <w:rsid w:val="0010762B"/>
    <w:rsid w:val="00107E6C"/>
    <w:rsid w:val="00107F03"/>
    <w:rsid w:val="00110032"/>
    <w:rsid w:val="00110217"/>
    <w:rsid w:val="001102DF"/>
    <w:rsid w:val="001103F7"/>
    <w:rsid w:val="001105D2"/>
    <w:rsid w:val="00110657"/>
    <w:rsid w:val="00110730"/>
    <w:rsid w:val="001108B2"/>
    <w:rsid w:val="00110C5D"/>
    <w:rsid w:val="00110E65"/>
    <w:rsid w:val="00111195"/>
    <w:rsid w:val="001114C6"/>
    <w:rsid w:val="00111A37"/>
    <w:rsid w:val="00111AD3"/>
    <w:rsid w:val="00111C1E"/>
    <w:rsid w:val="0011200C"/>
    <w:rsid w:val="00112083"/>
    <w:rsid w:val="0011261C"/>
    <w:rsid w:val="001126C8"/>
    <w:rsid w:val="00112A4D"/>
    <w:rsid w:val="00112C50"/>
    <w:rsid w:val="00112E00"/>
    <w:rsid w:val="00112EF6"/>
    <w:rsid w:val="001133F1"/>
    <w:rsid w:val="00113547"/>
    <w:rsid w:val="00113659"/>
    <w:rsid w:val="001136DD"/>
    <w:rsid w:val="00114081"/>
    <w:rsid w:val="00114426"/>
    <w:rsid w:val="00114667"/>
    <w:rsid w:val="00114815"/>
    <w:rsid w:val="0011498B"/>
    <w:rsid w:val="001149A5"/>
    <w:rsid w:val="00115031"/>
    <w:rsid w:val="00115118"/>
    <w:rsid w:val="00115504"/>
    <w:rsid w:val="00115A59"/>
    <w:rsid w:val="00115E3F"/>
    <w:rsid w:val="0011610B"/>
    <w:rsid w:val="001161A0"/>
    <w:rsid w:val="00116C3B"/>
    <w:rsid w:val="0011763B"/>
    <w:rsid w:val="00117769"/>
    <w:rsid w:val="001177CA"/>
    <w:rsid w:val="001178CE"/>
    <w:rsid w:val="00117BDA"/>
    <w:rsid w:val="00117DEA"/>
    <w:rsid w:val="0012009A"/>
    <w:rsid w:val="001200CF"/>
    <w:rsid w:val="0012014D"/>
    <w:rsid w:val="0012026F"/>
    <w:rsid w:val="001203F8"/>
    <w:rsid w:val="001209FF"/>
    <w:rsid w:val="00120A4D"/>
    <w:rsid w:val="00120AD5"/>
    <w:rsid w:val="00120D7C"/>
    <w:rsid w:val="001215FD"/>
    <w:rsid w:val="001219D1"/>
    <w:rsid w:val="00121C37"/>
    <w:rsid w:val="00122531"/>
    <w:rsid w:val="001225B3"/>
    <w:rsid w:val="00122687"/>
    <w:rsid w:val="00122783"/>
    <w:rsid w:val="001228F1"/>
    <w:rsid w:val="00122C00"/>
    <w:rsid w:val="00122C8D"/>
    <w:rsid w:val="001231BC"/>
    <w:rsid w:val="001232AC"/>
    <w:rsid w:val="0012382C"/>
    <w:rsid w:val="00123A4E"/>
    <w:rsid w:val="00123AA6"/>
    <w:rsid w:val="00123AF7"/>
    <w:rsid w:val="00123E93"/>
    <w:rsid w:val="00124768"/>
    <w:rsid w:val="00124992"/>
    <w:rsid w:val="001249C6"/>
    <w:rsid w:val="001249F4"/>
    <w:rsid w:val="00124CC2"/>
    <w:rsid w:val="00124F67"/>
    <w:rsid w:val="00125459"/>
    <w:rsid w:val="001256F5"/>
    <w:rsid w:val="001258A7"/>
    <w:rsid w:val="00125C58"/>
    <w:rsid w:val="001266A2"/>
    <w:rsid w:val="0012691F"/>
    <w:rsid w:val="00126E2E"/>
    <w:rsid w:val="0012731D"/>
    <w:rsid w:val="001277E0"/>
    <w:rsid w:val="0012787C"/>
    <w:rsid w:val="00127915"/>
    <w:rsid w:val="00127A48"/>
    <w:rsid w:val="00127C6D"/>
    <w:rsid w:val="00127E44"/>
    <w:rsid w:val="001304EA"/>
    <w:rsid w:val="00130995"/>
    <w:rsid w:val="00130A4E"/>
    <w:rsid w:val="00130BCA"/>
    <w:rsid w:val="00130C94"/>
    <w:rsid w:val="00130E47"/>
    <w:rsid w:val="001313F9"/>
    <w:rsid w:val="00131524"/>
    <w:rsid w:val="0013155C"/>
    <w:rsid w:val="00131FA5"/>
    <w:rsid w:val="00132066"/>
    <w:rsid w:val="00132355"/>
    <w:rsid w:val="0013244F"/>
    <w:rsid w:val="0013272F"/>
    <w:rsid w:val="00132A7E"/>
    <w:rsid w:val="001331C9"/>
    <w:rsid w:val="0013322F"/>
    <w:rsid w:val="00133364"/>
    <w:rsid w:val="001333D3"/>
    <w:rsid w:val="00133603"/>
    <w:rsid w:val="00133743"/>
    <w:rsid w:val="00133D1B"/>
    <w:rsid w:val="00133EDF"/>
    <w:rsid w:val="00134432"/>
    <w:rsid w:val="00134563"/>
    <w:rsid w:val="00134675"/>
    <w:rsid w:val="001346AC"/>
    <w:rsid w:val="00134BA7"/>
    <w:rsid w:val="00134BE0"/>
    <w:rsid w:val="00135509"/>
    <w:rsid w:val="0013558E"/>
    <w:rsid w:val="00135668"/>
    <w:rsid w:val="00135F00"/>
    <w:rsid w:val="00135F38"/>
    <w:rsid w:val="00136399"/>
    <w:rsid w:val="001363E0"/>
    <w:rsid w:val="00136CD0"/>
    <w:rsid w:val="00136E11"/>
    <w:rsid w:val="001372E1"/>
    <w:rsid w:val="00137749"/>
    <w:rsid w:val="00137836"/>
    <w:rsid w:val="00137B11"/>
    <w:rsid w:val="00137B1E"/>
    <w:rsid w:val="00137B64"/>
    <w:rsid w:val="00137BFE"/>
    <w:rsid w:val="00137C4B"/>
    <w:rsid w:val="00137FAB"/>
    <w:rsid w:val="001401B5"/>
    <w:rsid w:val="001406D2"/>
    <w:rsid w:val="001406FD"/>
    <w:rsid w:val="00140799"/>
    <w:rsid w:val="00140B83"/>
    <w:rsid w:val="00140E05"/>
    <w:rsid w:val="00140F24"/>
    <w:rsid w:val="0014104E"/>
    <w:rsid w:val="001411EA"/>
    <w:rsid w:val="00141852"/>
    <w:rsid w:val="00141A52"/>
    <w:rsid w:val="00141E3D"/>
    <w:rsid w:val="00141EA6"/>
    <w:rsid w:val="0014271F"/>
    <w:rsid w:val="00143018"/>
    <w:rsid w:val="001438C0"/>
    <w:rsid w:val="00143978"/>
    <w:rsid w:val="00143AB7"/>
    <w:rsid w:val="0014403C"/>
    <w:rsid w:val="001441B8"/>
    <w:rsid w:val="00144386"/>
    <w:rsid w:val="00144441"/>
    <w:rsid w:val="00144525"/>
    <w:rsid w:val="00144567"/>
    <w:rsid w:val="00144619"/>
    <w:rsid w:val="00144649"/>
    <w:rsid w:val="00144950"/>
    <w:rsid w:val="001449E4"/>
    <w:rsid w:val="0014537B"/>
    <w:rsid w:val="0014545F"/>
    <w:rsid w:val="00145469"/>
    <w:rsid w:val="00145635"/>
    <w:rsid w:val="001457C0"/>
    <w:rsid w:val="00145C81"/>
    <w:rsid w:val="00145E0F"/>
    <w:rsid w:val="00145EA0"/>
    <w:rsid w:val="00146447"/>
    <w:rsid w:val="001464E6"/>
    <w:rsid w:val="001468E8"/>
    <w:rsid w:val="001474F1"/>
    <w:rsid w:val="001478A1"/>
    <w:rsid w:val="00147B51"/>
    <w:rsid w:val="00147D65"/>
    <w:rsid w:val="00147E7A"/>
    <w:rsid w:val="00147E83"/>
    <w:rsid w:val="001500A5"/>
    <w:rsid w:val="001501AB"/>
    <w:rsid w:val="001503D1"/>
    <w:rsid w:val="0015122A"/>
    <w:rsid w:val="001512D1"/>
    <w:rsid w:val="00151347"/>
    <w:rsid w:val="00151692"/>
    <w:rsid w:val="00151946"/>
    <w:rsid w:val="00151D30"/>
    <w:rsid w:val="00151DF9"/>
    <w:rsid w:val="00151F19"/>
    <w:rsid w:val="0015236D"/>
    <w:rsid w:val="00152601"/>
    <w:rsid w:val="00152B28"/>
    <w:rsid w:val="00152B99"/>
    <w:rsid w:val="001536D7"/>
    <w:rsid w:val="001537E1"/>
    <w:rsid w:val="00153987"/>
    <w:rsid w:val="001539D2"/>
    <w:rsid w:val="00153B57"/>
    <w:rsid w:val="00153C93"/>
    <w:rsid w:val="00153F41"/>
    <w:rsid w:val="001541C1"/>
    <w:rsid w:val="001544AC"/>
    <w:rsid w:val="0015461C"/>
    <w:rsid w:val="00154B67"/>
    <w:rsid w:val="00154BB2"/>
    <w:rsid w:val="00154C17"/>
    <w:rsid w:val="00154D40"/>
    <w:rsid w:val="00155332"/>
    <w:rsid w:val="00155468"/>
    <w:rsid w:val="001559A3"/>
    <w:rsid w:val="00155BD2"/>
    <w:rsid w:val="00155C1C"/>
    <w:rsid w:val="00155C8B"/>
    <w:rsid w:val="00155D30"/>
    <w:rsid w:val="00155EE7"/>
    <w:rsid w:val="001561F8"/>
    <w:rsid w:val="00156306"/>
    <w:rsid w:val="001570C9"/>
    <w:rsid w:val="001570F3"/>
    <w:rsid w:val="001571C2"/>
    <w:rsid w:val="001572D7"/>
    <w:rsid w:val="001573A7"/>
    <w:rsid w:val="00157849"/>
    <w:rsid w:val="0015792A"/>
    <w:rsid w:val="001579C9"/>
    <w:rsid w:val="00157AB9"/>
    <w:rsid w:val="00157B1A"/>
    <w:rsid w:val="00157B5C"/>
    <w:rsid w:val="00157B77"/>
    <w:rsid w:val="00157C1E"/>
    <w:rsid w:val="00160166"/>
    <w:rsid w:val="001606DC"/>
    <w:rsid w:val="001608F1"/>
    <w:rsid w:val="00160C01"/>
    <w:rsid w:val="00160D41"/>
    <w:rsid w:val="00160E21"/>
    <w:rsid w:val="001613DC"/>
    <w:rsid w:val="00161506"/>
    <w:rsid w:val="0016162C"/>
    <w:rsid w:val="00161985"/>
    <w:rsid w:val="001619F2"/>
    <w:rsid w:val="00161A7F"/>
    <w:rsid w:val="00161C59"/>
    <w:rsid w:val="0016200E"/>
    <w:rsid w:val="00162206"/>
    <w:rsid w:val="001623A0"/>
    <w:rsid w:val="001624D8"/>
    <w:rsid w:val="00162528"/>
    <w:rsid w:val="001627F4"/>
    <w:rsid w:val="00162B99"/>
    <w:rsid w:val="00162C6B"/>
    <w:rsid w:val="00162D8C"/>
    <w:rsid w:val="00162EF5"/>
    <w:rsid w:val="0016304C"/>
    <w:rsid w:val="00163116"/>
    <w:rsid w:val="001632CB"/>
    <w:rsid w:val="001633A0"/>
    <w:rsid w:val="0016365E"/>
    <w:rsid w:val="0016391E"/>
    <w:rsid w:val="00163974"/>
    <w:rsid w:val="00163A0C"/>
    <w:rsid w:val="00163A84"/>
    <w:rsid w:val="00163D76"/>
    <w:rsid w:val="00163FA3"/>
    <w:rsid w:val="0016413B"/>
    <w:rsid w:val="00164464"/>
    <w:rsid w:val="001646B7"/>
    <w:rsid w:val="0016486E"/>
    <w:rsid w:val="0016487D"/>
    <w:rsid w:val="00164C37"/>
    <w:rsid w:val="00164CA1"/>
    <w:rsid w:val="0016518D"/>
    <w:rsid w:val="00165199"/>
    <w:rsid w:val="0016541B"/>
    <w:rsid w:val="0016551B"/>
    <w:rsid w:val="00165D95"/>
    <w:rsid w:val="00165FFB"/>
    <w:rsid w:val="001661AC"/>
    <w:rsid w:val="00166419"/>
    <w:rsid w:val="001665A2"/>
    <w:rsid w:val="0016673A"/>
    <w:rsid w:val="00166751"/>
    <w:rsid w:val="001668C3"/>
    <w:rsid w:val="00166A7D"/>
    <w:rsid w:val="0016765C"/>
    <w:rsid w:val="00167A4F"/>
    <w:rsid w:val="00167B84"/>
    <w:rsid w:val="001702CE"/>
    <w:rsid w:val="00170428"/>
    <w:rsid w:val="001705F5"/>
    <w:rsid w:val="00170B7E"/>
    <w:rsid w:val="00170D1A"/>
    <w:rsid w:val="00170D35"/>
    <w:rsid w:val="00170E0C"/>
    <w:rsid w:val="001711FA"/>
    <w:rsid w:val="00171201"/>
    <w:rsid w:val="0017163F"/>
    <w:rsid w:val="001717CA"/>
    <w:rsid w:val="001719CA"/>
    <w:rsid w:val="00172542"/>
    <w:rsid w:val="001728E1"/>
    <w:rsid w:val="00172994"/>
    <w:rsid w:val="00172C48"/>
    <w:rsid w:val="0017300E"/>
    <w:rsid w:val="00173530"/>
    <w:rsid w:val="00173643"/>
    <w:rsid w:val="001736DA"/>
    <w:rsid w:val="001737BE"/>
    <w:rsid w:val="001738D5"/>
    <w:rsid w:val="00173A16"/>
    <w:rsid w:val="00173D93"/>
    <w:rsid w:val="00173DDC"/>
    <w:rsid w:val="00173F42"/>
    <w:rsid w:val="001740E3"/>
    <w:rsid w:val="00174FE7"/>
    <w:rsid w:val="00175602"/>
    <w:rsid w:val="001757D6"/>
    <w:rsid w:val="001758C8"/>
    <w:rsid w:val="001759DE"/>
    <w:rsid w:val="00175B80"/>
    <w:rsid w:val="00175BF5"/>
    <w:rsid w:val="00175EC7"/>
    <w:rsid w:val="001763C6"/>
    <w:rsid w:val="001765FA"/>
    <w:rsid w:val="00176951"/>
    <w:rsid w:val="00176970"/>
    <w:rsid w:val="00176C0E"/>
    <w:rsid w:val="00176CAE"/>
    <w:rsid w:val="00176F12"/>
    <w:rsid w:val="00177470"/>
    <w:rsid w:val="001775E8"/>
    <w:rsid w:val="00177AD7"/>
    <w:rsid w:val="00177CC2"/>
    <w:rsid w:val="00180053"/>
    <w:rsid w:val="001800B5"/>
    <w:rsid w:val="001800D0"/>
    <w:rsid w:val="00180191"/>
    <w:rsid w:val="00180295"/>
    <w:rsid w:val="00180418"/>
    <w:rsid w:val="00180841"/>
    <w:rsid w:val="00180899"/>
    <w:rsid w:val="001809AC"/>
    <w:rsid w:val="00180CB6"/>
    <w:rsid w:val="00180D57"/>
    <w:rsid w:val="00180D7C"/>
    <w:rsid w:val="00180EE7"/>
    <w:rsid w:val="0018117D"/>
    <w:rsid w:val="001815BF"/>
    <w:rsid w:val="00181618"/>
    <w:rsid w:val="0018178D"/>
    <w:rsid w:val="00181B2E"/>
    <w:rsid w:val="00181FEF"/>
    <w:rsid w:val="00182060"/>
    <w:rsid w:val="0018221E"/>
    <w:rsid w:val="00182443"/>
    <w:rsid w:val="0018254B"/>
    <w:rsid w:val="00182580"/>
    <w:rsid w:val="00182651"/>
    <w:rsid w:val="0018294D"/>
    <w:rsid w:val="00182A3F"/>
    <w:rsid w:val="00182A48"/>
    <w:rsid w:val="00182B4D"/>
    <w:rsid w:val="00182E47"/>
    <w:rsid w:val="00183496"/>
    <w:rsid w:val="00183AF0"/>
    <w:rsid w:val="00183CA4"/>
    <w:rsid w:val="00183CED"/>
    <w:rsid w:val="00184502"/>
    <w:rsid w:val="00184709"/>
    <w:rsid w:val="0018471E"/>
    <w:rsid w:val="00184777"/>
    <w:rsid w:val="001847B0"/>
    <w:rsid w:val="00184837"/>
    <w:rsid w:val="00184CF0"/>
    <w:rsid w:val="00184D3B"/>
    <w:rsid w:val="00184DB7"/>
    <w:rsid w:val="00184E10"/>
    <w:rsid w:val="00185178"/>
    <w:rsid w:val="001851CE"/>
    <w:rsid w:val="001852BE"/>
    <w:rsid w:val="001855FC"/>
    <w:rsid w:val="00185731"/>
    <w:rsid w:val="0018594B"/>
    <w:rsid w:val="00185A99"/>
    <w:rsid w:val="00185C0B"/>
    <w:rsid w:val="00185F74"/>
    <w:rsid w:val="0018688B"/>
    <w:rsid w:val="001868A1"/>
    <w:rsid w:val="00186958"/>
    <w:rsid w:val="00186A0B"/>
    <w:rsid w:val="00187561"/>
    <w:rsid w:val="001875F9"/>
    <w:rsid w:val="00187B78"/>
    <w:rsid w:val="00187DFA"/>
    <w:rsid w:val="00190222"/>
    <w:rsid w:val="001902B6"/>
    <w:rsid w:val="0019055C"/>
    <w:rsid w:val="001907DE"/>
    <w:rsid w:val="001909F5"/>
    <w:rsid w:val="00190D0C"/>
    <w:rsid w:val="001915FE"/>
    <w:rsid w:val="001916BB"/>
    <w:rsid w:val="00191713"/>
    <w:rsid w:val="00191771"/>
    <w:rsid w:val="00191B1E"/>
    <w:rsid w:val="00191B93"/>
    <w:rsid w:val="00191BAD"/>
    <w:rsid w:val="00191F47"/>
    <w:rsid w:val="00192279"/>
    <w:rsid w:val="00192BEA"/>
    <w:rsid w:val="00192C93"/>
    <w:rsid w:val="0019325D"/>
    <w:rsid w:val="00193677"/>
    <w:rsid w:val="001937A2"/>
    <w:rsid w:val="00193A64"/>
    <w:rsid w:val="00193A8A"/>
    <w:rsid w:val="00193BA8"/>
    <w:rsid w:val="00193CF4"/>
    <w:rsid w:val="00193E36"/>
    <w:rsid w:val="00193FE2"/>
    <w:rsid w:val="00194009"/>
    <w:rsid w:val="0019461C"/>
    <w:rsid w:val="00194659"/>
    <w:rsid w:val="00194BAD"/>
    <w:rsid w:val="00195227"/>
    <w:rsid w:val="0019527D"/>
    <w:rsid w:val="0019555B"/>
    <w:rsid w:val="0019558D"/>
    <w:rsid w:val="001955CE"/>
    <w:rsid w:val="00195835"/>
    <w:rsid w:val="00195887"/>
    <w:rsid w:val="00195DA0"/>
    <w:rsid w:val="001966FD"/>
    <w:rsid w:val="0019683B"/>
    <w:rsid w:val="00196E02"/>
    <w:rsid w:val="00196FE5"/>
    <w:rsid w:val="0019715B"/>
    <w:rsid w:val="001972E5"/>
    <w:rsid w:val="0019757D"/>
    <w:rsid w:val="00197D8D"/>
    <w:rsid w:val="00197ECF"/>
    <w:rsid w:val="001A0313"/>
    <w:rsid w:val="001A0523"/>
    <w:rsid w:val="001A08C2"/>
    <w:rsid w:val="001A0ACA"/>
    <w:rsid w:val="001A0B2C"/>
    <w:rsid w:val="001A0B35"/>
    <w:rsid w:val="001A0BC5"/>
    <w:rsid w:val="001A0CEB"/>
    <w:rsid w:val="001A1003"/>
    <w:rsid w:val="001A1037"/>
    <w:rsid w:val="001A11D8"/>
    <w:rsid w:val="001A14B7"/>
    <w:rsid w:val="001A171B"/>
    <w:rsid w:val="001A1A3E"/>
    <w:rsid w:val="001A1B3A"/>
    <w:rsid w:val="001A1EBB"/>
    <w:rsid w:val="001A1F60"/>
    <w:rsid w:val="001A210E"/>
    <w:rsid w:val="001A21CD"/>
    <w:rsid w:val="001A259A"/>
    <w:rsid w:val="001A2734"/>
    <w:rsid w:val="001A2AC3"/>
    <w:rsid w:val="001A2B11"/>
    <w:rsid w:val="001A2BB5"/>
    <w:rsid w:val="001A2BBA"/>
    <w:rsid w:val="001A2F4B"/>
    <w:rsid w:val="001A2FFD"/>
    <w:rsid w:val="001A30C2"/>
    <w:rsid w:val="001A312F"/>
    <w:rsid w:val="001A313D"/>
    <w:rsid w:val="001A3260"/>
    <w:rsid w:val="001A3396"/>
    <w:rsid w:val="001A3A80"/>
    <w:rsid w:val="001A3B1B"/>
    <w:rsid w:val="001A3CB9"/>
    <w:rsid w:val="001A3DF6"/>
    <w:rsid w:val="001A3E26"/>
    <w:rsid w:val="001A3FBA"/>
    <w:rsid w:val="001A4519"/>
    <w:rsid w:val="001A47B3"/>
    <w:rsid w:val="001A47C8"/>
    <w:rsid w:val="001A4C5D"/>
    <w:rsid w:val="001A502C"/>
    <w:rsid w:val="001A53F8"/>
    <w:rsid w:val="001A544C"/>
    <w:rsid w:val="001A5874"/>
    <w:rsid w:val="001A5B2D"/>
    <w:rsid w:val="001A5DF3"/>
    <w:rsid w:val="001A5EE0"/>
    <w:rsid w:val="001A62BA"/>
    <w:rsid w:val="001A63AA"/>
    <w:rsid w:val="001A64D4"/>
    <w:rsid w:val="001A69C7"/>
    <w:rsid w:val="001A6B4F"/>
    <w:rsid w:val="001A6E45"/>
    <w:rsid w:val="001A7006"/>
    <w:rsid w:val="001A7172"/>
    <w:rsid w:val="001A73EC"/>
    <w:rsid w:val="001A7998"/>
    <w:rsid w:val="001A7FB4"/>
    <w:rsid w:val="001B0626"/>
    <w:rsid w:val="001B0824"/>
    <w:rsid w:val="001B0917"/>
    <w:rsid w:val="001B0AC4"/>
    <w:rsid w:val="001B0BF8"/>
    <w:rsid w:val="001B0EC3"/>
    <w:rsid w:val="001B0FB7"/>
    <w:rsid w:val="001B1334"/>
    <w:rsid w:val="001B14E3"/>
    <w:rsid w:val="001B1586"/>
    <w:rsid w:val="001B164D"/>
    <w:rsid w:val="001B18D2"/>
    <w:rsid w:val="001B1B6B"/>
    <w:rsid w:val="001B1C7E"/>
    <w:rsid w:val="001B1CCD"/>
    <w:rsid w:val="001B1E2C"/>
    <w:rsid w:val="001B1E43"/>
    <w:rsid w:val="001B209F"/>
    <w:rsid w:val="001B2196"/>
    <w:rsid w:val="001B242F"/>
    <w:rsid w:val="001B2445"/>
    <w:rsid w:val="001B24CE"/>
    <w:rsid w:val="001B2580"/>
    <w:rsid w:val="001B2DD1"/>
    <w:rsid w:val="001B3029"/>
    <w:rsid w:val="001B34C7"/>
    <w:rsid w:val="001B36FD"/>
    <w:rsid w:val="001B3790"/>
    <w:rsid w:val="001B38FF"/>
    <w:rsid w:val="001B3AC3"/>
    <w:rsid w:val="001B3C16"/>
    <w:rsid w:val="001B3CCC"/>
    <w:rsid w:val="001B3D03"/>
    <w:rsid w:val="001B3FE6"/>
    <w:rsid w:val="001B427E"/>
    <w:rsid w:val="001B4642"/>
    <w:rsid w:val="001B464C"/>
    <w:rsid w:val="001B475F"/>
    <w:rsid w:val="001B4850"/>
    <w:rsid w:val="001B48C9"/>
    <w:rsid w:val="001B4F81"/>
    <w:rsid w:val="001B509B"/>
    <w:rsid w:val="001B5115"/>
    <w:rsid w:val="001B5178"/>
    <w:rsid w:val="001B526B"/>
    <w:rsid w:val="001B569A"/>
    <w:rsid w:val="001B56D7"/>
    <w:rsid w:val="001B5769"/>
    <w:rsid w:val="001B5A61"/>
    <w:rsid w:val="001B5E7B"/>
    <w:rsid w:val="001B5E83"/>
    <w:rsid w:val="001B5EE6"/>
    <w:rsid w:val="001B6182"/>
    <w:rsid w:val="001B6213"/>
    <w:rsid w:val="001B6414"/>
    <w:rsid w:val="001B6690"/>
    <w:rsid w:val="001B67C1"/>
    <w:rsid w:val="001B6873"/>
    <w:rsid w:val="001B68A7"/>
    <w:rsid w:val="001B6BD7"/>
    <w:rsid w:val="001B6D88"/>
    <w:rsid w:val="001B6ED3"/>
    <w:rsid w:val="001B6FA5"/>
    <w:rsid w:val="001B706E"/>
    <w:rsid w:val="001B70A7"/>
    <w:rsid w:val="001B72F3"/>
    <w:rsid w:val="001B73D7"/>
    <w:rsid w:val="001B75B9"/>
    <w:rsid w:val="001B7700"/>
    <w:rsid w:val="001B7746"/>
    <w:rsid w:val="001B77D2"/>
    <w:rsid w:val="001B7998"/>
    <w:rsid w:val="001B79D6"/>
    <w:rsid w:val="001B7D90"/>
    <w:rsid w:val="001B7DEB"/>
    <w:rsid w:val="001B7E8A"/>
    <w:rsid w:val="001B7F89"/>
    <w:rsid w:val="001C01F0"/>
    <w:rsid w:val="001C04F1"/>
    <w:rsid w:val="001C070A"/>
    <w:rsid w:val="001C0B1C"/>
    <w:rsid w:val="001C0D9B"/>
    <w:rsid w:val="001C104A"/>
    <w:rsid w:val="001C1223"/>
    <w:rsid w:val="001C1F38"/>
    <w:rsid w:val="001C1F3A"/>
    <w:rsid w:val="001C1F91"/>
    <w:rsid w:val="001C1FF6"/>
    <w:rsid w:val="001C2369"/>
    <w:rsid w:val="001C28FB"/>
    <w:rsid w:val="001C2A35"/>
    <w:rsid w:val="001C2B50"/>
    <w:rsid w:val="001C2C11"/>
    <w:rsid w:val="001C2CA8"/>
    <w:rsid w:val="001C3030"/>
    <w:rsid w:val="001C30E5"/>
    <w:rsid w:val="001C3178"/>
    <w:rsid w:val="001C3325"/>
    <w:rsid w:val="001C339C"/>
    <w:rsid w:val="001C3749"/>
    <w:rsid w:val="001C3971"/>
    <w:rsid w:val="001C3F07"/>
    <w:rsid w:val="001C4322"/>
    <w:rsid w:val="001C4369"/>
    <w:rsid w:val="001C4633"/>
    <w:rsid w:val="001C46C9"/>
    <w:rsid w:val="001C46D3"/>
    <w:rsid w:val="001C48E0"/>
    <w:rsid w:val="001C49FB"/>
    <w:rsid w:val="001C4A30"/>
    <w:rsid w:val="001C4A94"/>
    <w:rsid w:val="001C4FD2"/>
    <w:rsid w:val="001C505F"/>
    <w:rsid w:val="001C51B4"/>
    <w:rsid w:val="001C5BF5"/>
    <w:rsid w:val="001C5C17"/>
    <w:rsid w:val="001C5E6B"/>
    <w:rsid w:val="001C5F02"/>
    <w:rsid w:val="001C60D8"/>
    <w:rsid w:val="001C65DD"/>
    <w:rsid w:val="001C6C8B"/>
    <w:rsid w:val="001C6F09"/>
    <w:rsid w:val="001C6F56"/>
    <w:rsid w:val="001D0219"/>
    <w:rsid w:val="001D080B"/>
    <w:rsid w:val="001D0CA7"/>
    <w:rsid w:val="001D0ED1"/>
    <w:rsid w:val="001D1188"/>
    <w:rsid w:val="001D12A1"/>
    <w:rsid w:val="001D144B"/>
    <w:rsid w:val="001D153E"/>
    <w:rsid w:val="001D1750"/>
    <w:rsid w:val="001D197D"/>
    <w:rsid w:val="001D1AD1"/>
    <w:rsid w:val="001D1B97"/>
    <w:rsid w:val="001D2072"/>
    <w:rsid w:val="001D20B6"/>
    <w:rsid w:val="001D21D3"/>
    <w:rsid w:val="001D2279"/>
    <w:rsid w:val="001D249D"/>
    <w:rsid w:val="001D24FF"/>
    <w:rsid w:val="001D2526"/>
    <w:rsid w:val="001D268E"/>
    <w:rsid w:val="001D2DA1"/>
    <w:rsid w:val="001D31E6"/>
    <w:rsid w:val="001D38EB"/>
    <w:rsid w:val="001D3C5E"/>
    <w:rsid w:val="001D3E09"/>
    <w:rsid w:val="001D3E1D"/>
    <w:rsid w:val="001D3F0F"/>
    <w:rsid w:val="001D3F1B"/>
    <w:rsid w:val="001D403E"/>
    <w:rsid w:val="001D42EF"/>
    <w:rsid w:val="001D42FA"/>
    <w:rsid w:val="001D4864"/>
    <w:rsid w:val="001D4E42"/>
    <w:rsid w:val="001D4F58"/>
    <w:rsid w:val="001D52F7"/>
    <w:rsid w:val="001D55FD"/>
    <w:rsid w:val="001D5601"/>
    <w:rsid w:val="001D56AC"/>
    <w:rsid w:val="001D5A1A"/>
    <w:rsid w:val="001D5FC5"/>
    <w:rsid w:val="001D620A"/>
    <w:rsid w:val="001D622C"/>
    <w:rsid w:val="001D62A4"/>
    <w:rsid w:val="001D67E5"/>
    <w:rsid w:val="001D6B1A"/>
    <w:rsid w:val="001D7024"/>
    <w:rsid w:val="001D726B"/>
    <w:rsid w:val="001D75B1"/>
    <w:rsid w:val="001D76D5"/>
    <w:rsid w:val="001D79F6"/>
    <w:rsid w:val="001D7C0B"/>
    <w:rsid w:val="001D7D9E"/>
    <w:rsid w:val="001E0751"/>
    <w:rsid w:val="001E0838"/>
    <w:rsid w:val="001E0B2D"/>
    <w:rsid w:val="001E0DBF"/>
    <w:rsid w:val="001E109E"/>
    <w:rsid w:val="001E168F"/>
    <w:rsid w:val="001E1713"/>
    <w:rsid w:val="001E175F"/>
    <w:rsid w:val="001E18A0"/>
    <w:rsid w:val="001E1C9C"/>
    <w:rsid w:val="001E1E2F"/>
    <w:rsid w:val="001E2140"/>
    <w:rsid w:val="001E22F4"/>
    <w:rsid w:val="001E2622"/>
    <w:rsid w:val="001E263A"/>
    <w:rsid w:val="001E2792"/>
    <w:rsid w:val="001E28EA"/>
    <w:rsid w:val="001E2FA4"/>
    <w:rsid w:val="001E3199"/>
    <w:rsid w:val="001E3243"/>
    <w:rsid w:val="001E339F"/>
    <w:rsid w:val="001E344D"/>
    <w:rsid w:val="001E35D3"/>
    <w:rsid w:val="001E416D"/>
    <w:rsid w:val="001E4218"/>
    <w:rsid w:val="001E4B7B"/>
    <w:rsid w:val="001E4C06"/>
    <w:rsid w:val="001E4C9F"/>
    <w:rsid w:val="001E4D93"/>
    <w:rsid w:val="001E4FF3"/>
    <w:rsid w:val="001E513A"/>
    <w:rsid w:val="001E5344"/>
    <w:rsid w:val="001E5989"/>
    <w:rsid w:val="001E5ACA"/>
    <w:rsid w:val="001E5D0E"/>
    <w:rsid w:val="001E5D9D"/>
    <w:rsid w:val="001E5F04"/>
    <w:rsid w:val="001E611F"/>
    <w:rsid w:val="001E6563"/>
    <w:rsid w:val="001E674E"/>
    <w:rsid w:val="001E6D66"/>
    <w:rsid w:val="001E70DB"/>
    <w:rsid w:val="001E753D"/>
    <w:rsid w:val="001E76BB"/>
    <w:rsid w:val="001E77E7"/>
    <w:rsid w:val="001E7855"/>
    <w:rsid w:val="001E7882"/>
    <w:rsid w:val="001E7AE7"/>
    <w:rsid w:val="001E7E2F"/>
    <w:rsid w:val="001F0181"/>
    <w:rsid w:val="001F0258"/>
    <w:rsid w:val="001F028B"/>
    <w:rsid w:val="001F053F"/>
    <w:rsid w:val="001F09CE"/>
    <w:rsid w:val="001F0DE3"/>
    <w:rsid w:val="001F0E56"/>
    <w:rsid w:val="001F1000"/>
    <w:rsid w:val="001F10E4"/>
    <w:rsid w:val="001F140A"/>
    <w:rsid w:val="001F1DB8"/>
    <w:rsid w:val="001F1F6A"/>
    <w:rsid w:val="001F1FA8"/>
    <w:rsid w:val="001F211A"/>
    <w:rsid w:val="001F2ACE"/>
    <w:rsid w:val="001F3609"/>
    <w:rsid w:val="001F36EA"/>
    <w:rsid w:val="001F394C"/>
    <w:rsid w:val="001F3C7C"/>
    <w:rsid w:val="001F3E02"/>
    <w:rsid w:val="001F475A"/>
    <w:rsid w:val="001F4915"/>
    <w:rsid w:val="001F4D18"/>
    <w:rsid w:val="001F4F62"/>
    <w:rsid w:val="001F5134"/>
    <w:rsid w:val="001F51F3"/>
    <w:rsid w:val="001F5493"/>
    <w:rsid w:val="001F57E3"/>
    <w:rsid w:val="001F594C"/>
    <w:rsid w:val="001F5D84"/>
    <w:rsid w:val="001F5ECF"/>
    <w:rsid w:val="001F6447"/>
    <w:rsid w:val="001F69D9"/>
    <w:rsid w:val="001F6E4F"/>
    <w:rsid w:val="001F7143"/>
    <w:rsid w:val="001F7490"/>
    <w:rsid w:val="001F74AB"/>
    <w:rsid w:val="001F7521"/>
    <w:rsid w:val="001F768D"/>
    <w:rsid w:val="001F7742"/>
    <w:rsid w:val="001F7851"/>
    <w:rsid w:val="001F7E3E"/>
    <w:rsid w:val="00200288"/>
    <w:rsid w:val="00200351"/>
    <w:rsid w:val="00200644"/>
    <w:rsid w:val="00200719"/>
    <w:rsid w:val="002008CC"/>
    <w:rsid w:val="0020115D"/>
    <w:rsid w:val="002013C7"/>
    <w:rsid w:val="0020151F"/>
    <w:rsid w:val="002015E7"/>
    <w:rsid w:val="0020173E"/>
    <w:rsid w:val="00201B70"/>
    <w:rsid w:val="00201D27"/>
    <w:rsid w:val="00201EC7"/>
    <w:rsid w:val="00201FA9"/>
    <w:rsid w:val="002020B4"/>
    <w:rsid w:val="002028EE"/>
    <w:rsid w:val="0020292E"/>
    <w:rsid w:val="00202DDE"/>
    <w:rsid w:val="00202E2B"/>
    <w:rsid w:val="00202F50"/>
    <w:rsid w:val="002036F0"/>
    <w:rsid w:val="00203BF3"/>
    <w:rsid w:val="00203C0C"/>
    <w:rsid w:val="00203C2F"/>
    <w:rsid w:val="002043AC"/>
    <w:rsid w:val="0020453C"/>
    <w:rsid w:val="00204560"/>
    <w:rsid w:val="00204B94"/>
    <w:rsid w:val="00204F2B"/>
    <w:rsid w:val="00204F55"/>
    <w:rsid w:val="00204F5B"/>
    <w:rsid w:val="00204F66"/>
    <w:rsid w:val="00204FF7"/>
    <w:rsid w:val="00205191"/>
    <w:rsid w:val="0020535D"/>
    <w:rsid w:val="00205447"/>
    <w:rsid w:val="00205486"/>
    <w:rsid w:val="0020555A"/>
    <w:rsid w:val="00205565"/>
    <w:rsid w:val="00205855"/>
    <w:rsid w:val="002058DD"/>
    <w:rsid w:val="00205B4C"/>
    <w:rsid w:val="00205CFF"/>
    <w:rsid w:val="002061FC"/>
    <w:rsid w:val="002063BE"/>
    <w:rsid w:val="002063D6"/>
    <w:rsid w:val="002064FB"/>
    <w:rsid w:val="00206834"/>
    <w:rsid w:val="00206917"/>
    <w:rsid w:val="00206A06"/>
    <w:rsid w:val="00206AE9"/>
    <w:rsid w:val="00206CE1"/>
    <w:rsid w:val="00206DCA"/>
    <w:rsid w:val="00206FBF"/>
    <w:rsid w:val="00207243"/>
    <w:rsid w:val="00207247"/>
    <w:rsid w:val="00207A76"/>
    <w:rsid w:val="00207CA6"/>
    <w:rsid w:val="00207E07"/>
    <w:rsid w:val="00210379"/>
    <w:rsid w:val="002107E4"/>
    <w:rsid w:val="0021094E"/>
    <w:rsid w:val="002109A8"/>
    <w:rsid w:val="00210DCE"/>
    <w:rsid w:val="00210DF6"/>
    <w:rsid w:val="00210FF8"/>
    <w:rsid w:val="00211327"/>
    <w:rsid w:val="002114A7"/>
    <w:rsid w:val="0021155E"/>
    <w:rsid w:val="00211CC3"/>
    <w:rsid w:val="00211F95"/>
    <w:rsid w:val="0021200F"/>
    <w:rsid w:val="0021211A"/>
    <w:rsid w:val="0021214E"/>
    <w:rsid w:val="002121E6"/>
    <w:rsid w:val="0021231F"/>
    <w:rsid w:val="00212624"/>
    <w:rsid w:val="00212B73"/>
    <w:rsid w:val="00212C79"/>
    <w:rsid w:val="00212D8D"/>
    <w:rsid w:val="00212FC9"/>
    <w:rsid w:val="0021309A"/>
    <w:rsid w:val="002132CA"/>
    <w:rsid w:val="002133FA"/>
    <w:rsid w:val="0021341C"/>
    <w:rsid w:val="0021348D"/>
    <w:rsid w:val="002134B4"/>
    <w:rsid w:val="002135A5"/>
    <w:rsid w:val="00213E65"/>
    <w:rsid w:val="00213EAA"/>
    <w:rsid w:val="00213EEF"/>
    <w:rsid w:val="00213F33"/>
    <w:rsid w:val="00213F88"/>
    <w:rsid w:val="00213FD4"/>
    <w:rsid w:val="0021424D"/>
    <w:rsid w:val="00214275"/>
    <w:rsid w:val="00214284"/>
    <w:rsid w:val="00214718"/>
    <w:rsid w:val="00214BDD"/>
    <w:rsid w:val="00214C5B"/>
    <w:rsid w:val="00214F9B"/>
    <w:rsid w:val="0021509C"/>
    <w:rsid w:val="0021509E"/>
    <w:rsid w:val="00215979"/>
    <w:rsid w:val="00215B14"/>
    <w:rsid w:val="00215ED1"/>
    <w:rsid w:val="00215F24"/>
    <w:rsid w:val="00215FA2"/>
    <w:rsid w:val="002160A9"/>
    <w:rsid w:val="002164C3"/>
    <w:rsid w:val="0021671A"/>
    <w:rsid w:val="00216F47"/>
    <w:rsid w:val="002171FB"/>
    <w:rsid w:val="00217519"/>
    <w:rsid w:val="00217797"/>
    <w:rsid w:val="00220093"/>
    <w:rsid w:val="002200D4"/>
    <w:rsid w:val="00220320"/>
    <w:rsid w:val="002203BD"/>
    <w:rsid w:val="002209A6"/>
    <w:rsid w:val="00221276"/>
    <w:rsid w:val="00221EFB"/>
    <w:rsid w:val="002222B1"/>
    <w:rsid w:val="0022240D"/>
    <w:rsid w:val="00222601"/>
    <w:rsid w:val="002226C1"/>
    <w:rsid w:val="00222ACD"/>
    <w:rsid w:val="00222BAD"/>
    <w:rsid w:val="0022315C"/>
    <w:rsid w:val="0022322F"/>
    <w:rsid w:val="002237CB"/>
    <w:rsid w:val="0022394F"/>
    <w:rsid w:val="002239B1"/>
    <w:rsid w:val="00223B06"/>
    <w:rsid w:val="00223F1E"/>
    <w:rsid w:val="002243C9"/>
    <w:rsid w:val="00224565"/>
    <w:rsid w:val="00224820"/>
    <w:rsid w:val="0022492D"/>
    <w:rsid w:val="00224A49"/>
    <w:rsid w:val="00224A88"/>
    <w:rsid w:val="00225067"/>
    <w:rsid w:val="00225099"/>
    <w:rsid w:val="002252A9"/>
    <w:rsid w:val="002253A7"/>
    <w:rsid w:val="00225510"/>
    <w:rsid w:val="00225671"/>
    <w:rsid w:val="00225757"/>
    <w:rsid w:val="0022583D"/>
    <w:rsid w:val="0022585C"/>
    <w:rsid w:val="00225AF4"/>
    <w:rsid w:val="00225D12"/>
    <w:rsid w:val="0022634B"/>
    <w:rsid w:val="0022639D"/>
    <w:rsid w:val="0022646E"/>
    <w:rsid w:val="00226A68"/>
    <w:rsid w:val="0022724D"/>
    <w:rsid w:val="002277A3"/>
    <w:rsid w:val="002279A7"/>
    <w:rsid w:val="00227B97"/>
    <w:rsid w:val="00227CC9"/>
    <w:rsid w:val="002301B3"/>
    <w:rsid w:val="00230A74"/>
    <w:rsid w:val="00230B3C"/>
    <w:rsid w:val="00230C7A"/>
    <w:rsid w:val="00231340"/>
    <w:rsid w:val="002313B0"/>
    <w:rsid w:val="00231630"/>
    <w:rsid w:val="00231644"/>
    <w:rsid w:val="00231AA3"/>
    <w:rsid w:val="00231E2B"/>
    <w:rsid w:val="00231E8A"/>
    <w:rsid w:val="00231EF3"/>
    <w:rsid w:val="002320FD"/>
    <w:rsid w:val="00232206"/>
    <w:rsid w:val="002322A0"/>
    <w:rsid w:val="0023263C"/>
    <w:rsid w:val="00232760"/>
    <w:rsid w:val="00232ACE"/>
    <w:rsid w:val="00232CD9"/>
    <w:rsid w:val="00232D92"/>
    <w:rsid w:val="00233025"/>
    <w:rsid w:val="00233330"/>
    <w:rsid w:val="002333DE"/>
    <w:rsid w:val="0023346B"/>
    <w:rsid w:val="0023376F"/>
    <w:rsid w:val="002337E4"/>
    <w:rsid w:val="00233BD1"/>
    <w:rsid w:val="00233C10"/>
    <w:rsid w:val="00233D57"/>
    <w:rsid w:val="00233F27"/>
    <w:rsid w:val="0023443B"/>
    <w:rsid w:val="002344A4"/>
    <w:rsid w:val="0023456F"/>
    <w:rsid w:val="0023498B"/>
    <w:rsid w:val="00234C63"/>
    <w:rsid w:val="00234E64"/>
    <w:rsid w:val="00234F7B"/>
    <w:rsid w:val="00235143"/>
    <w:rsid w:val="0023522C"/>
    <w:rsid w:val="002352B8"/>
    <w:rsid w:val="00235431"/>
    <w:rsid w:val="0023599E"/>
    <w:rsid w:val="00235D5B"/>
    <w:rsid w:val="00235D69"/>
    <w:rsid w:val="00235E56"/>
    <w:rsid w:val="00235EBF"/>
    <w:rsid w:val="00236124"/>
    <w:rsid w:val="00236149"/>
    <w:rsid w:val="002362D4"/>
    <w:rsid w:val="0023664B"/>
    <w:rsid w:val="00236D9D"/>
    <w:rsid w:val="00236DB7"/>
    <w:rsid w:val="00236E36"/>
    <w:rsid w:val="002370A6"/>
    <w:rsid w:val="00237432"/>
    <w:rsid w:val="002375EF"/>
    <w:rsid w:val="002377CC"/>
    <w:rsid w:val="00237876"/>
    <w:rsid w:val="00237D19"/>
    <w:rsid w:val="00237DC7"/>
    <w:rsid w:val="00237FF4"/>
    <w:rsid w:val="0024017F"/>
    <w:rsid w:val="002401DF"/>
    <w:rsid w:val="0024037E"/>
    <w:rsid w:val="00240512"/>
    <w:rsid w:val="00240980"/>
    <w:rsid w:val="00240B31"/>
    <w:rsid w:val="00240C15"/>
    <w:rsid w:val="00240ECD"/>
    <w:rsid w:val="002412C5"/>
    <w:rsid w:val="00241561"/>
    <w:rsid w:val="00241596"/>
    <w:rsid w:val="00241623"/>
    <w:rsid w:val="0024173C"/>
    <w:rsid w:val="002421C3"/>
    <w:rsid w:val="00242295"/>
    <w:rsid w:val="002422FD"/>
    <w:rsid w:val="00242356"/>
    <w:rsid w:val="002424C0"/>
    <w:rsid w:val="0024259B"/>
    <w:rsid w:val="00242674"/>
    <w:rsid w:val="00242862"/>
    <w:rsid w:val="0024286C"/>
    <w:rsid w:val="002429E4"/>
    <w:rsid w:val="00242BBD"/>
    <w:rsid w:val="00242CE7"/>
    <w:rsid w:val="00242DF0"/>
    <w:rsid w:val="002432A9"/>
    <w:rsid w:val="0024344D"/>
    <w:rsid w:val="00243F6D"/>
    <w:rsid w:val="002440B2"/>
    <w:rsid w:val="0024416D"/>
    <w:rsid w:val="00244890"/>
    <w:rsid w:val="00244D70"/>
    <w:rsid w:val="00245082"/>
    <w:rsid w:val="002452C8"/>
    <w:rsid w:val="00245501"/>
    <w:rsid w:val="002455F7"/>
    <w:rsid w:val="002459D8"/>
    <w:rsid w:val="00245FFA"/>
    <w:rsid w:val="00246C99"/>
    <w:rsid w:val="00246D1F"/>
    <w:rsid w:val="00247274"/>
    <w:rsid w:val="0024756C"/>
    <w:rsid w:val="002475B3"/>
    <w:rsid w:val="0024788E"/>
    <w:rsid w:val="00247FD9"/>
    <w:rsid w:val="00250A8B"/>
    <w:rsid w:val="00250D1E"/>
    <w:rsid w:val="00250EED"/>
    <w:rsid w:val="00250F26"/>
    <w:rsid w:val="002511CE"/>
    <w:rsid w:val="0025124A"/>
    <w:rsid w:val="002513AB"/>
    <w:rsid w:val="0025178B"/>
    <w:rsid w:val="002523BA"/>
    <w:rsid w:val="002523E7"/>
    <w:rsid w:val="0025258C"/>
    <w:rsid w:val="002527F8"/>
    <w:rsid w:val="00252AB5"/>
    <w:rsid w:val="00252CC9"/>
    <w:rsid w:val="00253105"/>
    <w:rsid w:val="0025314E"/>
    <w:rsid w:val="002536CF"/>
    <w:rsid w:val="00253C3E"/>
    <w:rsid w:val="00253DBD"/>
    <w:rsid w:val="002541FD"/>
    <w:rsid w:val="00254223"/>
    <w:rsid w:val="00254390"/>
    <w:rsid w:val="00254949"/>
    <w:rsid w:val="00254D25"/>
    <w:rsid w:val="00254D70"/>
    <w:rsid w:val="0025506C"/>
    <w:rsid w:val="00255300"/>
    <w:rsid w:val="00255561"/>
    <w:rsid w:val="0025561E"/>
    <w:rsid w:val="00255783"/>
    <w:rsid w:val="002557F6"/>
    <w:rsid w:val="00255840"/>
    <w:rsid w:val="00255EA0"/>
    <w:rsid w:val="00255EB3"/>
    <w:rsid w:val="00255F0B"/>
    <w:rsid w:val="00256474"/>
    <w:rsid w:val="002564AB"/>
    <w:rsid w:val="00256FD7"/>
    <w:rsid w:val="00257381"/>
    <w:rsid w:val="00257C44"/>
    <w:rsid w:val="00260145"/>
    <w:rsid w:val="002606B0"/>
    <w:rsid w:val="002607DB"/>
    <w:rsid w:val="00260989"/>
    <w:rsid w:val="00260ACE"/>
    <w:rsid w:val="00260C12"/>
    <w:rsid w:val="00260CEF"/>
    <w:rsid w:val="00260CF6"/>
    <w:rsid w:val="00260D27"/>
    <w:rsid w:val="00260F06"/>
    <w:rsid w:val="0026117D"/>
    <w:rsid w:val="00261626"/>
    <w:rsid w:val="00261839"/>
    <w:rsid w:val="00261EE5"/>
    <w:rsid w:val="00262050"/>
    <w:rsid w:val="002620A4"/>
    <w:rsid w:val="002622C3"/>
    <w:rsid w:val="0026240F"/>
    <w:rsid w:val="0026254F"/>
    <w:rsid w:val="002625CE"/>
    <w:rsid w:val="00262919"/>
    <w:rsid w:val="00262AFC"/>
    <w:rsid w:val="00263523"/>
    <w:rsid w:val="002636A9"/>
    <w:rsid w:val="0026372F"/>
    <w:rsid w:val="00263C3B"/>
    <w:rsid w:val="00263C42"/>
    <w:rsid w:val="00263CC8"/>
    <w:rsid w:val="00263CE6"/>
    <w:rsid w:val="00263E5A"/>
    <w:rsid w:val="002642FE"/>
    <w:rsid w:val="00264887"/>
    <w:rsid w:val="002648E2"/>
    <w:rsid w:val="00264AA3"/>
    <w:rsid w:val="00264C3D"/>
    <w:rsid w:val="00264C78"/>
    <w:rsid w:val="002655E1"/>
    <w:rsid w:val="002661D1"/>
    <w:rsid w:val="002661EF"/>
    <w:rsid w:val="002666CC"/>
    <w:rsid w:val="0026677F"/>
    <w:rsid w:val="002667E5"/>
    <w:rsid w:val="00266CB7"/>
    <w:rsid w:val="00266D08"/>
    <w:rsid w:val="00266E18"/>
    <w:rsid w:val="0026756E"/>
    <w:rsid w:val="00267849"/>
    <w:rsid w:val="00267B5A"/>
    <w:rsid w:val="00267C6F"/>
    <w:rsid w:val="00270CA9"/>
    <w:rsid w:val="00270D16"/>
    <w:rsid w:val="00270D72"/>
    <w:rsid w:val="00270DD5"/>
    <w:rsid w:val="0027126D"/>
    <w:rsid w:val="00271466"/>
    <w:rsid w:val="00271472"/>
    <w:rsid w:val="00271875"/>
    <w:rsid w:val="00271965"/>
    <w:rsid w:val="00271C1F"/>
    <w:rsid w:val="00271CC9"/>
    <w:rsid w:val="00271DBD"/>
    <w:rsid w:val="002722FD"/>
    <w:rsid w:val="00272339"/>
    <w:rsid w:val="00272541"/>
    <w:rsid w:val="00272850"/>
    <w:rsid w:val="0027285A"/>
    <w:rsid w:val="00272AD3"/>
    <w:rsid w:val="00272B8C"/>
    <w:rsid w:val="00272D00"/>
    <w:rsid w:val="00272ED1"/>
    <w:rsid w:val="00273101"/>
    <w:rsid w:val="002732CA"/>
    <w:rsid w:val="0027331B"/>
    <w:rsid w:val="0027354D"/>
    <w:rsid w:val="00274127"/>
    <w:rsid w:val="002742DA"/>
    <w:rsid w:val="0027471E"/>
    <w:rsid w:val="0027480E"/>
    <w:rsid w:val="00274A66"/>
    <w:rsid w:val="00274C28"/>
    <w:rsid w:val="00274C97"/>
    <w:rsid w:val="00275191"/>
    <w:rsid w:val="002755B9"/>
    <w:rsid w:val="00275876"/>
    <w:rsid w:val="00275B66"/>
    <w:rsid w:val="00275C5F"/>
    <w:rsid w:val="00275DF2"/>
    <w:rsid w:val="0027620F"/>
    <w:rsid w:val="00276223"/>
    <w:rsid w:val="00276287"/>
    <w:rsid w:val="002769F3"/>
    <w:rsid w:val="00276B5E"/>
    <w:rsid w:val="00276D18"/>
    <w:rsid w:val="00276EF6"/>
    <w:rsid w:val="0027714A"/>
    <w:rsid w:val="0027780F"/>
    <w:rsid w:val="00277863"/>
    <w:rsid w:val="00277E64"/>
    <w:rsid w:val="002801D8"/>
    <w:rsid w:val="002803AB"/>
    <w:rsid w:val="0028060B"/>
    <w:rsid w:val="00280709"/>
    <w:rsid w:val="00280813"/>
    <w:rsid w:val="002808FA"/>
    <w:rsid w:val="00280971"/>
    <w:rsid w:val="002809AE"/>
    <w:rsid w:val="00280A57"/>
    <w:rsid w:val="00280F72"/>
    <w:rsid w:val="00281179"/>
    <w:rsid w:val="00281953"/>
    <w:rsid w:val="00281B2E"/>
    <w:rsid w:val="00281C1A"/>
    <w:rsid w:val="002821D9"/>
    <w:rsid w:val="00282494"/>
    <w:rsid w:val="002825D7"/>
    <w:rsid w:val="0028269C"/>
    <w:rsid w:val="002828CD"/>
    <w:rsid w:val="00282A43"/>
    <w:rsid w:val="00282B80"/>
    <w:rsid w:val="00282C36"/>
    <w:rsid w:val="00282CAD"/>
    <w:rsid w:val="00282EBC"/>
    <w:rsid w:val="00282EEE"/>
    <w:rsid w:val="00283118"/>
    <w:rsid w:val="002834BF"/>
    <w:rsid w:val="002839C5"/>
    <w:rsid w:val="00283A24"/>
    <w:rsid w:val="00283AE2"/>
    <w:rsid w:val="00283B33"/>
    <w:rsid w:val="00283CAA"/>
    <w:rsid w:val="00284064"/>
    <w:rsid w:val="00284392"/>
    <w:rsid w:val="00284402"/>
    <w:rsid w:val="0028443C"/>
    <w:rsid w:val="00284515"/>
    <w:rsid w:val="002849E8"/>
    <w:rsid w:val="00284C62"/>
    <w:rsid w:val="00285089"/>
    <w:rsid w:val="002853B1"/>
    <w:rsid w:val="002855C0"/>
    <w:rsid w:val="00285ACC"/>
    <w:rsid w:val="00285BCF"/>
    <w:rsid w:val="00285C59"/>
    <w:rsid w:val="00285D23"/>
    <w:rsid w:val="0028601E"/>
    <w:rsid w:val="00286079"/>
    <w:rsid w:val="0028607D"/>
    <w:rsid w:val="00286371"/>
    <w:rsid w:val="0028678D"/>
    <w:rsid w:val="002867C2"/>
    <w:rsid w:val="0028685C"/>
    <w:rsid w:val="00286C4C"/>
    <w:rsid w:val="00286EA1"/>
    <w:rsid w:val="00286F14"/>
    <w:rsid w:val="00286F6F"/>
    <w:rsid w:val="002871AB"/>
    <w:rsid w:val="0028734E"/>
    <w:rsid w:val="002875B0"/>
    <w:rsid w:val="002878EB"/>
    <w:rsid w:val="00287951"/>
    <w:rsid w:val="00287A54"/>
    <w:rsid w:val="00287CE5"/>
    <w:rsid w:val="00287D5F"/>
    <w:rsid w:val="00287DC4"/>
    <w:rsid w:val="00287EB8"/>
    <w:rsid w:val="00287F29"/>
    <w:rsid w:val="0029018A"/>
    <w:rsid w:val="0029083E"/>
    <w:rsid w:val="0029097A"/>
    <w:rsid w:val="002909F6"/>
    <w:rsid w:val="00290D27"/>
    <w:rsid w:val="00290E30"/>
    <w:rsid w:val="002910D3"/>
    <w:rsid w:val="002910D5"/>
    <w:rsid w:val="0029131F"/>
    <w:rsid w:val="0029136C"/>
    <w:rsid w:val="00291396"/>
    <w:rsid w:val="002913BC"/>
    <w:rsid w:val="002915D1"/>
    <w:rsid w:val="0029176B"/>
    <w:rsid w:val="00291812"/>
    <w:rsid w:val="00291942"/>
    <w:rsid w:val="00291B47"/>
    <w:rsid w:val="002923CB"/>
    <w:rsid w:val="00292583"/>
    <w:rsid w:val="00292772"/>
    <w:rsid w:val="00292AA2"/>
    <w:rsid w:val="00292EA3"/>
    <w:rsid w:val="002931D6"/>
    <w:rsid w:val="00293553"/>
    <w:rsid w:val="0029379C"/>
    <w:rsid w:val="002938CE"/>
    <w:rsid w:val="00293AFA"/>
    <w:rsid w:val="00293B47"/>
    <w:rsid w:val="00293C44"/>
    <w:rsid w:val="00293C76"/>
    <w:rsid w:val="00293C7B"/>
    <w:rsid w:val="00294067"/>
    <w:rsid w:val="00294156"/>
    <w:rsid w:val="0029451A"/>
    <w:rsid w:val="0029462D"/>
    <w:rsid w:val="002946CC"/>
    <w:rsid w:val="00294DD4"/>
    <w:rsid w:val="002952A2"/>
    <w:rsid w:val="002954BD"/>
    <w:rsid w:val="00295A08"/>
    <w:rsid w:val="00295D3F"/>
    <w:rsid w:val="00295D6D"/>
    <w:rsid w:val="00295F26"/>
    <w:rsid w:val="0029605D"/>
    <w:rsid w:val="002964A4"/>
    <w:rsid w:val="002965A7"/>
    <w:rsid w:val="002966CF"/>
    <w:rsid w:val="002969CF"/>
    <w:rsid w:val="00296A9A"/>
    <w:rsid w:val="00296AE1"/>
    <w:rsid w:val="00296D37"/>
    <w:rsid w:val="00296DBA"/>
    <w:rsid w:val="00296F68"/>
    <w:rsid w:val="00296FF7"/>
    <w:rsid w:val="0029722E"/>
    <w:rsid w:val="00297419"/>
    <w:rsid w:val="00297BEC"/>
    <w:rsid w:val="00297CA0"/>
    <w:rsid w:val="00297DE9"/>
    <w:rsid w:val="002A02F1"/>
    <w:rsid w:val="002A0514"/>
    <w:rsid w:val="002A060F"/>
    <w:rsid w:val="002A06F5"/>
    <w:rsid w:val="002A07F6"/>
    <w:rsid w:val="002A0EC8"/>
    <w:rsid w:val="002A11F0"/>
    <w:rsid w:val="002A125E"/>
    <w:rsid w:val="002A1292"/>
    <w:rsid w:val="002A178A"/>
    <w:rsid w:val="002A22B7"/>
    <w:rsid w:val="002A2793"/>
    <w:rsid w:val="002A2FBE"/>
    <w:rsid w:val="002A3366"/>
    <w:rsid w:val="002A3868"/>
    <w:rsid w:val="002A39B9"/>
    <w:rsid w:val="002A3C3E"/>
    <w:rsid w:val="002A3DBA"/>
    <w:rsid w:val="002A3FAB"/>
    <w:rsid w:val="002A417A"/>
    <w:rsid w:val="002A4610"/>
    <w:rsid w:val="002A48C7"/>
    <w:rsid w:val="002A4980"/>
    <w:rsid w:val="002A4BDF"/>
    <w:rsid w:val="002A4E19"/>
    <w:rsid w:val="002A58CF"/>
    <w:rsid w:val="002A5971"/>
    <w:rsid w:val="002A5D6C"/>
    <w:rsid w:val="002A62A9"/>
    <w:rsid w:val="002A678E"/>
    <w:rsid w:val="002A67AD"/>
    <w:rsid w:val="002A6AF1"/>
    <w:rsid w:val="002A73E1"/>
    <w:rsid w:val="002A7476"/>
    <w:rsid w:val="002A788A"/>
    <w:rsid w:val="002B0091"/>
    <w:rsid w:val="002B014A"/>
    <w:rsid w:val="002B029A"/>
    <w:rsid w:val="002B04D5"/>
    <w:rsid w:val="002B0658"/>
    <w:rsid w:val="002B06C5"/>
    <w:rsid w:val="002B070E"/>
    <w:rsid w:val="002B07A5"/>
    <w:rsid w:val="002B09BE"/>
    <w:rsid w:val="002B0B5F"/>
    <w:rsid w:val="002B13D8"/>
    <w:rsid w:val="002B1551"/>
    <w:rsid w:val="002B16BB"/>
    <w:rsid w:val="002B1CD5"/>
    <w:rsid w:val="002B1D45"/>
    <w:rsid w:val="002B2228"/>
    <w:rsid w:val="002B2266"/>
    <w:rsid w:val="002B267A"/>
    <w:rsid w:val="002B28EF"/>
    <w:rsid w:val="002B3028"/>
    <w:rsid w:val="002B31B1"/>
    <w:rsid w:val="002B3230"/>
    <w:rsid w:val="002B360B"/>
    <w:rsid w:val="002B367D"/>
    <w:rsid w:val="002B39CB"/>
    <w:rsid w:val="002B3DCA"/>
    <w:rsid w:val="002B3ECD"/>
    <w:rsid w:val="002B41AA"/>
    <w:rsid w:val="002B4284"/>
    <w:rsid w:val="002B42D5"/>
    <w:rsid w:val="002B453F"/>
    <w:rsid w:val="002B48FE"/>
    <w:rsid w:val="002B4AD6"/>
    <w:rsid w:val="002B4B5E"/>
    <w:rsid w:val="002B4BAD"/>
    <w:rsid w:val="002B4D6D"/>
    <w:rsid w:val="002B4DA9"/>
    <w:rsid w:val="002B54B9"/>
    <w:rsid w:val="002B5A42"/>
    <w:rsid w:val="002B5B6A"/>
    <w:rsid w:val="002B5BAD"/>
    <w:rsid w:val="002B605C"/>
    <w:rsid w:val="002B6179"/>
    <w:rsid w:val="002B61E2"/>
    <w:rsid w:val="002B62F4"/>
    <w:rsid w:val="002B662A"/>
    <w:rsid w:val="002B66DF"/>
    <w:rsid w:val="002B69D5"/>
    <w:rsid w:val="002B6E44"/>
    <w:rsid w:val="002B7131"/>
    <w:rsid w:val="002B749A"/>
    <w:rsid w:val="002B76DF"/>
    <w:rsid w:val="002B7773"/>
    <w:rsid w:val="002B78DC"/>
    <w:rsid w:val="002C01D1"/>
    <w:rsid w:val="002C041B"/>
    <w:rsid w:val="002C0813"/>
    <w:rsid w:val="002C0952"/>
    <w:rsid w:val="002C0C89"/>
    <w:rsid w:val="002C0C8F"/>
    <w:rsid w:val="002C1738"/>
    <w:rsid w:val="002C1803"/>
    <w:rsid w:val="002C1BEE"/>
    <w:rsid w:val="002C1F99"/>
    <w:rsid w:val="002C22D8"/>
    <w:rsid w:val="002C285A"/>
    <w:rsid w:val="002C2860"/>
    <w:rsid w:val="002C2AF3"/>
    <w:rsid w:val="002C35AB"/>
    <w:rsid w:val="002C37BC"/>
    <w:rsid w:val="002C3CCA"/>
    <w:rsid w:val="002C3CFA"/>
    <w:rsid w:val="002C3CFF"/>
    <w:rsid w:val="002C3FFA"/>
    <w:rsid w:val="002C4291"/>
    <w:rsid w:val="002C4343"/>
    <w:rsid w:val="002C43C6"/>
    <w:rsid w:val="002C4586"/>
    <w:rsid w:val="002C45F2"/>
    <w:rsid w:val="002C5790"/>
    <w:rsid w:val="002C5D2D"/>
    <w:rsid w:val="002C5D3B"/>
    <w:rsid w:val="002C5DD9"/>
    <w:rsid w:val="002C6379"/>
    <w:rsid w:val="002C63F6"/>
    <w:rsid w:val="002C6464"/>
    <w:rsid w:val="002C6876"/>
    <w:rsid w:val="002C6A8A"/>
    <w:rsid w:val="002C6CCF"/>
    <w:rsid w:val="002C6FA3"/>
    <w:rsid w:val="002C7C31"/>
    <w:rsid w:val="002C7D41"/>
    <w:rsid w:val="002C7E78"/>
    <w:rsid w:val="002D0168"/>
    <w:rsid w:val="002D050E"/>
    <w:rsid w:val="002D0536"/>
    <w:rsid w:val="002D05DE"/>
    <w:rsid w:val="002D07FC"/>
    <w:rsid w:val="002D0D4D"/>
    <w:rsid w:val="002D0E05"/>
    <w:rsid w:val="002D0E6C"/>
    <w:rsid w:val="002D0F27"/>
    <w:rsid w:val="002D0FD9"/>
    <w:rsid w:val="002D15AB"/>
    <w:rsid w:val="002D1629"/>
    <w:rsid w:val="002D1973"/>
    <w:rsid w:val="002D19A5"/>
    <w:rsid w:val="002D1DC4"/>
    <w:rsid w:val="002D2C42"/>
    <w:rsid w:val="002D2FB9"/>
    <w:rsid w:val="002D3085"/>
    <w:rsid w:val="002D30CE"/>
    <w:rsid w:val="002D3110"/>
    <w:rsid w:val="002D366D"/>
    <w:rsid w:val="002D37D6"/>
    <w:rsid w:val="002D39DF"/>
    <w:rsid w:val="002D3CAA"/>
    <w:rsid w:val="002D4347"/>
    <w:rsid w:val="002D435F"/>
    <w:rsid w:val="002D439F"/>
    <w:rsid w:val="002D4444"/>
    <w:rsid w:val="002D449D"/>
    <w:rsid w:val="002D477D"/>
    <w:rsid w:val="002D4FFC"/>
    <w:rsid w:val="002D514B"/>
    <w:rsid w:val="002D58B4"/>
    <w:rsid w:val="002D59F2"/>
    <w:rsid w:val="002D5B4C"/>
    <w:rsid w:val="002D5F15"/>
    <w:rsid w:val="002D6483"/>
    <w:rsid w:val="002D69B9"/>
    <w:rsid w:val="002D6A31"/>
    <w:rsid w:val="002D6B0D"/>
    <w:rsid w:val="002D6C82"/>
    <w:rsid w:val="002D7146"/>
    <w:rsid w:val="002D72D9"/>
    <w:rsid w:val="002D736A"/>
    <w:rsid w:val="002D743A"/>
    <w:rsid w:val="002D75F8"/>
    <w:rsid w:val="002D7904"/>
    <w:rsid w:val="002D7974"/>
    <w:rsid w:val="002D7A48"/>
    <w:rsid w:val="002D7C20"/>
    <w:rsid w:val="002D7DF4"/>
    <w:rsid w:val="002D7EE8"/>
    <w:rsid w:val="002E0291"/>
    <w:rsid w:val="002E0818"/>
    <w:rsid w:val="002E088C"/>
    <w:rsid w:val="002E0B8F"/>
    <w:rsid w:val="002E0B91"/>
    <w:rsid w:val="002E0F7D"/>
    <w:rsid w:val="002E107D"/>
    <w:rsid w:val="002E1247"/>
    <w:rsid w:val="002E1273"/>
    <w:rsid w:val="002E12DC"/>
    <w:rsid w:val="002E13AD"/>
    <w:rsid w:val="002E1406"/>
    <w:rsid w:val="002E16FE"/>
    <w:rsid w:val="002E1716"/>
    <w:rsid w:val="002E1B46"/>
    <w:rsid w:val="002E267C"/>
    <w:rsid w:val="002E275E"/>
    <w:rsid w:val="002E276D"/>
    <w:rsid w:val="002E2869"/>
    <w:rsid w:val="002E3119"/>
    <w:rsid w:val="002E3360"/>
    <w:rsid w:val="002E43ED"/>
    <w:rsid w:val="002E4715"/>
    <w:rsid w:val="002E4869"/>
    <w:rsid w:val="002E4A8A"/>
    <w:rsid w:val="002E517C"/>
    <w:rsid w:val="002E5588"/>
    <w:rsid w:val="002E602D"/>
    <w:rsid w:val="002E63EB"/>
    <w:rsid w:val="002E6646"/>
    <w:rsid w:val="002E6CC5"/>
    <w:rsid w:val="002E7050"/>
    <w:rsid w:val="002E71E1"/>
    <w:rsid w:val="002E7348"/>
    <w:rsid w:val="002E74A4"/>
    <w:rsid w:val="002E76B5"/>
    <w:rsid w:val="002E777C"/>
    <w:rsid w:val="002E7AA3"/>
    <w:rsid w:val="002E7B5D"/>
    <w:rsid w:val="002E7B61"/>
    <w:rsid w:val="002E7C97"/>
    <w:rsid w:val="002E7FCA"/>
    <w:rsid w:val="002F025B"/>
    <w:rsid w:val="002F03B0"/>
    <w:rsid w:val="002F05A9"/>
    <w:rsid w:val="002F08D1"/>
    <w:rsid w:val="002F093A"/>
    <w:rsid w:val="002F0B1C"/>
    <w:rsid w:val="002F10BF"/>
    <w:rsid w:val="002F12C3"/>
    <w:rsid w:val="002F12E1"/>
    <w:rsid w:val="002F15D5"/>
    <w:rsid w:val="002F17A8"/>
    <w:rsid w:val="002F1823"/>
    <w:rsid w:val="002F1C48"/>
    <w:rsid w:val="002F1CA4"/>
    <w:rsid w:val="002F1F78"/>
    <w:rsid w:val="002F20A3"/>
    <w:rsid w:val="002F243A"/>
    <w:rsid w:val="002F24C1"/>
    <w:rsid w:val="002F2759"/>
    <w:rsid w:val="002F2C0E"/>
    <w:rsid w:val="002F2CEB"/>
    <w:rsid w:val="002F3288"/>
    <w:rsid w:val="002F334B"/>
    <w:rsid w:val="002F33E4"/>
    <w:rsid w:val="002F349B"/>
    <w:rsid w:val="002F34EF"/>
    <w:rsid w:val="002F37C3"/>
    <w:rsid w:val="002F37C6"/>
    <w:rsid w:val="002F3F8B"/>
    <w:rsid w:val="002F4151"/>
    <w:rsid w:val="002F430F"/>
    <w:rsid w:val="002F452D"/>
    <w:rsid w:val="002F4786"/>
    <w:rsid w:val="002F495B"/>
    <w:rsid w:val="002F4C28"/>
    <w:rsid w:val="002F4C4F"/>
    <w:rsid w:val="002F5241"/>
    <w:rsid w:val="002F598D"/>
    <w:rsid w:val="002F5E35"/>
    <w:rsid w:val="002F5E5C"/>
    <w:rsid w:val="002F5EB7"/>
    <w:rsid w:val="002F602B"/>
    <w:rsid w:val="002F612D"/>
    <w:rsid w:val="002F668F"/>
    <w:rsid w:val="002F67D2"/>
    <w:rsid w:val="002F6961"/>
    <w:rsid w:val="002F6C9C"/>
    <w:rsid w:val="002F740E"/>
    <w:rsid w:val="002F745C"/>
    <w:rsid w:val="002F74F9"/>
    <w:rsid w:val="002F7722"/>
    <w:rsid w:val="002F7732"/>
    <w:rsid w:val="002F7784"/>
    <w:rsid w:val="002F7851"/>
    <w:rsid w:val="002F7922"/>
    <w:rsid w:val="002F7EAC"/>
    <w:rsid w:val="002F7F91"/>
    <w:rsid w:val="0030012F"/>
    <w:rsid w:val="00300226"/>
    <w:rsid w:val="00300238"/>
    <w:rsid w:val="003002C2"/>
    <w:rsid w:val="0030076D"/>
    <w:rsid w:val="00300B3B"/>
    <w:rsid w:val="00300B57"/>
    <w:rsid w:val="00300FAD"/>
    <w:rsid w:val="00300FC8"/>
    <w:rsid w:val="00301319"/>
    <w:rsid w:val="00301A64"/>
    <w:rsid w:val="0030207F"/>
    <w:rsid w:val="003020E9"/>
    <w:rsid w:val="0030249B"/>
    <w:rsid w:val="003024CA"/>
    <w:rsid w:val="003025B6"/>
    <w:rsid w:val="003025D2"/>
    <w:rsid w:val="0030272C"/>
    <w:rsid w:val="003027FF"/>
    <w:rsid w:val="00302C7D"/>
    <w:rsid w:val="003030A3"/>
    <w:rsid w:val="00303350"/>
    <w:rsid w:val="00303705"/>
    <w:rsid w:val="00303953"/>
    <w:rsid w:val="00303BE3"/>
    <w:rsid w:val="00303F7C"/>
    <w:rsid w:val="0030404D"/>
    <w:rsid w:val="003041D9"/>
    <w:rsid w:val="0030495F"/>
    <w:rsid w:val="00304977"/>
    <w:rsid w:val="00304A41"/>
    <w:rsid w:val="00304BE4"/>
    <w:rsid w:val="00304CF8"/>
    <w:rsid w:val="00304D1C"/>
    <w:rsid w:val="00304DB3"/>
    <w:rsid w:val="00304E7B"/>
    <w:rsid w:val="00304E84"/>
    <w:rsid w:val="0030500E"/>
    <w:rsid w:val="0030515E"/>
    <w:rsid w:val="003054BF"/>
    <w:rsid w:val="00305529"/>
    <w:rsid w:val="0030571E"/>
    <w:rsid w:val="00305A19"/>
    <w:rsid w:val="00305DAB"/>
    <w:rsid w:val="00305FBE"/>
    <w:rsid w:val="003064E9"/>
    <w:rsid w:val="003067C5"/>
    <w:rsid w:val="00306979"/>
    <w:rsid w:val="00306A0F"/>
    <w:rsid w:val="00306AFB"/>
    <w:rsid w:val="00306C6D"/>
    <w:rsid w:val="00306DB1"/>
    <w:rsid w:val="00306DF7"/>
    <w:rsid w:val="0030722F"/>
    <w:rsid w:val="003074E2"/>
    <w:rsid w:val="00307922"/>
    <w:rsid w:val="00307E50"/>
    <w:rsid w:val="00307F37"/>
    <w:rsid w:val="00307F50"/>
    <w:rsid w:val="00307FAF"/>
    <w:rsid w:val="00310514"/>
    <w:rsid w:val="00310560"/>
    <w:rsid w:val="0031089C"/>
    <w:rsid w:val="00310B44"/>
    <w:rsid w:val="00310D76"/>
    <w:rsid w:val="00310E46"/>
    <w:rsid w:val="003113A8"/>
    <w:rsid w:val="00311413"/>
    <w:rsid w:val="003114BF"/>
    <w:rsid w:val="00311530"/>
    <w:rsid w:val="00311689"/>
    <w:rsid w:val="00311A4D"/>
    <w:rsid w:val="00311A4E"/>
    <w:rsid w:val="00311BED"/>
    <w:rsid w:val="00311DDD"/>
    <w:rsid w:val="00311FAC"/>
    <w:rsid w:val="003126D3"/>
    <w:rsid w:val="00312E08"/>
    <w:rsid w:val="00312FCB"/>
    <w:rsid w:val="003132A5"/>
    <w:rsid w:val="00313B99"/>
    <w:rsid w:val="00313D9B"/>
    <w:rsid w:val="00313F54"/>
    <w:rsid w:val="00313FA5"/>
    <w:rsid w:val="003145DF"/>
    <w:rsid w:val="00314662"/>
    <w:rsid w:val="00314940"/>
    <w:rsid w:val="00314D2E"/>
    <w:rsid w:val="00314DDE"/>
    <w:rsid w:val="003150E3"/>
    <w:rsid w:val="0031515A"/>
    <w:rsid w:val="00315386"/>
    <w:rsid w:val="003153A9"/>
    <w:rsid w:val="00315BF7"/>
    <w:rsid w:val="00315D11"/>
    <w:rsid w:val="00315D70"/>
    <w:rsid w:val="00315E0B"/>
    <w:rsid w:val="00315E92"/>
    <w:rsid w:val="00315FD2"/>
    <w:rsid w:val="003162DE"/>
    <w:rsid w:val="003163D6"/>
    <w:rsid w:val="0031667B"/>
    <w:rsid w:val="00316804"/>
    <w:rsid w:val="0031688D"/>
    <w:rsid w:val="0031689F"/>
    <w:rsid w:val="00316A39"/>
    <w:rsid w:val="00316B0B"/>
    <w:rsid w:val="00316C03"/>
    <w:rsid w:val="00316EA2"/>
    <w:rsid w:val="00317005"/>
    <w:rsid w:val="00317167"/>
    <w:rsid w:val="00317203"/>
    <w:rsid w:val="003173A2"/>
    <w:rsid w:val="003175F6"/>
    <w:rsid w:val="00317787"/>
    <w:rsid w:val="00317B06"/>
    <w:rsid w:val="00317CD9"/>
    <w:rsid w:val="00317D0A"/>
    <w:rsid w:val="00320448"/>
    <w:rsid w:val="00320980"/>
    <w:rsid w:val="003209A8"/>
    <w:rsid w:val="00320A7F"/>
    <w:rsid w:val="00320AB0"/>
    <w:rsid w:val="00320D05"/>
    <w:rsid w:val="00320D8A"/>
    <w:rsid w:val="00320F7E"/>
    <w:rsid w:val="0032104E"/>
    <w:rsid w:val="003213A9"/>
    <w:rsid w:val="00321680"/>
    <w:rsid w:val="0032181C"/>
    <w:rsid w:val="00321A7F"/>
    <w:rsid w:val="003221FF"/>
    <w:rsid w:val="00322309"/>
    <w:rsid w:val="00322616"/>
    <w:rsid w:val="00322680"/>
    <w:rsid w:val="0032295C"/>
    <w:rsid w:val="00322B87"/>
    <w:rsid w:val="00322EA2"/>
    <w:rsid w:val="003230F2"/>
    <w:rsid w:val="0032315F"/>
    <w:rsid w:val="003233DD"/>
    <w:rsid w:val="003237C9"/>
    <w:rsid w:val="00323CAA"/>
    <w:rsid w:val="00323DFD"/>
    <w:rsid w:val="003240AD"/>
    <w:rsid w:val="00324935"/>
    <w:rsid w:val="00324968"/>
    <w:rsid w:val="00324EB4"/>
    <w:rsid w:val="003252E8"/>
    <w:rsid w:val="003253C2"/>
    <w:rsid w:val="0032550D"/>
    <w:rsid w:val="0032564C"/>
    <w:rsid w:val="003260DB"/>
    <w:rsid w:val="003260F1"/>
    <w:rsid w:val="003261DD"/>
    <w:rsid w:val="00326270"/>
    <w:rsid w:val="003262D4"/>
    <w:rsid w:val="00326374"/>
    <w:rsid w:val="00326755"/>
    <w:rsid w:val="0032696B"/>
    <w:rsid w:val="003270FC"/>
    <w:rsid w:val="00327110"/>
    <w:rsid w:val="003272C0"/>
    <w:rsid w:val="00327467"/>
    <w:rsid w:val="00327602"/>
    <w:rsid w:val="00327776"/>
    <w:rsid w:val="003279A1"/>
    <w:rsid w:val="00327D1D"/>
    <w:rsid w:val="00327E85"/>
    <w:rsid w:val="0033014B"/>
    <w:rsid w:val="003302A9"/>
    <w:rsid w:val="00330438"/>
    <w:rsid w:val="00330663"/>
    <w:rsid w:val="003306D0"/>
    <w:rsid w:val="00330B7D"/>
    <w:rsid w:val="00330DD4"/>
    <w:rsid w:val="00331714"/>
    <w:rsid w:val="00331738"/>
    <w:rsid w:val="00331765"/>
    <w:rsid w:val="0033191A"/>
    <w:rsid w:val="00331B12"/>
    <w:rsid w:val="00331C50"/>
    <w:rsid w:val="00331D99"/>
    <w:rsid w:val="003321AF"/>
    <w:rsid w:val="0033233C"/>
    <w:rsid w:val="0033268C"/>
    <w:rsid w:val="00332970"/>
    <w:rsid w:val="00332BBB"/>
    <w:rsid w:val="003334A8"/>
    <w:rsid w:val="003334FE"/>
    <w:rsid w:val="003336FF"/>
    <w:rsid w:val="00333766"/>
    <w:rsid w:val="00333973"/>
    <w:rsid w:val="00333F7E"/>
    <w:rsid w:val="003340D3"/>
    <w:rsid w:val="003341E1"/>
    <w:rsid w:val="003343A0"/>
    <w:rsid w:val="0033453B"/>
    <w:rsid w:val="00334939"/>
    <w:rsid w:val="00334A6F"/>
    <w:rsid w:val="0033530F"/>
    <w:rsid w:val="0033542D"/>
    <w:rsid w:val="003354D0"/>
    <w:rsid w:val="0033560F"/>
    <w:rsid w:val="00335D5A"/>
    <w:rsid w:val="003364E1"/>
    <w:rsid w:val="003365CF"/>
    <w:rsid w:val="00336796"/>
    <w:rsid w:val="00336A6B"/>
    <w:rsid w:val="00336ADF"/>
    <w:rsid w:val="00336AE6"/>
    <w:rsid w:val="00336DBD"/>
    <w:rsid w:val="0033703B"/>
    <w:rsid w:val="00337172"/>
    <w:rsid w:val="00337183"/>
    <w:rsid w:val="00337259"/>
    <w:rsid w:val="003374DE"/>
    <w:rsid w:val="003379AB"/>
    <w:rsid w:val="00337B27"/>
    <w:rsid w:val="00337E5D"/>
    <w:rsid w:val="00337FEA"/>
    <w:rsid w:val="003404F2"/>
    <w:rsid w:val="00340783"/>
    <w:rsid w:val="0034094E"/>
    <w:rsid w:val="00340D2B"/>
    <w:rsid w:val="003413F5"/>
    <w:rsid w:val="003414CA"/>
    <w:rsid w:val="00341C2A"/>
    <w:rsid w:val="0034240B"/>
    <w:rsid w:val="0034266F"/>
    <w:rsid w:val="0034293A"/>
    <w:rsid w:val="00342D92"/>
    <w:rsid w:val="00343266"/>
    <w:rsid w:val="0034335B"/>
    <w:rsid w:val="00343AEC"/>
    <w:rsid w:val="00343C18"/>
    <w:rsid w:val="00343F45"/>
    <w:rsid w:val="0034406D"/>
    <w:rsid w:val="0034407B"/>
    <w:rsid w:val="00344414"/>
    <w:rsid w:val="0034458D"/>
    <w:rsid w:val="00344786"/>
    <w:rsid w:val="00344809"/>
    <w:rsid w:val="00344ED5"/>
    <w:rsid w:val="00344FDB"/>
    <w:rsid w:val="003451B3"/>
    <w:rsid w:val="003453C8"/>
    <w:rsid w:val="003453EF"/>
    <w:rsid w:val="0034549B"/>
    <w:rsid w:val="003456EC"/>
    <w:rsid w:val="0034593C"/>
    <w:rsid w:val="00345CA9"/>
    <w:rsid w:val="00345D82"/>
    <w:rsid w:val="00345FDF"/>
    <w:rsid w:val="00346057"/>
    <w:rsid w:val="00346170"/>
    <w:rsid w:val="003462BE"/>
    <w:rsid w:val="00346A21"/>
    <w:rsid w:val="00346BB2"/>
    <w:rsid w:val="00346C36"/>
    <w:rsid w:val="00346D3B"/>
    <w:rsid w:val="00346D3E"/>
    <w:rsid w:val="00346EF6"/>
    <w:rsid w:val="0034749D"/>
    <w:rsid w:val="0034751F"/>
    <w:rsid w:val="003477EC"/>
    <w:rsid w:val="003479F9"/>
    <w:rsid w:val="00347A4B"/>
    <w:rsid w:val="00347A9F"/>
    <w:rsid w:val="00347C43"/>
    <w:rsid w:val="00350238"/>
    <w:rsid w:val="0035059F"/>
    <w:rsid w:val="00350887"/>
    <w:rsid w:val="00350C68"/>
    <w:rsid w:val="00350D06"/>
    <w:rsid w:val="00350DBD"/>
    <w:rsid w:val="00350FC9"/>
    <w:rsid w:val="00351229"/>
    <w:rsid w:val="003512E5"/>
    <w:rsid w:val="003513F4"/>
    <w:rsid w:val="003514E4"/>
    <w:rsid w:val="003515A3"/>
    <w:rsid w:val="00351A3E"/>
    <w:rsid w:val="00351A74"/>
    <w:rsid w:val="00351B9C"/>
    <w:rsid w:val="00351BC7"/>
    <w:rsid w:val="00351BDA"/>
    <w:rsid w:val="00351C06"/>
    <w:rsid w:val="00351D54"/>
    <w:rsid w:val="00352043"/>
    <w:rsid w:val="00352683"/>
    <w:rsid w:val="0035291B"/>
    <w:rsid w:val="00352A33"/>
    <w:rsid w:val="00352D1D"/>
    <w:rsid w:val="00352FFA"/>
    <w:rsid w:val="003531B6"/>
    <w:rsid w:val="0035383B"/>
    <w:rsid w:val="003538EB"/>
    <w:rsid w:val="00353D1A"/>
    <w:rsid w:val="00353EE4"/>
    <w:rsid w:val="00354232"/>
    <w:rsid w:val="0035427E"/>
    <w:rsid w:val="00354D03"/>
    <w:rsid w:val="003551C9"/>
    <w:rsid w:val="00355300"/>
    <w:rsid w:val="0035558D"/>
    <w:rsid w:val="00355C4C"/>
    <w:rsid w:val="00355E10"/>
    <w:rsid w:val="00355F3D"/>
    <w:rsid w:val="003561DE"/>
    <w:rsid w:val="003563CB"/>
    <w:rsid w:val="00356507"/>
    <w:rsid w:val="00356ADA"/>
    <w:rsid w:val="0035700D"/>
    <w:rsid w:val="003575CE"/>
    <w:rsid w:val="00357888"/>
    <w:rsid w:val="00357ADA"/>
    <w:rsid w:val="00357B90"/>
    <w:rsid w:val="00357BAB"/>
    <w:rsid w:val="00357E25"/>
    <w:rsid w:val="00357F01"/>
    <w:rsid w:val="00360146"/>
    <w:rsid w:val="00360B53"/>
    <w:rsid w:val="00360DAF"/>
    <w:rsid w:val="00360DB0"/>
    <w:rsid w:val="00361237"/>
    <w:rsid w:val="003616CF"/>
    <w:rsid w:val="003617B2"/>
    <w:rsid w:val="00361939"/>
    <w:rsid w:val="00361B19"/>
    <w:rsid w:val="00361BB6"/>
    <w:rsid w:val="00361E74"/>
    <w:rsid w:val="0036203B"/>
    <w:rsid w:val="00362140"/>
    <w:rsid w:val="003622F9"/>
    <w:rsid w:val="00362309"/>
    <w:rsid w:val="003625C3"/>
    <w:rsid w:val="0036287D"/>
    <w:rsid w:val="003629FC"/>
    <w:rsid w:val="00362D38"/>
    <w:rsid w:val="003635E7"/>
    <w:rsid w:val="0036378F"/>
    <w:rsid w:val="00363AD9"/>
    <w:rsid w:val="00363B5F"/>
    <w:rsid w:val="00363B6A"/>
    <w:rsid w:val="00363B6B"/>
    <w:rsid w:val="00363E69"/>
    <w:rsid w:val="00363F9E"/>
    <w:rsid w:val="0036402C"/>
    <w:rsid w:val="003640D7"/>
    <w:rsid w:val="0036416A"/>
    <w:rsid w:val="0036419E"/>
    <w:rsid w:val="0036429B"/>
    <w:rsid w:val="003644C2"/>
    <w:rsid w:val="0036452C"/>
    <w:rsid w:val="00364972"/>
    <w:rsid w:val="003649B0"/>
    <w:rsid w:val="00364B20"/>
    <w:rsid w:val="0036525A"/>
    <w:rsid w:val="0036546A"/>
    <w:rsid w:val="00365830"/>
    <w:rsid w:val="00365987"/>
    <w:rsid w:val="003660AB"/>
    <w:rsid w:val="00366694"/>
    <w:rsid w:val="00366B20"/>
    <w:rsid w:val="00366C3B"/>
    <w:rsid w:val="003671B5"/>
    <w:rsid w:val="003671BF"/>
    <w:rsid w:val="003671F1"/>
    <w:rsid w:val="00367252"/>
    <w:rsid w:val="003674A4"/>
    <w:rsid w:val="00367501"/>
    <w:rsid w:val="00367C63"/>
    <w:rsid w:val="00367CF9"/>
    <w:rsid w:val="00367D73"/>
    <w:rsid w:val="00367E78"/>
    <w:rsid w:val="00370559"/>
    <w:rsid w:val="003705C7"/>
    <w:rsid w:val="00370B24"/>
    <w:rsid w:val="00370BC9"/>
    <w:rsid w:val="00370EF8"/>
    <w:rsid w:val="00370F09"/>
    <w:rsid w:val="00370FA6"/>
    <w:rsid w:val="003712D7"/>
    <w:rsid w:val="00371532"/>
    <w:rsid w:val="00371626"/>
    <w:rsid w:val="003716B4"/>
    <w:rsid w:val="003716F5"/>
    <w:rsid w:val="00371A62"/>
    <w:rsid w:val="00371BBB"/>
    <w:rsid w:val="003721FB"/>
    <w:rsid w:val="00372385"/>
    <w:rsid w:val="00372589"/>
    <w:rsid w:val="00372994"/>
    <w:rsid w:val="00372CFD"/>
    <w:rsid w:val="003732BC"/>
    <w:rsid w:val="003733DF"/>
    <w:rsid w:val="00373401"/>
    <w:rsid w:val="003735BB"/>
    <w:rsid w:val="0037364C"/>
    <w:rsid w:val="00373837"/>
    <w:rsid w:val="00373AE1"/>
    <w:rsid w:val="00373B61"/>
    <w:rsid w:val="00373C79"/>
    <w:rsid w:val="0037406A"/>
    <w:rsid w:val="00374238"/>
    <w:rsid w:val="00374529"/>
    <w:rsid w:val="00374C32"/>
    <w:rsid w:val="00374D79"/>
    <w:rsid w:val="00374F72"/>
    <w:rsid w:val="00375175"/>
    <w:rsid w:val="0037519E"/>
    <w:rsid w:val="003752DB"/>
    <w:rsid w:val="0037533B"/>
    <w:rsid w:val="003753D1"/>
    <w:rsid w:val="003760D2"/>
    <w:rsid w:val="003761FA"/>
    <w:rsid w:val="00376232"/>
    <w:rsid w:val="0037674F"/>
    <w:rsid w:val="00376C02"/>
    <w:rsid w:val="00376C9B"/>
    <w:rsid w:val="00376CE8"/>
    <w:rsid w:val="00376D7D"/>
    <w:rsid w:val="00376E98"/>
    <w:rsid w:val="00377083"/>
    <w:rsid w:val="003777DB"/>
    <w:rsid w:val="00377CD3"/>
    <w:rsid w:val="00377EB1"/>
    <w:rsid w:val="00380280"/>
    <w:rsid w:val="0038033B"/>
    <w:rsid w:val="003803AF"/>
    <w:rsid w:val="00380978"/>
    <w:rsid w:val="00380AD3"/>
    <w:rsid w:val="00380B98"/>
    <w:rsid w:val="00380D4B"/>
    <w:rsid w:val="00380DC1"/>
    <w:rsid w:val="003814C5"/>
    <w:rsid w:val="003815CE"/>
    <w:rsid w:val="003815DA"/>
    <w:rsid w:val="00381701"/>
    <w:rsid w:val="00381AD3"/>
    <w:rsid w:val="00381B6A"/>
    <w:rsid w:val="00381C58"/>
    <w:rsid w:val="00381F1B"/>
    <w:rsid w:val="00382286"/>
    <w:rsid w:val="00382484"/>
    <w:rsid w:val="003825AF"/>
    <w:rsid w:val="00382CCE"/>
    <w:rsid w:val="00382E47"/>
    <w:rsid w:val="00382EF7"/>
    <w:rsid w:val="00382F69"/>
    <w:rsid w:val="003830FE"/>
    <w:rsid w:val="00383175"/>
    <w:rsid w:val="0038348B"/>
    <w:rsid w:val="0038357F"/>
    <w:rsid w:val="00383A27"/>
    <w:rsid w:val="00383AE3"/>
    <w:rsid w:val="00383B43"/>
    <w:rsid w:val="00383FC5"/>
    <w:rsid w:val="003840DE"/>
    <w:rsid w:val="00384802"/>
    <w:rsid w:val="003849D5"/>
    <w:rsid w:val="003856B6"/>
    <w:rsid w:val="003856D9"/>
    <w:rsid w:val="00385985"/>
    <w:rsid w:val="00385B5D"/>
    <w:rsid w:val="00385DCF"/>
    <w:rsid w:val="00386134"/>
    <w:rsid w:val="00386348"/>
    <w:rsid w:val="00386356"/>
    <w:rsid w:val="00386788"/>
    <w:rsid w:val="00386A1F"/>
    <w:rsid w:val="00386D8F"/>
    <w:rsid w:val="00386E4D"/>
    <w:rsid w:val="0038701C"/>
    <w:rsid w:val="003870CA"/>
    <w:rsid w:val="003873E3"/>
    <w:rsid w:val="00387888"/>
    <w:rsid w:val="00387A85"/>
    <w:rsid w:val="00387CC6"/>
    <w:rsid w:val="00387CEC"/>
    <w:rsid w:val="0039039C"/>
    <w:rsid w:val="00390A71"/>
    <w:rsid w:val="00390DFF"/>
    <w:rsid w:val="00390E53"/>
    <w:rsid w:val="003919CC"/>
    <w:rsid w:val="00391A62"/>
    <w:rsid w:val="00392083"/>
    <w:rsid w:val="00392268"/>
    <w:rsid w:val="003922AF"/>
    <w:rsid w:val="00392851"/>
    <w:rsid w:val="00392890"/>
    <w:rsid w:val="00392B65"/>
    <w:rsid w:val="00392C70"/>
    <w:rsid w:val="00392F94"/>
    <w:rsid w:val="00393323"/>
    <w:rsid w:val="003934AC"/>
    <w:rsid w:val="0039350F"/>
    <w:rsid w:val="00393515"/>
    <w:rsid w:val="00393730"/>
    <w:rsid w:val="00393DE8"/>
    <w:rsid w:val="00393E9F"/>
    <w:rsid w:val="003940EC"/>
    <w:rsid w:val="00394551"/>
    <w:rsid w:val="00394678"/>
    <w:rsid w:val="00394816"/>
    <w:rsid w:val="00394B03"/>
    <w:rsid w:val="00394F30"/>
    <w:rsid w:val="00394FAA"/>
    <w:rsid w:val="00394FB5"/>
    <w:rsid w:val="00395215"/>
    <w:rsid w:val="003956E4"/>
    <w:rsid w:val="0039581A"/>
    <w:rsid w:val="00395980"/>
    <w:rsid w:val="00395B9F"/>
    <w:rsid w:val="00396004"/>
    <w:rsid w:val="00396053"/>
    <w:rsid w:val="0039682F"/>
    <w:rsid w:val="00396AEA"/>
    <w:rsid w:val="00396E1E"/>
    <w:rsid w:val="00396EEB"/>
    <w:rsid w:val="0039700D"/>
    <w:rsid w:val="0039710C"/>
    <w:rsid w:val="0039756F"/>
    <w:rsid w:val="003976FE"/>
    <w:rsid w:val="0039789C"/>
    <w:rsid w:val="003A0050"/>
    <w:rsid w:val="003A015E"/>
    <w:rsid w:val="003A028A"/>
    <w:rsid w:val="003A030E"/>
    <w:rsid w:val="003A03B0"/>
    <w:rsid w:val="003A05A4"/>
    <w:rsid w:val="003A0607"/>
    <w:rsid w:val="003A06D5"/>
    <w:rsid w:val="003A08E1"/>
    <w:rsid w:val="003A09F7"/>
    <w:rsid w:val="003A0C5A"/>
    <w:rsid w:val="003A0EAD"/>
    <w:rsid w:val="003A0F00"/>
    <w:rsid w:val="003A0F6B"/>
    <w:rsid w:val="003A1277"/>
    <w:rsid w:val="003A1461"/>
    <w:rsid w:val="003A1518"/>
    <w:rsid w:val="003A15FF"/>
    <w:rsid w:val="003A1960"/>
    <w:rsid w:val="003A1C04"/>
    <w:rsid w:val="003A1C13"/>
    <w:rsid w:val="003A1DA3"/>
    <w:rsid w:val="003A1E07"/>
    <w:rsid w:val="003A22EB"/>
    <w:rsid w:val="003A247A"/>
    <w:rsid w:val="003A261F"/>
    <w:rsid w:val="003A27A2"/>
    <w:rsid w:val="003A27F9"/>
    <w:rsid w:val="003A2849"/>
    <w:rsid w:val="003A287A"/>
    <w:rsid w:val="003A2961"/>
    <w:rsid w:val="003A2B08"/>
    <w:rsid w:val="003A2D5F"/>
    <w:rsid w:val="003A2E27"/>
    <w:rsid w:val="003A2EB8"/>
    <w:rsid w:val="003A30FC"/>
    <w:rsid w:val="003A31F0"/>
    <w:rsid w:val="003A324C"/>
    <w:rsid w:val="003A3320"/>
    <w:rsid w:val="003A3330"/>
    <w:rsid w:val="003A3529"/>
    <w:rsid w:val="003A356E"/>
    <w:rsid w:val="003A362F"/>
    <w:rsid w:val="003A379E"/>
    <w:rsid w:val="003A384F"/>
    <w:rsid w:val="003A3BCC"/>
    <w:rsid w:val="003A4089"/>
    <w:rsid w:val="003A4637"/>
    <w:rsid w:val="003A468B"/>
    <w:rsid w:val="003A47B3"/>
    <w:rsid w:val="003A4918"/>
    <w:rsid w:val="003A4A09"/>
    <w:rsid w:val="003A4A3B"/>
    <w:rsid w:val="003A4D34"/>
    <w:rsid w:val="003A5330"/>
    <w:rsid w:val="003A54CF"/>
    <w:rsid w:val="003A58E4"/>
    <w:rsid w:val="003A5EAF"/>
    <w:rsid w:val="003A5F34"/>
    <w:rsid w:val="003A6259"/>
    <w:rsid w:val="003A6992"/>
    <w:rsid w:val="003A6CDA"/>
    <w:rsid w:val="003A6DF9"/>
    <w:rsid w:val="003A6F37"/>
    <w:rsid w:val="003A76F3"/>
    <w:rsid w:val="003A783E"/>
    <w:rsid w:val="003A79E4"/>
    <w:rsid w:val="003A7CE6"/>
    <w:rsid w:val="003B004B"/>
    <w:rsid w:val="003B0053"/>
    <w:rsid w:val="003B0070"/>
    <w:rsid w:val="003B03ED"/>
    <w:rsid w:val="003B0425"/>
    <w:rsid w:val="003B05E2"/>
    <w:rsid w:val="003B07C7"/>
    <w:rsid w:val="003B0EFA"/>
    <w:rsid w:val="003B166B"/>
    <w:rsid w:val="003B16FF"/>
    <w:rsid w:val="003B199B"/>
    <w:rsid w:val="003B1FB5"/>
    <w:rsid w:val="003B1FCC"/>
    <w:rsid w:val="003B22B4"/>
    <w:rsid w:val="003B22C9"/>
    <w:rsid w:val="003B22FB"/>
    <w:rsid w:val="003B24FF"/>
    <w:rsid w:val="003B268C"/>
    <w:rsid w:val="003B29CD"/>
    <w:rsid w:val="003B2FCF"/>
    <w:rsid w:val="003B307E"/>
    <w:rsid w:val="003B35B0"/>
    <w:rsid w:val="003B3623"/>
    <w:rsid w:val="003B41FD"/>
    <w:rsid w:val="003B42E0"/>
    <w:rsid w:val="003B43C8"/>
    <w:rsid w:val="003B47F8"/>
    <w:rsid w:val="003B48F9"/>
    <w:rsid w:val="003B4945"/>
    <w:rsid w:val="003B4B31"/>
    <w:rsid w:val="003B5214"/>
    <w:rsid w:val="003B52B6"/>
    <w:rsid w:val="003B5597"/>
    <w:rsid w:val="003B5BA8"/>
    <w:rsid w:val="003B5CE4"/>
    <w:rsid w:val="003B60D5"/>
    <w:rsid w:val="003B6471"/>
    <w:rsid w:val="003B6C0D"/>
    <w:rsid w:val="003B6E09"/>
    <w:rsid w:val="003B7190"/>
    <w:rsid w:val="003B72E2"/>
    <w:rsid w:val="003B7330"/>
    <w:rsid w:val="003B7409"/>
    <w:rsid w:val="003B7A97"/>
    <w:rsid w:val="003B7AA3"/>
    <w:rsid w:val="003B7F5E"/>
    <w:rsid w:val="003C01DC"/>
    <w:rsid w:val="003C01F3"/>
    <w:rsid w:val="003C04E6"/>
    <w:rsid w:val="003C056A"/>
    <w:rsid w:val="003C071D"/>
    <w:rsid w:val="003C07F0"/>
    <w:rsid w:val="003C0E4D"/>
    <w:rsid w:val="003C0EE6"/>
    <w:rsid w:val="003C1180"/>
    <w:rsid w:val="003C1260"/>
    <w:rsid w:val="003C1B42"/>
    <w:rsid w:val="003C219C"/>
    <w:rsid w:val="003C2204"/>
    <w:rsid w:val="003C25A2"/>
    <w:rsid w:val="003C2719"/>
    <w:rsid w:val="003C27E1"/>
    <w:rsid w:val="003C294D"/>
    <w:rsid w:val="003C2C39"/>
    <w:rsid w:val="003C2C70"/>
    <w:rsid w:val="003C2D93"/>
    <w:rsid w:val="003C2E46"/>
    <w:rsid w:val="003C2E9B"/>
    <w:rsid w:val="003C2F5E"/>
    <w:rsid w:val="003C35C7"/>
    <w:rsid w:val="003C369E"/>
    <w:rsid w:val="003C37DB"/>
    <w:rsid w:val="003C3ECE"/>
    <w:rsid w:val="003C410A"/>
    <w:rsid w:val="003C421D"/>
    <w:rsid w:val="003C46AD"/>
    <w:rsid w:val="003C4771"/>
    <w:rsid w:val="003C4A4D"/>
    <w:rsid w:val="003C5244"/>
    <w:rsid w:val="003C55EB"/>
    <w:rsid w:val="003C56DA"/>
    <w:rsid w:val="003C5765"/>
    <w:rsid w:val="003C5916"/>
    <w:rsid w:val="003C5985"/>
    <w:rsid w:val="003C5B38"/>
    <w:rsid w:val="003C5FD9"/>
    <w:rsid w:val="003C60F1"/>
    <w:rsid w:val="003C611D"/>
    <w:rsid w:val="003C65E8"/>
    <w:rsid w:val="003C6788"/>
    <w:rsid w:val="003C6963"/>
    <w:rsid w:val="003C6B01"/>
    <w:rsid w:val="003C6E81"/>
    <w:rsid w:val="003C7979"/>
    <w:rsid w:val="003C7BE0"/>
    <w:rsid w:val="003C7D52"/>
    <w:rsid w:val="003D0200"/>
    <w:rsid w:val="003D06B3"/>
    <w:rsid w:val="003D07B1"/>
    <w:rsid w:val="003D07DF"/>
    <w:rsid w:val="003D0B2F"/>
    <w:rsid w:val="003D0C5B"/>
    <w:rsid w:val="003D0F9D"/>
    <w:rsid w:val="003D10E2"/>
    <w:rsid w:val="003D1420"/>
    <w:rsid w:val="003D1469"/>
    <w:rsid w:val="003D1726"/>
    <w:rsid w:val="003D1739"/>
    <w:rsid w:val="003D18F5"/>
    <w:rsid w:val="003D1971"/>
    <w:rsid w:val="003D1ADE"/>
    <w:rsid w:val="003D1C1B"/>
    <w:rsid w:val="003D1D2D"/>
    <w:rsid w:val="003D1DA1"/>
    <w:rsid w:val="003D1E72"/>
    <w:rsid w:val="003D1EC7"/>
    <w:rsid w:val="003D21E5"/>
    <w:rsid w:val="003D26F8"/>
    <w:rsid w:val="003D2824"/>
    <w:rsid w:val="003D2BAE"/>
    <w:rsid w:val="003D2BEC"/>
    <w:rsid w:val="003D2C14"/>
    <w:rsid w:val="003D2E25"/>
    <w:rsid w:val="003D2F94"/>
    <w:rsid w:val="003D3144"/>
    <w:rsid w:val="003D34A1"/>
    <w:rsid w:val="003D36FA"/>
    <w:rsid w:val="003D3997"/>
    <w:rsid w:val="003D3D27"/>
    <w:rsid w:val="003D3E38"/>
    <w:rsid w:val="003D4666"/>
    <w:rsid w:val="003D4843"/>
    <w:rsid w:val="003D485F"/>
    <w:rsid w:val="003D4D5E"/>
    <w:rsid w:val="003D4D9D"/>
    <w:rsid w:val="003D4E8F"/>
    <w:rsid w:val="003D5085"/>
    <w:rsid w:val="003D51DF"/>
    <w:rsid w:val="003D524B"/>
    <w:rsid w:val="003D5402"/>
    <w:rsid w:val="003D5508"/>
    <w:rsid w:val="003D569A"/>
    <w:rsid w:val="003D57E0"/>
    <w:rsid w:val="003D5D54"/>
    <w:rsid w:val="003D5F47"/>
    <w:rsid w:val="003D61FE"/>
    <w:rsid w:val="003D6A65"/>
    <w:rsid w:val="003D7235"/>
    <w:rsid w:val="003D7264"/>
    <w:rsid w:val="003D755E"/>
    <w:rsid w:val="003D759D"/>
    <w:rsid w:val="003D7877"/>
    <w:rsid w:val="003D7BED"/>
    <w:rsid w:val="003D7DEC"/>
    <w:rsid w:val="003E0023"/>
    <w:rsid w:val="003E03F5"/>
    <w:rsid w:val="003E069C"/>
    <w:rsid w:val="003E091E"/>
    <w:rsid w:val="003E09FB"/>
    <w:rsid w:val="003E0D10"/>
    <w:rsid w:val="003E0D27"/>
    <w:rsid w:val="003E0D38"/>
    <w:rsid w:val="003E0E5C"/>
    <w:rsid w:val="003E13BD"/>
    <w:rsid w:val="003E17D2"/>
    <w:rsid w:val="003E1BBF"/>
    <w:rsid w:val="003E1CCF"/>
    <w:rsid w:val="003E1E81"/>
    <w:rsid w:val="003E2082"/>
    <w:rsid w:val="003E2732"/>
    <w:rsid w:val="003E2C54"/>
    <w:rsid w:val="003E2C84"/>
    <w:rsid w:val="003E2CB0"/>
    <w:rsid w:val="003E3393"/>
    <w:rsid w:val="003E33C8"/>
    <w:rsid w:val="003E3561"/>
    <w:rsid w:val="003E35C4"/>
    <w:rsid w:val="003E38B6"/>
    <w:rsid w:val="003E40F9"/>
    <w:rsid w:val="003E4205"/>
    <w:rsid w:val="003E444E"/>
    <w:rsid w:val="003E4946"/>
    <w:rsid w:val="003E4E63"/>
    <w:rsid w:val="003E50E6"/>
    <w:rsid w:val="003E50F7"/>
    <w:rsid w:val="003E5166"/>
    <w:rsid w:val="003E5558"/>
    <w:rsid w:val="003E565F"/>
    <w:rsid w:val="003E5BBC"/>
    <w:rsid w:val="003E5CA6"/>
    <w:rsid w:val="003E5D6F"/>
    <w:rsid w:val="003E6039"/>
    <w:rsid w:val="003E6BA8"/>
    <w:rsid w:val="003E6BE3"/>
    <w:rsid w:val="003E6CAF"/>
    <w:rsid w:val="003E7043"/>
    <w:rsid w:val="003E7234"/>
    <w:rsid w:val="003E73F7"/>
    <w:rsid w:val="003E749B"/>
    <w:rsid w:val="003E753C"/>
    <w:rsid w:val="003E796A"/>
    <w:rsid w:val="003F0185"/>
    <w:rsid w:val="003F044B"/>
    <w:rsid w:val="003F06E9"/>
    <w:rsid w:val="003F08C1"/>
    <w:rsid w:val="003F091B"/>
    <w:rsid w:val="003F0A62"/>
    <w:rsid w:val="003F0BDE"/>
    <w:rsid w:val="003F0FA8"/>
    <w:rsid w:val="003F1067"/>
    <w:rsid w:val="003F1070"/>
    <w:rsid w:val="003F1508"/>
    <w:rsid w:val="003F1B63"/>
    <w:rsid w:val="003F1BA8"/>
    <w:rsid w:val="003F1C83"/>
    <w:rsid w:val="003F1E32"/>
    <w:rsid w:val="003F22F6"/>
    <w:rsid w:val="003F24A9"/>
    <w:rsid w:val="003F252F"/>
    <w:rsid w:val="003F274B"/>
    <w:rsid w:val="003F2C20"/>
    <w:rsid w:val="003F2D3D"/>
    <w:rsid w:val="003F2FA3"/>
    <w:rsid w:val="003F3182"/>
    <w:rsid w:val="003F3260"/>
    <w:rsid w:val="003F358F"/>
    <w:rsid w:val="003F415B"/>
    <w:rsid w:val="003F43F9"/>
    <w:rsid w:val="003F47B5"/>
    <w:rsid w:val="003F4C5A"/>
    <w:rsid w:val="003F4C9E"/>
    <w:rsid w:val="003F4D78"/>
    <w:rsid w:val="003F4EEA"/>
    <w:rsid w:val="003F509D"/>
    <w:rsid w:val="003F50C6"/>
    <w:rsid w:val="003F5297"/>
    <w:rsid w:val="003F547B"/>
    <w:rsid w:val="003F5563"/>
    <w:rsid w:val="003F5964"/>
    <w:rsid w:val="003F5B0D"/>
    <w:rsid w:val="003F6101"/>
    <w:rsid w:val="003F645B"/>
    <w:rsid w:val="003F66A9"/>
    <w:rsid w:val="003F6E24"/>
    <w:rsid w:val="003F7332"/>
    <w:rsid w:val="003F73B7"/>
    <w:rsid w:val="003F7647"/>
    <w:rsid w:val="003F775A"/>
    <w:rsid w:val="003F77DD"/>
    <w:rsid w:val="003F7A76"/>
    <w:rsid w:val="003F7B74"/>
    <w:rsid w:val="003F7BDC"/>
    <w:rsid w:val="003F7C86"/>
    <w:rsid w:val="003F7D81"/>
    <w:rsid w:val="003F7FC4"/>
    <w:rsid w:val="00400076"/>
    <w:rsid w:val="0040017C"/>
    <w:rsid w:val="00400348"/>
    <w:rsid w:val="004003BC"/>
    <w:rsid w:val="00400456"/>
    <w:rsid w:val="004004B6"/>
    <w:rsid w:val="00400574"/>
    <w:rsid w:val="00400599"/>
    <w:rsid w:val="0040085B"/>
    <w:rsid w:val="004008C3"/>
    <w:rsid w:val="00400D49"/>
    <w:rsid w:val="00401182"/>
    <w:rsid w:val="0040134F"/>
    <w:rsid w:val="004015D0"/>
    <w:rsid w:val="004016C9"/>
    <w:rsid w:val="004017E2"/>
    <w:rsid w:val="0040187A"/>
    <w:rsid w:val="004018DC"/>
    <w:rsid w:val="00401AF5"/>
    <w:rsid w:val="00401BA4"/>
    <w:rsid w:val="0040202D"/>
    <w:rsid w:val="0040231F"/>
    <w:rsid w:val="00402340"/>
    <w:rsid w:val="00402611"/>
    <w:rsid w:val="0040297A"/>
    <w:rsid w:val="00402FF1"/>
    <w:rsid w:val="004030C4"/>
    <w:rsid w:val="004031E0"/>
    <w:rsid w:val="00403330"/>
    <w:rsid w:val="0040334C"/>
    <w:rsid w:val="004033CD"/>
    <w:rsid w:val="00404633"/>
    <w:rsid w:val="004047D6"/>
    <w:rsid w:val="004048A5"/>
    <w:rsid w:val="00404965"/>
    <w:rsid w:val="00404BA2"/>
    <w:rsid w:val="00404BFD"/>
    <w:rsid w:val="00404E2D"/>
    <w:rsid w:val="00404F43"/>
    <w:rsid w:val="00404F7F"/>
    <w:rsid w:val="00405460"/>
    <w:rsid w:val="00405657"/>
    <w:rsid w:val="004056F8"/>
    <w:rsid w:val="004057B6"/>
    <w:rsid w:val="00405B65"/>
    <w:rsid w:val="00405ECF"/>
    <w:rsid w:val="00405F0F"/>
    <w:rsid w:val="00406583"/>
    <w:rsid w:val="004065AA"/>
    <w:rsid w:val="00406678"/>
    <w:rsid w:val="0040688E"/>
    <w:rsid w:val="00406A86"/>
    <w:rsid w:val="00406AA7"/>
    <w:rsid w:val="00406C71"/>
    <w:rsid w:val="00406E6A"/>
    <w:rsid w:val="00406EA7"/>
    <w:rsid w:val="00406FB6"/>
    <w:rsid w:val="004075E2"/>
    <w:rsid w:val="00407835"/>
    <w:rsid w:val="00407861"/>
    <w:rsid w:val="00407920"/>
    <w:rsid w:val="00407977"/>
    <w:rsid w:val="00407F36"/>
    <w:rsid w:val="00410105"/>
    <w:rsid w:val="0041014B"/>
    <w:rsid w:val="004103B8"/>
    <w:rsid w:val="004104EC"/>
    <w:rsid w:val="00410B28"/>
    <w:rsid w:val="00410BFB"/>
    <w:rsid w:val="00410DC7"/>
    <w:rsid w:val="00410E71"/>
    <w:rsid w:val="00410E8D"/>
    <w:rsid w:val="00410F5B"/>
    <w:rsid w:val="0041114F"/>
    <w:rsid w:val="00411336"/>
    <w:rsid w:val="00411441"/>
    <w:rsid w:val="004114A4"/>
    <w:rsid w:val="004119B0"/>
    <w:rsid w:val="00411D48"/>
    <w:rsid w:val="00411F94"/>
    <w:rsid w:val="00412DAB"/>
    <w:rsid w:val="00412E6F"/>
    <w:rsid w:val="004133AA"/>
    <w:rsid w:val="004133D3"/>
    <w:rsid w:val="0041354B"/>
    <w:rsid w:val="00413697"/>
    <w:rsid w:val="004136E0"/>
    <w:rsid w:val="00413DB0"/>
    <w:rsid w:val="0041409F"/>
    <w:rsid w:val="004142E3"/>
    <w:rsid w:val="00414308"/>
    <w:rsid w:val="00414CCF"/>
    <w:rsid w:val="004153DF"/>
    <w:rsid w:val="00415587"/>
    <w:rsid w:val="00415A26"/>
    <w:rsid w:val="00415AE4"/>
    <w:rsid w:val="00415B9A"/>
    <w:rsid w:val="00415D81"/>
    <w:rsid w:val="0041623E"/>
    <w:rsid w:val="0041627B"/>
    <w:rsid w:val="004164C6"/>
    <w:rsid w:val="004165A1"/>
    <w:rsid w:val="00416792"/>
    <w:rsid w:val="00417170"/>
    <w:rsid w:val="0041745C"/>
    <w:rsid w:val="00417492"/>
    <w:rsid w:val="0041750E"/>
    <w:rsid w:val="00417571"/>
    <w:rsid w:val="004175A0"/>
    <w:rsid w:val="004176B2"/>
    <w:rsid w:val="0041788F"/>
    <w:rsid w:val="00417AFE"/>
    <w:rsid w:val="00417C07"/>
    <w:rsid w:val="00417CAA"/>
    <w:rsid w:val="00417D22"/>
    <w:rsid w:val="00417F07"/>
    <w:rsid w:val="00420515"/>
    <w:rsid w:val="00420835"/>
    <w:rsid w:val="00420A3E"/>
    <w:rsid w:val="00420B17"/>
    <w:rsid w:val="00420C26"/>
    <w:rsid w:val="00420FA2"/>
    <w:rsid w:val="00420FCD"/>
    <w:rsid w:val="0042118D"/>
    <w:rsid w:val="00421711"/>
    <w:rsid w:val="0042178C"/>
    <w:rsid w:val="004218D3"/>
    <w:rsid w:val="00421F06"/>
    <w:rsid w:val="0042239B"/>
    <w:rsid w:val="004223B0"/>
    <w:rsid w:val="00422487"/>
    <w:rsid w:val="004226F1"/>
    <w:rsid w:val="00422713"/>
    <w:rsid w:val="00422945"/>
    <w:rsid w:val="00422C13"/>
    <w:rsid w:val="00422F98"/>
    <w:rsid w:val="004232BB"/>
    <w:rsid w:val="004235A7"/>
    <w:rsid w:val="0042386A"/>
    <w:rsid w:val="00423899"/>
    <w:rsid w:val="0042397A"/>
    <w:rsid w:val="00423B87"/>
    <w:rsid w:val="00423BDA"/>
    <w:rsid w:val="00423DD6"/>
    <w:rsid w:val="004242EA"/>
    <w:rsid w:val="00424474"/>
    <w:rsid w:val="00424709"/>
    <w:rsid w:val="00424F58"/>
    <w:rsid w:val="0042505F"/>
    <w:rsid w:val="0042515E"/>
    <w:rsid w:val="0042526A"/>
    <w:rsid w:val="0042539E"/>
    <w:rsid w:val="004253F6"/>
    <w:rsid w:val="0042540F"/>
    <w:rsid w:val="004254FD"/>
    <w:rsid w:val="00425838"/>
    <w:rsid w:val="004259D3"/>
    <w:rsid w:val="00425EE4"/>
    <w:rsid w:val="00426019"/>
    <w:rsid w:val="00426049"/>
    <w:rsid w:val="0042608F"/>
    <w:rsid w:val="004260F9"/>
    <w:rsid w:val="00426145"/>
    <w:rsid w:val="004268A7"/>
    <w:rsid w:val="00426B1D"/>
    <w:rsid w:val="00426BC2"/>
    <w:rsid w:val="00426CF2"/>
    <w:rsid w:val="00427011"/>
    <w:rsid w:val="0042701C"/>
    <w:rsid w:val="004272E5"/>
    <w:rsid w:val="00427406"/>
    <w:rsid w:val="00427B02"/>
    <w:rsid w:val="00427D36"/>
    <w:rsid w:val="00427F17"/>
    <w:rsid w:val="00427F20"/>
    <w:rsid w:val="00430045"/>
    <w:rsid w:val="00430208"/>
    <w:rsid w:val="00430228"/>
    <w:rsid w:val="004305FD"/>
    <w:rsid w:val="00430B80"/>
    <w:rsid w:val="00430C85"/>
    <w:rsid w:val="00431506"/>
    <w:rsid w:val="00431970"/>
    <w:rsid w:val="00431AF7"/>
    <w:rsid w:val="00431D60"/>
    <w:rsid w:val="00431FCB"/>
    <w:rsid w:val="0043216F"/>
    <w:rsid w:val="00432253"/>
    <w:rsid w:val="0043232D"/>
    <w:rsid w:val="004323CA"/>
    <w:rsid w:val="004328E4"/>
    <w:rsid w:val="00432934"/>
    <w:rsid w:val="00432A5F"/>
    <w:rsid w:val="00432A7C"/>
    <w:rsid w:val="00432A95"/>
    <w:rsid w:val="00432FC8"/>
    <w:rsid w:val="004330C7"/>
    <w:rsid w:val="004336D7"/>
    <w:rsid w:val="00433FFD"/>
    <w:rsid w:val="004343D3"/>
    <w:rsid w:val="004348ED"/>
    <w:rsid w:val="00434946"/>
    <w:rsid w:val="004349BC"/>
    <w:rsid w:val="00434AB2"/>
    <w:rsid w:val="00434F00"/>
    <w:rsid w:val="00435017"/>
    <w:rsid w:val="00435149"/>
    <w:rsid w:val="00435155"/>
    <w:rsid w:val="004351F7"/>
    <w:rsid w:val="004352C2"/>
    <w:rsid w:val="004353A0"/>
    <w:rsid w:val="0043554A"/>
    <w:rsid w:val="00435D9E"/>
    <w:rsid w:val="00435E79"/>
    <w:rsid w:val="00435F98"/>
    <w:rsid w:val="00436069"/>
    <w:rsid w:val="0043625F"/>
    <w:rsid w:val="00436797"/>
    <w:rsid w:val="00436978"/>
    <w:rsid w:val="00436DFC"/>
    <w:rsid w:val="00437C57"/>
    <w:rsid w:val="00440058"/>
    <w:rsid w:val="004402DF"/>
    <w:rsid w:val="0044096B"/>
    <w:rsid w:val="00440C02"/>
    <w:rsid w:val="00441118"/>
    <w:rsid w:val="004414EA"/>
    <w:rsid w:val="00441830"/>
    <w:rsid w:val="00441921"/>
    <w:rsid w:val="00441A78"/>
    <w:rsid w:val="00441A85"/>
    <w:rsid w:val="00441AD1"/>
    <w:rsid w:val="00441BB0"/>
    <w:rsid w:val="00441DEC"/>
    <w:rsid w:val="0044278B"/>
    <w:rsid w:val="004427C1"/>
    <w:rsid w:val="0044294D"/>
    <w:rsid w:val="0044296A"/>
    <w:rsid w:val="0044297E"/>
    <w:rsid w:val="00442AB1"/>
    <w:rsid w:val="00442E85"/>
    <w:rsid w:val="0044315F"/>
    <w:rsid w:val="00443324"/>
    <w:rsid w:val="004438D4"/>
    <w:rsid w:val="00444576"/>
    <w:rsid w:val="00444619"/>
    <w:rsid w:val="00444655"/>
    <w:rsid w:val="00444C5B"/>
    <w:rsid w:val="00444D38"/>
    <w:rsid w:val="00444D72"/>
    <w:rsid w:val="00444E9F"/>
    <w:rsid w:val="00444F2F"/>
    <w:rsid w:val="004450AD"/>
    <w:rsid w:val="004452D0"/>
    <w:rsid w:val="00445B90"/>
    <w:rsid w:val="00446227"/>
    <w:rsid w:val="00446EE4"/>
    <w:rsid w:val="00446F07"/>
    <w:rsid w:val="00447120"/>
    <w:rsid w:val="00447274"/>
    <w:rsid w:val="0044732F"/>
    <w:rsid w:val="004475DC"/>
    <w:rsid w:val="004477D6"/>
    <w:rsid w:val="00447942"/>
    <w:rsid w:val="00447C54"/>
    <w:rsid w:val="00447C6A"/>
    <w:rsid w:val="00450015"/>
    <w:rsid w:val="0045002D"/>
    <w:rsid w:val="004505D3"/>
    <w:rsid w:val="00450661"/>
    <w:rsid w:val="0045076D"/>
    <w:rsid w:val="004508A3"/>
    <w:rsid w:val="00450ACA"/>
    <w:rsid w:val="00450D0E"/>
    <w:rsid w:val="0045110D"/>
    <w:rsid w:val="00451348"/>
    <w:rsid w:val="004513A7"/>
    <w:rsid w:val="004514B6"/>
    <w:rsid w:val="00451FFA"/>
    <w:rsid w:val="004521D9"/>
    <w:rsid w:val="00452277"/>
    <w:rsid w:val="004523E9"/>
    <w:rsid w:val="004524C5"/>
    <w:rsid w:val="00452B61"/>
    <w:rsid w:val="004530EF"/>
    <w:rsid w:val="0045342C"/>
    <w:rsid w:val="0045394C"/>
    <w:rsid w:val="0045396C"/>
    <w:rsid w:val="00453AE6"/>
    <w:rsid w:val="00453D1C"/>
    <w:rsid w:val="00454096"/>
    <w:rsid w:val="004541F2"/>
    <w:rsid w:val="00454365"/>
    <w:rsid w:val="00454485"/>
    <w:rsid w:val="004545A5"/>
    <w:rsid w:val="004546F1"/>
    <w:rsid w:val="0045472E"/>
    <w:rsid w:val="004547FD"/>
    <w:rsid w:val="00454865"/>
    <w:rsid w:val="00454AD9"/>
    <w:rsid w:val="00454BFC"/>
    <w:rsid w:val="00454C20"/>
    <w:rsid w:val="00454D48"/>
    <w:rsid w:val="00454E2B"/>
    <w:rsid w:val="0045514B"/>
    <w:rsid w:val="004552E6"/>
    <w:rsid w:val="0045575F"/>
    <w:rsid w:val="00455C98"/>
    <w:rsid w:val="00456445"/>
    <w:rsid w:val="00456542"/>
    <w:rsid w:val="004566E6"/>
    <w:rsid w:val="00456DEA"/>
    <w:rsid w:val="00456EC6"/>
    <w:rsid w:val="0045702F"/>
    <w:rsid w:val="0045724D"/>
    <w:rsid w:val="004575BB"/>
    <w:rsid w:val="004577F6"/>
    <w:rsid w:val="00457821"/>
    <w:rsid w:val="00457838"/>
    <w:rsid w:val="00457BCF"/>
    <w:rsid w:val="00457C54"/>
    <w:rsid w:val="00457D49"/>
    <w:rsid w:val="00457F0F"/>
    <w:rsid w:val="004605EB"/>
    <w:rsid w:val="004606AC"/>
    <w:rsid w:val="004606B2"/>
    <w:rsid w:val="00460E74"/>
    <w:rsid w:val="00460FDF"/>
    <w:rsid w:val="004611F6"/>
    <w:rsid w:val="0046153F"/>
    <w:rsid w:val="00461778"/>
    <w:rsid w:val="004618A7"/>
    <w:rsid w:val="0046197C"/>
    <w:rsid w:val="00461DAA"/>
    <w:rsid w:val="00461EBA"/>
    <w:rsid w:val="00462168"/>
    <w:rsid w:val="0046234C"/>
    <w:rsid w:val="004626C1"/>
    <w:rsid w:val="004626DA"/>
    <w:rsid w:val="00462722"/>
    <w:rsid w:val="0046288D"/>
    <w:rsid w:val="00462B9B"/>
    <w:rsid w:val="00462E95"/>
    <w:rsid w:val="00462FBB"/>
    <w:rsid w:val="0046314C"/>
    <w:rsid w:val="00463276"/>
    <w:rsid w:val="00463757"/>
    <w:rsid w:val="00463922"/>
    <w:rsid w:val="00463F1E"/>
    <w:rsid w:val="00464912"/>
    <w:rsid w:val="00464C23"/>
    <w:rsid w:val="00464D48"/>
    <w:rsid w:val="00464E0F"/>
    <w:rsid w:val="00464EE6"/>
    <w:rsid w:val="004651D2"/>
    <w:rsid w:val="00465474"/>
    <w:rsid w:val="00465565"/>
    <w:rsid w:val="0046591C"/>
    <w:rsid w:val="00465B70"/>
    <w:rsid w:val="00465C8D"/>
    <w:rsid w:val="00465E41"/>
    <w:rsid w:val="004660B6"/>
    <w:rsid w:val="00466160"/>
    <w:rsid w:val="0046654A"/>
    <w:rsid w:val="00466821"/>
    <w:rsid w:val="0046684A"/>
    <w:rsid w:val="00466B73"/>
    <w:rsid w:val="004670F1"/>
    <w:rsid w:val="00467410"/>
    <w:rsid w:val="004674CE"/>
    <w:rsid w:val="004676DE"/>
    <w:rsid w:val="004679EE"/>
    <w:rsid w:val="004679F9"/>
    <w:rsid w:val="00467CF5"/>
    <w:rsid w:val="00467FC6"/>
    <w:rsid w:val="004700A9"/>
    <w:rsid w:val="004703AB"/>
    <w:rsid w:val="0047053B"/>
    <w:rsid w:val="00470562"/>
    <w:rsid w:val="004707FA"/>
    <w:rsid w:val="00470A8E"/>
    <w:rsid w:val="00470D4B"/>
    <w:rsid w:val="00470D68"/>
    <w:rsid w:val="00470F97"/>
    <w:rsid w:val="0047184F"/>
    <w:rsid w:val="00471CE7"/>
    <w:rsid w:val="00472303"/>
    <w:rsid w:val="00472393"/>
    <w:rsid w:val="0047244B"/>
    <w:rsid w:val="0047266C"/>
    <w:rsid w:val="00472D13"/>
    <w:rsid w:val="00472DE0"/>
    <w:rsid w:val="00473AB9"/>
    <w:rsid w:val="00473B20"/>
    <w:rsid w:val="00473BFE"/>
    <w:rsid w:val="00473E16"/>
    <w:rsid w:val="00474412"/>
    <w:rsid w:val="00474592"/>
    <w:rsid w:val="00474745"/>
    <w:rsid w:val="004748F2"/>
    <w:rsid w:val="00474956"/>
    <w:rsid w:val="0047499B"/>
    <w:rsid w:val="00474A2C"/>
    <w:rsid w:val="00474AA1"/>
    <w:rsid w:val="00474E2C"/>
    <w:rsid w:val="00474E9B"/>
    <w:rsid w:val="00475A14"/>
    <w:rsid w:val="00475AAE"/>
    <w:rsid w:val="00475B63"/>
    <w:rsid w:val="00475F64"/>
    <w:rsid w:val="00476122"/>
    <w:rsid w:val="0047628A"/>
    <w:rsid w:val="00476795"/>
    <w:rsid w:val="00476A1E"/>
    <w:rsid w:val="00476AF0"/>
    <w:rsid w:val="00476B5D"/>
    <w:rsid w:val="00476CC8"/>
    <w:rsid w:val="0047753D"/>
    <w:rsid w:val="00477629"/>
    <w:rsid w:val="004776A1"/>
    <w:rsid w:val="00477ABE"/>
    <w:rsid w:val="00477C3D"/>
    <w:rsid w:val="00477D30"/>
    <w:rsid w:val="00477DD7"/>
    <w:rsid w:val="004805B7"/>
    <w:rsid w:val="004805B8"/>
    <w:rsid w:val="004808AC"/>
    <w:rsid w:val="00480B4A"/>
    <w:rsid w:val="00480B81"/>
    <w:rsid w:val="00480FF1"/>
    <w:rsid w:val="00480FFD"/>
    <w:rsid w:val="00481167"/>
    <w:rsid w:val="00481231"/>
    <w:rsid w:val="004814F4"/>
    <w:rsid w:val="00481566"/>
    <w:rsid w:val="00481713"/>
    <w:rsid w:val="00481D94"/>
    <w:rsid w:val="0048203E"/>
    <w:rsid w:val="00482704"/>
    <w:rsid w:val="00482862"/>
    <w:rsid w:val="00482CE6"/>
    <w:rsid w:val="00482E71"/>
    <w:rsid w:val="00483200"/>
    <w:rsid w:val="0048332C"/>
    <w:rsid w:val="00483387"/>
    <w:rsid w:val="00483390"/>
    <w:rsid w:val="00483699"/>
    <w:rsid w:val="004836A8"/>
    <w:rsid w:val="004836E3"/>
    <w:rsid w:val="00483728"/>
    <w:rsid w:val="00483A82"/>
    <w:rsid w:val="0048405D"/>
    <w:rsid w:val="004840F3"/>
    <w:rsid w:val="0048411A"/>
    <w:rsid w:val="0048441F"/>
    <w:rsid w:val="00484513"/>
    <w:rsid w:val="00484595"/>
    <w:rsid w:val="00484B9B"/>
    <w:rsid w:val="00484C9F"/>
    <w:rsid w:val="00484ECE"/>
    <w:rsid w:val="00484EF0"/>
    <w:rsid w:val="00484F52"/>
    <w:rsid w:val="004850D9"/>
    <w:rsid w:val="004852AF"/>
    <w:rsid w:val="00485D4A"/>
    <w:rsid w:val="00485E38"/>
    <w:rsid w:val="0048601D"/>
    <w:rsid w:val="0048608D"/>
    <w:rsid w:val="0048647B"/>
    <w:rsid w:val="004869AD"/>
    <w:rsid w:val="00486DC3"/>
    <w:rsid w:val="00486DD4"/>
    <w:rsid w:val="00486F4E"/>
    <w:rsid w:val="0048705A"/>
    <w:rsid w:val="004870BB"/>
    <w:rsid w:val="004872FE"/>
    <w:rsid w:val="00487325"/>
    <w:rsid w:val="0048736B"/>
    <w:rsid w:val="00487648"/>
    <w:rsid w:val="004878BA"/>
    <w:rsid w:val="00487981"/>
    <w:rsid w:val="004879A8"/>
    <w:rsid w:val="004879E3"/>
    <w:rsid w:val="00487A60"/>
    <w:rsid w:val="00487DF7"/>
    <w:rsid w:val="00490583"/>
    <w:rsid w:val="0049066D"/>
    <w:rsid w:val="0049096B"/>
    <w:rsid w:val="00490B6B"/>
    <w:rsid w:val="00490BEA"/>
    <w:rsid w:val="00490E18"/>
    <w:rsid w:val="00491200"/>
    <w:rsid w:val="004912D2"/>
    <w:rsid w:val="00491391"/>
    <w:rsid w:val="00491680"/>
    <w:rsid w:val="00491A83"/>
    <w:rsid w:val="00491A85"/>
    <w:rsid w:val="00491BDF"/>
    <w:rsid w:val="00491CE6"/>
    <w:rsid w:val="0049217A"/>
    <w:rsid w:val="00492322"/>
    <w:rsid w:val="00492505"/>
    <w:rsid w:val="00492646"/>
    <w:rsid w:val="0049268B"/>
    <w:rsid w:val="004928AB"/>
    <w:rsid w:val="00492C91"/>
    <w:rsid w:val="00493112"/>
    <w:rsid w:val="0049356B"/>
    <w:rsid w:val="00493F40"/>
    <w:rsid w:val="00493F45"/>
    <w:rsid w:val="00493F4A"/>
    <w:rsid w:val="004941A4"/>
    <w:rsid w:val="004941D8"/>
    <w:rsid w:val="004941FE"/>
    <w:rsid w:val="0049443D"/>
    <w:rsid w:val="004948BC"/>
    <w:rsid w:val="004952EC"/>
    <w:rsid w:val="0049531A"/>
    <w:rsid w:val="00495397"/>
    <w:rsid w:val="00495B28"/>
    <w:rsid w:val="00495D05"/>
    <w:rsid w:val="00496571"/>
    <w:rsid w:val="00497403"/>
    <w:rsid w:val="00497490"/>
    <w:rsid w:val="004977BF"/>
    <w:rsid w:val="004977F4"/>
    <w:rsid w:val="0049783D"/>
    <w:rsid w:val="00497ECC"/>
    <w:rsid w:val="004A0133"/>
    <w:rsid w:val="004A03A2"/>
    <w:rsid w:val="004A046B"/>
    <w:rsid w:val="004A0749"/>
    <w:rsid w:val="004A086D"/>
    <w:rsid w:val="004A0888"/>
    <w:rsid w:val="004A0B71"/>
    <w:rsid w:val="004A0CB0"/>
    <w:rsid w:val="004A0CC1"/>
    <w:rsid w:val="004A11C8"/>
    <w:rsid w:val="004A1526"/>
    <w:rsid w:val="004A15D7"/>
    <w:rsid w:val="004A167B"/>
    <w:rsid w:val="004A16F2"/>
    <w:rsid w:val="004A1A3C"/>
    <w:rsid w:val="004A1E89"/>
    <w:rsid w:val="004A2283"/>
    <w:rsid w:val="004A2567"/>
    <w:rsid w:val="004A3670"/>
    <w:rsid w:val="004A377A"/>
    <w:rsid w:val="004A3848"/>
    <w:rsid w:val="004A3964"/>
    <w:rsid w:val="004A398A"/>
    <w:rsid w:val="004A4189"/>
    <w:rsid w:val="004A420E"/>
    <w:rsid w:val="004A4268"/>
    <w:rsid w:val="004A437C"/>
    <w:rsid w:val="004A440D"/>
    <w:rsid w:val="004A4551"/>
    <w:rsid w:val="004A4759"/>
    <w:rsid w:val="004A48B5"/>
    <w:rsid w:val="004A4972"/>
    <w:rsid w:val="004A4B16"/>
    <w:rsid w:val="004A4EBB"/>
    <w:rsid w:val="004A529C"/>
    <w:rsid w:val="004A5352"/>
    <w:rsid w:val="004A608F"/>
    <w:rsid w:val="004A637B"/>
    <w:rsid w:val="004A65F2"/>
    <w:rsid w:val="004A66EB"/>
    <w:rsid w:val="004A67B4"/>
    <w:rsid w:val="004A67DB"/>
    <w:rsid w:val="004A6910"/>
    <w:rsid w:val="004A6A08"/>
    <w:rsid w:val="004A75C8"/>
    <w:rsid w:val="004A763F"/>
    <w:rsid w:val="004A791F"/>
    <w:rsid w:val="004A7AB2"/>
    <w:rsid w:val="004A7B3B"/>
    <w:rsid w:val="004A7E65"/>
    <w:rsid w:val="004A7EAF"/>
    <w:rsid w:val="004B0375"/>
    <w:rsid w:val="004B039F"/>
    <w:rsid w:val="004B07E8"/>
    <w:rsid w:val="004B0997"/>
    <w:rsid w:val="004B0F64"/>
    <w:rsid w:val="004B14EF"/>
    <w:rsid w:val="004B1994"/>
    <w:rsid w:val="004B1A78"/>
    <w:rsid w:val="004B2075"/>
    <w:rsid w:val="004B23EE"/>
    <w:rsid w:val="004B2585"/>
    <w:rsid w:val="004B2A39"/>
    <w:rsid w:val="004B31C4"/>
    <w:rsid w:val="004B3589"/>
    <w:rsid w:val="004B35B8"/>
    <w:rsid w:val="004B3932"/>
    <w:rsid w:val="004B3E51"/>
    <w:rsid w:val="004B40F8"/>
    <w:rsid w:val="004B41A5"/>
    <w:rsid w:val="004B4681"/>
    <w:rsid w:val="004B480E"/>
    <w:rsid w:val="004B4C80"/>
    <w:rsid w:val="004B4D2A"/>
    <w:rsid w:val="004B512D"/>
    <w:rsid w:val="004B537B"/>
    <w:rsid w:val="004B5710"/>
    <w:rsid w:val="004B57B8"/>
    <w:rsid w:val="004B59F6"/>
    <w:rsid w:val="004B5CB9"/>
    <w:rsid w:val="004B6010"/>
    <w:rsid w:val="004B60FE"/>
    <w:rsid w:val="004B62B1"/>
    <w:rsid w:val="004B63D0"/>
    <w:rsid w:val="004B6503"/>
    <w:rsid w:val="004B6A49"/>
    <w:rsid w:val="004B6A75"/>
    <w:rsid w:val="004B6B3A"/>
    <w:rsid w:val="004B6C1D"/>
    <w:rsid w:val="004B6C66"/>
    <w:rsid w:val="004B6D8B"/>
    <w:rsid w:val="004B6F5D"/>
    <w:rsid w:val="004B6F6A"/>
    <w:rsid w:val="004B71C0"/>
    <w:rsid w:val="004B723D"/>
    <w:rsid w:val="004B7288"/>
    <w:rsid w:val="004B72A7"/>
    <w:rsid w:val="004B7365"/>
    <w:rsid w:val="004B7450"/>
    <w:rsid w:val="004B7773"/>
    <w:rsid w:val="004B797E"/>
    <w:rsid w:val="004B79A3"/>
    <w:rsid w:val="004B7AD4"/>
    <w:rsid w:val="004C0131"/>
    <w:rsid w:val="004C019C"/>
    <w:rsid w:val="004C01B2"/>
    <w:rsid w:val="004C0772"/>
    <w:rsid w:val="004C084B"/>
    <w:rsid w:val="004C0F1D"/>
    <w:rsid w:val="004C173C"/>
    <w:rsid w:val="004C17FE"/>
    <w:rsid w:val="004C19CC"/>
    <w:rsid w:val="004C1C44"/>
    <w:rsid w:val="004C1F20"/>
    <w:rsid w:val="004C1FED"/>
    <w:rsid w:val="004C2338"/>
    <w:rsid w:val="004C24A7"/>
    <w:rsid w:val="004C25C6"/>
    <w:rsid w:val="004C271A"/>
    <w:rsid w:val="004C2AFF"/>
    <w:rsid w:val="004C2C52"/>
    <w:rsid w:val="004C3218"/>
    <w:rsid w:val="004C330B"/>
    <w:rsid w:val="004C34E7"/>
    <w:rsid w:val="004C3A3E"/>
    <w:rsid w:val="004C3B1B"/>
    <w:rsid w:val="004C3E99"/>
    <w:rsid w:val="004C4355"/>
    <w:rsid w:val="004C44CC"/>
    <w:rsid w:val="004C4597"/>
    <w:rsid w:val="004C4939"/>
    <w:rsid w:val="004C494F"/>
    <w:rsid w:val="004C498A"/>
    <w:rsid w:val="004C4ADC"/>
    <w:rsid w:val="004C4DA8"/>
    <w:rsid w:val="004C4FE7"/>
    <w:rsid w:val="004C51A8"/>
    <w:rsid w:val="004C54CE"/>
    <w:rsid w:val="004C55EF"/>
    <w:rsid w:val="004C5AC8"/>
    <w:rsid w:val="004C5AD8"/>
    <w:rsid w:val="004C5EA5"/>
    <w:rsid w:val="004C5FC2"/>
    <w:rsid w:val="004C5FDA"/>
    <w:rsid w:val="004C608F"/>
    <w:rsid w:val="004C6300"/>
    <w:rsid w:val="004C6845"/>
    <w:rsid w:val="004C6EA1"/>
    <w:rsid w:val="004C6FE0"/>
    <w:rsid w:val="004C7053"/>
    <w:rsid w:val="004C7540"/>
    <w:rsid w:val="004C7569"/>
    <w:rsid w:val="004C756E"/>
    <w:rsid w:val="004C75B9"/>
    <w:rsid w:val="004C7ABE"/>
    <w:rsid w:val="004C7C6F"/>
    <w:rsid w:val="004C7F07"/>
    <w:rsid w:val="004D0646"/>
    <w:rsid w:val="004D0A07"/>
    <w:rsid w:val="004D0DC4"/>
    <w:rsid w:val="004D0F15"/>
    <w:rsid w:val="004D138C"/>
    <w:rsid w:val="004D14B1"/>
    <w:rsid w:val="004D184D"/>
    <w:rsid w:val="004D18F1"/>
    <w:rsid w:val="004D1CB0"/>
    <w:rsid w:val="004D2012"/>
    <w:rsid w:val="004D217F"/>
    <w:rsid w:val="004D21F0"/>
    <w:rsid w:val="004D23EC"/>
    <w:rsid w:val="004D263A"/>
    <w:rsid w:val="004D267B"/>
    <w:rsid w:val="004D2A60"/>
    <w:rsid w:val="004D3638"/>
    <w:rsid w:val="004D3813"/>
    <w:rsid w:val="004D38A9"/>
    <w:rsid w:val="004D3A7E"/>
    <w:rsid w:val="004D3C9D"/>
    <w:rsid w:val="004D3E31"/>
    <w:rsid w:val="004D4204"/>
    <w:rsid w:val="004D424B"/>
    <w:rsid w:val="004D4322"/>
    <w:rsid w:val="004D458A"/>
    <w:rsid w:val="004D4600"/>
    <w:rsid w:val="004D46CA"/>
    <w:rsid w:val="004D4B4E"/>
    <w:rsid w:val="004D4E96"/>
    <w:rsid w:val="004D523E"/>
    <w:rsid w:val="004D5364"/>
    <w:rsid w:val="004D5633"/>
    <w:rsid w:val="004D6B86"/>
    <w:rsid w:val="004D6CE3"/>
    <w:rsid w:val="004D7197"/>
    <w:rsid w:val="004D74B7"/>
    <w:rsid w:val="004D7996"/>
    <w:rsid w:val="004D7B1C"/>
    <w:rsid w:val="004D7B7C"/>
    <w:rsid w:val="004D7D97"/>
    <w:rsid w:val="004D7D9E"/>
    <w:rsid w:val="004D7E25"/>
    <w:rsid w:val="004D7F74"/>
    <w:rsid w:val="004E007A"/>
    <w:rsid w:val="004E04DA"/>
    <w:rsid w:val="004E04FC"/>
    <w:rsid w:val="004E050D"/>
    <w:rsid w:val="004E07D9"/>
    <w:rsid w:val="004E10B2"/>
    <w:rsid w:val="004E15DB"/>
    <w:rsid w:val="004E1872"/>
    <w:rsid w:val="004E18C9"/>
    <w:rsid w:val="004E1CB0"/>
    <w:rsid w:val="004E1D29"/>
    <w:rsid w:val="004E1F1D"/>
    <w:rsid w:val="004E2373"/>
    <w:rsid w:val="004E2427"/>
    <w:rsid w:val="004E2466"/>
    <w:rsid w:val="004E2ACF"/>
    <w:rsid w:val="004E2DE0"/>
    <w:rsid w:val="004E2FBF"/>
    <w:rsid w:val="004E319C"/>
    <w:rsid w:val="004E31FA"/>
    <w:rsid w:val="004E3245"/>
    <w:rsid w:val="004E33CB"/>
    <w:rsid w:val="004E3897"/>
    <w:rsid w:val="004E3907"/>
    <w:rsid w:val="004E3950"/>
    <w:rsid w:val="004E3E67"/>
    <w:rsid w:val="004E3EC9"/>
    <w:rsid w:val="004E456E"/>
    <w:rsid w:val="004E47DF"/>
    <w:rsid w:val="004E48E6"/>
    <w:rsid w:val="004E4BDC"/>
    <w:rsid w:val="004E4DB8"/>
    <w:rsid w:val="004E4F22"/>
    <w:rsid w:val="004E59CB"/>
    <w:rsid w:val="004E5B24"/>
    <w:rsid w:val="004E5BC0"/>
    <w:rsid w:val="004E5CD0"/>
    <w:rsid w:val="004E5EFD"/>
    <w:rsid w:val="004E5FA3"/>
    <w:rsid w:val="004E6010"/>
    <w:rsid w:val="004E658A"/>
    <w:rsid w:val="004E65C6"/>
    <w:rsid w:val="004E66ED"/>
    <w:rsid w:val="004E712D"/>
    <w:rsid w:val="004E78CA"/>
    <w:rsid w:val="004E7C15"/>
    <w:rsid w:val="004E7FDA"/>
    <w:rsid w:val="004F0132"/>
    <w:rsid w:val="004F019E"/>
    <w:rsid w:val="004F04FD"/>
    <w:rsid w:val="004F0686"/>
    <w:rsid w:val="004F0C25"/>
    <w:rsid w:val="004F0D13"/>
    <w:rsid w:val="004F0F6E"/>
    <w:rsid w:val="004F0FF4"/>
    <w:rsid w:val="004F111E"/>
    <w:rsid w:val="004F1172"/>
    <w:rsid w:val="004F1300"/>
    <w:rsid w:val="004F13E6"/>
    <w:rsid w:val="004F15BB"/>
    <w:rsid w:val="004F1ABE"/>
    <w:rsid w:val="004F1C36"/>
    <w:rsid w:val="004F2076"/>
    <w:rsid w:val="004F20F7"/>
    <w:rsid w:val="004F21D8"/>
    <w:rsid w:val="004F24FA"/>
    <w:rsid w:val="004F2649"/>
    <w:rsid w:val="004F2A6C"/>
    <w:rsid w:val="004F2BFE"/>
    <w:rsid w:val="004F2CBE"/>
    <w:rsid w:val="004F2D21"/>
    <w:rsid w:val="004F2FA1"/>
    <w:rsid w:val="004F3033"/>
    <w:rsid w:val="004F314D"/>
    <w:rsid w:val="004F35CE"/>
    <w:rsid w:val="004F3666"/>
    <w:rsid w:val="004F39BF"/>
    <w:rsid w:val="004F3E0A"/>
    <w:rsid w:val="004F3ECC"/>
    <w:rsid w:val="004F47FC"/>
    <w:rsid w:val="004F4807"/>
    <w:rsid w:val="004F4F64"/>
    <w:rsid w:val="004F4FFD"/>
    <w:rsid w:val="004F50A5"/>
    <w:rsid w:val="004F53AC"/>
    <w:rsid w:val="004F586D"/>
    <w:rsid w:val="004F5CFB"/>
    <w:rsid w:val="004F6174"/>
    <w:rsid w:val="004F61FB"/>
    <w:rsid w:val="004F6632"/>
    <w:rsid w:val="004F703D"/>
    <w:rsid w:val="004F71D4"/>
    <w:rsid w:val="004F7854"/>
    <w:rsid w:val="004F7CCA"/>
    <w:rsid w:val="00500029"/>
    <w:rsid w:val="00500259"/>
    <w:rsid w:val="0050026A"/>
    <w:rsid w:val="0050034A"/>
    <w:rsid w:val="0050043C"/>
    <w:rsid w:val="00500697"/>
    <w:rsid w:val="00500A32"/>
    <w:rsid w:val="00500CFA"/>
    <w:rsid w:val="00500D7F"/>
    <w:rsid w:val="00500E50"/>
    <w:rsid w:val="00500F20"/>
    <w:rsid w:val="005013E5"/>
    <w:rsid w:val="00501603"/>
    <w:rsid w:val="0050166E"/>
    <w:rsid w:val="00501991"/>
    <w:rsid w:val="005019D6"/>
    <w:rsid w:val="005019E3"/>
    <w:rsid w:val="00501B6A"/>
    <w:rsid w:val="00501C41"/>
    <w:rsid w:val="00502164"/>
    <w:rsid w:val="0050227E"/>
    <w:rsid w:val="005022E9"/>
    <w:rsid w:val="0050230A"/>
    <w:rsid w:val="005024A0"/>
    <w:rsid w:val="00502B57"/>
    <w:rsid w:val="00502BAF"/>
    <w:rsid w:val="00502C8F"/>
    <w:rsid w:val="00502D5B"/>
    <w:rsid w:val="00502E37"/>
    <w:rsid w:val="00502EA8"/>
    <w:rsid w:val="005032BA"/>
    <w:rsid w:val="0050350B"/>
    <w:rsid w:val="00503978"/>
    <w:rsid w:val="00503AE3"/>
    <w:rsid w:val="005040FF"/>
    <w:rsid w:val="00504389"/>
    <w:rsid w:val="00504593"/>
    <w:rsid w:val="00504637"/>
    <w:rsid w:val="00504983"/>
    <w:rsid w:val="00504AC3"/>
    <w:rsid w:val="005052AE"/>
    <w:rsid w:val="005053E7"/>
    <w:rsid w:val="005056EF"/>
    <w:rsid w:val="00505951"/>
    <w:rsid w:val="00505B20"/>
    <w:rsid w:val="00506406"/>
    <w:rsid w:val="00506755"/>
    <w:rsid w:val="00506D53"/>
    <w:rsid w:val="00506DB1"/>
    <w:rsid w:val="00507207"/>
    <w:rsid w:val="005074CB"/>
    <w:rsid w:val="00507A44"/>
    <w:rsid w:val="00507DBC"/>
    <w:rsid w:val="00507E9C"/>
    <w:rsid w:val="0051022D"/>
    <w:rsid w:val="00510A9D"/>
    <w:rsid w:val="00510CD2"/>
    <w:rsid w:val="00510CED"/>
    <w:rsid w:val="00510EB5"/>
    <w:rsid w:val="0051131D"/>
    <w:rsid w:val="005119E6"/>
    <w:rsid w:val="00511A43"/>
    <w:rsid w:val="00511EF7"/>
    <w:rsid w:val="005121EC"/>
    <w:rsid w:val="005126AB"/>
    <w:rsid w:val="005127A6"/>
    <w:rsid w:val="00512942"/>
    <w:rsid w:val="0051350A"/>
    <w:rsid w:val="005135D5"/>
    <w:rsid w:val="005136D1"/>
    <w:rsid w:val="00513D48"/>
    <w:rsid w:val="00513FFC"/>
    <w:rsid w:val="0051402B"/>
    <w:rsid w:val="00514637"/>
    <w:rsid w:val="00514675"/>
    <w:rsid w:val="00514BDA"/>
    <w:rsid w:val="00514BE4"/>
    <w:rsid w:val="00514D41"/>
    <w:rsid w:val="005150E0"/>
    <w:rsid w:val="00515870"/>
    <w:rsid w:val="005159CF"/>
    <w:rsid w:val="00515A08"/>
    <w:rsid w:val="00515CAF"/>
    <w:rsid w:val="00515D71"/>
    <w:rsid w:val="00515E09"/>
    <w:rsid w:val="00515E5B"/>
    <w:rsid w:val="00515F99"/>
    <w:rsid w:val="005160DF"/>
    <w:rsid w:val="00516142"/>
    <w:rsid w:val="005161AD"/>
    <w:rsid w:val="005162C7"/>
    <w:rsid w:val="00516C58"/>
    <w:rsid w:val="005170A6"/>
    <w:rsid w:val="005171E2"/>
    <w:rsid w:val="00517356"/>
    <w:rsid w:val="00517548"/>
    <w:rsid w:val="0051765C"/>
    <w:rsid w:val="005177F9"/>
    <w:rsid w:val="005178C1"/>
    <w:rsid w:val="00517A98"/>
    <w:rsid w:val="00517F51"/>
    <w:rsid w:val="0052021F"/>
    <w:rsid w:val="005204BB"/>
    <w:rsid w:val="005206E5"/>
    <w:rsid w:val="005207B2"/>
    <w:rsid w:val="005209B4"/>
    <w:rsid w:val="00520BF7"/>
    <w:rsid w:val="00520CBD"/>
    <w:rsid w:val="00520FB5"/>
    <w:rsid w:val="00521021"/>
    <w:rsid w:val="0052113B"/>
    <w:rsid w:val="00521579"/>
    <w:rsid w:val="005219C4"/>
    <w:rsid w:val="005219DC"/>
    <w:rsid w:val="00521A3D"/>
    <w:rsid w:val="00521DB7"/>
    <w:rsid w:val="005225C7"/>
    <w:rsid w:val="00522730"/>
    <w:rsid w:val="005227EA"/>
    <w:rsid w:val="005229A5"/>
    <w:rsid w:val="00522A6F"/>
    <w:rsid w:val="00522D9D"/>
    <w:rsid w:val="00523756"/>
    <w:rsid w:val="00523766"/>
    <w:rsid w:val="005237D7"/>
    <w:rsid w:val="005237E1"/>
    <w:rsid w:val="00523D02"/>
    <w:rsid w:val="00523DC3"/>
    <w:rsid w:val="005243F3"/>
    <w:rsid w:val="0052447F"/>
    <w:rsid w:val="005248AC"/>
    <w:rsid w:val="00524F26"/>
    <w:rsid w:val="0052566D"/>
    <w:rsid w:val="00525A4F"/>
    <w:rsid w:val="00525FE2"/>
    <w:rsid w:val="0052601C"/>
    <w:rsid w:val="005260C3"/>
    <w:rsid w:val="005262A9"/>
    <w:rsid w:val="00526751"/>
    <w:rsid w:val="005269B6"/>
    <w:rsid w:val="00526BBA"/>
    <w:rsid w:val="00527015"/>
    <w:rsid w:val="005271C9"/>
    <w:rsid w:val="005271F8"/>
    <w:rsid w:val="005274B9"/>
    <w:rsid w:val="0052765A"/>
    <w:rsid w:val="00527915"/>
    <w:rsid w:val="00527BD1"/>
    <w:rsid w:val="00527C4C"/>
    <w:rsid w:val="00527FF6"/>
    <w:rsid w:val="00530439"/>
    <w:rsid w:val="005304B1"/>
    <w:rsid w:val="005304F9"/>
    <w:rsid w:val="0053055A"/>
    <w:rsid w:val="00530EC7"/>
    <w:rsid w:val="0053107B"/>
    <w:rsid w:val="005311AC"/>
    <w:rsid w:val="005316E7"/>
    <w:rsid w:val="00531709"/>
    <w:rsid w:val="00531740"/>
    <w:rsid w:val="005319A0"/>
    <w:rsid w:val="00531E5C"/>
    <w:rsid w:val="005323B7"/>
    <w:rsid w:val="005326FA"/>
    <w:rsid w:val="005329E7"/>
    <w:rsid w:val="00532AD3"/>
    <w:rsid w:val="00532EFD"/>
    <w:rsid w:val="00533628"/>
    <w:rsid w:val="00533801"/>
    <w:rsid w:val="00533C06"/>
    <w:rsid w:val="00533DFB"/>
    <w:rsid w:val="0053411F"/>
    <w:rsid w:val="005344AA"/>
    <w:rsid w:val="005349CF"/>
    <w:rsid w:val="00534A96"/>
    <w:rsid w:val="00534C1C"/>
    <w:rsid w:val="00534D7B"/>
    <w:rsid w:val="00534E06"/>
    <w:rsid w:val="00534F68"/>
    <w:rsid w:val="005350C1"/>
    <w:rsid w:val="005350D9"/>
    <w:rsid w:val="00535B5A"/>
    <w:rsid w:val="00535CC4"/>
    <w:rsid w:val="00535D99"/>
    <w:rsid w:val="00536398"/>
    <w:rsid w:val="0053661A"/>
    <w:rsid w:val="00536744"/>
    <w:rsid w:val="0053677A"/>
    <w:rsid w:val="00536A49"/>
    <w:rsid w:val="00536A7A"/>
    <w:rsid w:val="00536B46"/>
    <w:rsid w:val="00536CC7"/>
    <w:rsid w:val="00536CEB"/>
    <w:rsid w:val="00536DC0"/>
    <w:rsid w:val="005371D9"/>
    <w:rsid w:val="00537259"/>
    <w:rsid w:val="00537490"/>
    <w:rsid w:val="005378C4"/>
    <w:rsid w:val="00537A01"/>
    <w:rsid w:val="00537A4C"/>
    <w:rsid w:val="00537A59"/>
    <w:rsid w:val="00537A67"/>
    <w:rsid w:val="00540494"/>
    <w:rsid w:val="00540686"/>
    <w:rsid w:val="00540E6C"/>
    <w:rsid w:val="00540E71"/>
    <w:rsid w:val="0054109E"/>
    <w:rsid w:val="005411C8"/>
    <w:rsid w:val="005414F4"/>
    <w:rsid w:val="0054176F"/>
    <w:rsid w:val="0054185A"/>
    <w:rsid w:val="00541CBA"/>
    <w:rsid w:val="00541CFC"/>
    <w:rsid w:val="00541F4D"/>
    <w:rsid w:val="005420CE"/>
    <w:rsid w:val="0054212B"/>
    <w:rsid w:val="0054250D"/>
    <w:rsid w:val="005425B3"/>
    <w:rsid w:val="0054293D"/>
    <w:rsid w:val="00542991"/>
    <w:rsid w:val="00542B6A"/>
    <w:rsid w:val="00543095"/>
    <w:rsid w:val="0054320C"/>
    <w:rsid w:val="0054322F"/>
    <w:rsid w:val="005436D6"/>
    <w:rsid w:val="00543867"/>
    <w:rsid w:val="00543871"/>
    <w:rsid w:val="0054389A"/>
    <w:rsid w:val="00543E8D"/>
    <w:rsid w:val="00543F0B"/>
    <w:rsid w:val="005446FF"/>
    <w:rsid w:val="005449BB"/>
    <w:rsid w:val="00544FAC"/>
    <w:rsid w:val="005457EC"/>
    <w:rsid w:val="00545BFB"/>
    <w:rsid w:val="00545C68"/>
    <w:rsid w:val="00545E58"/>
    <w:rsid w:val="00546301"/>
    <w:rsid w:val="005464ED"/>
    <w:rsid w:val="005466A9"/>
    <w:rsid w:val="00546779"/>
    <w:rsid w:val="00546804"/>
    <w:rsid w:val="00546C82"/>
    <w:rsid w:val="00546E7D"/>
    <w:rsid w:val="005473BF"/>
    <w:rsid w:val="00547582"/>
    <w:rsid w:val="005479B8"/>
    <w:rsid w:val="00547B5D"/>
    <w:rsid w:val="00547EF8"/>
    <w:rsid w:val="005507A1"/>
    <w:rsid w:val="005508BF"/>
    <w:rsid w:val="00550BF5"/>
    <w:rsid w:val="00550CA8"/>
    <w:rsid w:val="00550EF3"/>
    <w:rsid w:val="00551657"/>
    <w:rsid w:val="00551688"/>
    <w:rsid w:val="00551B36"/>
    <w:rsid w:val="00551C1E"/>
    <w:rsid w:val="00551C90"/>
    <w:rsid w:val="00551FC0"/>
    <w:rsid w:val="00552012"/>
    <w:rsid w:val="00552517"/>
    <w:rsid w:val="00552611"/>
    <w:rsid w:val="005529CA"/>
    <w:rsid w:val="00552A0E"/>
    <w:rsid w:val="00552A75"/>
    <w:rsid w:val="00552F8A"/>
    <w:rsid w:val="00552F9E"/>
    <w:rsid w:val="00553078"/>
    <w:rsid w:val="005532B8"/>
    <w:rsid w:val="00553602"/>
    <w:rsid w:val="00553683"/>
    <w:rsid w:val="00553780"/>
    <w:rsid w:val="005539A2"/>
    <w:rsid w:val="00553BD9"/>
    <w:rsid w:val="00553C6E"/>
    <w:rsid w:val="00554205"/>
    <w:rsid w:val="00554227"/>
    <w:rsid w:val="0055452C"/>
    <w:rsid w:val="0055490E"/>
    <w:rsid w:val="00554AF0"/>
    <w:rsid w:val="00554B05"/>
    <w:rsid w:val="00554E89"/>
    <w:rsid w:val="00554F25"/>
    <w:rsid w:val="005551CC"/>
    <w:rsid w:val="00555509"/>
    <w:rsid w:val="00555579"/>
    <w:rsid w:val="005556C8"/>
    <w:rsid w:val="0055570F"/>
    <w:rsid w:val="005557B4"/>
    <w:rsid w:val="00555916"/>
    <w:rsid w:val="005562D7"/>
    <w:rsid w:val="00556503"/>
    <w:rsid w:val="00556509"/>
    <w:rsid w:val="00556535"/>
    <w:rsid w:val="00556E81"/>
    <w:rsid w:val="0055703F"/>
    <w:rsid w:val="0055725C"/>
    <w:rsid w:val="00557400"/>
    <w:rsid w:val="00557979"/>
    <w:rsid w:val="00557AA8"/>
    <w:rsid w:val="00557B5F"/>
    <w:rsid w:val="00557BA5"/>
    <w:rsid w:val="00557CD4"/>
    <w:rsid w:val="00557DA2"/>
    <w:rsid w:val="005600A2"/>
    <w:rsid w:val="0056038F"/>
    <w:rsid w:val="00560875"/>
    <w:rsid w:val="00560C04"/>
    <w:rsid w:val="005613B7"/>
    <w:rsid w:val="0056143A"/>
    <w:rsid w:val="00561593"/>
    <w:rsid w:val="00561A30"/>
    <w:rsid w:val="00562239"/>
    <w:rsid w:val="00562770"/>
    <w:rsid w:val="00562771"/>
    <w:rsid w:val="0056286D"/>
    <w:rsid w:val="00562ADB"/>
    <w:rsid w:val="00562B37"/>
    <w:rsid w:val="00562C63"/>
    <w:rsid w:val="00562CAD"/>
    <w:rsid w:val="005634A1"/>
    <w:rsid w:val="00563665"/>
    <w:rsid w:val="00563B8C"/>
    <w:rsid w:val="0056422A"/>
    <w:rsid w:val="00564313"/>
    <w:rsid w:val="0056437A"/>
    <w:rsid w:val="0056472F"/>
    <w:rsid w:val="005647CE"/>
    <w:rsid w:val="00564B66"/>
    <w:rsid w:val="00564BEC"/>
    <w:rsid w:val="00565004"/>
    <w:rsid w:val="00565218"/>
    <w:rsid w:val="0056532E"/>
    <w:rsid w:val="00565404"/>
    <w:rsid w:val="00565CDA"/>
    <w:rsid w:val="00566039"/>
    <w:rsid w:val="00566099"/>
    <w:rsid w:val="0056615F"/>
    <w:rsid w:val="00566228"/>
    <w:rsid w:val="00566515"/>
    <w:rsid w:val="005667D8"/>
    <w:rsid w:val="0056687C"/>
    <w:rsid w:val="0056687D"/>
    <w:rsid w:val="00566BE6"/>
    <w:rsid w:val="0056710E"/>
    <w:rsid w:val="005671E7"/>
    <w:rsid w:val="00567397"/>
    <w:rsid w:val="005673BE"/>
    <w:rsid w:val="005676A4"/>
    <w:rsid w:val="00567899"/>
    <w:rsid w:val="00567927"/>
    <w:rsid w:val="00567AC4"/>
    <w:rsid w:val="00567D94"/>
    <w:rsid w:val="00567E76"/>
    <w:rsid w:val="00567F58"/>
    <w:rsid w:val="0057001C"/>
    <w:rsid w:val="0057017F"/>
    <w:rsid w:val="0057027A"/>
    <w:rsid w:val="00570505"/>
    <w:rsid w:val="005705CE"/>
    <w:rsid w:val="005708E9"/>
    <w:rsid w:val="005709E6"/>
    <w:rsid w:val="00571441"/>
    <w:rsid w:val="005719D9"/>
    <w:rsid w:val="00571BC0"/>
    <w:rsid w:val="00571CF4"/>
    <w:rsid w:val="00571DE0"/>
    <w:rsid w:val="0057201A"/>
    <w:rsid w:val="005728B2"/>
    <w:rsid w:val="00572DE5"/>
    <w:rsid w:val="00572E5F"/>
    <w:rsid w:val="0057304D"/>
    <w:rsid w:val="00573312"/>
    <w:rsid w:val="005733F0"/>
    <w:rsid w:val="00573906"/>
    <w:rsid w:val="005741C9"/>
    <w:rsid w:val="005744EE"/>
    <w:rsid w:val="005744F4"/>
    <w:rsid w:val="005745CA"/>
    <w:rsid w:val="00574622"/>
    <w:rsid w:val="00574768"/>
    <w:rsid w:val="00574AAC"/>
    <w:rsid w:val="00574B0D"/>
    <w:rsid w:val="00574DED"/>
    <w:rsid w:val="00574E25"/>
    <w:rsid w:val="005750D6"/>
    <w:rsid w:val="0057517D"/>
    <w:rsid w:val="005752E6"/>
    <w:rsid w:val="005754DC"/>
    <w:rsid w:val="005754EA"/>
    <w:rsid w:val="00575C90"/>
    <w:rsid w:val="00575E8F"/>
    <w:rsid w:val="00576537"/>
    <w:rsid w:val="00576710"/>
    <w:rsid w:val="005769F9"/>
    <w:rsid w:val="00576F25"/>
    <w:rsid w:val="005773B5"/>
    <w:rsid w:val="005774DE"/>
    <w:rsid w:val="00577982"/>
    <w:rsid w:val="00577B6B"/>
    <w:rsid w:val="00577D7A"/>
    <w:rsid w:val="00577F2E"/>
    <w:rsid w:val="005800B3"/>
    <w:rsid w:val="005800C3"/>
    <w:rsid w:val="00580152"/>
    <w:rsid w:val="00580203"/>
    <w:rsid w:val="005805DB"/>
    <w:rsid w:val="0058075D"/>
    <w:rsid w:val="00580961"/>
    <w:rsid w:val="00580F96"/>
    <w:rsid w:val="00581065"/>
    <w:rsid w:val="005813AB"/>
    <w:rsid w:val="0058173D"/>
    <w:rsid w:val="00581A1A"/>
    <w:rsid w:val="00581E4F"/>
    <w:rsid w:val="005824C8"/>
    <w:rsid w:val="00582698"/>
    <w:rsid w:val="0058270F"/>
    <w:rsid w:val="005827E6"/>
    <w:rsid w:val="00582D1D"/>
    <w:rsid w:val="00582DD7"/>
    <w:rsid w:val="0058313C"/>
    <w:rsid w:val="005837E9"/>
    <w:rsid w:val="00583C76"/>
    <w:rsid w:val="00583D13"/>
    <w:rsid w:val="00583F8C"/>
    <w:rsid w:val="00584159"/>
    <w:rsid w:val="0058417A"/>
    <w:rsid w:val="005842F1"/>
    <w:rsid w:val="005845C7"/>
    <w:rsid w:val="0058460D"/>
    <w:rsid w:val="00584A09"/>
    <w:rsid w:val="00584A32"/>
    <w:rsid w:val="00584AEC"/>
    <w:rsid w:val="00584CF8"/>
    <w:rsid w:val="00584E3A"/>
    <w:rsid w:val="00584EB3"/>
    <w:rsid w:val="0058500F"/>
    <w:rsid w:val="00585025"/>
    <w:rsid w:val="00585043"/>
    <w:rsid w:val="0058547B"/>
    <w:rsid w:val="00585492"/>
    <w:rsid w:val="00585B50"/>
    <w:rsid w:val="00585BFA"/>
    <w:rsid w:val="00585D0D"/>
    <w:rsid w:val="00586238"/>
    <w:rsid w:val="005862B4"/>
    <w:rsid w:val="00586588"/>
    <w:rsid w:val="00586854"/>
    <w:rsid w:val="00586DFA"/>
    <w:rsid w:val="0058769E"/>
    <w:rsid w:val="005876C2"/>
    <w:rsid w:val="005876EF"/>
    <w:rsid w:val="00587883"/>
    <w:rsid w:val="0059037B"/>
    <w:rsid w:val="00590715"/>
    <w:rsid w:val="00590827"/>
    <w:rsid w:val="00590A1A"/>
    <w:rsid w:val="00590F0D"/>
    <w:rsid w:val="0059188F"/>
    <w:rsid w:val="0059191E"/>
    <w:rsid w:val="00591A16"/>
    <w:rsid w:val="00591ACB"/>
    <w:rsid w:val="00591C02"/>
    <w:rsid w:val="00591C37"/>
    <w:rsid w:val="00591E3D"/>
    <w:rsid w:val="00591E80"/>
    <w:rsid w:val="0059204E"/>
    <w:rsid w:val="005920ED"/>
    <w:rsid w:val="00592218"/>
    <w:rsid w:val="005924AD"/>
    <w:rsid w:val="0059286B"/>
    <w:rsid w:val="00592BF7"/>
    <w:rsid w:val="00592DC7"/>
    <w:rsid w:val="00592FAA"/>
    <w:rsid w:val="00593261"/>
    <w:rsid w:val="0059336B"/>
    <w:rsid w:val="00593440"/>
    <w:rsid w:val="00593546"/>
    <w:rsid w:val="00593647"/>
    <w:rsid w:val="00593920"/>
    <w:rsid w:val="00593A6C"/>
    <w:rsid w:val="00593D73"/>
    <w:rsid w:val="0059418B"/>
    <w:rsid w:val="005942FC"/>
    <w:rsid w:val="00594821"/>
    <w:rsid w:val="005948B8"/>
    <w:rsid w:val="00594D80"/>
    <w:rsid w:val="00595276"/>
    <w:rsid w:val="005953DD"/>
    <w:rsid w:val="0059544F"/>
    <w:rsid w:val="005955A9"/>
    <w:rsid w:val="005956BC"/>
    <w:rsid w:val="00595AFF"/>
    <w:rsid w:val="00595BFF"/>
    <w:rsid w:val="00596271"/>
    <w:rsid w:val="005962B0"/>
    <w:rsid w:val="00596604"/>
    <w:rsid w:val="0059674D"/>
    <w:rsid w:val="00596784"/>
    <w:rsid w:val="00596C26"/>
    <w:rsid w:val="00596C9C"/>
    <w:rsid w:val="00597022"/>
    <w:rsid w:val="005974B1"/>
    <w:rsid w:val="005974D4"/>
    <w:rsid w:val="00597741"/>
    <w:rsid w:val="00597886"/>
    <w:rsid w:val="00597CE9"/>
    <w:rsid w:val="00597E9E"/>
    <w:rsid w:val="00597F23"/>
    <w:rsid w:val="005A0327"/>
    <w:rsid w:val="005A03BD"/>
    <w:rsid w:val="005A049B"/>
    <w:rsid w:val="005A0660"/>
    <w:rsid w:val="005A09E9"/>
    <w:rsid w:val="005A0C0C"/>
    <w:rsid w:val="005A0F93"/>
    <w:rsid w:val="005A140E"/>
    <w:rsid w:val="005A15CA"/>
    <w:rsid w:val="005A19FD"/>
    <w:rsid w:val="005A1A62"/>
    <w:rsid w:val="005A1F2C"/>
    <w:rsid w:val="005A21FA"/>
    <w:rsid w:val="005A2680"/>
    <w:rsid w:val="005A28D4"/>
    <w:rsid w:val="005A2AA8"/>
    <w:rsid w:val="005A2F92"/>
    <w:rsid w:val="005A3001"/>
    <w:rsid w:val="005A300D"/>
    <w:rsid w:val="005A306F"/>
    <w:rsid w:val="005A3149"/>
    <w:rsid w:val="005A3158"/>
    <w:rsid w:val="005A3529"/>
    <w:rsid w:val="005A364A"/>
    <w:rsid w:val="005A3E12"/>
    <w:rsid w:val="005A44FD"/>
    <w:rsid w:val="005A47C3"/>
    <w:rsid w:val="005A48CF"/>
    <w:rsid w:val="005A4D84"/>
    <w:rsid w:val="005A4E7E"/>
    <w:rsid w:val="005A4F5A"/>
    <w:rsid w:val="005A5006"/>
    <w:rsid w:val="005A50CA"/>
    <w:rsid w:val="005A525C"/>
    <w:rsid w:val="005A5663"/>
    <w:rsid w:val="005A5832"/>
    <w:rsid w:val="005A5D3A"/>
    <w:rsid w:val="005A643D"/>
    <w:rsid w:val="005A65ED"/>
    <w:rsid w:val="005A66C3"/>
    <w:rsid w:val="005A7402"/>
    <w:rsid w:val="005A7463"/>
    <w:rsid w:val="005A754B"/>
    <w:rsid w:val="005A7856"/>
    <w:rsid w:val="005A7A1C"/>
    <w:rsid w:val="005A7B84"/>
    <w:rsid w:val="005B0328"/>
    <w:rsid w:val="005B03D2"/>
    <w:rsid w:val="005B03E2"/>
    <w:rsid w:val="005B0C64"/>
    <w:rsid w:val="005B0C80"/>
    <w:rsid w:val="005B0EBE"/>
    <w:rsid w:val="005B0EE9"/>
    <w:rsid w:val="005B0FFA"/>
    <w:rsid w:val="005B1150"/>
    <w:rsid w:val="005B12CE"/>
    <w:rsid w:val="005B1415"/>
    <w:rsid w:val="005B1786"/>
    <w:rsid w:val="005B1888"/>
    <w:rsid w:val="005B1903"/>
    <w:rsid w:val="005B1962"/>
    <w:rsid w:val="005B1E7D"/>
    <w:rsid w:val="005B2BBB"/>
    <w:rsid w:val="005B2CCE"/>
    <w:rsid w:val="005B3348"/>
    <w:rsid w:val="005B3654"/>
    <w:rsid w:val="005B3737"/>
    <w:rsid w:val="005B3998"/>
    <w:rsid w:val="005B39E2"/>
    <w:rsid w:val="005B3B2E"/>
    <w:rsid w:val="005B4035"/>
    <w:rsid w:val="005B4D3E"/>
    <w:rsid w:val="005B4F57"/>
    <w:rsid w:val="005B5112"/>
    <w:rsid w:val="005B52B6"/>
    <w:rsid w:val="005B546E"/>
    <w:rsid w:val="005B55B6"/>
    <w:rsid w:val="005B5AB6"/>
    <w:rsid w:val="005B5D1C"/>
    <w:rsid w:val="005B5F08"/>
    <w:rsid w:val="005B61C5"/>
    <w:rsid w:val="005B623B"/>
    <w:rsid w:val="005B6B29"/>
    <w:rsid w:val="005B74F5"/>
    <w:rsid w:val="005B7A1D"/>
    <w:rsid w:val="005B7A69"/>
    <w:rsid w:val="005B7E03"/>
    <w:rsid w:val="005C010C"/>
    <w:rsid w:val="005C0398"/>
    <w:rsid w:val="005C08CF"/>
    <w:rsid w:val="005C097A"/>
    <w:rsid w:val="005C0E1A"/>
    <w:rsid w:val="005C1164"/>
    <w:rsid w:val="005C1408"/>
    <w:rsid w:val="005C1478"/>
    <w:rsid w:val="005C1B6D"/>
    <w:rsid w:val="005C2349"/>
    <w:rsid w:val="005C260E"/>
    <w:rsid w:val="005C2B33"/>
    <w:rsid w:val="005C2CE7"/>
    <w:rsid w:val="005C2DA9"/>
    <w:rsid w:val="005C3113"/>
    <w:rsid w:val="005C3471"/>
    <w:rsid w:val="005C36A6"/>
    <w:rsid w:val="005C382E"/>
    <w:rsid w:val="005C3A61"/>
    <w:rsid w:val="005C3B4C"/>
    <w:rsid w:val="005C3D22"/>
    <w:rsid w:val="005C402F"/>
    <w:rsid w:val="005C4091"/>
    <w:rsid w:val="005C40D6"/>
    <w:rsid w:val="005C413A"/>
    <w:rsid w:val="005C41BD"/>
    <w:rsid w:val="005C41E0"/>
    <w:rsid w:val="005C421C"/>
    <w:rsid w:val="005C4461"/>
    <w:rsid w:val="005C49F5"/>
    <w:rsid w:val="005C4FA0"/>
    <w:rsid w:val="005C50CA"/>
    <w:rsid w:val="005C5151"/>
    <w:rsid w:val="005C5269"/>
    <w:rsid w:val="005C52CE"/>
    <w:rsid w:val="005C5AE6"/>
    <w:rsid w:val="005C5B27"/>
    <w:rsid w:val="005C5BAC"/>
    <w:rsid w:val="005C5C44"/>
    <w:rsid w:val="005C5E25"/>
    <w:rsid w:val="005C5F21"/>
    <w:rsid w:val="005C60D5"/>
    <w:rsid w:val="005C61F9"/>
    <w:rsid w:val="005C6485"/>
    <w:rsid w:val="005C64B2"/>
    <w:rsid w:val="005C651B"/>
    <w:rsid w:val="005C6CFB"/>
    <w:rsid w:val="005C6E1E"/>
    <w:rsid w:val="005C6EBC"/>
    <w:rsid w:val="005C7022"/>
    <w:rsid w:val="005C7491"/>
    <w:rsid w:val="005C75D7"/>
    <w:rsid w:val="005C7619"/>
    <w:rsid w:val="005C796B"/>
    <w:rsid w:val="005C7BAB"/>
    <w:rsid w:val="005C7E97"/>
    <w:rsid w:val="005D02E0"/>
    <w:rsid w:val="005D06C2"/>
    <w:rsid w:val="005D083A"/>
    <w:rsid w:val="005D0B1B"/>
    <w:rsid w:val="005D0C5D"/>
    <w:rsid w:val="005D0D83"/>
    <w:rsid w:val="005D1588"/>
    <w:rsid w:val="005D1BBD"/>
    <w:rsid w:val="005D2034"/>
    <w:rsid w:val="005D229A"/>
    <w:rsid w:val="005D2432"/>
    <w:rsid w:val="005D2448"/>
    <w:rsid w:val="005D2541"/>
    <w:rsid w:val="005D2927"/>
    <w:rsid w:val="005D2A73"/>
    <w:rsid w:val="005D2AC1"/>
    <w:rsid w:val="005D2BDA"/>
    <w:rsid w:val="005D2C9D"/>
    <w:rsid w:val="005D2D59"/>
    <w:rsid w:val="005D2FA7"/>
    <w:rsid w:val="005D3070"/>
    <w:rsid w:val="005D3099"/>
    <w:rsid w:val="005D33DE"/>
    <w:rsid w:val="005D356A"/>
    <w:rsid w:val="005D36BB"/>
    <w:rsid w:val="005D37A3"/>
    <w:rsid w:val="005D39A3"/>
    <w:rsid w:val="005D3A02"/>
    <w:rsid w:val="005D3AC9"/>
    <w:rsid w:val="005D3DC5"/>
    <w:rsid w:val="005D3E49"/>
    <w:rsid w:val="005D3F05"/>
    <w:rsid w:val="005D42A6"/>
    <w:rsid w:val="005D4585"/>
    <w:rsid w:val="005D49A2"/>
    <w:rsid w:val="005D53B1"/>
    <w:rsid w:val="005D5949"/>
    <w:rsid w:val="005D59B5"/>
    <w:rsid w:val="005D5BFC"/>
    <w:rsid w:val="005D650B"/>
    <w:rsid w:val="005D66F8"/>
    <w:rsid w:val="005D67BD"/>
    <w:rsid w:val="005D687B"/>
    <w:rsid w:val="005D6A62"/>
    <w:rsid w:val="005D6ADD"/>
    <w:rsid w:val="005D6BC6"/>
    <w:rsid w:val="005D735E"/>
    <w:rsid w:val="005D744A"/>
    <w:rsid w:val="005D755A"/>
    <w:rsid w:val="005D7AA2"/>
    <w:rsid w:val="005D7B22"/>
    <w:rsid w:val="005E0231"/>
    <w:rsid w:val="005E0265"/>
    <w:rsid w:val="005E0284"/>
    <w:rsid w:val="005E0598"/>
    <w:rsid w:val="005E0A23"/>
    <w:rsid w:val="005E0C8B"/>
    <w:rsid w:val="005E0FF5"/>
    <w:rsid w:val="005E1570"/>
    <w:rsid w:val="005E160D"/>
    <w:rsid w:val="005E16C6"/>
    <w:rsid w:val="005E1830"/>
    <w:rsid w:val="005E19EF"/>
    <w:rsid w:val="005E1E4D"/>
    <w:rsid w:val="005E26E7"/>
    <w:rsid w:val="005E27DA"/>
    <w:rsid w:val="005E2962"/>
    <w:rsid w:val="005E2AEB"/>
    <w:rsid w:val="005E2EE0"/>
    <w:rsid w:val="005E3258"/>
    <w:rsid w:val="005E32EE"/>
    <w:rsid w:val="005E3310"/>
    <w:rsid w:val="005E3590"/>
    <w:rsid w:val="005E3A6C"/>
    <w:rsid w:val="005E3EFA"/>
    <w:rsid w:val="005E4112"/>
    <w:rsid w:val="005E47F1"/>
    <w:rsid w:val="005E48EC"/>
    <w:rsid w:val="005E4A8A"/>
    <w:rsid w:val="005E4B6B"/>
    <w:rsid w:val="005E5051"/>
    <w:rsid w:val="005E5090"/>
    <w:rsid w:val="005E5102"/>
    <w:rsid w:val="005E5202"/>
    <w:rsid w:val="005E52B0"/>
    <w:rsid w:val="005E572C"/>
    <w:rsid w:val="005E57AB"/>
    <w:rsid w:val="005E585B"/>
    <w:rsid w:val="005E585C"/>
    <w:rsid w:val="005E58DA"/>
    <w:rsid w:val="005E5BB6"/>
    <w:rsid w:val="005E5D81"/>
    <w:rsid w:val="005E605A"/>
    <w:rsid w:val="005E63C9"/>
    <w:rsid w:val="005E68E7"/>
    <w:rsid w:val="005E6BA5"/>
    <w:rsid w:val="005E6F28"/>
    <w:rsid w:val="005E7393"/>
    <w:rsid w:val="005E75A8"/>
    <w:rsid w:val="005E7D1E"/>
    <w:rsid w:val="005E7DAE"/>
    <w:rsid w:val="005E7E9F"/>
    <w:rsid w:val="005F01F6"/>
    <w:rsid w:val="005F0351"/>
    <w:rsid w:val="005F0BC5"/>
    <w:rsid w:val="005F0BC7"/>
    <w:rsid w:val="005F1177"/>
    <w:rsid w:val="005F13DB"/>
    <w:rsid w:val="005F1533"/>
    <w:rsid w:val="005F1580"/>
    <w:rsid w:val="005F15CC"/>
    <w:rsid w:val="005F16A8"/>
    <w:rsid w:val="005F17DB"/>
    <w:rsid w:val="005F1825"/>
    <w:rsid w:val="005F1A24"/>
    <w:rsid w:val="005F1A78"/>
    <w:rsid w:val="005F1BB2"/>
    <w:rsid w:val="005F1E02"/>
    <w:rsid w:val="005F1E29"/>
    <w:rsid w:val="005F1F9B"/>
    <w:rsid w:val="005F2307"/>
    <w:rsid w:val="005F248E"/>
    <w:rsid w:val="005F26C6"/>
    <w:rsid w:val="005F280A"/>
    <w:rsid w:val="005F282B"/>
    <w:rsid w:val="005F2D6D"/>
    <w:rsid w:val="005F32B4"/>
    <w:rsid w:val="005F32F0"/>
    <w:rsid w:val="005F339D"/>
    <w:rsid w:val="005F3699"/>
    <w:rsid w:val="005F3A4A"/>
    <w:rsid w:val="005F3B40"/>
    <w:rsid w:val="005F43D3"/>
    <w:rsid w:val="005F4A81"/>
    <w:rsid w:val="005F4AC7"/>
    <w:rsid w:val="005F59CB"/>
    <w:rsid w:val="005F5B09"/>
    <w:rsid w:val="005F5E26"/>
    <w:rsid w:val="005F5EA9"/>
    <w:rsid w:val="005F65DF"/>
    <w:rsid w:val="005F67C9"/>
    <w:rsid w:val="005F681D"/>
    <w:rsid w:val="005F6865"/>
    <w:rsid w:val="005F6C93"/>
    <w:rsid w:val="005F7078"/>
    <w:rsid w:val="005F7104"/>
    <w:rsid w:val="005F710D"/>
    <w:rsid w:val="005F7284"/>
    <w:rsid w:val="005F73B8"/>
    <w:rsid w:val="005F74B2"/>
    <w:rsid w:val="005F763B"/>
    <w:rsid w:val="005F7B7F"/>
    <w:rsid w:val="005F7D01"/>
    <w:rsid w:val="006003A4"/>
    <w:rsid w:val="0060046A"/>
    <w:rsid w:val="006006E0"/>
    <w:rsid w:val="00600834"/>
    <w:rsid w:val="0060090E"/>
    <w:rsid w:val="006009FA"/>
    <w:rsid w:val="00600A14"/>
    <w:rsid w:val="00600BEE"/>
    <w:rsid w:val="00600D1C"/>
    <w:rsid w:val="00600D9B"/>
    <w:rsid w:val="006015C0"/>
    <w:rsid w:val="00601654"/>
    <w:rsid w:val="0060168E"/>
    <w:rsid w:val="00601C1F"/>
    <w:rsid w:val="00601D75"/>
    <w:rsid w:val="00601E30"/>
    <w:rsid w:val="00601F95"/>
    <w:rsid w:val="006020EA"/>
    <w:rsid w:val="006022C2"/>
    <w:rsid w:val="006025B5"/>
    <w:rsid w:val="0060267C"/>
    <w:rsid w:val="00602868"/>
    <w:rsid w:val="00602D3A"/>
    <w:rsid w:val="00602E20"/>
    <w:rsid w:val="00602E5D"/>
    <w:rsid w:val="00603257"/>
    <w:rsid w:val="006032ED"/>
    <w:rsid w:val="00603556"/>
    <w:rsid w:val="00603883"/>
    <w:rsid w:val="00603E09"/>
    <w:rsid w:val="00603EA1"/>
    <w:rsid w:val="00604546"/>
    <w:rsid w:val="0060468E"/>
    <w:rsid w:val="006046D7"/>
    <w:rsid w:val="00604A57"/>
    <w:rsid w:val="00604AE6"/>
    <w:rsid w:val="00604C90"/>
    <w:rsid w:val="00604DA6"/>
    <w:rsid w:val="006050AD"/>
    <w:rsid w:val="006050C3"/>
    <w:rsid w:val="0060557B"/>
    <w:rsid w:val="0060560E"/>
    <w:rsid w:val="00605ACB"/>
    <w:rsid w:val="00605B34"/>
    <w:rsid w:val="00605CDF"/>
    <w:rsid w:val="006061FF"/>
    <w:rsid w:val="00606234"/>
    <w:rsid w:val="006065A3"/>
    <w:rsid w:val="00606670"/>
    <w:rsid w:val="006068CD"/>
    <w:rsid w:val="00606B20"/>
    <w:rsid w:val="00606DE4"/>
    <w:rsid w:val="00606E76"/>
    <w:rsid w:val="00606F0E"/>
    <w:rsid w:val="006072D8"/>
    <w:rsid w:val="006074BA"/>
    <w:rsid w:val="006078CA"/>
    <w:rsid w:val="006079E4"/>
    <w:rsid w:val="00607D9E"/>
    <w:rsid w:val="00607DF0"/>
    <w:rsid w:val="006101D1"/>
    <w:rsid w:val="00610242"/>
    <w:rsid w:val="00610717"/>
    <w:rsid w:val="006108E1"/>
    <w:rsid w:val="00610A2D"/>
    <w:rsid w:val="00610AD7"/>
    <w:rsid w:val="00610E49"/>
    <w:rsid w:val="0061113D"/>
    <w:rsid w:val="00611331"/>
    <w:rsid w:val="00611380"/>
    <w:rsid w:val="006117EF"/>
    <w:rsid w:val="0061183F"/>
    <w:rsid w:val="006118DD"/>
    <w:rsid w:val="00611A08"/>
    <w:rsid w:val="00611DAC"/>
    <w:rsid w:val="00611E0F"/>
    <w:rsid w:val="00611F2A"/>
    <w:rsid w:val="006120EE"/>
    <w:rsid w:val="00612105"/>
    <w:rsid w:val="006123DB"/>
    <w:rsid w:val="006124B2"/>
    <w:rsid w:val="00612795"/>
    <w:rsid w:val="0061290B"/>
    <w:rsid w:val="0061293D"/>
    <w:rsid w:val="00612C62"/>
    <w:rsid w:val="00612FE9"/>
    <w:rsid w:val="006137EE"/>
    <w:rsid w:val="0061399E"/>
    <w:rsid w:val="00613C82"/>
    <w:rsid w:val="006141A4"/>
    <w:rsid w:val="00614448"/>
    <w:rsid w:val="00614493"/>
    <w:rsid w:val="0061453F"/>
    <w:rsid w:val="00614700"/>
    <w:rsid w:val="00614C23"/>
    <w:rsid w:val="00614F00"/>
    <w:rsid w:val="00614FCF"/>
    <w:rsid w:val="006151B5"/>
    <w:rsid w:val="0061574E"/>
    <w:rsid w:val="00615A33"/>
    <w:rsid w:val="00615AE4"/>
    <w:rsid w:val="00615B39"/>
    <w:rsid w:val="00615EE7"/>
    <w:rsid w:val="00615F98"/>
    <w:rsid w:val="006162D9"/>
    <w:rsid w:val="0061650D"/>
    <w:rsid w:val="006168E0"/>
    <w:rsid w:val="00616D30"/>
    <w:rsid w:val="00616D84"/>
    <w:rsid w:val="00616E7D"/>
    <w:rsid w:val="00616F2E"/>
    <w:rsid w:val="006170CB"/>
    <w:rsid w:val="006171E3"/>
    <w:rsid w:val="0061741B"/>
    <w:rsid w:val="0061746D"/>
    <w:rsid w:val="00617490"/>
    <w:rsid w:val="00620144"/>
    <w:rsid w:val="0062024F"/>
    <w:rsid w:val="00620308"/>
    <w:rsid w:val="006203A4"/>
    <w:rsid w:val="0062041D"/>
    <w:rsid w:val="0062055C"/>
    <w:rsid w:val="00620618"/>
    <w:rsid w:val="006209E5"/>
    <w:rsid w:val="00620E13"/>
    <w:rsid w:val="00621612"/>
    <w:rsid w:val="006217EB"/>
    <w:rsid w:val="00621983"/>
    <w:rsid w:val="00621B3B"/>
    <w:rsid w:val="00621D54"/>
    <w:rsid w:val="00621EB8"/>
    <w:rsid w:val="006228D4"/>
    <w:rsid w:val="00622A4B"/>
    <w:rsid w:val="00622AC9"/>
    <w:rsid w:val="00622EDA"/>
    <w:rsid w:val="0062341A"/>
    <w:rsid w:val="0062345E"/>
    <w:rsid w:val="00623590"/>
    <w:rsid w:val="006238E7"/>
    <w:rsid w:val="00623DF1"/>
    <w:rsid w:val="00623E62"/>
    <w:rsid w:val="00623FB3"/>
    <w:rsid w:val="0062428E"/>
    <w:rsid w:val="00624464"/>
    <w:rsid w:val="0062450F"/>
    <w:rsid w:val="00624578"/>
    <w:rsid w:val="00624787"/>
    <w:rsid w:val="00624BFE"/>
    <w:rsid w:val="00624C9D"/>
    <w:rsid w:val="00624D1D"/>
    <w:rsid w:val="006250EF"/>
    <w:rsid w:val="00625127"/>
    <w:rsid w:val="0062529E"/>
    <w:rsid w:val="006252BD"/>
    <w:rsid w:val="006252D7"/>
    <w:rsid w:val="00625750"/>
    <w:rsid w:val="00625CBF"/>
    <w:rsid w:val="00625E4F"/>
    <w:rsid w:val="00625F09"/>
    <w:rsid w:val="006265C5"/>
    <w:rsid w:val="006266D6"/>
    <w:rsid w:val="0062682B"/>
    <w:rsid w:val="00626A38"/>
    <w:rsid w:val="00626A94"/>
    <w:rsid w:val="00626CD7"/>
    <w:rsid w:val="00627753"/>
    <w:rsid w:val="00627E93"/>
    <w:rsid w:val="00630508"/>
    <w:rsid w:val="0063068A"/>
    <w:rsid w:val="00630727"/>
    <w:rsid w:val="00630A21"/>
    <w:rsid w:val="00630A25"/>
    <w:rsid w:val="00630A9A"/>
    <w:rsid w:val="00630AE4"/>
    <w:rsid w:val="00630CC4"/>
    <w:rsid w:val="00630CDF"/>
    <w:rsid w:val="00630CF8"/>
    <w:rsid w:val="00630FAA"/>
    <w:rsid w:val="00631056"/>
    <w:rsid w:val="006310B3"/>
    <w:rsid w:val="00631592"/>
    <w:rsid w:val="00631ABD"/>
    <w:rsid w:val="00631BF2"/>
    <w:rsid w:val="00631FE5"/>
    <w:rsid w:val="00631FFA"/>
    <w:rsid w:val="0063214B"/>
    <w:rsid w:val="0063251C"/>
    <w:rsid w:val="00632775"/>
    <w:rsid w:val="00632AE9"/>
    <w:rsid w:val="00633552"/>
    <w:rsid w:val="006336EF"/>
    <w:rsid w:val="00633C66"/>
    <w:rsid w:val="0063413E"/>
    <w:rsid w:val="006341BD"/>
    <w:rsid w:val="00634390"/>
    <w:rsid w:val="006344E8"/>
    <w:rsid w:val="006348E4"/>
    <w:rsid w:val="00634F09"/>
    <w:rsid w:val="00634F6C"/>
    <w:rsid w:val="0063530D"/>
    <w:rsid w:val="00635446"/>
    <w:rsid w:val="00635699"/>
    <w:rsid w:val="00635963"/>
    <w:rsid w:val="00635E91"/>
    <w:rsid w:val="006364E8"/>
    <w:rsid w:val="00636536"/>
    <w:rsid w:val="00636941"/>
    <w:rsid w:val="0063699B"/>
    <w:rsid w:val="00636B70"/>
    <w:rsid w:val="00636D2B"/>
    <w:rsid w:val="00637508"/>
    <w:rsid w:val="0063755D"/>
    <w:rsid w:val="006376C1"/>
    <w:rsid w:val="00637945"/>
    <w:rsid w:val="00637AF8"/>
    <w:rsid w:val="00637B87"/>
    <w:rsid w:val="00637C76"/>
    <w:rsid w:val="006400BF"/>
    <w:rsid w:val="006402EF"/>
    <w:rsid w:val="0064047C"/>
    <w:rsid w:val="00640600"/>
    <w:rsid w:val="00640603"/>
    <w:rsid w:val="00640675"/>
    <w:rsid w:val="006408C6"/>
    <w:rsid w:val="00640A25"/>
    <w:rsid w:val="00640AAE"/>
    <w:rsid w:val="00640D6E"/>
    <w:rsid w:val="00640D92"/>
    <w:rsid w:val="006417BA"/>
    <w:rsid w:val="00641AD5"/>
    <w:rsid w:val="00641B55"/>
    <w:rsid w:val="00641D7D"/>
    <w:rsid w:val="00641E8E"/>
    <w:rsid w:val="00641EC9"/>
    <w:rsid w:val="0064208E"/>
    <w:rsid w:val="006420FF"/>
    <w:rsid w:val="0064210A"/>
    <w:rsid w:val="00642128"/>
    <w:rsid w:val="00642423"/>
    <w:rsid w:val="006424EE"/>
    <w:rsid w:val="006425F9"/>
    <w:rsid w:val="006428EE"/>
    <w:rsid w:val="00642B43"/>
    <w:rsid w:val="00642DD2"/>
    <w:rsid w:val="00642F2B"/>
    <w:rsid w:val="00643196"/>
    <w:rsid w:val="006436FD"/>
    <w:rsid w:val="00643812"/>
    <w:rsid w:val="00644038"/>
    <w:rsid w:val="00644039"/>
    <w:rsid w:val="00644062"/>
    <w:rsid w:val="006440F4"/>
    <w:rsid w:val="006441EE"/>
    <w:rsid w:val="006444DD"/>
    <w:rsid w:val="00644811"/>
    <w:rsid w:val="006448C6"/>
    <w:rsid w:val="006448F4"/>
    <w:rsid w:val="00644ACA"/>
    <w:rsid w:val="00644D05"/>
    <w:rsid w:val="00644DD3"/>
    <w:rsid w:val="00644F30"/>
    <w:rsid w:val="00645043"/>
    <w:rsid w:val="006450B5"/>
    <w:rsid w:val="00645216"/>
    <w:rsid w:val="00645923"/>
    <w:rsid w:val="00645C9E"/>
    <w:rsid w:val="00645F46"/>
    <w:rsid w:val="00646112"/>
    <w:rsid w:val="00646295"/>
    <w:rsid w:val="006462F8"/>
    <w:rsid w:val="006464AB"/>
    <w:rsid w:val="00646727"/>
    <w:rsid w:val="00646862"/>
    <w:rsid w:val="00646CB6"/>
    <w:rsid w:val="00646EB5"/>
    <w:rsid w:val="00646FCB"/>
    <w:rsid w:val="00647159"/>
    <w:rsid w:val="0064764E"/>
    <w:rsid w:val="006478B7"/>
    <w:rsid w:val="00647DFE"/>
    <w:rsid w:val="00647E84"/>
    <w:rsid w:val="00647FE7"/>
    <w:rsid w:val="0065050B"/>
    <w:rsid w:val="0065053E"/>
    <w:rsid w:val="00650B42"/>
    <w:rsid w:val="00650C46"/>
    <w:rsid w:val="006510FE"/>
    <w:rsid w:val="006511A9"/>
    <w:rsid w:val="006511FE"/>
    <w:rsid w:val="00651280"/>
    <w:rsid w:val="00651548"/>
    <w:rsid w:val="00651A33"/>
    <w:rsid w:val="00651AA3"/>
    <w:rsid w:val="00651E4A"/>
    <w:rsid w:val="0065205E"/>
    <w:rsid w:val="00652091"/>
    <w:rsid w:val="00652115"/>
    <w:rsid w:val="006521F5"/>
    <w:rsid w:val="0065233E"/>
    <w:rsid w:val="00652809"/>
    <w:rsid w:val="0065282B"/>
    <w:rsid w:val="00652840"/>
    <w:rsid w:val="00652954"/>
    <w:rsid w:val="006529E8"/>
    <w:rsid w:val="00652CF5"/>
    <w:rsid w:val="006530B4"/>
    <w:rsid w:val="00653875"/>
    <w:rsid w:val="00653A28"/>
    <w:rsid w:val="00653A86"/>
    <w:rsid w:val="00653E30"/>
    <w:rsid w:val="006540D1"/>
    <w:rsid w:val="006546DA"/>
    <w:rsid w:val="006547A7"/>
    <w:rsid w:val="006549C2"/>
    <w:rsid w:val="00654A8B"/>
    <w:rsid w:val="00654D4D"/>
    <w:rsid w:val="00654F6F"/>
    <w:rsid w:val="00654FF8"/>
    <w:rsid w:val="0065520A"/>
    <w:rsid w:val="00655783"/>
    <w:rsid w:val="00655835"/>
    <w:rsid w:val="00655A19"/>
    <w:rsid w:val="00655B01"/>
    <w:rsid w:val="00655B49"/>
    <w:rsid w:val="00655C65"/>
    <w:rsid w:val="00656A9F"/>
    <w:rsid w:val="00656AC5"/>
    <w:rsid w:val="00656CBD"/>
    <w:rsid w:val="00656DB9"/>
    <w:rsid w:val="00656F4B"/>
    <w:rsid w:val="0065757C"/>
    <w:rsid w:val="006578A8"/>
    <w:rsid w:val="00657DBC"/>
    <w:rsid w:val="00660345"/>
    <w:rsid w:val="006603F6"/>
    <w:rsid w:val="006605DF"/>
    <w:rsid w:val="00660625"/>
    <w:rsid w:val="00660681"/>
    <w:rsid w:val="00660913"/>
    <w:rsid w:val="00660C24"/>
    <w:rsid w:val="00660D94"/>
    <w:rsid w:val="00660E53"/>
    <w:rsid w:val="00661076"/>
    <w:rsid w:val="006616C2"/>
    <w:rsid w:val="00661FF2"/>
    <w:rsid w:val="006622C9"/>
    <w:rsid w:val="00662395"/>
    <w:rsid w:val="006624A9"/>
    <w:rsid w:val="0066330A"/>
    <w:rsid w:val="00663333"/>
    <w:rsid w:val="006635E4"/>
    <w:rsid w:val="00663645"/>
    <w:rsid w:val="006636F4"/>
    <w:rsid w:val="00663879"/>
    <w:rsid w:val="00663A8F"/>
    <w:rsid w:val="00664901"/>
    <w:rsid w:val="00664CE3"/>
    <w:rsid w:val="00664F11"/>
    <w:rsid w:val="00664FC6"/>
    <w:rsid w:val="00665231"/>
    <w:rsid w:val="0066529B"/>
    <w:rsid w:val="006657D2"/>
    <w:rsid w:val="00665B97"/>
    <w:rsid w:val="00665BAB"/>
    <w:rsid w:val="00665D64"/>
    <w:rsid w:val="00666457"/>
    <w:rsid w:val="006665CC"/>
    <w:rsid w:val="00666A67"/>
    <w:rsid w:val="00666C5A"/>
    <w:rsid w:val="00667348"/>
    <w:rsid w:val="0066753C"/>
    <w:rsid w:val="00667C5E"/>
    <w:rsid w:val="0067001B"/>
    <w:rsid w:val="006701B6"/>
    <w:rsid w:val="006701F8"/>
    <w:rsid w:val="00670235"/>
    <w:rsid w:val="006703E0"/>
    <w:rsid w:val="00670633"/>
    <w:rsid w:val="00670762"/>
    <w:rsid w:val="00670764"/>
    <w:rsid w:val="006708F1"/>
    <w:rsid w:val="006709A1"/>
    <w:rsid w:val="00670CB3"/>
    <w:rsid w:val="006711A1"/>
    <w:rsid w:val="006712A7"/>
    <w:rsid w:val="0067149F"/>
    <w:rsid w:val="006715FA"/>
    <w:rsid w:val="00671607"/>
    <w:rsid w:val="006716C1"/>
    <w:rsid w:val="00671775"/>
    <w:rsid w:val="006717A3"/>
    <w:rsid w:val="00671CC2"/>
    <w:rsid w:val="00672196"/>
    <w:rsid w:val="006725CA"/>
    <w:rsid w:val="006728D1"/>
    <w:rsid w:val="00672DE9"/>
    <w:rsid w:val="0067324A"/>
    <w:rsid w:val="0067344B"/>
    <w:rsid w:val="00673477"/>
    <w:rsid w:val="00673569"/>
    <w:rsid w:val="00673811"/>
    <w:rsid w:val="00673C51"/>
    <w:rsid w:val="0067429C"/>
    <w:rsid w:val="006743F2"/>
    <w:rsid w:val="006748E2"/>
    <w:rsid w:val="00674B9E"/>
    <w:rsid w:val="00674F0C"/>
    <w:rsid w:val="006750A3"/>
    <w:rsid w:val="006750D2"/>
    <w:rsid w:val="00675226"/>
    <w:rsid w:val="00675400"/>
    <w:rsid w:val="006758C3"/>
    <w:rsid w:val="00675998"/>
    <w:rsid w:val="006763BB"/>
    <w:rsid w:val="006763ED"/>
    <w:rsid w:val="006767BA"/>
    <w:rsid w:val="00676861"/>
    <w:rsid w:val="00676DBA"/>
    <w:rsid w:val="0067716F"/>
    <w:rsid w:val="006771BD"/>
    <w:rsid w:val="00677219"/>
    <w:rsid w:val="0067772E"/>
    <w:rsid w:val="0067779E"/>
    <w:rsid w:val="00677A82"/>
    <w:rsid w:val="00677B36"/>
    <w:rsid w:val="00677C58"/>
    <w:rsid w:val="00677DFC"/>
    <w:rsid w:val="00680102"/>
    <w:rsid w:val="00680236"/>
    <w:rsid w:val="00680767"/>
    <w:rsid w:val="006808AF"/>
    <w:rsid w:val="0068096D"/>
    <w:rsid w:val="00680C6D"/>
    <w:rsid w:val="00680D27"/>
    <w:rsid w:val="006810F6"/>
    <w:rsid w:val="006813DF"/>
    <w:rsid w:val="006816FB"/>
    <w:rsid w:val="00681B46"/>
    <w:rsid w:val="00681CAB"/>
    <w:rsid w:val="00681D83"/>
    <w:rsid w:val="00681EB2"/>
    <w:rsid w:val="006821C6"/>
    <w:rsid w:val="00682241"/>
    <w:rsid w:val="00682314"/>
    <w:rsid w:val="006824DB"/>
    <w:rsid w:val="006828A5"/>
    <w:rsid w:val="00682D6D"/>
    <w:rsid w:val="00683007"/>
    <w:rsid w:val="0068323B"/>
    <w:rsid w:val="0068367F"/>
    <w:rsid w:val="00683710"/>
    <w:rsid w:val="0068392A"/>
    <w:rsid w:val="00683B3F"/>
    <w:rsid w:val="00683B97"/>
    <w:rsid w:val="00683C21"/>
    <w:rsid w:val="00683FF2"/>
    <w:rsid w:val="00683FFB"/>
    <w:rsid w:val="00684869"/>
    <w:rsid w:val="0068490A"/>
    <w:rsid w:val="00684927"/>
    <w:rsid w:val="00684A8C"/>
    <w:rsid w:val="00684C64"/>
    <w:rsid w:val="00684E2B"/>
    <w:rsid w:val="00685052"/>
    <w:rsid w:val="0068515C"/>
    <w:rsid w:val="00685848"/>
    <w:rsid w:val="006858A9"/>
    <w:rsid w:val="00685BDA"/>
    <w:rsid w:val="00685E64"/>
    <w:rsid w:val="006861CC"/>
    <w:rsid w:val="00686738"/>
    <w:rsid w:val="00686FCC"/>
    <w:rsid w:val="00687D26"/>
    <w:rsid w:val="00690360"/>
    <w:rsid w:val="006903B3"/>
    <w:rsid w:val="006903D4"/>
    <w:rsid w:val="006905A1"/>
    <w:rsid w:val="00690B04"/>
    <w:rsid w:val="006918CA"/>
    <w:rsid w:val="00691EE9"/>
    <w:rsid w:val="0069219D"/>
    <w:rsid w:val="006921E5"/>
    <w:rsid w:val="00692663"/>
    <w:rsid w:val="00693081"/>
    <w:rsid w:val="0069323E"/>
    <w:rsid w:val="0069324F"/>
    <w:rsid w:val="0069329E"/>
    <w:rsid w:val="006938C1"/>
    <w:rsid w:val="00693B27"/>
    <w:rsid w:val="00693E30"/>
    <w:rsid w:val="00694EE4"/>
    <w:rsid w:val="00695982"/>
    <w:rsid w:val="006959CA"/>
    <w:rsid w:val="00695AB3"/>
    <w:rsid w:val="00695EE1"/>
    <w:rsid w:val="006961D0"/>
    <w:rsid w:val="00696346"/>
    <w:rsid w:val="00696925"/>
    <w:rsid w:val="00696A1D"/>
    <w:rsid w:val="00696A3D"/>
    <w:rsid w:val="00696AD7"/>
    <w:rsid w:val="00696D8B"/>
    <w:rsid w:val="00696FBA"/>
    <w:rsid w:val="00697372"/>
    <w:rsid w:val="0069780A"/>
    <w:rsid w:val="00697A1F"/>
    <w:rsid w:val="006A0118"/>
    <w:rsid w:val="006A019F"/>
    <w:rsid w:val="006A04F2"/>
    <w:rsid w:val="006A0EDC"/>
    <w:rsid w:val="006A1A00"/>
    <w:rsid w:val="006A1A21"/>
    <w:rsid w:val="006A1BE8"/>
    <w:rsid w:val="006A1D4C"/>
    <w:rsid w:val="006A1EDE"/>
    <w:rsid w:val="006A2239"/>
    <w:rsid w:val="006A2416"/>
    <w:rsid w:val="006A2452"/>
    <w:rsid w:val="006A25F0"/>
    <w:rsid w:val="006A2DD1"/>
    <w:rsid w:val="006A31C6"/>
    <w:rsid w:val="006A3283"/>
    <w:rsid w:val="006A3380"/>
    <w:rsid w:val="006A3556"/>
    <w:rsid w:val="006A37F2"/>
    <w:rsid w:val="006A389D"/>
    <w:rsid w:val="006A3926"/>
    <w:rsid w:val="006A39F3"/>
    <w:rsid w:val="006A3A99"/>
    <w:rsid w:val="006A3E45"/>
    <w:rsid w:val="006A4341"/>
    <w:rsid w:val="006A489A"/>
    <w:rsid w:val="006A4AB6"/>
    <w:rsid w:val="006A4BCD"/>
    <w:rsid w:val="006A51EA"/>
    <w:rsid w:val="006A5D83"/>
    <w:rsid w:val="006A5DE9"/>
    <w:rsid w:val="006A5F92"/>
    <w:rsid w:val="006A618B"/>
    <w:rsid w:val="006A61A0"/>
    <w:rsid w:val="006A671D"/>
    <w:rsid w:val="006A67A4"/>
    <w:rsid w:val="006A6AED"/>
    <w:rsid w:val="006A740B"/>
    <w:rsid w:val="006A743D"/>
    <w:rsid w:val="006A7B14"/>
    <w:rsid w:val="006A7EF6"/>
    <w:rsid w:val="006B00CF"/>
    <w:rsid w:val="006B025A"/>
    <w:rsid w:val="006B03CA"/>
    <w:rsid w:val="006B0569"/>
    <w:rsid w:val="006B0608"/>
    <w:rsid w:val="006B090D"/>
    <w:rsid w:val="006B0AC5"/>
    <w:rsid w:val="006B13CA"/>
    <w:rsid w:val="006B13D8"/>
    <w:rsid w:val="006B14B4"/>
    <w:rsid w:val="006B156D"/>
    <w:rsid w:val="006B1643"/>
    <w:rsid w:val="006B17FD"/>
    <w:rsid w:val="006B1915"/>
    <w:rsid w:val="006B1F8C"/>
    <w:rsid w:val="006B1FE9"/>
    <w:rsid w:val="006B22E4"/>
    <w:rsid w:val="006B2494"/>
    <w:rsid w:val="006B2571"/>
    <w:rsid w:val="006B257B"/>
    <w:rsid w:val="006B294B"/>
    <w:rsid w:val="006B2BA0"/>
    <w:rsid w:val="006B30A9"/>
    <w:rsid w:val="006B3254"/>
    <w:rsid w:val="006B3309"/>
    <w:rsid w:val="006B3445"/>
    <w:rsid w:val="006B3463"/>
    <w:rsid w:val="006B3525"/>
    <w:rsid w:val="006B36A7"/>
    <w:rsid w:val="006B3B7B"/>
    <w:rsid w:val="006B3BAB"/>
    <w:rsid w:val="006B3D3F"/>
    <w:rsid w:val="006B3D87"/>
    <w:rsid w:val="006B4102"/>
    <w:rsid w:val="006B41ED"/>
    <w:rsid w:val="006B43D7"/>
    <w:rsid w:val="006B4570"/>
    <w:rsid w:val="006B458E"/>
    <w:rsid w:val="006B479C"/>
    <w:rsid w:val="006B490E"/>
    <w:rsid w:val="006B4B18"/>
    <w:rsid w:val="006B4D35"/>
    <w:rsid w:val="006B4F24"/>
    <w:rsid w:val="006B504B"/>
    <w:rsid w:val="006B516B"/>
    <w:rsid w:val="006B53E0"/>
    <w:rsid w:val="006B5409"/>
    <w:rsid w:val="006B541C"/>
    <w:rsid w:val="006B56A4"/>
    <w:rsid w:val="006B5E11"/>
    <w:rsid w:val="006B6037"/>
    <w:rsid w:val="006B6573"/>
    <w:rsid w:val="006B6731"/>
    <w:rsid w:val="006B6A3B"/>
    <w:rsid w:val="006B6FCD"/>
    <w:rsid w:val="006B7300"/>
    <w:rsid w:val="006B7569"/>
    <w:rsid w:val="006B7769"/>
    <w:rsid w:val="006B785B"/>
    <w:rsid w:val="006B79AD"/>
    <w:rsid w:val="006B79DD"/>
    <w:rsid w:val="006B7C7F"/>
    <w:rsid w:val="006B7D05"/>
    <w:rsid w:val="006B7EE4"/>
    <w:rsid w:val="006C05C0"/>
    <w:rsid w:val="006C0906"/>
    <w:rsid w:val="006C15F8"/>
    <w:rsid w:val="006C183C"/>
    <w:rsid w:val="006C1857"/>
    <w:rsid w:val="006C1A93"/>
    <w:rsid w:val="006C1AC8"/>
    <w:rsid w:val="006C2274"/>
    <w:rsid w:val="006C245F"/>
    <w:rsid w:val="006C2511"/>
    <w:rsid w:val="006C2637"/>
    <w:rsid w:val="006C2A23"/>
    <w:rsid w:val="006C2F48"/>
    <w:rsid w:val="006C32E2"/>
    <w:rsid w:val="006C337F"/>
    <w:rsid w:val="006C34A1"/>
    <w:rsid w:val="006C3891"/>
    <w:rsid w:val="006C38B0"/>
    <w:rsid w:val="006C3A77"/>
    <w:rsid w:val="006C4295"/>
    <w:rsid w:val="006C477D"/>
    <w:rsid w:val="006C47C5"/>
    <w:rsid w:val="006C4BDE"/>
    <w:rsid w:val="006C4D64"/>
    <w:rsid w:val="006C4E2B"/>
    <w:rsid w:val="006C56C9"/>
    <w:rsid w:val="006C598E"/>
    <w:rsid w:val="006C5A42"/>
    <w:rsid w:val="006C5EA3"/>
    <w:rsid w:val="006C616B"/>
    <w:rsid w:val="006C645D"/>
    <w:rsid w:val="006C64B1"/>
    <w:rsid w:val="006C67A3"/>
    <w:rsid w:val="006C6929"/>
    <w:rsid w:val="006C69AD"/>
    <w:rsid w:val="006C6E56"/>
    <w:rsid w:val="006C73E0"/>
    <w:rsid w:val="006C7B5F"/>
    <w:rsid w:val="006C7B75"/>
    <w:rsid w:val="006C7D7B"/>
    <w:rsid w:val="006C7DF6"/>
    <w:rsid w:val="006C7F0A"/>
    <w:rsid w:val="006D027A"/>
    <w:rsid w:val="006D031B"/>
    <w:rsid w:val="006D034A"/>
    <w:rsid w:val="006D0CD4"/>
    <w:rsid w:val="006D110E"/>
    <w:rsid w:val="006D1570"/>
    <w:rsid w:val="006D1636"/>
    <w:rsid w:val="006D179D"/>
    <w:rsid w:val="006D1D56"/>
    <w:rsid w:val="006D1DF9"/>
    <w:rsid w:val="006D2428"/>
    <w:rsid w:val="006D293A"/>
    <w:rsid w:val="006D2B1B"/>
    <w:rsid w:val="006D2DAC"/>
    <w:rsid w:val="006D3068"/>
    <w:rsid w:val="006D3679"/>
    <w:rsid w:val="006D3B5E"/>
    <w:rsid w:val="006D3BC0"/>
    <w:rsid w:val="006D3D16"/>
    <w:rsid w:val="006D3E18"/>
    <w:rsid w:val="006D3E9C"/>
    <w:rsid w:val="006D3EB1"/>
    <w:rsid w:val="006D420F"/>
    <w:rsid w:val="006D465F"/>
    <w:rsid w:val="006D4869"/>
    <w:rsid w:val="006D4AEE"/>
    <w:rsid w:val="006D4CB1"/>
    <w:rsid w:val="006D4D8B"/>
    <w:rsid w:val="006D50AF"/>
    <w:rsid w:val="006D514D"/>
    <w:rsid w:val="006D5519"/>
    <w:rsid w:val="006D5663"/>
    <w:rsid w:val="006D56F9"/>
    <w:rsid w:val="006D58EF"/>
    <w:rsid w:val="006D5949"/>
    <w:rsid w:val="006D5CFC"/>
    <w:rsid w:val="006D5E42"/>
    <w:rsid w:val="006D604A"/>
    <w:rsid w:val="006D65F7"/>
    <w:rsid w:val="006D68EC"/>
    <w:rsid w:val="006D6B99"/>
    <w:rsid w:val="006D6DF4"/>
    <w:rsid w:val="006D6F68"/>
    <w:rsid w:val="006D72C9"/>
    <w:rsid w:val="006D75F7"/>
    <w:rsid w:val="006D77D8"/>
    <w:rsid w:val="006D792E"/>
    <w:rsid w:val="006D7F14"/>
    <w:rsid w:val="006E0332"/>
    <w:rsid w:val="006E045F"/>
    <w:rsid w:val="006E0496"/>
    <w:rsid w:val="006E0636"/>
    <w:rsid w:val="006E08C8"/>
    <w:rsid w:val="006E0950"/>
    <w:rsid w:val="006E0CEB"/>
    <w:rsid w:val="006E0E40"/>
    <w:rsid w:val="006E0EDA"/>
    <w:rsid w:val="006E1086"/>
    <w:rsid w:val="006E127E"/>
    <w:rsid w:val="006E1317"/>
    <w:rsid w:val="006E13E3"/>
    <w:rsid w:val="006E1A8E"/>
    <w:rsid w:val="006E2132"/>
    <w:rsid w:val="006E2422"/>
    <w:rsid w:val="006E279C"/>
    <w:rsid w:val="006E2A74"/>
    <w:rsid w:val="006E2D09"/>
    <w:rsid w:val="006E2F6C"/>
    <w:rsid w:val="006E3479"/>
    <w:rsid w:val="006E38DF"/>
    <w:rsid w:val="006E392E"/>
    <w:rsid w:val="006E3CD2"/>
    <w:rsid w:val="006E41DA"/>
    <w:rsid w:val="006E4297"/>
    <w:rsid w:val="006E45E6"/>
    <w:rsid w:val="006E4614"/>
    <w:rsid w:val="006E4AD2"/>
    <w:rsid w:val="006E4D4C"/>
    <w:rsid w:val="006E4D7D"/>
    <w:rsid w:val="006E4EE9"/>
    <w:rsid w:val="006E505B"/>
    <w:rsid w:val="006E5572"/>
    <w:rsid w:val="006E56C9"/>
    <w:rsid w:val="006E5751"/>
    <w:rsid w:val="006E577E"/>
    <w:rsid w:val="006E57A9"/>
    <w:rsid w:val="006E5830"/>
    <w:rsid w:val="006E5A40"/>
    <w:rsid w:val="006E5E85"/>
    <w:rsid w:val="006E60A1"/>
    <w:rsid w:val="006E60F5"/>
    <w:rsid w:val="006E69B6"/>
    <w:rsid w:val="006E6C4A"/>
    <w:rsid w:val="006E6CB0"/>
    <w:rsid w:val="006E715D"/>
    <w:rsid w:val="006E7312"/>
    <w:rsid w:val="006E7628"/>
    <w:rsid w:val="006E763B"/>
    <w:rsid w:val="006E7750"/>
    <w:rsid w:val="006E7B4D"/>
    <w:rsid w:val="006E7F93"/>
    <w:rsid w:val="006F0181"/>
    <w:rsid w:val="006F03BC"/>
    <w:rsid w:val="006F0D2B"/>
    <w:rsid w:val="006F0DEE"/>
    <w:rsid w:val="006F0FEA"/>
    <w:rsid w:val="006F122E"/>
    <w:rsid w:val="006F1240"/>
    <w:rsid w:val="006F14C2"/>
    <w:rsid w:val="006F154C"/>
    <w:rsid w:val="006F1E2D"/>
    <w:rsid w:val="006F1E66"/>
    <w:rsid w:val="006F2225"/>
    <w:rsid w:val="006F2901"/>
    <w:rsid w:val="006F29B7"/>
    <w:rsid w:val="006F29F6"/>
    <w:rsid w:val="006F2A74"/>
    <w:rsid w:val="006F2FD3"/>
    <w:rsid w:val="006F355A"/>
    <w:rsid w:val="006F3580"/>
    <w:rsid w:val="006F3B49"/>
    <w:rsid w:val="006F3BA0"/>
    <w:rsid w:val="006F3C17"/>
    <w:rsid w:val="006F3EE7"/>
    <w:rsid w:val="006F40CA"/>
    <w:rsid w:val="006F4240"/>
    <w:rsid w:val="006F43FE"/>
    <w:rsid w:val="006F455B"/>
    <w:rsid w:val="006F5073"/>
    <w:rsid w:val="006F5245"/>
    <w:rsid w:val="006F52AA"/>
    <w:rsid w:val="006F5F49"/>
    <w:rsid w:val="006F5F89"/>
    <w:rsid w:val="006F650B"/>
    <w:rsid w:val="006F6794"/>
    <w:rsid w:val="006F6A0A"/>
    <w:rsid w:val="006F6F9C"/>
    <w:rsid w:val="006F72F2"/>
    <w:rsid w:val="006F7354"/>
    <w:rsid w:val="006F753F"/>
    <w:rsid w:val="006F76F9"/>
    <w:rsid w:val="006F7FDD"/>
    <w:rsid w:val="00700267"/>
    <w:rsid w:val="007002D2"/>
    <w:rsid w:val="0070034F"/>
    <w:rsid w:val="0070053C"/>
    <w:rsid w:val="007006F6"/>
    <w:rsid w:val="00700916"/>
    <w:rsid w:val="00700EA5"/>
    <w:rsid w:val="00700ECE"/>
    <w:rsid w:val="00701504"/>
    <w:rsid w:val="00701943"/>
    <w:rsid w:val="00701B26"/>
    <w:rsid w:val="00701BC7"/>
    <w:rsid w:val="00701CC1"/>
    <w:rsid w:val="00702224"/>
    <w:rsid w:val="00702254"/>
    <w:rsid w:val="007024BF"/>
    <w:rsid w:val="0070267E"/>
    <w:rsid w:val="00702820"/>
    <w:rsid w:val="00702828"/>
    <w:rsid w:val="00702A79"/>
    <w:rsid w:val="00702C7E"/>
    <w:rsid w:val="00702D9B"/>
    <w:rsid w:val="00702FEB"/>
    <w:rsid w:val="00702FF3"/>
    <w:rsid w:val="00703339"/>
    <w:rsid w:val="007038DF"/>
    <w:rsid w:val="00703A0C"/>
    <w:rsid w:val="00703B26"/>
    <w:rsid w:val="00703E58"/>
    <w:rsid w:val="00703E6F"/>
    <w:rsid w:val="00704169"/>
    <w:rsid w:val="00704341"/>
    <w:rsid w:val="0070485C"/>
    <w:rsid w:val="00704887"/>
    <w:rsid w:val="00704898"/>
    <w:rsid w:val="0070495F"/>
    <w:rsid w:val="00704ADA"/>
    <w:rsid w:val="00704C1A"/>
    <w:rsid w:val="00704CAB"/>
    <w:rsid w:val="00704E07"/>
    <w:rsid w:val="00704E22"/>
    <w:rsid w:val="007050A5"/>
    <w:rsid w:val="00705126"/>
    <w:rsid w:val="0070546C"/>
    <w:rsid w:val="00705ABB"/>
    <w:rsid w:val="00705B0A"/>
    <w:rsid w:val="00706421"/>
    <w:rsid w:val="0070656D"/>
    <w:rsid w:val="007066D0"/>
    <w:rsid w:val="00706C79"/>
    <w:rsid w:val="00706CEF"/>
    <w:rsid w:val="00706EE3"/>
    <w:rsid w:val="0070752F"/>
    <w:rsid w:val="007075FD"/>
    <w:rsid w:val="0070763E"/>
    <w:rsid w:val="00707753"/>
    <w:rsid w:val="007077D2"/>
    <w:rsid w:val="007078FA"/>
    <w:rsid w:val="00707C51"/>
    <w:rsid w:val="007103F8"/>
    <w:rsid w:val="0071067A"/>
    <w:rsid w:val="007109BD"/>
    <w:rsid w:val="00710B39"/>
    <w:rsid w:val="00710C75"/>
    <w:rsid w:val="00711266"/>
    <w:rsid w:val="00711A76"/>
    <w:rsid w:val="00711B98"/>
    <w:rsid w:val="00711C2A"/>
    <w:rsid w:val="00711CA3"/>
    <w:rsid w:val="007129C8"/>
    <w:rsid w:val="007129D6"/>
    <w:rsid w:val="00712E17"/>
    <w:rsid w:val="00712E18"/>
    <w:rsid w:val="00712FF0"/>
    <w:rsid w:val="00713597"/>
    <w:rsid w:val="00713B08"/>
    <w:rsid w:val="00713B2D"/>
    <w:rsid w:val="00713BD6"/>
    <w:rsid w:val="00713C87"/>
    <w:rsid w:val="00713FF5"/>
    <w:rsid w:val="00714423"/>
    <w:rsid w:val="007146D4"/>
    <w:rsid w:val="00714800"/>
    <w:rsid w:val="00714BA8"/>
    <w:rsid w:val="00714D73"/>
    <w:rsid w:val="00714E7C"/>
    <w:rsid w:val="007150DF"/>
    <w:rsid w:val="00715101"/>
    <w:rsid w:val="0071513C"/>
    <w:rsid w:val="0071514C"/>
    <w:rsid w:val="00715510"/>
    <w:rsid w:val="00715BBA"/>
    <w:rsid w:val="00715E48"/>
    <w:rsid w:val="00715EFA"/>
    <w:rsid w:val="00716199"/>
    <w:rsid w:val="00716633"/>
    <w:rsid w:val="00716791"/>
    <w:rsid w:val="007167D4"/>
    <w:rsid w:val="0071694E"/>
    <w:rsid w:val="00716B18"/>
    <w:rsid w:val="00716B48"/>
    <w:rsid w:val="00716BB5"/>
    <w:rsid w:val="00717048"/>
    <w:rsid w:val="007171B5"/>
    <w:rsid w:val="00717431"/>
    <w:rsid w:val="00717437"/>
    <w:rsid w:val="00717671"/>
    <w:rsid w:val="007177B0"/>
    <w:rsid w:val="007177C4"/>
    <w:rsid w:val="00717A54"/>
    <w:rsid w:val="00717AC5"/>
    <w:rsid w:val="00717C64"/>
    <w:rsid w:val="00717CF3"/>
    <w:rsid w:val="00717D3C"/>
    <w:rsid w:val="00717DE4"/>
    <w:rsid w:val="00717DFC"/>
    <w:rsid w:val="007200D5"/>
    <w:rsid w:val="007207A7"/>
    <w:rsid w:val="00720944"/>
    <w:rsid w:val="00720B05"/>
    <w:rsid w:val="00720EBE"/>
    <w:rsid w:val="00720F81"/>
    <w:rsid w:val="007213A3"/>
    <w:rsid w:val="0072141F"/>
    <w:rsid w:val="007218B7"/>
    <w:rsid w:val="00721C87"/>
    <w:rsid w:val="00721D5B"/>
    <w:rsid w:val="00721E48"/>
    <w:rsid w:val="00722706"/>
    <w:rsid w:val="00722B3F"/>
    <w:rsid w:val="00722BE0"/>
    <w:rsid w:val="0072315E"/>
    <w:rsid w:val="0072343B"/>
    <w:rsid w:val="0072353E"/>
    <w:rsid w:val="007236A2"/>
    <w:rsid w:val="00723C99"/>
    <w:rsid w:val="00723D0A"/>
    <w:rsid w:val="00723FA0"/>
    <w:rsid w:val="00724259"/>
    <w:rsid w:val="00724315"/>
    <w:rsid w:val="007245C7"/>
    <w:rsid w:val="0072466D"/>
    <w:rsid w:val="0072494C"/>
    <w:rsid w:val="007250AF"/>
    <w:rsid w:val="00725124"/>
    <w:rsid w:val="00725376"/>
    <w:rsid w:val="0072557C"/>
    <w:rsid w:val="007255FD"/>
    <w:rsid w:val="007258F8"/>
    <w:rsid w:val="00725BA0"/>
    <w:rsid w:val="007264BE"/>
    <w:rsid w:val="0072685E"/>
    <w:rsid w:val="00726862"/>
    <w:rsid w:val="00726D47"/>
    <w:rsid w:val="00726F01"/>
    <w:rsid w:val="00726F1D"/>
    <w:rsid w:val="00726F90"/>
    <w:rsid w:val="0072740E"/>
    <w:rsid w:val="007275E6"/>
    <w:rsid w:val="00727859"/>
    <w:rsid w:val="00727C99"/>
    <w:rsid w:val="00727E99"/>
    <w:rsid w:val="00727F71"/>
    <w:rsid w:val="00727F83"/>
    <w:rsid w:val="007302B4"/>
    <w:rsid w:val="0073046D"/>
    <w:rsid w:val="007309B1"/>
    <w:rsid w:val="00730CBC"/>
    <w:rsid w:val="007310F0"/>
    <w:rsid w:val="007311EC"/>
    <w:rsid w:val="007313DE"/>
    <w:rsid w:val="007314B3"/>
    <w:rsid w:val="007316BB"/>
    <w:rsid w:val="00731885"/>
    <w:rsid w:val="00731958"/>
    <w:rsid w:val="00731AAF"/>
    <w:rsid w:val="00731BD0"/>
    <w:rsid w:val="00731EB4"/>
    <w:rsid w:val="00732371"/>
    <w:rsid w:val="00732599"/>
    <w:rsid w:val="0073265E"/>
    <w:rsid w:val="0073271C"/>
    <w:rsid w:val="0073280D"/>
    <w:rsid w:val="007328A6"/>
    <w:rsid w:val="00732A03"/>
    <w:rsid w:val="00732B97"/>
    <w:rsid w:val="00732BA4"/>
    <w:rsid w:val="00732BF0"/>
    <w:rsid w:val="00732C31"/>
    <w:rsid w:val="00732D3F"/>
    <w:rsid w:val="00732F57"/>
    <w:rsid w:val="00732F9C"/>
    <w:rsid w:val="00733481"/>
    <w:rsid w:val="00733644"/>
    <w:rsid w:val="00733709"/>
    <w:rsid w:val="00733930"/>
    <w:rsid w:val="00733AE3"/>
    <w:rsid w:val="00733D82"/>
    <w:rsid w:val="007346D2"/>
    <w:rsid w:val="0073490E"/>
    <w:rsid w:val="00734D48"/>
    <w:rsid w:val="00735165"/>
    <w:rsid w:val="00735178"/>
    <w:rsid w:val="007356BB"/>
    <w:rsid w:val="00735775"/>
    <w:rsid w:val="00735820"/>
    <w:rsid w:val="00735CD6"/>
    <w:rsid w:val="00735FAA"/>
    <w:rsid w:val="00736296"/>
    <w:rsid w:val="007362E4"/>
    <w:rsid w:val="007363E0"/>
    <w:rsid w:val="0073645A"/>
    <w:rsid w:val="00736567"/>
    <w:rsid w:val="007365E1"/>
    <w:rsid w:val="00736AA0"/>
    <w:rsid w:val="00736AEB"/>
    <w:rsid w:val="00736BEA"/>
    <w:rsid w:val="00736C48"/>
    <w:rsid w:val="00736E1A"/>
    <w:rsid w:val="00736E4F"/>
    <w:rsid w:val="00737083"/>
    <w:rsid w:val="00737123"/>
    <w:rsid w:val="00737342"/>
    <w:rsid w:val="00737664"/>
    <w:rsid w:val="00737B75"/>
    <w:rsid w:val="007400EB"/>
    <w:rsid w:val="00740392"/>
    <w:rsid w:val="00740687"/>
    <w:rsid w:val="007407FC"/>
    <w:rsid w:val="00740821"/>
    <w:rsid w:val="00740A96"/>
    <w:rsid w:val="00740B38"/>
    <w:rsid w:val="007411BD"/>
    <w:rsid w:val="007412FE"/>
    <w:rsid w:val="00741399"/>
    <w:rsid w:val="007417C3"/>
    <w:rsid w:val="00741800"/>
    <w:rsid w:val="007418F4"/>
    <w:rsid w:val="0074195B"/>
    <w:rsid w:val="00741AAF"/>
    <w:rsid w:val="00741B13"/>
    <w:rsid w:val="00741C57"/>
    <w:rsid w:val="0074207E"/>
    <w:rsid w:val="007421AE"/>
    <w:rsid w:val="007421E5"/>
    <w:rsid w:val="00742269"/>
    <w:rsid w:val="007423DA"/>
    <w:rsid w:val="007425CC"/>
    <w:rsid w:val="0074260F"/>
    <w:rsid w:val="0074282F"/>
    <w:rsid w:val="00742B99"/>
    <w:rsid w:val="00742C2E"/>
    <w:rsid w:val="00742DDB"/>
    <w:rsid w:val="00742DF8"/>
    <w:rsid w:val="00743785"/>
    <w:rsid w:val="00743DCC"/>
    <w:rsid w:val="00743EBC"/>
    <w:rsid w:val="00743EEB"/>
    <w:rsid w:val="00744179"/>
    <w:rsid w:val="00744664"/>
    <w:rsid w:val="00744674"/>
    <w:rsid w:val="0074477A"/>
    <w:rsid w:val="00744A07"/>
    <w:rsid w:val="00744AC4"/>
    <w:rsid w:val="00744B77"/>
    <w:rsid w:val="00744D55"/>
    <w:rsid w:val="0074519D"/>
    <w:rsid w:val="00745517"/>
    <w:rsid w:val="007458B9"/>
    <w:rsid w:val="00745BED"/>
    <w:rsid w:val="00745CC9"/>
    <w:rsid w:val="00745F76"/>
    <w:rsid w:val="007461BD"/>
    <w:rsid w:val="00746841"/>
    <w:rsid w:val="00746A41"/>
    <w:rsid w:val="00746B26"/>
    <w:rsid w:val="00746CFC"/>
    <w:rsid w:val="00746D76"/>
    <w:rsid w:val="00747006"/>
    <w:rsid w:val="00747356"/>
    <w:rsid w:val="007474D0"/>
    <w:rsid w:val="0074768F"/>
    <w:rsid w:val="007478D4"/>
    <w:rsid w:val="00747F35"/>
    <w:rsid w:val="00750104"/>
    <w:rsid w:val="0075055D"/>
    <w:rsid w:val="00750625"/>
    <w:rsid w:val="00750977"/>
    <w:rsid w:val="00751249"/>
    <w:rsid w:val="0075132A"/>
    <w:rsid w:val="0075135B"/>
    <w:rsid w:val="0075138D"/>
    <w:rsid w:val="00751AF6"/>
    <w:rsid w:val="00751E21"/>
    <w:rsid w:val="007524A7"/>
    <w:rsid w:val="00752653"/>
    <w:rsid w:val="00752AF0"/>
    <w:rsid w:val="00752F28"/>
    <w:rsid w:val="00753818"/>
    <w:rsid w:val="00753DD5"/>
    <w:rsid w:val="00753FC6"/>
    <w:rsid w:val="007542E5"/>
    <w:rsid w:val="00754511"/>
    <w:rsid w:val="007546AF"/>
    <w:rsid w:val="007546DB"/>
    <w:rsid w:val="00754860"/>
    <w:rsid w:val="00754B22"/>
    <w:rsid w:val="00754B29"/>
    <w:rsid w:val="007550FE"/>
    <w:rsid w:val="0075511F"/>
    <w:rsid w:val="007552C7"/>
    <w:rsid w:val="007552E8"/>
    <w:rsid w:val="007552ED"/>
    <w:rsid w:val="0075585F"/>
    <w:rsid w:val="00755986"/>
    <w:rsid w:val="00755D19"/>
    <w:rsid w:val="00755EEC"/>
    <w:rsid w:val="00755FEF"/>
    <w:rsid w:val="00756215"/>
    <w:rsid w:val="00756223"/>
    <w:rsid w:val="007562D8"/>
    <w:rsid w:val="0075641E"/>
    <w:rsid w:val="00756499"/>
    <w:rsid w:val="007565F0"/>
    <w:rsid w:val="00757181"/>
    <w:rsid w:val="00757748"/>
    <w:rsid w:val="0075778C"/>
    <w:rsid w:val="00757B2B"/>
    <w:rsid w:val="00757C72"/>
    <w:rsid w:val="00757DE7"/>
    <w:rsid w:val="00757FDD"/>
    <w:rsid w:val="007602D2"/>
    <w:rsid w:val="00760564"/>
    <w:rsid w:val="00760814"/>
    <w:rsid w:val="00761087"/>
    <w:rsid w:val="0076112B"/>
    <w:rsid w:val="00761246"/>
    <w:rsid w:val="0076164B"/>
    <w:rsid w:val="0076166C"/>
    <w:rsid w:val="00761C0E"/>
    <w:rsid w:val="00761C7B"/>
    <w:rsid w:val="00761CED"/>
    <w:rsid w:val="00761F3F"/>
    <w:rsid w:val="007621E5"/>
    <w:rsid w:val="007629FA"/>
    <w:rsid w:val="00762B1A"/>
    <w:rsid w:val="00762CD6"/>
    <w:rsid w:val="00762F57"/>
    <w:rsid w:val="00763093"/>
    <w:rsid w:val="00763220"/>
    <w:rsid w:val="00763224"/>
    <w:rsid w:val="007633B0"/>
    <w:rsid w:val="00763416"/>
    <w:rsid w:val="0076363D"/>
    <w:rsid w:val="00763A4F"/>
    <w:rsid w:val="00763B38"/>
    <w:rsid w:val="00763DF1"/>
    <w:rsid w:val="007640EB"/>
    <w:rsid w:val="00764405"/>
    <w:rsid w:val="007646B5"/>
    <w:rsid w:val="00764A22"/>
    <w:rsid w:val="00764D03"/>
    <w:rsid w:val="00764E49"/>
    <w:rsid w:val="00765213"/>
    <w:rsid w:val="00765469"/>
    <w:rsid w:val="007654A0"/>
    <w:rsid w:val="007655EA"/>
    <w:rsid w:val="00765750"/>
    <w:rsid w:val="007657CA"/>
    <w:rsid w:val="00765934"/>
    <w:rsid w:val="00765BCF"/>
    <w:rsid w:val="00765C00"/>
    <w:rsid w:val="00765C96"/>
    <w:rsid w:val="00765DEC"/>
    <w:rsid w:val="007660F9"/>
    <w:rsid w:val="00766166"/>
    <w:rsid w:val="007665C8"/>
    <w:rsid w:val="007666AB"/>
    <w:rsid w:val="007668B0"/>
    <w:rsid w:val="00766A45"/>
    <w:rsid w:val="00766D90"/>
    <w:rsid w:val="00766E32"/>
    <w:rsid w:val="007671F0"/>
    <w:rsid w:val="00767348"/>
    <w:rsid w:val="00767483"/>
    <w:rsid w:val="007674A0"/>
    <w:rsid w:val="00767BED"/>
    <w:rsid w:val="007700CD"/>
    <w:rsid w:val="007701D1"/>
    <w:rsid w:val="00770398"/>
    <w:rsid w:val="007705C8"/>
    <w:rsid w:val="0077066B"/>
    <w:rsid w:val="007706C7"/>
    <w:rsid w:val="0077075B"/>
    <w:rsid w:val="00770816"/>
    <w:rsid w:val="00770843"/>
    <w:rsid w:val="007709AF"/>
    <w:rsid w:val="00770D10"/>
    <w:rsid w:val="007712F4"/>
    <w:rsid w:val="007715A8"/>
    <w:rsid w:val="00771A97"/>
    <w:rsid w:val="00771E1C"/>
    <w:rsid w:val="00772345"/>
    <w:rsid w:val="0077242F"/>
    <w:rsid w:val="0077270D"/>
    <w:rsid w:val="00772858"/>
    <w:rsid w:val="00772985"/>
    <w:rsid w:val="00773341"/>
    <w:rsid w:val="00773F2A"/>
    <w:rsid w:val="00773FA6"/>
    <w:rsid w:val="007744B6"/>
    <w:rsid w:val="00774886"/>
    <w:rsid w:val="007748AD"/>
    <w:rsid w:val="00774C25"/>
    <w:rsid w:val="0077544F"/>
    <w:rsid w:val="00775483"/>
    <w:rsid w:val="00775A29"/>
    <w:rsid w:val="00775D5F"/>
    <w:rsid w:val="0077612F"/>
    <w:rsid w:val="00776161"/>
    <w:rsid w:val="007766A0"/>
    <w:rsid w:val="00776B8B"/>
    <w:rsid w:val="0077710F"/>
    <w:rsid w:val="00777155"/>
    <w:rsid w:val="007771A8"/>
    <w:rsid w:val="007772C9"/>
    <w:rsid w:val="007773AC"/>
    <w:rsid w:val="007773EC"/>
    <w:rsid w:val="007773FE"/>
    <w:rsid w:val="007774D1"/>
    <w:rsid w:val="0077760D"/>
    <w:rsid w:val="00777872"/>
    <w:rsid w:val="00777A29"/>
    <w:rsid w:val="00777A5D"/>
    <w:rsid w:val="00777D8F"/>
    <w:rsid w:val="00777E03"/>
    <w:rsid w:val="0078028D"/>
    <w:rsid w:val="00780518"/>
    <w:rsid w:val="0078058C"/>
    <w:rsid w:val="007806DC"/>
    <w:rsid w:val="00780FFF"/>
    <w:rsid w:val="00781742"/>
    <w:rsid w:val="00781BFD"/>
    <w:rsid w:val="00781E0E"/>
    <w:rsid w:val="00781E9D"/>
    <w:rsid w:val="00781F04"/>
    <w:rsid w:val="00782108"/>
    <w:rsid w:val="007825C5"/>
    <w:rsid w:val="0078289E"/>
    <w:rsid w:val="00782984"/>
    <w:rsid w:val="00782C90"/>
    <w:rsid w:val="0078327D"/>
    <w:rsid w:val="007832B2"/>
    <w:rsid w:val="00783380"/>
    <w:rsid w:val="007834C0"/>
    <w:rsid w:val="00783513"/>
    <w:rsid w:val="00783E97"/>
    <w:rsid w:val="00783EA1"/>
    <w:rsid w:val="00784F89"/>
    <w:rsid w:val="00785095"/>
    <w:rsid w:val="00785307"/>
    <w:rsid w:val="00785388"/>
    <w:rsid w:val="007853E6"/>
    <w:rsid w:val="0078565C"/>
    <w:rsid w:val="00785DB1"/>
    <w:rsid w:val="007866CA"/>
    <w:rsid w:val="0078698D"/>
    <w:rsid w:val="00786ABC"/>
    <w:rsid w:val="00786AD3"/>
    <w:rsid w:val="00786D7A"/>
    <w:rsid w:val="00786F6C"/>
    <w:rsid w:val="00786FF6"/>
    <w:rsid w:val="00787078"/>
    <w:rsid w:val="007873C4"/>
    <w:rsid w:val="0078767C"/>
    <w:rsid w:val="00787B42"/>
    <w:rsid w:val="00787EE0"/>
    <w:rsid w:val="00787F36"/>
    <w:rsid w:val="007902C7"/>
    <w:rsid w:val="007904A8"/>
    <w:rsid w:val="00790B53"/>
    <w:rsid w:val="00790BEA"/>
    <w:rsid w:val="00790D3A"/>
    <w:rsid w:val="00790EB2"/>
    <w:rsid w:val="00790F27"/>
    <w:rsid w:val="007911A2"/>
    <w:rsid w:val="007911B2"/>
    <w:rsid w:val="0079189A"/>
    <w:rsid w:val="007918BC"/>
    <w:rsid w:val="00791B20"/>
    <w:rsid w:val="00791B56"/>
    <w:rsid w:val="00791BD1"/>
    <w:rsid w:val="007921C0"/>
    <w:rsid w:val="007925CA"/>
    <w:rsid w:val="00792724"/>
    <w:rsid w:val="00792861"/>
    <w:rsid w:val="00792B3B"/>
    <w:rsid w:val="00792BFB"/>
    <w:rsid w:val="00792C1A"/>
    <w:rsid w:val="00792D25"/>
    <w:rsid w:val="0079350F"/>
    <w:rsid w:val="00793587"/>
    <w:rsid w:val="00793820"/>
    <w:rsid w:val="00794776"/>
    <w:rsid w:val="00794D5E"/>
    <w:rsid w:val="00794EE4"/>
    <w:rsid w:val="00794F55"/>
    <w:rsid w:val="00795170"/>
    <w:rsid w:val="007951A5"/>
    <w:rsid w:val="0079531D"/>
    <w:rsid w:val="00795443"/>
    <w:rsid w:val="007954B5"/>
    <w:rsid w:val="007956AA"/>
    <w:rsid w:val="00795983"/>
    <w:rsid w:val="00795E41"/>
    <w:rsid w:val="007962B0"/>
    <w:rsid w:val="00796472"/>
    <w:rsid w:val="007964A9"/>
    <w:rsid w:val="007965BE"/>
    <w:rsid w:val="00796677"/>
    <w:rsid w:val="00796A06"/>
    <w:rsid w:val="00796B87"/>
    <w:rsid w:val="00796EC1"/>
    <w:rsid w:val="00796FDD"/>
    <w:rsid w:val="0079718E"/>
    <w:rsid w:val="00797238"/>
    <w:rsid w:val="007978A2"/>
    <w:rsid w:val="007978CF"/>
    <w:rsid w:val="00797D04"/>
    <w:rsid w:val="00797EE8"/>
    <w:rsid w:val="007A02C0"/>
    <w:rsid w:val="007A02D9"/>
    <w:rsid w:val="007A04EC"/>
    <w:rsid w:val="007A0994"/>
    <w:rsid w:val="007A0B4D"/>
    <w:rsid w:val="007A0B8D"/>
    <w:rsid w:val="007A0BB1"/>
    <w:rsid w:val="007A0EB9"/>
    <w:rsid w:val="007A1412"/>
    <w:rsid w:val="007A148F"/>
    <w:rsid w:val="007A14BF"/>
    <w:rsid w:val="007A16E0"/>
    <w:rsid w:val="007A1B92"/>
    <w:rsid w:val="007A1E92"/>
    <w:rsid w:val="007A1E9B"/>
    <w:rsid w:val="007A20AA"/>
    <w:rsid w:val="007A20BB"/>
    <w:rsid w:val="007A25F8"/>
    <w:rsid w:val="007A2FD0"/>
    <w:rsid w:val="007A335C"/>
    <w:rsid w:val="007A336A"/>
    <w:rsid w:val="007A3B65"/>
    <w:rsid w:val="007A3B99"/>
    <w:rsid w:val="007A3F60"/>
    <w:rsid w:val="007A3FF3"/>
    <w:rsid w:val="007A422E"/>
    <w:rsid w:val="007A465E"/>
    <w:rsid w:val="007A4690"/>
    <w:rsid w:val="007A4937"/>
    <w:rsid w:val="007A4AB0"/>
    <w:rsid w:val="007A4C07"/>
    <w:rsid w:val="007A4D14"/>
    <w:rsid w:val="007A4EC4"/>
    <w:rsid w:val="007A5741"/>
    <w:rsid w:val="007A5A59"/>
    <w:rsid w:val="007A5EB1"/>
    <w:rsid w:val="007A6059"/>
    <w:rsid w:val="007A6143"/>
    <w:rsid w:val="007A622C"/>
    <w:rsid w:val="007A62FC"/>
    <w:rsid w:val="007A650D"/>
    <w:rsid w:val="007A66BB"/>
    <w:rsid w:val="007A6943"/>
    <w:rsid w:val="007A6A0E"/>
    <w:rsid w:val="007A6CDF"/>
    <w:rsid w:val="007A6DD8"/>
    <w:rsid w:val="007A6F26"/>
    <w:rsid w:val="007A7049"/>
    <w:rsid w:val="007A7702"/>
    <w:rsid w:val="007A7BEF"/>
    <w:rsid w:val="007A7E46"/>
    <w:rsid w:val="007A7EDA"/>
    <w:rsid w:val="007B02F7"/>
    <w:rsid w:val="007B047D"/>
    <w:rsid w:val="007B085D"/>
    <w:rsid w:val="007B0A10"/>
    <w:rsid w:val="007B0B96"/>
    <w:rsid w:val="007B0D44"/>
    <w:rsid w:val="007B0FE6"/>
    <w:rsid w:val="007B14E4"/>
    <w:rsid w:val="007B1585"/>
    <w:rsid w:val="007B1608"/>
    <w:rsid w:val="007B16C5"/>
    <w:rsid w:val="007B16F9"/>
    <w:rsid w:val="007B1BD0"/>
    <w:rsid w:val="007B2585"/>
    <w:rsid w:val="007B2977"/>
    <w:rsid w:val="007B2C13"/>
    <w:rsid w:val="007B2DF6"/>
    <w:rsid w:val="007B2F8F"/>
    <w:rsid w:val="007B30DE"/>
    <w:rsid w:val="007B30E5"/>
    <w:rsid w:val="007B3474"/>
    <w:rsid w:val="007B355B"/>
    <w:rsid w:val="007B3969"/>
    <w:rsid w:val="007B3E69"/>
    <w:rsid w:val="007B44F1"/>
    <w:rsid w:val="007B46DD"/>
    <w:rsid w:val="007B47E1"/>
    <w:rsid w:val="007B4C7A"/>
    <w:rsid w:val="007B4E7E"/>
    <w:rsid w:val="007B4F8A"/>
    <w:rsid w:val="007B4FE5"/>
    <w:rsid w:val="007B5536"/>
    <w:rsid w:val="007B559E"/>
    <w:rsid w:val="007B563E"/>
    <w:rsid w:val="007B590B"/>
    <w:rsid w:val="007B59B2"/>
    <w:rsid w:val="007B5E18"/>
    <w:rsid w:val="007B5F85"/>
    <w:rsid w:val="007B61F3"/>
    <w:rsid w:val="007B699E"/>
    <w:rsid w:val="007B6E10"/>
    <w:rsid w:val="007B6E86"/>
    <w:rsid w:val="007B6EAC"/>
    <w:rsid w:val="007B6F41"/>
    <w:rsid w:val="007B703E"/>
    <w:rsid w:val="007B7107"/>
    <w:rsid w:val="007B75D9"/>
    <w:rsid w:val="007B777E"/>
    <w:rsid w:val="007B7B13"/>
    <w:rsid w:val="007B7B69"/>
    <w:rsid w:val="007B7EBF"/>
    <w:rsid w:val="007C0255"/>
    <w:rsid w:val="007C0792"/>
    <w:rsid w:val="007C08E4"/>
    <w:rsid w:val="007C0F17"/>
    <w:rsid w:val="007C0FC3"/>
    <w:rsid w:val="007C1139"/>
    <w:rsid w:val="007C11ED"/>
    <w:rsid w:val="007C1E38"/>
    <w:rsid w:val="007C1F63"/>
    <w:rsid w:val="007C269D"/>
    <w:rsid w:val="007C2C18"/>
    <w:rsid w:val="007C2E09"/>
    <w:rsid w:val="007C3A18"/>
    <w:rsid w:val="007C3A6D"/>
    <w:rsid w:val="007C3AAF"/>
    <w:rsid w:val="007C3C6A"/>
    <w:rsid w:val="007C3CFC"/>
    <w:rsid w:val="007C3D76"/>
    <w:rsid w:val="007C4070"/>
    <w:rsid w:val="007C420D"/>
    <w:rsid w:val="007C4799"/>
    <w:rsid w:val="007C48DC"/>
    <w:rsid w:val="007C48E1"/>
    <w:rsid w:val="007C49D9"/>
    <w:rsid w:val="007C4B50"/>
    <w:rsid w:val="007C4BB5"/>
    <w:rsid w:val="007C4C9D"/>
    <w:rsid w:val="007C516E"/>
    <w:rsid w:val="007C571F"/>
    <w:rsid w:val="007C5829"/>
    <w:rsid w:val="007C5B0B"/>
    <w:rsid w:val="007C5B5F"/>
    <w:rsid w:val="007C603E"/>
    <w:rsid w:val="007C60C3"/>
    <w:rsid w:val="007C60D8"/>
    <w:rsid w:val="007C60DB"/>
    <w:rsid w:val="007C6198"/>
    <w:rsid w:val="007C67E9"/>
    <w:rsid w:val="007C6859"/>
    <w:rsid w:val="007C693D"/>
    <w:rsid w:val="007C697E"/>
    <w:rsid w:val="007C6A9C"/>
    <w:rsid w:val="007C6BA4"/>
    <w:rsid w:val="007C7005"/>
    <w:rsid w:val="007C7297"/>
    <w:rsid w:val="007C7460"/>
    <w:rsid w:val="007C75EB"/>
    <w:rsid w:val="007C7C25"/>
    <w:rsid w:val="007C7D43"/>
    <w:rsid w:val="007D0030"/>
    <w:rsid w:val="007D00BB"/>
    <w:rsid w:val="007D010D"/>
    <w:rsid w:val="007D0381"/>
    <w:rsid w:val="007D03D7"/>
    <w:rsid w:val="007D0499"/>
    <w:rsid w:val="007D062B"/>
    <w:rsid w:val="007D0BA5"/>
    <w:rsid w:val="007D0BEB"/>
    <w:rsid w:val="007D0D35"/>
    <w:rsid w:val="007D0D77"/>
    <w:rsid w:val="007D12D3"/>
    <w:rsid w:val="007D13A5"/>
    <w:rsid w:val="007D14EA"/>
    <w:rsid w:val="007D1682"/>
    <w:rsid w:val="007D18F4"/>
    <w:rsid w:val="007D1C59"/>
    <w:rsid w:val="007D1E06"/>
    <w:rsid w:val="007D20A0"/>
    <w:rsid w:val="007D20F3"/>
    <w:rsid w:val="007D26E4"/>
    <w:rsid w:val="007D2751"/>
    <w:rsid w:val="007D2B8C"/>
    <w:rsid w:val="007D2D8C"/>
    <w:rsid w:val="007D30B5"/>
    <w:rsid w:val="007D347E"/>
    <w:rsid w:val="007D34BA"/>
    <w:rsid w:val="007D36F7"/>
    <w:rsid w:val="007D3DE6"/>
    <w:rsid w:val="007D3F44"/>
    <w:rsid w:val="007D4295"/>
    <w:rsid w:val="007D431B"/>
    <w:rsid w:val="007D43DB"/>
    <w:rsid w:val="007D4463"/>
    <w:rsid w:val="007D4758"/>
    <w:rsid w:val="007D48B3"/>
    <w:rsid w:val="007D4EB1"/>
    <w:rsid w:val="007D5069"/>
    <w:rsid w:val="007D5086"/>
    <w:rsid w:val="007D51D6"/>
    <w:rsid w:val="007D51FA"/>
    <w:rsid w:val="007D5420"/>
    <w:rsid w:val="007D5D0A"/>
    <w:rsid w:val="007D5D21"/>
    <w:rsid w:val="007D5D5B"/>
    <w:rsid w:val="007D6193"/>
    <w:rsid w:val="007D63DD"/>
    <w:rsid w:val="007D6403"/>
    <w:rsid w:val="007D65A3"/>
    <w:rsid w:val="007D65D4"/>
    <w:rsid w:val="007D664D"/>
    <w:rsid w:val="007D6BA3"/>
    <w:rsid w:val="007D6F6B"/>
    <w:rsid w:val="007D75F2"/>
    <w:rsid w:val="007D7629"/>
    <w:rsid w:val="007D77EA"/>
    <w:rsid w:val="007D7C30"/>
    <w:rsid w:val="007D7C5D"/>
    <w:rsid w:val="007D7CCE"/>
    <w:rsid w:val="007E02AA"/>
    <w:rsid w:val="007E02CE"/>
    <w:rsid w:val="007E070C"/>
    <w:rsid w:val="007E07E2"/>
    <w:rsid w:val="007E0931"/>
    <w:rsid w:val="007E09A0"/>
    <w:rsid w:val="007E1104"/>
    <w:rsid w:val="007E12C5"/>
    <w:rsid w:val="007E1369"/>
    <w:rsid w:val="007E1508"/>
    <w:rsid w:val="007E1607"/>
    <w:rsid w:val="007E17D6"/>
    <w:rsid w:val="007E192A"/>
    <w:rsid w:val="007E1B81"/>
    <w:rsid w:val="007E1C1A"/>
    <w:rsid w:val="007E1DF2"/>
    <w:rsid w:val="007E2599"/>
    <w:rsid w:val="007E283F"/>
    <w:rsid w:val="007E2971"/>
    <w:rsid w:val="007E29F0"/>
    <w:rsid w:val="007E2E32"/>
    <w:rsid w:val="007E2F5F"/>
    <w:rsid w:val="007E3303"/>
    <w:rsid w:val="007E3623"/>
    <w:rsid w:val="007E362A"/>
    <w:rsid w:val="007E373C"/>
    <w:rsid w:val="007E39D1"/>
    <w:rsid w:val="007E3A3D"/>
    <w:rsid w:val="007E410B"/>
    <w:rsid w:val="007E43DF"/>
    <w:rsid w:val="007E4973"/>
    <w:rsid w:val="007E4A48"/>
    <w:rsid w:val="007E4C1C"/>
    <w:rsid w:val="007E4C81"/>
    <w:rsid w:val="007E4CB4"/>
    <w:rsid w:val="007E4F93"/>
    <w:rsid w:val="007E5042"/>
    <w:rsid w:val="007E5180"/>
    <w:rsid w:val="007E5696"/>
    <w:rsid w:val="007E5BE9"/>
    <w:rsid w:val="007E5C40"/>
    <w:rsid w:val="007E5CDE"/>
    <w:rsid w:val="007E5D6F"/>
    <w:rsid w:val="007E5F11"/>
    <w:rsid w:val="007E5FCC"/>
    <w:rsid w:val="007E68F3"/>
    <w:rsid w:val="007E6B20"/>
    <w:rsid w:val="007E6F18"/>
    <w:rsid w:val="007E7084"/>
    <w:rsid w:val="007E7288"/>
    <w:rsid w:val="007E786F"/>
    <w:rsid w:val="007E79B1"/>
    <w:rsid w:val="007E7C7A"/>
    <w:rsid w:val="007E7F3E"/>
    <w:rsid w:val="007F0063"/>
    <w:rsid w:val="007F01FA"/>
    <w:rsid w:val="007F0309"/>
    <w:rsid w:val="007F0314"/>
    <w:rsid w:val="007F03EE"/>
    <w:rsid w:val="007F054D"/>
    <w:rsid w:val="007F0655"/>
    <w:rsid w:val="007F09B1"/>
    <w:rsid w:val="007F0AAC"/>
    <w:rsid w:val="007F0B37"/>
    <w:rsid w:val="007F0C90"/>
    <w:rsid w:val="007F0E18"/>
    <w:rsid w:val="007F0F8F"/>
    <w:rsid w:val="007F10AE"/>
    <w:rsid w:val="007F1287"/>
    <w:rsid w:val="007F182F"/>
    <w:rsid w:val="007F1970"/>
    <w:rsid w:val="007F1A3C"/>
    <w:rsid w:val="007F1A8B"/>
    <w:rsid w:val="007F1DBF"/>
    <w:rsid w:val="007F2003"/>
    <w:rsid w:val="007F207F"/>
    <w:rsid w:val="007F257C"/>
    <w:rsid w:val="007F26D1"/>
    <w:rsid w:val="007F2886"/>
    <w:rsid w:val="007F2926"/>
    <w:rsid w:val="007F2ABF"/>
    <w:rsid w:val="007F2D60"/>
    <w:rsid w:val="007F333A"/>
    <w:rsid w:val="007F35F8"/>
    <w:rsid w:val="007F38E2"/>
    <w:rsid w:val="007F39B3"/>
    <w:rsid w:val="007F3A41"/>
    <w:rsid w:val="007F4249"/>
    <w:rsid w:val="007F428B"/>
    <w:rsid w:val="007F4644"/>
    <w:rsid w:val="007F4925"/>
    <w:rsid w:val="007F4B32"/>
    <w:rsid w:val="007F4CCC"/>
    <w:rsid w:val="007F4E41"/>
    <w:rsid w:val="007F4EB1"/>
    <w:rsid w:val="007F5457"/>
    <w:rsid w:val="007F54F8"/>
    <w:rsid w:val="007F5660"/>
    <w:rsid w:val="007F5894"/>
    <w:rsid w:val="007F5D58"/>
    <w:rsid w:val="007F5DE0"/>
    <w:rsid w:val="007F5FF5"/>
    <w:rsid w:val="007F6656"/>
    <w:rsid w:val="007F66CE"/>
    <w:rsid w:val="007F66E0"/>
    <w:rsid w:val="007F6C77"/>
    <w:rsid w:val="007F6CD0"/>
    <w:rsid w:val="007F6CE2"/>
    <w:rsid w:val="007F6E7A"/>
    <w:rsid w:val="007F6FBF"/>
    <w:rsid w:val="007F7072"/>
    <w:rsid w:val="007F7397"/>
    <w:rsid w:val="007F7559"/>
    <w:rsid w:val="007F7925"/>
    <w:rsid w:val="007F79AA"/>
    <w:rsid w:val="007F7D45"/>
    <w:rsid w:val="007F7D68"/>
    <w:rsid w:val="00800038"/>
    <w:rsid w:val="00800055"/>
    <w:rsid w:val="00800AE6"/>
    <w:rsid w:val="00800E5A"/>
    <w:rsid w:val="00800EA4"/>
    <w:rsid w:val="00800FE1"/>
    <w:rsid w:val="00801328"/>
    <w:rsid w:val="008019D7"/>
    <w:rsid w:val="00801AE3"/>
    <w:rsid w:val="00801BD3"/>
    <w:rsid w:val="00801FDC"/>
    <w:rsid w:val="00801FE0"/>
    <w:rsid w:val="0080204D"/>
    <w:rsid w:val="008020C8"/>
    <w:rsid w:val="008022D3"/>
    <w:rsid w:val="008024E5"/>
    <w:rsid w:val="008025AD"/>
    <w:rsid w:val="0080287F"/>
    <w:rsid w:val="008028EE"/>
    <w:rsid w:val="00803377"/>
    <w:rsid w:val="00803644"/>
    <w:rsid w:val="00803A21"/>
    <w:rsid w:val="00803AB0"/>
    <w:rsid w:val="00803CF3"/>
    <w:rsid w:val="00803FFD"/>
    <w:rsid w:val="0080401E"/>
    <w:rsid w:val="008040DE"/>
    <w:rsid w:val="0080483F"/>
    <w:rsid w:val="00804924"/>
    <w:rsid w:val="00804EC6"/>
    <w:rsid w:val="0080540B"/>
    <w:rsid w:val="0080573F"/>
    <w:rsid w:val="00805EF7"/>
    <w:rsid w:val="00806039"/>
    <w:rsid w:val="0080611D"/>
    <w:rsid w:val="008062D2"/>
    <w:rsid w:val="00806518"/>
    <w:rsid w:val="00806733"/>
    <w:rsid w:val="008068A8"/>
    <w:rsid w:val="008073EC"/>
    <w:rsid w:val="008077CF"/>
    <w:rsid w:val="00807903"/>
    <w:rsid w:val="008079B5"/>
    <w:rsid w:val="00807B99"/>
    <w:rsid w:val="00807FD2"/>
    <w:rsid w:val="008101D4"/>
    <w:rsid w:val="0081040E"/>
    <w:rsid w:val="008108E6"/>
    <w:rsid w:val="00810D1D"/>
    <w:rsid w:val="00810F7A"/>
    <w:rsid w:val="00811125"/>
    <w:rsid w:val="0081178E"/>
    <w:rsid w:val="00812244"/>
    <w:rsid w:val="00812923"/>
    <w:rsid w:val="00812E1E"/>
    <w:rsid w:val="0081327E"/>
    <w:rsid w:val="00813522"/>
    <w:rsid w:val="0081409D"/>
    <w:rsid w:val="008140D7"/>
    <w:rsid w:val="0081412C"/>
    <w:rsid w:val="00814772"/>
    <w:rsid w:val="008148A7"/>
    <w:rsid w:val="00815484"/>
    <w:rsid w:val="008154B4"/>
    <w:rsid w:val="008154E2"/>
    <w:rsid w:val="008157C0"/>
    <w:rsid w:val="00815CE7"/>
    <w:rsid w:val="00816204"/>
    <w:rsid w:val="008167DF"/>
    <w:rsid w:val="008169E2"/>
    <w:rsid w:val="00816B84"/>
    <w:rsid w:val="00816B99"/>
    <w:rsid w:val="00816BDE"/>
    <w:rsid w:val="00816C42"/>
    <w:rsid w:val="008172B3"/>
    <w:rsid w:val="008173EE"/>
    <w:rsid w:val="008174EA"/>
    <w:rsid w:val="0081750F"/>
    <w:rsid w:val="00817539"/>
    <w:rsid w:val="008177B0"/>
    <w:rsid w:val="008178FB"/>
    <w:rsid w:val="00817A76"/>
    <w:rsid w:val="00817B57"/>
    <w:rsid w:val="00817B78"/>
    <w:rsid w:val="008200CB"/>
    <w:rsid w:val="0082020D"/>
    <w:rsid w:val="008207E0"/>
    <w:rsid w:val="00820811"/>
    <w:rsid w:val="00820915"/>
    <w:rsid w:val="008209DF"/>
    <w:rsid w:val="00820A4C"/>
    <w:rsid w:val="00820A4D"/>
    <w:rsid w:val="00820BF1"/>
    <w:rsid w:val="00820DBF"/>
    <w:rsid w:val="00820F11"/>
    <w:rsid w:val="00821602"/>
    <w:rsid w:val="008218F0"/>
    <w:rsid w:val="00821A9F"/>
    <w:rsid w:val="00821AAF"/>
    <w:rsid w:val="00821D52"/>
    <w:rsid w:val="0082202B"/>
    <w:rsid w:val="0082224F"/>
    <w:rsid w:val="0082249C"/>
    <w:rsid w:val="00822552"/>
    <w:rsid w:val="00822561"/>
    <w:rsid w:val="00822566"/>
    <w:rsid w:val="0082266A"/>
    <w:rsid w:val="008228DC"/>
    <w:rsid w:val="00822AA1"/>
    <w:rsid w:val="00822F60"/>
    <w:rsid w:val="00823034"/>
    <w:rsid w:val="00823292"/>
    <w:rsid w:val="008237AB"/>
    <w:rsid w:val="00823AA6"/>
    <w:rsid w:val="0082476B"/>
    <w:rsid w:val="00824864"/>
    <w:rsid w:val="00824E7D"/>
    <w:rsid w:val="008251BC"/>
    <w:rsid w:val="00825663"/>
    <w:rsid w:val="008257DA"/>
    <w:rsid w:val="00825DB9"/>
    <w:rsid w:val="00825F2E"/>
    <w:rsid w:val="008261A7"/>
    <w:rsid w:val="0082665D"/>
    <w:rsid w:val="00826B43"/>
    <w:rsid w:val="00826D9C"/>
    <w:rsid w:val="00826EB5"/>
    <w:rsid w:val="0082700D"/>
    <w:rsid w:val="00827137"/>
    <w:rsid w:val="0082742B"/>
    <w:rsid w:val="0082790F"/>
    <w:rsid w:val="00827A46"/>
    <w:rsid w:val="00827B37"/>
    <w:rsid w:val="00830277"/>
    <w:rsid w:val="00830676"/>
    <w:rsid w:val="008308F1"/>
    <w:rsid w:val="00830964"/>
    <w:rsid w:val="008309F3"/>
    <w:rsid w:val="00830AFA"/>
    <w:rsid w:val="00830C9F"/>
    <w:rsid w:val="00830D27"/>
    <w:rsid w:val="00830DBD"/>
    <w:rsid w:val="00830F80"/>
    <w:rsid w:val="00830FCC"/>
    <w:rsid w:val="00831063"/>
    <w:rsid w:val="00831412"/>
    <w:rsid w:val="008314BE"/>
    <w:rsid w:val="00831658"/>
    <w:rsid w:val="008316E5"/>
    <w:rsid w:val="00831BB9"/>
    <w:rsid w:val="00831BCB"/>
    <w:rsid w:val="00831E4E"/>
    <w:rsid w:val="00831FAB"/>
    <w:rsid w:val="00832325"/>
    <w:rsid w:val="00832440"/>
    <w:rsid w:val="00832543"/>
    <w:rsid w:val="00832610"/>
    <w:rsid w:val="00832B5D"/>
    <w:rsid w:val="00832C34"/>
    <w:rsid w:val="00832C75"/>
    <w:rsid w:val="00832F68"/>
    <w:rsid w:val="00833076"/>
    <w:rsid w:val="00833207"/>
    <w:rsid w:val="00833582"/>
    <w:rsid w:val="00833608"/>
    <w:rsid w:val="00833626"/>
    <w:rsid w:val="00833850"/>
    <w:rsid w:val="0083394F"/>
    <w:rsid w:val="00833B92"/>
    <w:rsid w:val="00833D05"/>
    <w:rsid w:val="00833D17"/>
    <w:rsid w:val="00833E7A"/>
    <w:rsid w:val="00833E94"/>
    <w:rsid w:val="0083416E"/>
    <w:rsid w:val="00834226"/>
    <w:rsid w:val="00834550"/>
    <w:rsid w:val="00834651"/>
    <w:rsid w:val="00834D07"/>
    <w:rsid w:val="008356BB"/>
    <w:rsid w:val="00835790"/>
    <w:rsid w:val="008358B3"/>
    <w:rsid w:val="00835904"/>
    <w:rsid w:val="00835AEE"/>
    <w:rsid w:val="00835C43"/>
    <w:rsid w:val="00835CF1"/>
    <w:rsid w:val="00835F9B"/>
    <w:rsid w:val="0083667F"/>
    <w:rsid w:val="00836736"/>
    <w:rsid w:val="00836941"/>
    <w:rsid w:val="008369B1"/>
    <w:rsid w:val="0083734F"/>
    <w:rsid w:val="0083745F"/>
    <w:rsid w:val="00837760"/>
    <w:rsid w:val="00837CBB"/>
    <w:rsid w:val="00837D4D"/>
    <w:rsid w:val="00837DBF"/>
    <w:rsid w:val="00837DD3"/>
    <w:rsid w:val="00837F4C"/>
    <w:rsid w:val="00837FAA"/>
    <w:rsid w:val="00840055"/>
    <w:rsid w:val="00840083"/>
    <w:rsid w:val="00840118"/>
    <w:rsid w:val="00840429"/>
    <w:rsid w:val="00840FD1"/>
    <w:rsid w:val="00841142"/>
    <w:rsid w:val="00841288"/>
    <w:rsid w:val="0084157B"/>
    <w:rsid w:val="00841B7D"/>
    <w:rsid w:val="0084216B"/>
    <w:rsid w:val="008421D7"/>
    <w:rsid w:val="0084223B"/>
    <w:rsid w:val="0084255C"/>
    <w:rsid w:val="0084264E"/>
    <w:rsid w:val="00842B6D"/>
    <w:rsid w:val="00842B72"/>
    <w:rsid w:val="00843160"/>
    <w:rsid w:val="008433A1"/>
    <w:rsid w:val="00843506"/>
    <w:rsid w:val="0084357B"/>
    <w:rsid w:val="00843ECC"/>
    <w:rsid w:val="00844072"/>
    <w:rsid w:val="0084439D"/>
    <w:rsid w:val="00844965"/>
    <w:rsid w:val="00844F75"/>
    <w:rsid w:val="008450F8"/>
    <w:rsid w:val="00845462"/>
    <w:rsid w:val="008454EB"/>
    <w:rsid w:val="008456EF"/>
    <w:rsid w:val="00845ADB"/>
    <w:rsid w:val="00846196"/>
    <w:rsid w:val="00846378"/>
    <w:rsid w:val="0084645B"/>
    <w:rsid w:val="008464F6"/>
    <w:rsid w:val="008465FE"/>
    <w:rsid w:val="00846790"/>
    <w:rsid w:val="008468CA"/>
    <w:rsid w:val="00846B38"/>
    <w:rsid w:val="00846BE3"/>
    <w:rsid w:val="00846C34"/>
    <w:rsid w:val="00847C44"/>
    <w:rsid w:val="00847D58"/>
    <w:rsid w:val="00850026"/>
    <w:rsid w:val="008502E8"/>
    <w:rsid w:val="008504F0"/>
    <w:rsid w:val="0085053E"/>
    <w:rsid w:val="00850757"/>
    <w:rsid w:val="0085088F"/>
    <w:rsid w:val="008508D2"/>
    <w:rsid w:val="00850969"/>
    <w:rsid w:val="00850B2D"/>
    <w:rsid w:val="00850C64"/>
    <w:rsid w:val="00850E2C"/>
    <w:rsid w:val="00850EEF"/>
    <w:rsid w:val="00851176"/>
    <w:rsid w:val="008511A0"/>
    <w:rsid w:val="008512C3"/>
    <w:rsid w:val="008513AB"/>
    <w:rsid w:val="008513B4"/>
    <w:rsid w:val="00851462"/>
    <w:rsid w:val="00851708"/>
    <w:rsid w:val="0085189C"/>
    <w:rsid w:val="00851EFD"/>
    <w:rsid w:val="008521B1"/>
    <w:rsid w:val="008524A6"/>
    <w:rsid w:val="00852602"/>
    <w:rsid w:val="008527B9"/>
    <w:rsid w:val="008528E6"/>
    <w:rsid w:val="00852A97"/>
    <w:rsid w:val="00852AFA"/>
    <w:rsid w:val="00852C21"/>
    <w:rsid w:val="008534CD"/>
    <w:rsid w:val="0085366E"/>
    <w:rsid w:val="00853A99"/>
    <w:rsid w:val="008540CD"/>
    <w:rsid w:val="00854137"/>
    <w:rsid w:val="00854348"/>
    <w:rsid w:val="00854386"/>
    <w:rsid w:val="008544F4"/>
    <w:rsid w:val="00854548"/>
    <w:rsid w:val="00854EA4"/>
    <w:rsid w:val="00854F5A"/>
    <w:rsid w:val="0085501A"/>
    <w:rsid w:val="0085537D"/>
    <w:rsid w:val="00855B0F"/>
    <w:rsid w:val="00855EA7"/>
    <w:rsid w:val="00855EBC"/>
    <w:rsid w:val="0085639A"/>
    <w:rsid w:val="00856424"/>
    <w:rsid w:val="0085653B"/>
    <w:rsid w:val="00856910"/>
    <w:rsid w:val="00856ECB"/>
    <w:rsid w:val="00856F35"/>
    <w:rsid w:val="008573F1"/>
    <w:rsid w:val="00857559"/>
    <w:rsid w:val="008575F9"/>
    <w:rsid w:val="008578E6"/>
    <w:rsid w:val="00857ABD"/>
    <w:rsid w:val="00857DB9"/>
    <w:rsid w:val="00857E71"/>
    <w:rsid w:val="00857E81"/>
    <w:rsid w:val="00857FB7"/>
    <w:rsid w:val="00860146"/>
    <w:rsid w:val="00860158"/>
    <w:rsid w:val="008601CF"/>
    <w:rsid w:val="008603F2"/>
    <w:rsid w:val="00860E47"/>
    <w:rsid w:val="00860F11"/>
    <w:rsid w:val="008610C1"/>
    <w:rsid w:val="008613DC"/>
    <w:rsid w:val="0086190C"/>
    <w:rsid w:val="008619C6"/>
    <w:rsid w:val="008622BC"/>
    <w:rsid w:val="0086232B"/>
    <w:rsid w:val="0086254E"/>
    <w:rsid w:val="008626F0"/>
    <w:rsid w:val="00862777"/>
    <w:rsid w:val="008627A7"/>
    <w:rsid w:val="00862890"/>
    <w:rsid w:val="00862A08"/>
    <w:rsid w:val="00862B73"/>
    <w:rsid w:val="00862BC9"/>
    <w:rsid w:val="00862C9E"/>
    <w:rsid w:val="00862CA8"/>
    <w:rsid w:val="00862E3F"/>
    <w:rsid w:val="00863187"/>
    <w:rsid w:val="008631D8"/>
    <w:rsid w:val="00863247"/>
    <w:rsid w:val="00863429"/>
    <w:rsid w:val="0086375F"/>
    <w:rsid w:val="00863BE3"/>
    <w:rsid w:val="00863BF6"/>
    <w:rsid w:val="0086420D"/>
    <w:rsid w:val="008646A3"/>
    <w:rsid w:val="0086470E"/>
    <w:rsid w:val="00864926"/>
    <w:rsid w:val="00864A54"/>
    <w:rsid w:val="00864BF8"/>
    <w:rsid w:val="00864C58"/>
    <w:rsid w:val="00864CCE"/>
    <w:rsid w:val="00864EEB"/>
    <w:rsid w:val="00864EF4"/>
    <w:rsid w:val="0086527E"/>
    <w:rsid w:val="008652B5"/>
    <w:rsid w:val="008654CB"/>
    <w:rsid w:val="0086576B"/>
    <w:rsid w:val="008659BF"/>
    <w:rsid w:val="00865D4A"/>
    <w:rsid w:val="00865F1F"/>
    <w:rsid w:val="00865F3C"/>
    <w:rsid w:val="00865FD4"/>
    <w:rsid w:val="0086685A"/>
    <w:rsid w:val="00866B3D"/>
    <w:rsid w:val="00866B9B"/>
    <w:rsid w:val="00866BAE"/>
    <w:rsid w:val="00866FA7"/>
    <w:rsid w:val="00867093"/>
    <w:rsid w:val="0086711E"/>
    <w:rsid w:val="008671ED"/>
    <w:rsid w:val="00867810"/>
    <w:rsid w:val="008678E3"/>
    <w:rsid w:val="00870026"/>
    <w:rsid w:val="00870488"/>
    <w:rsid w:val="008705B3"/>
    <w:rsid w:val="0087064F"/>
    <w:rsid w:val="00870868"/>
    <w:rsid w:val="00870882"/>
    <w:rsid w:val="008708FC"/>
    <w:rsid w:val="008709E5"/>
    <w:rsid w:val="00870B39"/>
    <w:rsid w:val="00870F65"/>
    <w:rsid w:val="00871189"/>
    <w:rsid w:val="008711F8"/>
    <w:rsid w:val="0087125A"/>
    <w:rsid w:val="0087125E"/>
    <w:rsid w:val="008713A8"/>
    <w:rsid w:val="0087165E"/>
    <w:rsid w:val="00871C27"/>
    <w:rsid w:val="00871DDC"/>
    <w:rsid w:val="008720A5"/>
    <w:rsid w:val="00872664"/>
    <w:rsid w:val="00873200"/>
    <w:rsid w:val="00873642"/>
    <w:rsid w:val="0087396F"/>
    <w:rsid w:val="00873B40"/>
    <w:rsid w:val="0087404E"/>
    <w:rsid w:val="00874366"/>
    <w:rsid w:val="008744E2"/>
    <w:rsid w:val="00874A30"/>
    <w:rsid w:val="00874A48"/>
    <w:rsid w:val="00874AB2"/>
    <w:rsid w:val="00874D64"/>
    <w:rsid w:val="00874EAA"/>
    <w:rsid w:val="00874F68"/>
    <w:rsid w:val="00875438"/>
    <w:rsid w:val="00875A4F"/>
    <w:rsid w:val="00875B2E"/>
    <w:rsid w:val="00875C31"/>
    <w:rsid w:val="008763F0"/>
    <w:rsid w:val="00876BA1"/>
    <w:rsid w:val="00876C3F"/>
    <w:rsid w:val="00877013"/>
    <w:rsid w:val="008773EE"/>
    <w:rsid w:val="008776FE"/>
    <w:rsid w:val="008803E1"/>
    <w:rsid w:val="008805D1"/>
    <w:rsid w:val="00880BA8"/>
    <w:rsid w:val="008810E3"/>
    <w:rsid w:val="00881211"/>
    <w:rsid w:val="00881381"/>
    <w:rsid w:val="008813F9"/>
    <w:rsid w:val="00881709"/>
    <w:rsid w:val="008817C0"/>
    <w:rsid w:val="00881802"/>
    <w:rsid w:val="00881D16"/>
    <w:rsid w:val="00881DB3"/>
    <w:rsid w:val="00881E77"/>
    <w:rsid w:val="00882196"/>
    <w:rsid w:val="008828E4"/>
    <w:rsid w:val="00882DDF"/>
    <w:rsid w:val="0088307A"/>
    <w:rsid w:val="008831C6"/>
    <w:rsid w:val="008832C0"/>
    <w:rsid w:val="00883547"/>
    <w:rsid w:val="008836C2"/>
    <w:rsid w:val="008838E4"/>
    <w:rsid w:val="00883B3F"/>
    <w:rsid w:val="00883F09"/>
    <w:rsid w:val="00883F6C"/>
    <w:rsid w:val="008844DF"/>
    <w:rsid w:val="00884515"/>
    <w:rsid w:val="008846FE"/>
    <w:rsid w:val="00884817"/>
    <w:rsid w:val="00884833"/>
    <w:rsid w:val="00884D21"/>
    <w:rsid w:val="008851B2"/>
    <w:rsid w:val="008853C0"/>
    <w:rsid w:val="00885671"/>
    <w:rsid w:val="008857F6"/>
    <w:rsid w:val="00885949"/>
    <w:rsid w:val="008859FA"/>
    <w:rsid w:val="00885D27"/>
    <w:rsid w:val="00885D37"/>
    <w:rsid w:val="00885E16"/>
    <w:rsid w:val="00886420"/>
    <w:rsid w:val="008869E1"/>
    <w:rsid w:val="00886A52"/>
    <w:rsid w:val="00886B75"/>
    <w:rsid w:val="00886ECD"/>
    <w:rsid w:val="00886EE0"/>
    <w:rsid w:val="00887070"/>
    <w:rsid w:val="008872EF"/>
    <w:rsid w:val="0088736E"/>
    <w:rsid w:val="008873D6"/>
    <w:rsid w:val="00887765"/>
    <w:rsid w:val="00887B5A"/>
    <w:rsid w:val="00887C50"/>
    <w:rsid w:val="00887DDE"/>
    <w:rsid w:val="00887E25"/>
    <w:rsid w:val="008900C0"/>
    <w:rsid w:val="00890247"/>
    <w:rsid w:val="008902BF"/>
    <w:rsid w:val="0089034F"/>
    <w:rsid w:val="0089048E"/>
    <w:rsid w:val="008904C8"/>
    <w:rsid w:val="0089095B"/>
    <w:rsid w:val="00890966"/>
    <w:rsid w:val="00890AD2"/>
    <w:rsid w:val="00890DE9"/>
    <w:rsid w:val="00891526"/>
    <w:rsid w:val="00891703"/>
    <w:rsid w:val="00891849"/>
    <w:rsid w:val="0089189E"/>
    <w:rsid w:val="00891A1C"/>
    <w:rsid w:val="00891D4E"/>
    <w:rsid w:val="00892194"/>
    <w:rsid w:val="008923BD"/>
    <w:rsid w:val="00892538"/>
    <w:rsid w:val="0089253A"/>
    <w:rsid w:val="00892B32"/>
    <w:rsid w:val="00892D08"/>
    <w:rsid w:val="00893055"/>
    <w:rsid w:val="008932A0"/>
    <w:rsid w:val="00893412"/>
    <w:rsid w:val="00893935"/>
    <w:rsid w:val="00893A63"/>
    <w:rsid w:val="00893D5C"/>
    <w:rsid w:val="00893D81"/>
    <w:rsid w:val="00893F7B"/>
    <w:rsid w:val="0089401F"/>
    <w:rsid w:val="00894104"/>
    <w:rsid w:val="00894880"/>
    <w:rsid w:val="00894CA5"/>
    <w:rsid w:val="008950A9"/>
    <w:rsid w:val="0089515E"/>
    <w:rsid w:val="00895361"/>
    <w:rsid w:val="0089542D"/>
    <w:rsid w:val="008955D6"/>
    <w:rsid w:val="00895774"/>
    <w:rsid w:val="00895825"/>
    <w:rsid w:val="00895930"/>
    <w:rsid w:val="00895A83"/>
    <w:rsid w:val="00895C2B"/>
    <w:rsid w:val="00895C7A"/>
    <w:rsid w:val="00895D39"/>
    <w:rsid w:val="00895F7F"/>
    <w:rsid w:val="008960F9"/>
    <w:rsid w:val="008961B5"/>
    <w:rsid w:val="00896788"/>
    <w:rsid w:val="00896968"/>
    <w:rsid w:val="008969B7"/>
    <w:rsid w:val="00896A84"/>
    <w:rsid w:val="00896A91"/>
    <w:rsid w:val="00896C19"/>
    <w:rsid w:val="008970BB"/>
    <w:rsid w:val="00897741"/>
    <w:rsid w:val="008977C0"/>
    <w:rsid w:val="00897970"/>
    <w:rsid w:val="00897A58"/>
    <w:rsid w:val="00897B49"/>
    <w:rsid w:val="00897D70"/>
    <w:rsid w:val="00897F1B"/>
    <w:rsid w:val="00897FCE"/>
    <w:rsid w:val="008A0243"/>
    <w:rsid w:val="008A073E"/>
    <w:rsid w:val="008A0AF9"/>
    <w:rsid w:val="008A0CE0"/>
    <w:rsid w:val="008A1092"/>
    <w:rsid w:val="008A153A"/>
    <w:rsid w:val="008A17B6"/>
    <w:rsid w:val="008A17E3"/>
    <w:rsid w:val="008A1834"/>
    <w:rsid w:val="008A1DE2"/>
    <w:rsid w:val="008A279A"/>
    <w:rsid w:val="008A2AB4"/>
    <w:rsid w:val="008A2BE8"/>
    <w:rsid w:val="008A2CD4"/>
    <w:rsid w:val="008A3031"/>
    <w:rsid w:val="008A372C"/>
    <w:rsid w:val="008A382F"/>
    <w:rsid w:val="008A3891"/>
    <w:rsid w:val="008A412D"/>
    <w:rsid w:val="008A4184"/>
    <w:rsid w:val="008A43A2"/>
    <w:rsid w:val="008A4573"/>
    <w:rsid w:val="008A488A"/>
    <w:rsid w:val="008A4993"/>
    <w:rsid w:val="008A49CB"/>
    <w:rsid w:val="008A5050"/>
    <w:rsid w:val="008A5325"/>
    <w:rsid w:val="008A5599"/>
    <w:rsid w:val="008A5EAD"/>
    <w:rsid w:val="008A6630"/>
    <w:rsid w:val="008A6ADE"/>
    <w:rsid w:val="008A6AFF"/>
    <w:rsid w:val="008A6E45"/>
    <w:rsid w:val="008A6F7E"/>
    <w:rsid w:val="008A6F8D"/>
    <w:rsid w:val="008A703D"/>
    <w:rsid w:val="008A7191"/>
    <w:rsid w:val="008A73F9"/>
    <w:rsid w:val="008A762F"/>
    <w:rsid w:val="008A7A69"/>
    <w:rsid w:val="008A7AF1"/>
    <w:rsid w:val="008A7FA4"/>
    <w:rsid w:val="008B01DC"/>
    <w:rsid w:val="008B01E8"/>
    <w:rsid w:val="008B045F"/>
    <w:rsid w:val="008B0691"/>
    <w:rsid w:val="008B08A0"/>
    <w:rsid w:val="008B0AE4"/>
    <w:rsid w:val="008B0AFA"/>
    <w:rsid w:val="008B0BB1"/>
    <w:rsid w:val="008B0C02"/>
    <w:rsid w:val="008B0E23"/>
    <w:rsid w:val="008B0FF6"/>
    <w:rsid w:val="008B136D"/>
    <w:rsid w:val="008B136E"/>
    <w:rsid w:val="008B14CB"/>
    <w:rsid w:val="008B1859"/>
    <w:rsid w:val="008B1A52"/>
    <w:rsid w:val="008B1AAE"/>
    <w:rsid w:val="008B1F82"/>
    <w:rsid w:val="008B210F"/>
    <w:rsid w:val="008B21A1"/>
    <w:rsid w:val="008B232D"/>
    <w:rsid w:val="008B23A4"/>
    <w:rsid w:val="008B266B"/>
    <w:rsid w:val="008B3096"/>
    <w:rsid w:val="008B3810"/>
    <w:rsid w:val="008B39BE"/>
    <w:rsid w:val="008B39C9"/>
    <w:rsid w:val="008B39F4"/>
    <w:rsid w:val="008B43A1"/>
    <w:rsid w:val="008B43C9"/>
    <w:rsid w:val="008B48CF"/>
    <w:rsid w:val="008B4B34"/>
    <w:rsid w:val="008B4F64"/>
    <w:rsid w:val="008B5100"/>
    <w:rsid w:val="008B513D"/>
    <w:rsid w:val="008B513F"/>
    <w:rsid w:val="008B51DE"/>
    <w:rsid w:val="008B56DF"/>
    <w:rsid w:val="008B5822"/>
    <w:rsid w:val="008B598A"/>
    <w:rsid w:val="008B6148"/>
    <w:rsid w:val="008B6298"/>
    <w:rsid w:val="008B6325"/>
    <w:rsid w:val="008B63E2"/>
    <w:rsid w:val="008B6513"/>
    <w:rsid w:val="008B656F"/>
    <w:rsid w:val="008B6EC9"/>
    <w:rsid w:val="008B70EA"/>
    <w:rsid w:val="008B72E6"/>
    <w:rsid w:val="008B74AF"/>
    <w:rsid w:val="008B7833"/>
    <w:rsid w:val="008B7840"/>
    <w:rsid w:val="008B7B0E"/>
    <w:rsid w:val="008B7D21"/>
    <w:rsid w:val="008B7F8B"/>
    <w:rsid w:val="008C02ED"/>
    <w:rsid w:val="008C03FB"/>
    <w:rsid w:val="008C049E"/>
    <w:rsid w:val="008C0716"/>
    <w:rsid w:val="008C0751"/>
    <w:rsid w:val="008C08FA"/>
    <w:rsid w:val="008C0AD0"/>
    <w:rsid w:val="008C0BEC"/>
    <w:rsid w:val="008C0C59"/>
    <w:rsid w:val="008C11F4"/>
    <w:rsid w:val="008C13DA"/>
    <w:rsid w:val="008C209C"/>
    <w:rsid w:val="008C2100"/>
    <w:rsid w:val="008C261D"/>
    <w:rsid w:val="008C2C04"/>
    <w:rsid w:val="008C2DCE"/>
    <w:rsid w:val="008C2EF2"/>
    <w:rsid w:val="008C2FE6"/>
    <w:rsid w:val="008C33CC"/>
    <w:rsid w:val="008C3898"/>
    <w:rsid w:val="008C3EF3"/>
    <w:rsid w:val="008C3F3E"/>
    <w:rsid w:val="008C4181"/>
    <w:rsid w:val="008C42C2"/>
    <w:rsid w:val="008C43B1"/>
    <w:rsid w:val="008C4BBF"/>
    <w:rsid w:val="008C5725"/>
    <w:rsid w:val="008C5863"/>
    <w:rsid w:val="008C5890"/>
    <w:rsid w:val="008C58A1"/>
    <w:rsid w:val="008C5FA6"/>
    <w:rsid w:val="008C606D"/>
    <w:rsid w:val="008C64D3"/>
    <w:rsid w:val="008C696C"/>
    <w:rsid w:val="008C6B04"/>
    <w:rsid w:val="008C6D11"/>
    <w:rsid w:val="008C6D29"/>
    <w:rsid w:val="008C707A"/>
    <w:rsid w:val="008C710F"/>
    <w:rsid w:val="008C718B"/>
    <w:rsid w:val="008C7264"/>
    <w:rsid w:val="008C735A"/>
    <w:rsid w:val="008C7451"/>
    <w:rsid w:val="008C74B2"/>
    <w:rsid w:val="008C7B81"/>
    <w:rsid w:val="008C7D7E"/>
    <w:rsid w:val="008C7F06"/>
    <w:rsid w:val="008D0010"/>
    <w:rsid w:val="008D0127"/>
    <w:rsid w:val="008D08AC"/>
    <w:rsid w:val="008D0ADE"/>
    <w:rsid w:val="008D0C38"/>
    <w:rsid w:val="008D0CC9"/>
    <w:rsid w:val="008D0D0A"/>
    <w:rsid w:val="008D1084"/>
    <w:rsid w:val="008D14B2"/>
    <w:rsid w:val="008D164F"/>
    <w:rsid w:val="008D1A7F"/>
    <w:rsid w:val="008D1AA5"/>
    <w:rsid w:val="008D1C11"/>
    <w:rsid w:val="008D1CEF"/>
    <w:rsid w:val="008D1D45"/>
    <w:rsid w:val="008D1E64"/>
    <w:rsid w:val="008D1EDA"/>
    <w:rsid w:val="008D1F16"/>
    <w:rsid w:val="008D1F2F"/>
    <w:rsid w:val="008D1FAF"/>
    <w:rsid w:val="008D2073"/>
    <w:rsid w:val="008D234A"/>
    <w:rsid w:val="008D2DAF"/>
    <w:rsid w:val="008D2EA5"/>
    <w:rsid w:val="008D30DA"/>
    <w:rsid w:val="008D3303"/>
    <w:rsid w:val="008D37A1"/>
    <w:rsid w:val="008D3897"/>
    <w:rsid w:val="008D393D"/>
    <w:rsid w:val="008D3C2B"/>
    <w:rsid w:val="008D3E22"/>
    <w:rsid w:val="008D3F56"/>
    <w:rsid w:val="008D4047"/>
    <w:rsid w:val="008D42F3"/>
    <w:rsid w:val="008D442E"/>
    <w:rsid w:val="008D4653"/>
    <w:rsid w:val="008D4C03"/>
    <w:rsid w:val="008D5675"/>
    <w:rsid w:val="008D5690"/>
    <w:rsid w:val="008D5A3A"/>
    <w:rsid w:val="008D5AF2"/>
    <w:rsid w:val="008D6007"/>
    <w:rsid w:val="008D623F"/>
    <w:rsid w:val="008D646B"/>
    <w:rsid w:val="008D6B7E"/>
    <w:rsid w:val="008D6FDC"/>
    <w:rsid w:val="008D78F6"/>
    <w:rsid w:val="008D795C"/>
    <w:rsid w:val="008D7971"/>
    <w:rsid w:val="008D7A35"/>
    <w:rsid w:val="008D7DAE"/>
    <w:rsid w:val="008E020A"/>
    <w:rsid w:val="008E02D4"/>
    <w:rsid w:val="008E0575"/>
    <w:rsid w:val="008E05BE"/>
    <w:rsid w:val="008E06C0"/>
    <w:rsid w:val="008E07B3"/>
    <w:rsid w:val="008E07DE"/>
    <w:rsid w:val="008E0A2B"/>
    <w:rsid w:val="008E0A5C"/>
    <w:rsid w:val="008E0ADD"/>
    <w:rsid w:val="008E0C85"/>
    <w:rsid w:val="008E0EED"/>
    <w:rsid w:val="008E108B"/>
    <w:rsid w:val="008E181F"/>
    <w:rsid w:val="008E186C"/>
    <w:rsid w:val="008E1A17"/>
    <w:rsid w:val="008E1A79"/>
    <w:rsid w:val="008E1ADE"/>
    <w:rsid w:val="008E1D34"/>
    <w:rsid w:val="008E2231"/>
    <w:rsid w:val="008E267C"/>
    <w:rsid w:val="008E26B2"/>
    <w:rsid w:val="008E2905"/>
    <w:rsid w:val="008E2FF5"/>
    <w:rsid w:val="008E3430"/>
    <w:rsid w:val="008E3975"/>
    <w:rsid w:val="008E398B"/>
    <w:rsid w:val="008E3C22"/>
    <w:rsid w:val="008E3D3D"/>
    <w:rsid w:val="008E3F28"/>
    <w:rsid w:val="008E44CA"/>
    <w:rsid w:val="008E4511"/>
    <w:rsid w:val="008E45FD"/>
    <w:rsid w:val="008E4936"/>
    <w:rsid w:val="008E4B3C"/>
    <w:rsid w:val="008E4BFA"/>
    <w:rsid w:val="008E4E58"/>
    <w:rsid w:val="008E5144"/>
    <w:rsid w:val="008E54B0"/>
    <w:rsid w:val="008E5A6D"/>
    <w:rsid w:val="008E5C56"/>
    <w:rsid w:val="008E5C66"/>
    <w:rsid w:val="008E5FE8"/>
    <w:rsid w:val="008E6298"/>
    <w:rsid w:val="008E65E8"/>
    <w:rsid w:val="008E6C9C"/>
    <w:rsid w:val="008E6D14"/>
    <w:rsid w:val="008E7178"/>
    <w:rsid w:val="008E74CD"/>
    <w:rsid w:val="008E75B5"/>
    <w:rsid w:val="008E75EB"/>
    <w:rsid w:val="008E7E0D"/>
    <w:rsid w:val="008E7F28"/>
    <w:rsid w:val="008F06A4"/>
    <w:rsid w:val="008F09DF"/>
    <w:rsid w:val="008F0BC5"/>
    <w:rsid w:val="008F0D23"/>
    <w:rsid w:val="008F0E25"/>
    <w:rsid w:val="008F0F1D"/>
    <w:rsid w:val="008F0FB8"/>
    <w:rsid w:val="008F1067"/>
    <w:rsid w:val="008F1191"/>
    <w:rsid w:val="008F120C"/>
    <w:rsid w:val="008F1B74"/>
    <w:rsid w:val="008F1CA8"/>
    <w:rsid w:val="008F1CED"/>
    <w:rsid w:val="008F2231"/>
    <w:rsid w:val="008F2250"/>
    <w:rsid w:val="008F2518"/>
    <w:rsid w:val="008F279C"/>
    <w:rsid w:val="008F2D48"/>
    <w:rsid w:val="008F2DD2"/>
    <w:rsid w:val="008F32DF"/>
    <w:rsid w:val="008F36A2"/>
    <w:rsid w:val="008F38D0"/>
    <w:rsid w:val="008F38FD"/>
    <w:rsid w:val="008F39CF"/>
    <w:rsid w:val="008F3A08"/>
    <w:rsid w:val="008F3A95"/>
    <w:rsid w:val="008F3C6F"/>
    <w:rsid w:val="008F3F72"/>
    <w:rsid w:val="008F41A7"/>
    <w:rsid w:val="008F41C6"/>
    <w:rsid w:val="008F4754"/>
    <w:rsid w:val="008F4793"/>
    <w:rsid w:val="008F4876"/>
    <w:rsid w:val="008F4D20"/>
    <w:rsid w:val="008F5174"/>
    <w:rsid w:val="008F58B4"/>
    <w:rsid w:val="008F59A8"/>
    <w:rsid w:val="008F5F97"/>
    <w:rsid w:val="008F6175"/>
    <w:rsid w:val="008F63E1"/>
    <w:rsid w:val="008F649A"/>
    <w:rsid w:val="008F6698"/>
    <w:rsid w:val="008F6700"/>
    <w:rsid w:val="008F6A53"/>
    <w:rsid w:val="008F6B3F"/>
    <w:rsid w:val="008F7245"/>
    <w:rsid w:val="008F7555"/>
    <w:rsid w:val="008F75F7"/>
    <w:rsid w:val="008F7612"/>
    <w:rsid w:val="008F7911"/>
    <w:rsid w:val="008F7A1D"/>
    <w:rsid w:val="008F7FDB"/>
    <w:rsid w:val="0090040A"/>
    <w:rsid w:val="00900BFD"/>
    <w:rsid w:val="00900EBB"/>
    <w:rsid w:val="00901014"/>
    <w:rsid w:val="009012F6"/>
    <w:rsid w:val="00901449"/>
    <w:rsid w:val="0090177C"/>
    <w:rsid w:val="0090187C"/>
    <w:rsid w:val="00901BD8"/>
    <w:rsid w:val="00901D15"/>
    <w:rsid w:val="00901D78"/>
    <w:rsid w:val="00902057"/>
    <w:rsid w:val="009024F0"/>
    <w:rsid w:val="00902D43"/>
    <w:rsid w:val="00902DB6"/>
    <w:rsid w:val="00902F2A"/>
    <w:rsid w:val="00902F2E"/>
    <w:rsid w:val="0090316F"/>
    <w:rsid w:val="00903188"/>
    <w:rsid w:val="009036DC"/>
    <w:rsid w:val="00903915"/>
    <w:rsid w:val="009039BD"/>
    <w:rsid w:val="00903C55"/>
    <w:rsid w:val="00903C58"/>
    <w:rsid w:val="0090405E"/>
    <w:rsid w:val="0090407D"/>
    <w:rsid w:val="0090421C"/>
    <w:rsid w:val="009042A8"/>
    <w:rsid w:val="009044D2"/>
    <w:rsid w:val="00904778"/>
    <w:rsid w:val="009047CE"/>
    <w:rsid w:val="009048EF"/>
    <w:rsid w:val="00904E09"/>
    <w:rsid w:val="009054D6"/>
    <w:rsid w:val="00905898"/>
    <w:rsid w:val="00905C7E"/>
    <w:rsid w:val="009063B6"/>
    <w:rsid w:val="009064A2"/>
    <w:rsid w:val="00906713"/>
    <w:rsid w:val="00906B01"/>
    <w:rsid w:val="00906C59"/>
    <w:rsid w:val="00906D97"/>
    <w:rsid w:val="00907A40"/>
    <w:rsid w:val="00907B0A"/>
    <w:rsid w:val="00910319"/>
    <w:rsid w:val="0091042A"/>
    <w:rsid w:val="00910A44"/>
    <w:rsid w:val="00910B72"/>
    <w:rsid w:val="00910D70"/>
    <w:rsid w:val="00911279"/>
    <w:rsid w:val="00911917"/>
    <w:rsid w:val="00911A66"/>
    <w:rsid w:val="00911BC2"/>
    <w:rsid w:val="00911EAF"/>
    <w:rsid w:val="0091200A"/>
    <w:rsid w:val="00912125"/>
    <w:rsid w:val="0091245D"/>
    <w:rsid w:val="00912748"/>
    <w:rsid w:val="00912EF7"/>
    <w:rsid w:val="0091324C"/>
    <w:rsid w:val="0091372F"/>
    <w:rsid w:val="00913A5B"/>
    <w:rsid w:val="00913B7A"/>
    <w:rsid w:val="00913E09"/>
    <w:rsid w:val="0091436C"/>
    <w:rsid w:val="009147D1"/>
    <w:rsid w:val="009147DB"/>
    <w:rsid w:val="009147EB"/>
    <w:rsid w:val="00914B07"/>
    <w:rsid w:val="00914B4E"/>
    <w:rsid w:val="00914D28"/>
    <w:rsid w:val="00914DAB"/>
    <w:rsid w:val="0091554B"/>
    <w:rsid w:val="009156CF"/>
    <w:rsid w:val="00915807"/>
    <w:rsid w:val="00915AC8"/>
    <w:rsid w:val="00915BCD"/>
    <w:rsid w:val="00915D11"/>
    <w:rsid w:val="00916A1F"/>
    <w:rsid w:val="00916C7C"/>
    <w:rsid w:val="00916D3F"/>
    <w:rsid w:val="00916DEB"/>
    <w:rsid w:val="00916F7C"/>
    <w:rsid w:val="009172FA"/>
    <w:rsid w:val="0091759B"/>
    <w:rsid w:val="00917C3D"/>
    <w:rsid w:val="00917CE7"/>
    <w:rsid w:val="00917FE0"/>
    <w:rsid w:val="009205DD"/>
    <w:rsid w:val="00920672"/>
    <w:rsid w:val="00920C73"/>
    <w:rsid w:val="00920F41"/>
    <w:rsid w:val="00921016"/>
    <w:rsid w:val="0092198E"/>
    <w:rsid w:val="00921A7E"/>
    <w:rsid w:val="00921BA2"/>
    <w:rsid w:val="00921CCE"/>
    <w:rsid w:val="009220BD"/>
    <w:rsid w:val="0092255B"/>
    <w:rsid w:val="00922AF7"/>
    <w:rsid w:val="00922DDF"/>
    <w:rsid w:val="0092311A"/>
    <w:rsid w:val="0092331E"/>
    <w:rsid w:val="0092335B"/>
    <w:rsid w:val="00923791"/>
    <w:rsid w:val="009237CE"/>
    <w:rsid w:val="0092384C"/>
    <w:rsid w:val="009239C9"/>
    <w:rsid w:val="00923BEE"/>
    <w:rsid w:val="00923D91"/>
    <w:rsid w:val="00924042"/>
    <w:rsid w:val="00924070"/>
    <w:rsid w:val="0092422D"/>
    <w:rsid w:val="0092426B"/>
    <w:rsid w:val="0092428B"/>
    <w:rsid w:val="009246A5"/>
    <w:rsid w:val="00924744"/>
    <w:rsid w:val="009247F6"/>
    <w:rsid w:val="009248B3"/>
    <w:rsid w:val="00924C37"/>
    <w:rsid w:val="00924C86"/>
    <w:rsid w:val="00924D3D"/>
    <w:rsid w:val="00924D91"/>
    <w:rsid w:val="00924EB3"/>
    <w:rsid w:val="00925192"/>
    <w:rsid w:val="00925366"/>
    <w:rsid w:val="0092540E"/>
    <w:rsid w:val="00925460"/>
    <w:rsid w:val="0092566A"/>
    <w:rsid w:val="00925B31"/>
    <w:rsid w:val="00925B5A"/>
    <w:rsid w:val="00925B77"/>
    <w:rsid w:val="00925DA7"/>
    <w:rsid w:val="00925F78"/>
    <w:rsid w:val="00926103"/>
    <w:rsid w:val="00926233"/>
    <w:rsid w:val="00926664"/>
    <w:rsid w:val="00926843"/>
    <w:rsid w:val="00926AE9"/>
    <w:rsid w:val="00926D46"/>
    <w:rsid w:val="00926D4C"/>
    <w:rsid w:val="00926FBA"/>
    <w:rsid w:val="009272B1"/>
    <w:rsid w:val="00927646"/>
    <w:rsid w:val="0092789A"/>
    <w:rsid w:val="0092792A"/>
    <w:rsid w:val="00927A9F"/>
    <w:rsid w:val="00927BEE"/>
    <w:rsid w:val="00927CA7"/>
    <w:rsid w:val="00927D07"/>
    <w:rsid w:val="00927F89"/>
    <w:rsid w:val="0093004A"/>
    <w:rsid w:val="009300F1"/>
    <w:rsid w:val="00930174"/>
    <w:rsid w:val="009301FF"/>
    <w:rsid w:val="0093069F"/>
    <w:rsid w:val="00930780"/>
    <w:rsid w:val="00930883"/>
    <w:rsid w:val="00930C1E"/>
    <w:rsid w:val="00931F37"/>
    <w:rsid w:val="009321A7"/>
    <w:rsid w:val="00932D85"/>
    <w:rsid w:val="00932E27"/>
    <w:rsid w:val="00932E60"/>
    <w:rsid w:val="009331A1"/>
    <w:rsid w:val="00933323"/>
    <w:rsid w:val="009335DB"/>
    <w:rsid w:val="0093363D"/>
    <w:rsid w:val="0093381F"/>
    <w:rsid w:val="00933B9A"/>
    <w:rsid w:val="00933C44"/>
    <w:rsid w:val="00933C59"/>
    <w:rsid w:val="00933C76"/>
    <w:rsid w:val="0093416E"/>
    <w:rsid w:val="009344DD"/>
    <w:rsid w:val="009345E6"/>
    <w:rsid w:val="00934BE7"/>
    <w:rsid w:val="00934D22"/>
    <w:rsid w:val="00935089"/>
    <w:rsid w:val="009350DC"/>
    <w:rsid w:val="009355A3"/>
    <w:rsid w:val="009355C9"/>
    <w:rsid w:val="00935D62"/>
    <w:rsid w:val="009360A3"/>
    <w:rsid w:val="00936186"/>
    <w:rsid w:val="00936243"/>
    <w:rsid w:val="0093632F"/>
    <w:rsid w:val="009366C5"/>
    <w:rsid w:val="00936A43"/>
    <w:rsid w:val="00936C3B"/>
    <w:rsid w:val="00936DFB"/>
    <w:rsid w:val="00937038"/>
    <w:rsid w:val="00937311"/>
    <w:rsid w:val="00937494"/>
    <w:rsid w:val="00937543"/>
    <w:rsid w:val="009377EA"/>
    <w:rsid w:val="00937837"/>
    <w:rsid w:val="009378C6"/>
    <w:rsid w:val="00937919"/>
    <w:rsid w:val="009379F2"/>
    <w:rsid w:val="00937B84"/>
    <w:rsid w:val="00937CAE"/>
    <w:rsid w:val="0094084A"/>
    <w:rsid w:val="009408DA"/>
    <w:rsid w:val="00940973"/>
    <w:rsid w:val="00940B83"/>
    <w:rsid w:val="00940C7F"/>
    <w:rsid w:val="00940DAD"/>
    <w:rsid w:val="00940E39"/>
    <w:rsid w:val="00940F23"/>
    <w:rsid w:val="00941012"/>
    <w:rsid w:val="009413AA"/>
    <w:rsid w:val="00941844"/>
    <w:rsid w:val="0094199E"/>
    <w:rsid w:val="00941A4E"/>
    <w:rsid w:val="00941B07"/>
    <w:rsid w:val="00941B45"/>
    <w:rsid w:val="00941F76"/>
    <w:rsid w:val="00942455"/>
    <w:rsid w:val="00942461"/>
    <w:rsid w:val="0094258F"/>
    <w:rsid w:val="009425C2"/>
    <w:rsid w:val="00942699"/>
    <w:rsid w:val="0094275F"/>
    <w:rsid w:val="00942A3C"/>
    <w:rsid w:val="00942F4F"/>
    <w:rsid w:val="00943E44"/>
    <w:rsid w:val="009440F3"/>
    <w:rsid w:val="00944457"/>
    <w:rsid w:val="00944499"/>
    <w:rsid w:val="009444D1"/>
    <w:rsid w:val="00944C9A"/>
    <w:rsid w:val="00944DD0"/>
    <w:rsid w:val="00944E23"/>
    <w:rsid w:val="00945114"/>
    <w:rsid w:val="00945206"/>
    <w:rsid w:val="00945618"/>
    <w:rsid w:val="00945766"/>
    <w:rsid w:val="0094591E"/>
    <w:rsid w:val="00945CB4"/>
    <w:rsid w:val="00945D28"/>
    <w:rsid w:val="00946066"/>
    <w:rsid w:val="0094617D"/>
    <w:rsid w:val="009462B1"/>
    <w:rsid w:val="00946738"/>
    <w:rsid w:val="0094678D"/>
    <w:rsid w:val="00946A89"/>
    <w:rsid w:val="00946B10"/>
    <w:rsid w:val="00946C0A"/>
    <w:rsid w:val="00946D98"/>
    <w:rsid w:val="00946FCE"/>
    <w:rsid w:val="00947115"/>
    <w:rsid w:val="009477B5"/>
    <w:rsid w:val="00947C19"/>
    <w:rsid w:val="00947E50"/>
    <w:rsid w:val="009504D5"/>
    <w:rsid w:val="0095075D"/>
    <w:rsid w:val="00950A77"/>
    <w:rsid w:val="00950C09"/>
    <w:rsid w:val="00950C8B"/>
    <w:rsid w:val="00950D94"/>
    <w:rsid w:val="00950E0B"/>
    <w:rsid w:val="00950F01"/>
    <w:rsid w:val="00950F8B"/>
    <w:rsid w:val="00950F92"/>
    <w:rsid w:val="0095100A"/>
    <w:rsid w:val="00951A20"/>
    <w:rsid w:val="00951B04"/>
    <w:rsid w:val="009522BA"/>
    <w:rsid w:val="00952450"/>
    <w:rsid w:val="00952E1F"/>
    <w:rsid w:val="00952E5D"/>
    <w:rsid w:val="00952EAF"/>
    <w:rsid w:val="00952F35"/>
    <w:rsid w:val="0095344D"/>
    <w:rsid w:val="009534A8"/>
    <w:rsid w:val="009536F4"/>
    <w:rsid w:val="00953AFD"/>
    <w:rsid w:val="00954627"/>
    <w:rsid w:val="00954684"/>
    <w:rsid w:val="00954840"/>
    <w:rsid w:val="0095495E"/>
    <w:rsid w:val="00955121"/>
    <w:rsid w:val="0095538E"/>
    <w:rsid w:val="009556A2"/>
    <w:rsid w:val="00955837"/>
    <w:rsid w:val="009559A8"/>
    <w:rsid w:val="00955C9F"/>
    <w:rsid w:val="00956105"/>
    <w:rsid w:val="0095613A"/>
    <w:rsid w:val="0095622B"/>
    <w:rsid w:val="0095659E"/>
    <w:rsid w:val="00956E56"/>
    <w:rsid w:val="0095701B"/>
    <w:rsid w:val="009571D3"/>
    <w:rsid w:val="0095740F"/>
    <w:rsid w:val="00957748"/>
    <w:rsid w:val="009578AF"/>
    <w:rsid w:val="009579F8"/>
    <w:rsid w:val="00957BF3"/>
    <w:rsid w:val="0096054E"/>
    <w:rsid w:val="0096068C"/>
    <w:rsid w:val="00960967"/>
    <w:rsid w:val="00960AE4"/>
    <w:rsid w:val="00960BFC"/>
    <w:rsid w:val="00960CE3"/>
    <w:rsid w:val="00960CF0"/>
    <w:rsid w:val="00960D23"/>
    <w:rsid w:val="0096103D"/>
    <w:rsid w:val="0096105D"/>
    <w:rsid w:val="009610A0"/>
    <w:rsid w:val="0096136F"/>
    <w:rsid w:val="009613E5"/>
    <w:rsid w:val="0096142F"/>
    <w:rsid w:val="009615BA"/>
    <w:rsid w:val="00961701"/>
    <w:rsid w:val="0096197A"/>
    <w:rsid w:val="009620C4"/>
    <w:rsid w:val="00962290"/>
    <w:rsid w:val="00962747"/>
    <w:rsid w:val="00962B44"/>
    <w:rsid w:val="00962CBE"/>
    <w:rsid w:val="00962D6E"/>
    <w:rsid w:val="0096321E"/>
    <w:rsid w:val="009638DA"/>
    <w:rsid w:val="00963A8B"/>
    <w:rsid w:val="00963C5D"/>
    <w:rsid w:val="009646AA"/>
    <w:rsid w:val="0096496A"/>
    <w:rsid w:val="00964A55"/>
    <w:rsid w:val="00964D09"/>
    <w:rsid w:val="00964D5C"/>
    <w:rsid w:val="0096527D"/>
    <w:rsid w:val="00965387"/>
    <w:rsid w:val="009653B8"/>
    <w:rsid w:val="00965625"/>
    <w:rsid w:val="009657AD"/>
    <w:rsid w:val="009657D0"/>
    <w:rsid w:val="00965B93"/>
    <w:rsid w:val="00965C10"/>
    <w:rsid w:val="00965C8D"/>
    <w:rsid w:val="00965E31"/>
    <w:rsid w:val="00965EB0"/>
    <w:rsid w:val="00966149"/>
    <w:rsid w:val="00966B62"/>
    <w:rsid w:val="00966C96"/>
    <w:rsid w:val="00966EEB"/>
    <w:rsid w:val="00966F51"/>
    <w:rsid w:val="00967036"/>
    <w:rsid w:val="009671A2"/>
    <w:rsid w:val="009671A6"/>
    <w:rsid w:val="0096756D"/>
    <w:rsid w:val="00967634"/>
    <w:rsid w:val="0096767A"/>
    <w:rsid w:val="00967682"/>
    <w:rsid w:val="0096768A"/>
    <w:rsid w:val="00967694"/>
    <w:rsid w:val="00967806"/>
    <w:rsid w:val="00967818"/>
    <w:rsid w:val="00967C81"/>
    <w:rsid w:val="00967DA5"/>
    <w:rsid w:val="00970115"/>
    <w:rsid w:val="00970280"/>
    <w:rsid w:val="0097032A"/>
    <w:rsid w:val="009705EF"/>
    <w:rsid w:val="00970DA5"/>
    <w:rsid w:val="00971325"/>
    <w:rsid w:val="0097142B"/>
    <w:rsid w:val="0097172E"/>
    <w:rsid w:val="009719BC"/>
    <w:rsid w:val="00971A17"/>
    <w:rsid w:val="00971B39"/>
    <w:rsid w:val="00971FE0"/>
    <w:rsid w:val="00972678"/>
    <w:rsid w:val="009727DE"/>
    <w:rsid w:val="00972A6F"/>
    <w:rsid w:val="00972BBA"/>
    <w:rsid w:val="00972CE7"/>
    <w:rsid w:val="00972D92"/>
    <w:rsid w:val="00972DE4"/>
    <w:rsid w:val="00972ED2"/>
    <w:rsid w:val="00972F94"/>
    <w:rsid w:val="00973176"/>
    <w:rsid w:val="00973564"/>
    <w:rsid w:val="009737DD"/>
    <w:rsid w:val="009738B0"/>
    <w:rsid w:val="009738C9"/>
    <w:rsid w:val="00973E87"/>
    <w:rsid w:val="009742AF"/>
    <w:rsid w:val="009742BC"/>
    <w:rsid w:val="00974555"/>
    <w:rsid w:val="00974A88"/>
    <w:rsid w:val="00974AEF"/>
    <w:rsid w:val="00974BC7"/>
    <w:rsid w:val="00975552"/>
    <w:rsid w:val="00975573"/>
    <w:rsid w:val="0097573E"/>
    <w:rsid w:val="00975CC1"/>
    <w:rsid w:val="00975D11"/>
    <w:rsid w:val="00976052"/>
    <w:rsid w:val="00976157"/>
    <w:rsid w:val="00976173"/>
    <w:rsid w:val="0097645A"/>
    <w:rsid w:val="00976947"/>
    <w:rsid w:val="0097694D"/>
    <w:rsid w:val="00976D9E"/>
    <w:rsid w:val="00976F0B"/>
    <w:rsid w:val="00977236"/>
    <w:rsid w:val="009772D4"/>
    <w:rsid w:val="009774E5"/>
    <w:rsid w:val="0097754A"/>
    <w:rsid w:val="009775E0"/>
    <w:rsid w:val="0097762F"/>
    <w:rsid w:val="009776BE"/>
    <w:rsid w:val="00977B11"/>
    <w:rsid w:val="00977CAE"/>
    <w:rsid w:val="00980220"/>
    <w:rsid w:val="0098036F"/>
    <w:rsid w:val="009807A1"/>
    <w:rsid w:val="009807AA"/>
    <w:rsid w:val="00980830"/>
    <w:rsid w:val="00980893"/>
    <w:rsid w:val="00980A81"/>
    <w:rsid w:val="00980A9F"/>
    <w:rsid w:val="00980EC3"/>
    <w:rsid w:val="00981208"/>
    <w:rsid w:val="009815CF"/>
    <w:rsid w:val="009817CE"/>
    <w:rsid w:val="0098190A"/>
    <w:rsid w:val="00981C01"/>
    <w:rsid w:val="00981E55"/>
    <w:rsid w:val="00981ECE"/>
    <w:rsid w:val="00981FCC"/>
    <w:rsid w:val="0098269B"/>
    <w:rsid w:val="00982C93"/>
    <w:rsid w:val="00983317"/>
    <w:rsid w:val="009835DB"/>
    <w:rsid w:val="0098379F"/>
    <w:rsid w:val="009837E5"/>
    <w:rsid w:val="0098397B"/>
    <w:rsid w:val="00983BD5"/>
    <w:rsid w:val="00983C70"/>
    <w:rsid w:val="00983D78"/>
    <w:rsid w:val="009843B5"/>
    <w:rsid w:val="009844D0"/>
    <w:rsid w:val="0098455C"/>
    <w:rsid w:val="00984582"/>
    <w:rsid w:val="009847B6"/>
    <w:rsid w:val="00984895"/>
    <w:rsid w:val="00984B2E"/>
    <w:rsid w:val="00984D66"/>
    <w:rsid w:val="00985492"/>
    <w:rsid w:val="00985960"/>
    <w:rsid w:val="009859A1"/>
    <w:rsid w:val="00985E68"/>
    <w:rsid w:val="00986127"/>
    <w:rsid w:val="00986245"/>
    <w:rsid w:val="009867CE"/>
    <w:rsid w:val="00986EC7"/>
    <w:rsid w:val="009871F0"/>
    <w:rsid w:val="0098772E"/>
    <w:rsid w:val="00987D39"/>
    <w:rsid w:val="009900FC"/>
    <w:rsid w:val="00990266"/>
    <w:rsid w:val="0099038A"/>
    <w:rsid w:val="009904F7"/>
    <w:rsid w:val="009908EE"/>
    <w:rsid w:val="00990972"/>
    <w:rsid w:val="00990BD4"/>
    <w:rsid w:val="00990FB2"/>
    <w:rsid w:val="00990FB7"/>
    <w:rsid w:val="00991301"/>
    <w:rsid w:val="0099137B"/>
    <w:rsid w:val="009916CA"/>
    <w:rsid w:val="009918C4"/>
    <w:rsid w:val="00991987"/>
    <w:rsid w:val="00991D8C"/>
    <w:rsid w:val="00991E3C"/>
    <w:rsid w:val="00992078"/>
    <w:rsid w:val="009922EE"/>
    <w:rsid w:val="009924B9"/>
    <w:rsid w:val="00992978"/>
    <w:rsid w:val="00992ABB"/>
    <w:rsid w:val="00992ADF"/>
    <w:rsid w:val="00992B50"/>
    <w:rsid w:val="0099305C"/>
    <w:rsid w:val="009930DA"/>
    <w:rsid w:val="009930F5"/>
    <w:rsid w:val="0099318A"/>
    <w:rsid w:val="00993980"/>
    <w:rsid w:val="00993B5B"/>
    <w:rsid w:val="00994115"/>
    <w:rsid w:val="00994553"/>
    <w:rsid w:val="009945E9"/>
    <w:rsid w:val="0099461C"/>
    <w:rsid w:val="0099485F"/>
    <w:rsid w:val="00994A71"/>
    <w:rsid w:val="00994C68"/>
    <w:rsid w:val="0099525A"/>
    <w:rsid w:val="0099546C"/>
    <w:rsid w:val="00995509"/>
    <w:rsid w:val="00995641"/>
    <w:rsid w:val="00995682"/>
    <w:rsid w:val="00995D2A"/>
    <w:rsid w:val="0099618B"/>
    <w:rsid w:val="00996375"/>
    <w:rsid w:val="0099647F"/>
    <w:rsid w:val="00996727"/>
    <w:rsid w:val="00996997"/>
    <w:rsid w:val="00996A60"/>
    <w:rsid w:val="009970DA"/>
    <w:rsid w:val="009974FF"/>
    <w:rsid w:val="00997749"/>
    <w:rsid w:val="00997FA2"/>
    <w:rsid w:val="009A0095"/>
    <w:rsid w:val="009A00C7"/>
    <w:rsid w:val="009A025C"/>
    <w:rsid w:val="009A0422"/>
    <w:rsid w:val="009A0449"/>
    <w:rsid w:val="009A0877"/>
    <w:rsid w:val="009A08B7"/>
    <w:rsid w:val="009A0B48"/>
    <w:rsid w:val="009A1045"/>
    <w:rsid w:val="009A11DD"/>
    <w:rsid w:val="009A1F78"/>
    <w:rsid w:val="009A2756"/>
    <w:rsid w:val="009A2912"/>
    <w:rsid w:val="009A2914"/>
    <w:rsid w:val="009A2944"/>
    <w:rsid w:val="009A2B4C"/>
    <w:rsid w:val="009A3320"/>
    <w:rsid w:val="009A3506"/>
    <w:rsid w:val="009A352A"/>
    <w:rsid w:val="009A37FD"/>
    <w:rsid w:val="009A40EE"/>
    <w:rsid w:val="009A4370"/>
    <w:rsid w:val="009A4723"/>
    <w:rsid w:val="009A48A1"/>
    <w:rsid w:val="009A49A2"/>
    <w:rsid w:val="009A4D8D"/>
    <w:rsid w:val="009A5525"/>
    <w:rsid w:val="009A57EE"/>
    <w:rsid w:val="009A5A9D"/>
    <w:rsid w:val="009A5F81"/>
    <w:rsid w:val="009A637D"/>
    <w:rsid w:val="009A694C"/>
    <w:rsid w:val="009A6C9C"/>
    <w:rsid w:val="009A6E61"/>
    <w:rsid w:val="009A705B"/>
    <w:rsid w:val="009A728E"/>
    <w:rsid w:val="009A74FA"/>
    <w:rsid w:val="009A7817"/>
    <w:rsid w:val="009A7895"/>
    <w:rsid w:val="009A78DB"/>
    <w:rsid w:val="009A78E5"/>
    <w:rsid w:val="009A7AAC"/>
    <w:rsid w:val="009A7C8C"/>
    <w:rsid w:val="009A7E8B"/>
    <w:rsid w:val="009A7EE6"/>
    <w:rsid w:val="009B045C"/>
    <w:rsid w:val="009B04E5"/>
    <w:rsid w:val="009B079B"/>
    <w:rsid w:val="009B0954"/>
    <w:rsid w:val="009B09E9"/>
    <w:rsid w:val="009B0D40"/>
    <w:rsid w:val="009B0F69"/>
    <w:rsid w:val="009B0F98"/>
    <w:rsid w:val="009B14BB"/>
    <w:rsid w:val="009B18E6"/>
    <w:rsid w:val="009B19FA"/>
    <w:rsid w:val="009B1BD9"/>
    <w:rsid w:val="009B1EA4"/>
    <w:rsid w:val="009B2709"/>
    <w:rsid w:val="009B28EA"/>
    <w:rsid w:val="009B2B3C"/>
    <w:rsid w:val="009B2E1F"/>
    <w:rsid w:val="009B30A4"/>
    <w:rsid w:val="009B352E"/>
    <w:rsid w:val="009B369E"/>
    <w:rsid w:val="009B36C8"/>
    <w:rsid w:val="009B36EF"/>
    <w:rsid w:val="009B3F11"/>
    <w:rsid w:val="009B3F16"/>
    <w:rsid w:val="009B4537"/>
    <w:rsid w:val="009B46B7"/>
    <w:rsid w:val="009B4AE0"/>
    <w:rsid w:val="009B4D3B"/>
    <w:rsid w:val="009B4E01"/>
    <w:rsid w:val="009B4E22"/>
    <w:rsid w:val="009B51D1"/>
    <w:rsid w:val="009B52E0"/>
    <w:rsid w:val="009B54CB"/>
    <w:rsid w:val="009B57D8"/>
    <w:rsid w:val="009B583B"/>
    <w:rsid w:val="009B5BEC"/>
    <w:rsid w:val="009B5C77"/>
    <w:rsid w:val="009B5D54"/>
    <w:rsid w:val="009B5E0C"/>
    <w:rsid w:val="009B5F64"/>
    <w:rsid w:val="009B6132"/>
    <w:rsid w:val="009B6235"/>
    <w:rsid w:val="009B68C0"/>
    <w:rsid w:val="009B6A01"/>
    <w:rsid w:val="009B6AAD"/>
    <w:rsid w:val="009B6D7D"/>
    <w:rsid w:val="009B6DE8"/>
    <w:rsid w:val="009B6E53"/>
    <w:rsid w:val="009B6EA5"/>
    <w:rsid w:val="009B7A10"/>
    <w:rsid w:val="009B7A52"/>
    <w:rsid w:val="009B7C60"/>
    <w:rsid w:val="009B7EB5"/>
    <w:rsid w:val="009B7EE6"/>
    <w:rsid w:val="009B7F22"/>
    <w:rsid w:val="009B7FB7"/>
    <w:rsid w:val="009C03A8"/>
    <w:rsid w:val="009C03BD"/>
    <w:rsid w:val="009C0449"/>
    <w:rsid w:val="009C0459"/>
    <w:rsid w:val="009C06C0"/>
    <w:rsid w:val="009C08EA"/>
    <w:rsid w:val="009C09EC"/>
    <w:rsid w:val="009C0AE6"/>
    <w:rsid w:val="009C0B65"/>
    <w:rsid w:val="009C0BAE"/>
    <w:rsid w:val="009C0F25"/>
    <w:rsid w:val="009C109B"/>
    <w:rsid w:val="009C1BF1"/>
    <w:rsid w:val="009C1FC2"/>
    <w:rsid w:val="009C2471"/>
    <w:rsid w:val="009C257D"/>
    <w:rsid w:val="009C275B"/>
    <w:rsid w:val="009C2D5A"/>
    <w:rsid w:val="009C2FA7"/>
    <w:rsid w:val="009C3443"/>
    <w:rsid w:val="009C3493"/>
    <w:rsid w:val="009C3529"/>
    <w:rsid w:val="009C3669"/>
    <w:rsid w:val="009C39B7"/>
    <w:rsid w:val="009C3AD7"/>
    <w:rsid w:val="009C3C21"/>
    <w:rsid w:val="009C3C6E"/>
    <w:rsid w:val="009C4043"/>
    <w:rsid w:val="009C43C9"/>
    <w:rsid w:val="009C4575"/>
    <w:rsid w:val="009C468B"/>
    <w:rsid w:val="009C489D"/>
    <w:rsid w:val="009C4979"/>
    <w:rsid w:val="009C4A83"/>
    <w:rsid w:val="009C4DBB"/>
    <w:rsid w:val="009C522F"/>
    <w:rsid w:val="009C52C9"/>
    <w:rsid w:val="009C5450"/>
    <w:rsid w:val="009C57EA"/>
    <w:rsid w:val="009C5B36"/>
    <w:rsid w:val="009C5C21"/>
    <w:rsid w:val="009C5CC9"/>
    <w:rsid w:val="009C5DE3"/>
    <w:rsid w:val="009C5E3A"/>
    <w:rsid w:val="009C60DC"/>
    <w:rsid w:val="009C61F1"/>
    <w:rsid w:val="009C621C"/>
    <w:rsid w:val="009C631A"/>
    <w:rsid w:val="009C638A"/>
    <w:rsid w:val="009C66A5"/>
    <w:rsid w:val="009C6723"/>
    <w:rsid w:val="009C6AAF"/>
    <w:rsid w:val="009C6AB9"/>
    <w:rsid w:val="009C72D6"/>
    <w:rsid w:val="009C7349"/>
    <w:rsid w:val="009C734F"/>
    <w:rsid w:val="009C7493"/>
    <w:rsid w:val="009C7608"/>
    <w:rsid w:val="009C7AB1"/>
    <w:rsid w:val="009D008C"/>
    <w:rsid w:val="009D06E1"/>
    <w:rsid w:val="009D19B4"/>
    <w:rsid w:val="009D19E7"/>
    <w:rsid w:val="009D1E52"/>
    <w:rsid w:val="009D1F22"/>
    <w:rsid w:val="009D20BE"/>
    <w:rsid w:val="009D21EC"/>
    <w:rsid w:val="009D244B"/>
    <w:rsid w:val="009D2452"/>
    <w:rsid w:val="009D2675"/>
    <w:rsid w:val="009D2EBB"/>
    <w:rsid w:val="009D2EF8"/>
    <w:rsid w:val="009D32A7"/>
    <w:rsid w:val="009D360D"/>
    <w:rsid w:val="009D37CC"/>
    <w:rsid w:val="009D3840"/>
    <w:rsid w:val="009D39F3"/>
    <w:rsid w:val="009D3D0E"/>
    <w:rsid w:val="009D3E3A"/>
    <w:rsid w:val="009D3EBE"/>
    <w:rsid w:val="009D42B7"/>
    <w:rsid w:val="009D441F"/>
    <w:rsid w:val="009D497D"/>
    <w:rsid w:val="009D49D9"/>
    <w:rsid w:val="009D4CBD"/>
    <w:rsid w:val="009D5006"/>
    <w:rsid w:val="009D5254"/>
    <w:rsid w:val="009D5482"/>
    <w:rsid w:val="009D5944"/>
    <w:rsid w:val="009D5BEA"/>
    <w:rsid w:val="009D5D75"/>
    <w:rsid w:val="009D6512"/>
    <w:rsid w:val="009D66D3"/>
    <w:rsid w:val="009D673C"/>
    <w:rsid w:val="009D68DE"/>
    <w:rsid w:val="009D6B39"/>
    <w:rsid w:val="009D6C42"/>
    <w:rsid w:val="009D6FD1"/>
    <w:rsid w:val="009D72F4"/>
    <w:rsid w:val="009D74DE"/>
    <w:rsid w:val="009D7558"/>
    <w:rsid w:val="009D79F9"/>
    <w:rsid w:val="009D7A24"/>
    <w:rsid w:val="009D7CF2"/>
    <w:rsid w:val="009D7FB0"/>
    <w:rsid w:val="009E068D"/>
    <w:rsid w:val="009E0AEF"/>
    <w:rsid w:val="009E0AFB"/>
    <w:rsid w:val="009E0B45"/>
    <w:rsid w:val="009E109C"/>
    <w:rsid w:val="009E1671"/>
    <w:rsid w:val="009E16BF"/>
    <w:rsid w:val="009E19CA"/>
    <w:rsid w:val="009E1AAD"/>
    <w:rsid w:val="009E1CC0"/>
    <w:rsid w:val="009E2338"/>
    <w:rsid w:val="009E2489"/>
    <w:rsid w:val="009E2562"/>
    <w:rsid w:val="009E2654"/>
    <w:rsid w:val="009E2702"/>
    <w:rsid w:val="009E2929"/>
    <w:rsid w:val="009E2B3D"/>
    <w:rsid w:val="009E2B82"/>
    <w:rsid w:val="009E2BF5"/>
    <w:rsid w:val="009E2CD5"/>
    <w:rsid w:val="009E2F17"/>
    <w:rsid w:val="009E2F26"/>
    <w:rsid w:val="009E347A"/>
    <w:rsid w:val="009E3622"/>
    <w:rsid w:val="009E38CD"/>
    <w:rsid w:val="009E3F21"/>
    <w:rsid w:val="009E3F95"/>
    <w:rsid w:val="009E419D"/>
    <w:rsid w:val="009E42F7"/>
    <w:rsid w:val="009E43AE"/>
    <w:rsid w:val="009E48B2"/>
    <w:rsid w:val="009E4B5B"/>
    <w:rsid w:val="009E4B94"/>
    <w:rsid w:val="009E4C02"/>
    <w:rsid w:val="009E4E72"/>
    <w:rsid w:val="009E5074"/>
    <w:rsid w:val="009E5962"/>
    <w:rsid w:val="009E59A1"/>
    <w:rsid w:val="009E5C0B"/>
    <w:rsid w:val="009E5ED8"/>
    <w:rsid w:val="009E5FAD"/>
    <w:rsid w:val="009E5FD7"/>
    <w:rsid w:val="009E635A"/>
    <w:rsid w:val="009E6366"/>
    <w:rsid w:val="009E64F4"/>
    <w:rsid w:val="009E6A77"/>
    <w:rsid w:val="009E6B2D"/>
    <w:rsid w:val="009E70C7"/>
    <w:rsid w:val="009E79C6"/>
    <w:rsid w:val="009E7A78"/>
    <w:rsid w:val="009E7B3F"/>
    <w:rsid w:val="009E7C71"/>
    <w:rsid w:val="009E7FBD"/>
    <w:rsid w:val="009F013D"/>
    <w:rsid w:val="009F040D"/>
    <w:rsid w:val="009F0723"/>
    <w:rsid w:val="009F073E"/>
    <w:rsid w:val="009F0938"/>
    <w:rsid w:val="009F0989"/>
    <w:rsid w:val="009F0A34"/>
    <w:rsid w:val="009F0C2C"/>
    <w:rsid w:val="009F0DE4"/>
    <w:rsid w:val="009F0FF0"/>
    <w:rsid w:val="009F102E"/>
    <w:rsid w:val="009F1213"/>
    <w:rsid w:val="009F15D2"/>
    <w:rsid w:val="009F15FD"/>
    <w:rsid w:val="009F1814"/>
    <w:rsid w:val="009F1A09"/>
    <w:rsid w:val="009F1D0E"/>
    <w:rsid w:val="009F20B8"/>
    <w:rsid w:val="009F20C2"/>
    <w:rsid w:val="009F2215"/>
    <w:rsid w:val="009F25BB"/>
    <w:rsid w:val="009F25FD"/>
    <w:rsid w:val="009F2F99"/>
    <w:rsid w:val="009F3D8E"/>
    <w:rsid w:val="009F3FF5"/>
    <w:rsid w:val="009F4323"/>
    <w:rsid w:val="009F441A"/>
    <w:rsid w:val="009F47E7"/>
    <w:rsid w:val="009F485B"/>
    <w:rsid w:val="009F4888"/>
    <w:rsid w:val="009F4AED"/>
    <w:rsid w:val="009F4C79"/>
    <w:rsid w:val="009F520D"/>
    <w:rsid w:val="009F537C"/>
    <w:rsid w:val="009F58DC"/>
    <w:rsid w:val="009F5968"/>
    <w:rsid w:val="009F5BDC"/>
    <w:rsid w:val="009F603B"/>
    <w:rsid w:val="009F65CB"/>
    <w:rsid w:val="009F669C"/>
    <w:rsid w:val="009F69BB"/>
    <w:rsid w:val="009F6B87"/>
    <w:rsid w:val="009F6E4F"/>
    <w:rsid w:val="009F7069"/>
    <w:rsid w:val="009F7483"/>
    <w:rsid w:val="009F775B"/>
    <w:rsid w:val="009F788E"/>
    <w:rsid w:val="009F7C24"/>
    <w:rsid w:val="009F7DDB"/>
    <w:rsid w:val="009F7F8C"/>
    <w:rsid w:val="00A0007A"/>
    <w:rsid w:val="00A0023E"/>
    <w:rsid w:val="00A002C5"/>
    <w:rsid w:val="00A00A45"/>
    <w:rsid w:val="00A00AC2"/>
    <w:rsid w:val="00A00BE8"/>
    <w:rsid w:val="00A00D53"/>
    <w:rsid w:val="00A00E52"/>
    <w:rsid w:val="00A01038"/>
    <w:rsid w:val="00A01110"/>
    <w:rsid w:val="00A01744"/>
    <w:rsid w:val="00A01A6A"/>
    <w:rsid w:val="00A0266D"/>
    <w:rsid w:val="00A02A38"/>
    <w:rsid w:val="00A02DE4"/>
    <w:rsid w:val="00A02E47"/>
    <w:rsid w:val="00A03086"/>
    <w:rsid w:val="00A0348B"/>
    <w:rsid w:val="00A03C17"/>
    <w:rsid w:val="00A03C80"/>
    <w:rsid w:val="00A04002"/>
    <w:rsid w:val="00A04156"/>
    <w:rsid w:val="00A041DC"/>
    <w:rsid w:val="00A04631"/>
    <w:rsid w:val="00A046EB"/>
    <w:rsid w:val="00A0475E"/>
    <w:rsid w:val="00A048D6"/>
    <w:rsid w:val="00A04A21"/>
    <w:rsid w:val="00A04A67"/>
    <w:rsid w:val="00A04D0F"/>
    <w:rsid w:val="00A0500F"/>
    <w:rsid w:val="00A055EA"/>
    <w:rsid w:val="00A055FE"/>
    <w:rsid w:val="00A0563F"/>
    <w:rsid w:val="00A05743"/>
    <w:rsid w:val="00A058E3"/>
    <w:rsid w:val="00A058EE"/>
    <w:rsid w:val="00A05D47"/>
    <w:rsid w:val="00A05E36"/>
    <w:rsid w:val="00A05FCD"/>
    <w:rsid w:val="00A062B4"/>
    <w:rsid w:val="00A06419"/>
    <w:rsid w:val="00A06782"/>
    <w:rsid w:val="00A06F28"/>
    <w:rsid w:val="00A0718C"/>
    <w:rsid w:val="00A076A2"/>
    <w:rsid w:val="00A076C6"/>
    <w:rsid w:val="00A0774B"/>
    <w:rsid w:val="00A07AE5"/>
    <w:rsid w:val="00A07AFB"/>
    <w:rsid w:val="00A07BAE"/>
    <w:rsid w:val="00A07C4A"/>
    <w:rsid w:val="00A07D30"/>
    <w:rsid w:val="00A100DF"/>
    <w:rsid w:val="00A102DD"/>
    <w:rsid w:val="00A108F9"/>
    <w:rsid w:val="00A109A4"/>
    <w:rsid w:val="00A10F0A"/>
    <w:rsid w:val="00A112D8"/>
    <w:rsid w:val="00A1138F"/>
    <w:rsid w:val="00A11574"/>
    <w:rsid w:val="00A11654"/>
    <w:rsid w:val="00A117B2"/>
    <w:rsid w:val="00A118B6"/>
    <w:rsid w:val="00A11C73"/>
    <w:rsid w:val="00A11F29"/>
    <w:rsid w:val="00A124FD"/>
    <w:rsid w:val="00A126EB"/>
    <w:rsid w:val="00A129E6"/>
    <w:rsid w:val="00A12B23"/>
    <w:rsid w:val="00A12BEA"/>
    <w:rsid w:val="00A131E0"/>
    <w:rsid w:val="00A13273"/>
    <w:rsid w:val="00A13323"/>
    <w:rsid w:val="00A1336F"/>
    <w:rsid w:val="00A13A7B"/>
    <w:rsid w:val="00A13B53"/>
    <w:rsid w:val="00A145A8"/>
    <w:rsid w:val="00A14679"/>
    <w:rsid w:val="00A1467F"/>
    <w:rsid w:val="00A1485D"/>
    <w:rsid w:val="00A14D74"/>
    <w:rsid w:val="00A14F7D"/>
    <w:rsid w:val="00A14F9B"/>
    <w:rsid w:val="00A15045"/>
    <w:rsid w:val="00A150A7"/>
    <w:rsid w:val="00A150C1"/>
    <w:rsid w:val="00A152ED"/>
    <w:rsid w:val="00A15462"/>
    <w:rsid w:val="00A15691"/>
    <w:rsid w:val="00A1595F"/>
    <w:rsid w:val="00A15C5E"/>
    <w:rsid w:val="00A15CB2"/>
    <w:rsid w:val="00A160A5"/>
    <w:rsid w:val="00A161BD"/>
    <w:rsid w:val="00A16349"/>
    <w:rsid w:val="00A165C0"/>
    <w:rsid w:val="00A16776"/>
    <w:rsid w:val="00A16A16"/>
    <w:rsid w:val="00A16B9B"/>
    <w:rsid w:val="00A1726A"/>
    <w:rsid w:val="00A17600"/>
    <w:rsid w:val="00A17790"/>
    <w:rsid w:val="00A177CB"/>
    <w:rsid w:val="00A17AAC"/>
    <w:rsid w:val="00A17B96"/>
    <w:rsid w:val="00A17FF9"/>
    <w:rsid w:val="00A202AD"/>
    <w:rsid w:val="00A2032A"/>
    <w:rsid w:val="00A2066C"/>
    <w:rsid w:val="00A206A9"/>
    <w:rsid w:val="00A2078A"/>
    <w:rsid w:val="00A20905"/>
    <w:rsid w:val="00A20953"/>
    <w:rsid w:val="00A20D5F"/>
    <w:rsid w:val="00A20D8E"/>
    <w:rsid w:val="00A20F8F"/>
    <w:rsid w:val="00A21200"/>
    <w:rsid w:val="00A21CB9"/>
    <w:rsid w:val="00A21D5A"/>
    <w:rsid w:val="00A21DC2"/>
    <w:rsid w:val="00A21EEE"/>
    <w:rsid w:val="00A21F0A"/>
    <w:rsid w:val="00A21F38"/>
    <w:rsid w:val="00A2216D"/>
    <w:rsid w:val="00A22449"/>
    <w:rsid w:val="00A22563"/>
    <w:rsid w:val="00A22679"/>
    <w:rsid w:val="00A226C8"/>
    <w:rsid w:val="00A228D4"/>
    <w:rsid w:val="00A22A85"/>
    <w:rsid w:val="00A22AA2"/>
    <w:rsid w:val="00A22D3D"/>
    <w:rsid w:val="00A22E3C"/>
    <w:rsid w:val="00A23B05"/>
    <w:rsid w:val="00A23D5F"/>
    <w:rsid w:val="00A24134"/>
    <w:rsid w:val="00A245E4"/>
    <w:rsid w:val="00A24DE5"/>
    <w:rsid w:val="00A25393"/>
    <w:rsid w:val="00A25472"/>
    <w:rsid w:val="00A256C8"/>
    <w:rsid w:val="00A25A7C"/>
    <w:rsid w:val="00A25EC3"/>
    <w:rsid w:val="00A2606D"/>
    <w:rsid w:val="00A2641F"/>
    <w:rsid w:val="00A26E3F"/>
    <w:rsid w:val="00A27015"/>
    <w:rsid w:val="00A274D4"/>
    <w:rsid w:val="00A2768B"/>
    <w:rsid w:val="00A276F1"/>
    <w:rsid w:val="00A27DF7"/>
    <w:rsid w:val="00A3045C"/>
    <w:rsid w:val="00A308C3"/>
    <w:rsid w:val="00A30914"/>
    <w:rsid w:val="00A30A26"/>
    <w:rsid w:val="00A30A38"/>
    <w:rsid w:val="00A30AAD"/>
    <w:rsid w:val="00A30B8A"/>
    <w:rsid w:val="00A30B9E"/>
    <w:rsid w:val="00A30C2E"/>
    <w:rsid w:val="00A31898"/>
    <w:rsid w:val="00A319AC"/>
    <w:rsid w:val="00A31AD2"/>
    <w:rsid w:val="00A31B9D"/>
    <w:rsid w:val="00A31BA2"/>
    <w:rsid w:val="00A31BD8"/>
    <w:rsid w:val="00A31DA3"/>
    <w:rsid w:val="00A31F78"/>
    <w:rsid w:val="00A3213B"/>
    <w:rsid w:val="00A3233E"/>
    <w:rsid w:val="00A32468"/>
    <w:rsid w:val="00A32BAD"/>
    <w:rsid w:val="00A32D5F"/>
    <w:rsid w:val="00A33115"/>
    <w:rsid w:val="00A33B19"/>
    <w:rsid w:val="00A33CCA"/>
    <w:rsid w:val="00A3427A"/>
    <w:rsid w:val="00A3465B"/>
    <w:rsid w:val="00A346E7"/>
    <w:rsid w:val="00A3494E"/>
    <w:rsid w:val="00A34B63"/>
    <w:rsid w:val="00A34B90"/>
    <w:rsid w:val="00A34C0D"/>
    <w:rsid w:val="00A34E83"/>
    <w:rsid w:val="00A35043"/>
    <w:rsid w:val="00A3506A"/>
    <w:rsid w:val="00A3515A"/>
    <w:rsid w:val="00A3520D"/>
    <w:rsid w:val="00A352FB"/>
    <w:rsid w:val="00A35B6F"/>
    <w:rsid w:val="00A35C91"/>
    <w:rsid w:val="00A35DFF"/>
    <w:rsid w:val="00A3600E"/>
    <w:rsid w:val="00A3649E"/>
    <w:rsid w:val="00A3652C"/>
    <w:rsid w:val="00A365F5"/>
    <w:rsid w:val="00A3679B"/>
    <w:rsid w:val="00A3690B"/>
    <w:rsid w:val="00A36B9A"/>
    <w:rsid w:val="00A36F9E"/>
    <w:rsid w:val="00A3741D"/>
    <w:rsid w:val="00A37473"/>
    <w:rsid w:val="00A37526"/>
    <w:rsid w:val="00A378B3"/>
    <w:rsid w:val="00A37F0F"/>
    <w:rsid w:val="00A4012D"/>
    <w:rsid w:val="00A40186"/>
    <w:rsid w:val="00A40369"/>
    <w:rsid w:val="00A40774"/>
    <w:rsid w:val="00A40960"/>
    <w:rsid w:val="00A409CC"/>
    <w:rsid w:val="00A40F2E"/>
    <w:rsid w:val="00A40F42"/>
    <w:rsid w:val="00A4144C"/>
    <w:rsid w:val="00A4172C"/>
    <w:rsid w:val="00A418AE"/>
    <w:rsid w:val="00A42207"/>
    <w:rsid w:val="00A42291"/>
    <w:rsid w:val="00A423B3"/>
    <w:rsid w:val="00A42480"/>
    <w:rsid w:val="00A4254C"/>
    <w:rsid w:val="00A42675"/>
    <w:rsid w:val="00A42788"/>
    <w:rsid w:val="00A427CE"/>
    <w:rsid w:val="00A42E64"/>
    <w:rsid w:val="00A43122"/>
    <w:rsid w:val="00A43EE5"/>
    <w:rsid w:val="00A44414"/>
    <w:rsid w:val="00A448F2"/>
    <w:rsid w:val="00A449C8"/>
    <w:rsid w:val="00A44DAD"/>
    <w:rsid w:val="00A44FE1"/>
    <w:rsid w:val="00A45177"/>
    <w:rsid w:val="00A451E1"/>
    <w:rsid w:val="00A45458"/>
    <w:rsid w:val="00A4568E"/>
    <w:rsid w:val="00A45E75"/>
    <w:rsid w:val="00A46241"/>
    <w:rsid w:val="00A4648B"/>
    <w:rsid w:val="00A465A6"/>
    <w:rsid w:val="00A466B2"/>
    <w:rsid w:val="00A46C39"/>
    <w:rsid w:val="00A46E58"/>
    <w:rsid w:val="00A475D1"/>
    <w:rsid w:val="00A47A3D"/>
    <w:rsid w:val="00A500E2"/>
    <w:rsid w:val="00A500FF"/>
    <w:rsid w:val="00A5022D"/>
    <w:rsid w:val="00A50289"/>
    <w:rsid w:val="00A502C5"/>
    <w:rsid w:val="00A50980"/>
    <w:rsid w:val="00A50D52"/>
    <w:rsid w:val="00A5105B"/>
    <w:rsid w:val="00A510A8"/>
    <w:rsid w:val="00A5126C"/>
    <w:rsid w:val="00A512AE"/>
    <w:rsid w:val="00A51815"/>
    <w:rsid w:val="00A518BD"/>
    <w:rsid w:val="00A518F3"/>
    <w:rsid w:val="00A51946"/>
    <w:rsid w:val="00A51B3D"/>
    <w:rsid w:val="00A51B57"/>
    <w:rsid w:val="00A51E27"/>
    <w:rsid w:val="00A52169"/>
    <w:rsid w:val="00A522DA"/>
    <w:rsid w:val="00A524A1"/>
    <w:rsid w:val="00A52543"/>
    <w:rsid w:val="00A527BD"/>
    <w:rsid w:val="00A530B4"/>
    <w:rsid w:val="00A532CC"/>
    <w:rsid w:val="00A537DD"/>
    <w:rsid w:val="00A537F7"/>
    <w:rsid w:val="00A53943"/>
    <w:rsid w:val="00A53955"/>
    <w:rsid w:val="00A53B48"/>
    <w:rsid w:val="00A53BD6"/>
    <w:rsid w:val="00A53CFA"/>
    <w:rsid w:val="00A540E3"/>
    <w:rsid w:val="00A54179"/>
    <w:rsid w:val="00A55110"/>
    <w:rsid w:val="00A55186"/>
    <w:rsid w:val="00A552B5"/>
    <w:rsid w:val="00A55440"/>
    <w:rsid w:val="00A55447"/>
    <w:rsid w:val="00A556A8"/>
    <w:rsid w:val="00A5588A"/>
    <w:rsid w:val="00A55AFA"/>
    <w:rsid w:val="00A55B3B"/>
    <w:rsid w:val="00A56170"/>
    <w:rsid w:val="00A56E77"/>
    <w:rsid w:val="00A56EE8"/>
    <w:rsid w:val="00A56F39"/>
    <w:rsid w:val="00A57078"/>
    <w:rsid w:val="00A57168"/>
    <w:rsid w:val="00A574D2"/>
    <w:rsid w:val="00A575FC"/>
    <w:rsid w:val="00A576A9"/>
    <w:rsid w:val="00A576BB"/>
    <w:rsid w:val="00A57772"/>
    <w:rsid w:val="00A57832"/>
    <w:rsid w:val="00A57BCE"/>
    <w:rsid w:val="00A57D3E"/>
    <w:rsid w:val="00A57F58"/>
    <w:rsid w:val="00A6006E"/>
    <w:rsid w:val="00A60210"/>
    <w:rsid w:val="00A6022B"/>
    <w:rsid w:val="00A604E7"/>
    <w:rsid w:val="00A60A3C"/>
    <w:rsid w:val="00A60A74"/>
    <w:rsid w:val="00A60BF0"/>
    <w:rsid w:val="00A60FDD"/>
    <w:rsid w:val="00A61330"/>
    <w:rsid w:val="00A6178E"/>
    <w:rsid w:val="00A61BD2"/>
    <w:rsid w:val="00A61E10"/>
    <w:rsid w:val="00A61E8B"/>
    <w:rsid w:val="00A621E1"/>
    <w:rsid w:val="00A62376"/>
    <w:rsid w:val="00A626C3"/>
    <w:rsid w:val="00A628FA"/>
    <w:rsid w:val="00A6293C"/>
    <w:rsid w:val="00A63712"/>
    <w:rsid w:val="00A63807"/>
    <w:rsid w:val="00A638F8"/>
    <w:rsid w:val="00A642E7"/>
    <w:rsid w:val="00A643A9"/>
    <w:rsid w:val="00A644A6"/>
    <w:rsid w:val="00A64988"/>
    <w:rsid w:val="00A64CCE"/>
    <w:rsid w:val="00A64EDB"/>
    <w:rsid w:val="00A65029"/>
    <w:rsid w:val="00A65064"/>
    <w:rsid w:val="00A65670"/>
    <w:rsid w:val="00A65696"/>
    <w:rsid w:val="00A658C6"/>
    <w:rsid w:val="00A65A31"/>
    <w:rsid w:val="00A65C00"/>
    <w:rsid w:val="00A65FE0"/>
    <w:rsid w:val="00A66023"/>
    <w:rsid w:val="00A66295"/>
    <w:rsid w:val="00A66357"/>
    <w:rsid w:val="00A66666"/>
    <w:rsid w:val="00A667A4"/>
    <w:rsid w:val="00A66896"/>
    <w:rsid w:val="00A66B78"/>
    <w:rsid w:val="00A66DDF"/>
    <w:rsid w:val="00A66E05"/>
    <w:rsid w:val="00A66FDB"/>
    <w:rsid w:val="00A671D0"/>
    <w:rsid w:val="00A6721D"/>
    <w:rsid w:val="00A672D1"/>
    <w:rsid w:val="00A67440"/>
    <w:rsid w:val="00A676C5"/>
    <w:rsid w:val="00A6770F"/>
    <w:rsid w:val="00A677FA"/>
    <w:rsid w:val="00A67929"/>
    <w:rsid w:val="00A679E9"/>
    <w:rsid w:val="00A67A90"/>
    <w:rsid w:val="00A67B46"/>
    <w:rsid w:val="00A67C5D"/>
    <w:rsid w:val="00A67D25"/>
    <w:rsid w:val="00A67D88"/>
    <w:rsid w:val="00A67EA5"/>
    <w:rsid w:val="00A67EAD"/>
    <w:rsid w:val="00A70154"/>
    <w:rsid w:val="00A70282"/>
    <w:rsid w:val="00A70343"/>
    <w:rsid w:val="00A704CD"/>
    <w:rsid w:val="00A70836"/>
    <w:rsid w:val="00A70E12"/>
    <w:rsid w:val="00A70FD7"/>
    <w:rsid w:val="00A7139F"/>
    <w:rsid w:val="00A714D0"/>
    <w:rsid w:val="00A71717"/>
    <w:rsid w:val="00A71801"/>
    <w:rsid w:val="00A71B25"/>
    <w:rsid w:val="00A72098"/>
    <w:rsid w:val="00A72445"/>
    <w:rsid w:val="00A72712"/>
    <w:rsid w:val="00A72B7F"/>
    <w:rsid w:val="00A7303F"/>
    <w:rsid w:val="00A7304B"/>
    <w:rsid w:val="00A7389B"/>
    <w:rsid w:val="00A738CB"/>
    <w:rsid w:val="00A7395D"/>
    <w:rsid w:val="00A73EB0"/>
    <w:rsid w:val="00A74692"/>
    <w:rsid w:val="00A746D5"/>
    <w:rsid w:val="00A747BD"/>
    <w:rsid w:val="00A747C6"/>
    <w:rsid w:val="00A748B1"/>
    <w:rsid w:val="00A74957"/>
    <w:rsid w:val="00A74B24"/>
    <w:rsid w:val="00A74C8A"/>
    <w:rsid w:val="00A74CC5"/>
    <w:rsid w:val="00A74DE7"/>
    <w:rsid w:val="00A752C7"/>
    <w:rsid w:val="00A7548D"/>
    <w:rsid w:val="00A7582A"/>
    <w:rsid w:val="00A75CA6"/>
    <w:rsid w:val="00A75CD6"/>
    <w:rsid w:val="00A75DF0"/>
    <w:rsid w:val="00A76108"/>
    <w:rsid w:val="00A765AC"/>
    <w:rsid w:val="00A7663E"/>
    <w:rsid w:val="00A76739"/>
    <w:rsid w:val="00A7691F"/>
    <w:rsid w:val="00A76AB8"/>
    <w:rsid w:val="00A76B86"/>
    <w:rsid w:val="00A76C63"/>
    <w:rsid w:val="00A76DC0"/>
    <w:rsid w:val="00A76EC8"/>
    <w:rsid w:val="00A771C8"/>
    <w:rsid w:val="00A777F5"/>
    <w:rsid w:val="00A77A3C"/>
    <w:rsid w:val="00A77B7D"/>
    <w:rsid w:val="00A77D59"/>
    <w:rsid w:val="00A77E39"/>
    <w:rsid w:val="00A77E9A"/>
    <w:rsid w:val="00A77EBC"/>
    <w:rsid w:val="00A77F25"/>
    <w:rsid w:val="00A8003B"/>
    <w:rsid w:val="00A803D7"/>
    <w:rsid w:val="00A80C70"/>
    <w:rsid w:val="00A81355"/>
    <w:rsid w:val="00A81374"/>
    <w:rsid w:val="00A81B08"/>
    <w:rsid w:val="00A81B17"/>
    <w:rsid w:val="00A81BDB"/>
    <w:rsid w:val="00A8203E"/>
    <w:rsid w:val="00A822B2"/>
    <w:rsid w:val="00A825F9"/>
    <w:rsid w:val="00A8290F"/>
    <w:rsid w:val="00A829EB"/>
    <w:rsid w:val="00A82AE1"/>
    <w:rsid w:val="00A82AEE"/>
    <w:rsid w:val="00A82B0B"/>
    <w:rsid w:val="00A82D32"/>
    <w:rsid w:val="00A82EE8"/>
    <w:rsid w:val="00A83292"/>
    <w:rsid w:val="00A8342B"/>
    <w:rsid w:val="00A83AB7"/>
    <w:rsid w:val="00A83DB0"/>
    <w:rsid w:val="00A84018"/>
    <w:rsid w:val="00A842BF"/>
    <w:rsid w:val="00A844FA"/>
    <w:rsid w:val="00A84AFA"/>
    <w:rsid w:val="00A84FD4"/>
    <w:rsid w:val="00A85361"/>
    <w:rsid w:val="00A85B1A"/>
    <w:rsid w:val="00A85BE2"/>
    <w:rsid w:val="00A85DBF"/>
    <w:rsid w:val="00A862F4"/>
    <w:rsid w:val="00A8641B"/>
    <w:rsid w:val="00A865B1"/>
    <w:rsid w:val="00A86CFF"/>
    <w:rsid w:val="00A873D5"/>
    <w:rsid w:val="00A874E7"/>
    <w:rsid w:val="00A8783B"/>
    <w:rsid w:val="00A87923"/>
    <w:rsid w:val="00A87AE4"/>
    <w:rsid w:val="00A87BC9"/>
    <w:rsid w:val="00A90336"/>
    <w:rsid w:val="00A90348"/>
    <w:rsid w:val="00A90447"/>
    <w:rsid w:val="00A90726"/>
    <w:rsid w:val="00A907A7"/>
    <w:rsid w:val="00A90806"/>
    <w:rsid w:val="00A908C2"/>
    <w:rsid w:val="00A90A26"/>
    <w:rsid w:val="00A90B87"/>
    <w:rsid w:val="00A90B9E"/>
    <w:rsid w:val="00A90BC8"/>
    <w:rsid w:val="00A90DDC"/>
    <w:rsid w:val="00A90E42"/>
    <w:rsid w:val="00A9104D"/>
    <w:rsid w:val="00A91533"/>
    <w:rsid w:val="00A915CF"/>
    <w:rsid w:val="00A9184A"/>
    <w:rsid w:val="00A9235E"/>
    <w:rsid w:val="00A926C9"/>
    <w:rsid w:val="00A935A5"/>
    <w:rsid w:val="00A935CE"/>
    <w:rsid w:val="00A93C02"/>
    <w:rsid w:val="00A93D90"/>
    <w:rsid w:val="00A93DE7"/>
    <w:rsid w:val="00A944A8"/>
    <w:rsid w:val="00A947F1"/>
    <w:rsid w:val="00A948FE"/>
    <w:rsid w:val="00A949E1"/>
    <w:rsid w:val="00A949FD"/>
    <w:rsid w:val="00A94A48"/>
    <w:rsid w:val="00A94AB7"/>
    <w:rsid w:val="00A94F4A"/>
    <w:rsid w:val="00A94FDE"/>
    <w:rsid w:val="00A95122"/>
    <w:rsid w:val="00A952DA"/>
    <w:rsid w:val="00A95357"/>
    <w:rsid w:val="00A9545F"/>
    <w:rsid w:val="00A954C3"/>
    <w:rsid w:val="00A9567D"/>
    <w:rsid w:val="00A9587A"/>
    <w:rsid w:val="00A95A59"/>
    <w:rsid w:val="00A95B09"/>
    <w:rsid w:val="00A95FAD"/>
    <w:rsid w:val="00A964A5"/>
    <w:rsid w:val="00A9650E"/>
    <w:rsid w:val="00A96761"/>
    <w:rsid w:val="00A96D69"/>
    <w:rsid w:val="00A96ED8"/>
    <w:rsid w:val="00A96F4B"/>
    <w:rsid w:val="00A9706C"/>
    <w:rsid w:val="00A9743D"/>
    <w:rsid w:val="00A974AC"/>
    <w:rsid w:val="00A975E9"/>
    <w:rsid w:val="00A975F9"/>
    <w:rsid w:val="00A97721"/>
    <w:rsid w:val="00A97850"/>
    <w:rsid w:val="00A97A1C"/>
    <w:rsid w:val="00A97C98"/>
    <w:rsid w:val="00A97D9E"/>
    <w:rsid w:val="00A97DB6"/>
    <w:rsid w:val="00AA01D9"/>
    <w:rsid w:val="00AA04F0"/>
    <w:rsid w:val="00AA05F1"/>
    <w:rsid w:val="00AA0A15"/>
    <w:rsid w:val="00AA0C72"/>
    <w:rsid w:val="00AA1333"/>
    <w:rsid w:val="00AA157B"/>
    <w:rsid w:val="00AA1D77"/>
    <w:rsid w:val="00AA1DFD"/>
    <w:rsid w:val="00AA1E58"/>
    <w:rsid w:val="00AA1E6A"/>
    <w:rsid w:val="00AA1F78"/>
    <w:rsid w:val="00AA2408"/>
    <w:rsid w:val="00AA2551"/>
    <w:rsid w:val="00AA27B8"/>
    <w:rsid w:val="00AA28E3"/>
    <w:rsid w:val="00AA2A60"/>
    <w:rsid w:val="00AA3D0D"/>
    <w:rsid w:val="00AA3E91"/>
    <w:rsid w:val="00AA3F43"/>
    <w:rsid w:val="00AA3FFB"/>
    <w:rsid w:val="00AA42A9"/>
    <w:rsid w:val="00AA42C0"/>
    <w:rsid w:val="00AA4495"/>
    <w:rsid w:val="00AA44A2"/>
    <w:rsid w:val="00AA455F"/>
    <w:rsid w:val="00AA4ADD"/>
    <w:rsid w:val="00AA4BA2"/>
    <w:rsid w:val="00AA505C"/>
    <w:rsid w:val="00AA506A"/>
    <w:rsid w:val="00AA584A"/>
    <w:rsid w:val="00AA5A2E"/>
    <w:rsid w:val="00AA5E28"/>
    <w:rsid w:val="00AA5F85"/>
    <w:rsid w:val="00AA6128"/>
    <w:rsid w:val="00AA62B0"/>
    <w:rsid w:val="00AA63D2"/>
    <w:rsid w:val="00AA6555"/>
    <w:rsid w:val="00AA6899"/>
    <w:rsid w:val="00AA6B63"/>
    <w:rsid w:val="00AA6D9C"/>
    <w:rsid w:val="00AA6DA3"/>
    <w:rsid w:val="00AA6DA4"/>
    <w:rsid w:val="00AA70A4"/>
    <w:rsid w:val="00AA7473"/>
    <w:rsid w:val="00AA7544"/>
    <w:rsid w:val="00AA7C8D"/>
    <w:rsid w:val="00AA7D42"/>
    <w:rsid w:val="00AB0730"/>
    <w:rsid w:val="00AB0976"/>
    <w:rsid w:val="00AB0A80"/>
    <w:rsid w:val="00AB0C6E"/>
    <w:rsid w:val="00AB0E4D"/>
    <w:rsid w:val="00AB1715"/>
    <w:rsid w:val="00AB1834"/>
    <w:rsid w:val="00AB193F"/>
    <w:rsid w:val="00AB19A2"/>
    <w:rsid w:val="00AB1B0C"/>
    <w:rsid w:val="00AB21C7"/>
    <w:rsid w:val="00AB2257"/>
    <w:rsid w:val="00AB22CE"/>
    <w:rsid w:val="00AB275B"/>
    <w:rsid w:val="00AB2B88"/>
    <w:rsid w:val="00AB2C76"/>
    <w:rsid w:val="00AB2DC4"/>
    <w:rsid w:val="00AB2F73"/>
    <w:rsid w:val="00AB370D"/>
    <w:rsid w:val="00AB38FA"/>
    <w:rsid w:val="00AB3D86"/>
    <w:rsid w:val="00AB3E4D"/>
    <w:rsid w:val="00AB3EFD"/>
    <w:rsid w:val="00AB3FC9"/>
    <w:rsid w:val="00AB4569"/>
    <w:rsid w:val="00AB469F"/>
    <w:rsid w:val="00AB47D4"/>
    <w:rsid w:val="00AB4958"/>
    <w:rsid w:val="00AB4B72"/>
    <w:rsid w:val="00AB4DEA"/>
    <w:rsid w:val="00AB4EA2"/>
    <w:rsid w:val="00AB501C"/>
    <w:rsid w:val="00AB5186"/>
    <w:rsid w:val="00AB518D"/>
    <w:rsid w:val="00AB51A9"/>
    <w:rsid w:val="00AB5443"/>
    <w:rsid w:val="00AB5D59"/>
    <w:rsid w:val="00AB5E3D"/>
    <w:rsid w:val="00AB6C2D"/>
    <w:rsid w:val="00AB6C6A"/>
    <w:rsid w:val="00AB6FAB"/>
    <w:rsid w:val="00AB7721"/>
    <w:rsid w:val="00AB77EC"/>
    <w:rsid w:val="00AB79A3"/>
    <w:rsid w:val="00AB7B3A"/>
    <w:rsid w:val="00AB7BF2"/>
    <w:rsid w:val="00AC0006"/>
    <w:rsid w:val="00AC01FC"/>
    <w:rsid w:val="00AC102F"/>
    <w:rsid w:val="00AC10ED"/>
    <w:rsid w:val="00AC1111"/>
    <w:rsid w:val="00AC1154"/>
    <w:rsid w:val="00AC173D"/>
    <w:rsid w:val="00AC19FA"/>
    <w:rsid w:val="00AC1CAF"/>
    <w:rsid w:val="00AC1DC1"/>
    <w:rsid w:val="00AC1E05"/>
    <w:rsid w:val="00AC2270"/>
    <w:rsid w:val="00AC22F9"/>
    <w:rsid w:val="00AC2461"/>
    <w:rsid w:val="00AC25DC"/>
    <w:rsid w:val="00AC2837"/>
    <w:rsid w:val="00AC2B51"/>
    <w:rsid w:val="00AC2C1A"/>
    <w:rsid w:val="00AC2DF1"/>
    <w:rsid w:val="00AC2F43"/>
    <w:rsid w:val="00AC30FF"/>
    <w:rsid w:val="00AC32B7"/>
    <w:rsid w:val="00AC3353"/>
    <w:rsid w:val="00AC3781"/>
    <w:rsid w:val="00AC381C"/>
    <w:rsid w:val="00AC3B76"/>
    <w:rsid w:val="00AC3C2D"/>
    <w:rsid w:val="00AC3D70"/>
    <w:rsid w:val="00AC3F61"/>
    <w:rsid w:val="00AC4764"/>
    <w:rsid w:val="00AC48B7"/>
    <w:rsid w:val="00AC4909"/>
    <w:rsid w:val="00AC49C9"/>
    <w:rsid w:val="00AC4A50"/>
    <w:rsid w:val="00AC4F02"/>
    <w:rsid w:val="00AC51D8"/>
    <w:rsid w:val="00AC54CD"/>
    <w:rsid w:val="00AC55DD"/>
    <w:rsid w:val="00AC5694"/>
    <w:rsid w:val="00AC5698"/>
    <w:rsid w:val="00AC5DDE"/>
    <w:rsid w:val="00AC5E03"/>
    <w:rsid w:val="00AC5E93"/>
    <w:rsid w:val="00AC5F6C"/>
    <w:rsid w:val="00AC634D"/>
    <w:rsid w:val="00AC646A"/>
    <w:rsid w:val="00AC65E1"/>
    <w:rsid w:val="00AC6648"/>
    <w:rsid w:val="00AC695A"/>
    <w:rsid w:val="00AC6F83"/>
    <w:rsid w:val="00AC6FCE"/>
    <w:rsid w:val="00AC71C0"/>
    <w:rsid w:val="00AC71EA"/>
    <w:rsid w:val="00AC7566"/>
    <w:rsid w:val="00AC799B"/>
    <w:rsid w:val="00AC79E2"/>
    <w:rsid w:val="00AC7A9C"/>
    <w:rsid w:val="00AC7D50"/>
    <w:rsid w:val="00AC7D7D"/>
    <w:rsid w:val="00AC7DBF"/>
    <w:rsid w:val="00AC7EA1"/>
    <w:rsid w:val="00AD003E"/>
    <w:rsid w:val="00AD00D5"/>
    <w:rsid w:val="00AD0179"/>
    <w:rsid w:val="00AD0766"/>
    <w:rsid w:val="00AD0881"/>
    <w:rsid w:val="00AD0893"/>
    <w:rsid w:val="00AD11AB"/>
    <w:rsid w:val="00AD12CA"/>
    <w:rsid w:val="00AD1BAA"/>
    <w:rsid w:val="00AD1E46"/>
    <w:rsid w:val="00AD1EC6"/>
    <w:rsid w:val="00AD1F3D"/>
    <w:rsid w:val="00AD1FAC"/>
    <w:rsid w:val="00AD1FD9"/>
    <w:rsid w:val="00AD2730"/>
    <w:rsid w:val="00AD2738"/>
    <w:rsid w:val="00AD28BC"/>
    <w:rsid w:val="00AD2A69"/>
    <w:rsid w:val="00AD2B65"/>
    <w:rsid w:val="00AD2B98"/>
    <w:rsid w:val="00AD2C4A"/>
    <w:rsid w:val="00AD2D47"/>
    <w:rsid w:val="00AD2F38"/>
    <w:rsid w:val="00AD3037"/>
    <w:rsid w:val="00AD3D2D"/>
    <w:rsid w:val="00AD3DFB"/>
    <w:rsid w:val="00AD3E95"/>
    <w:rsid w:val="00AD400F"/>
    <w:rsid w:val="00AD404E"/>
    <w:rsid w:val="00AD40A4"/>
    <w:rsid w:val="00AD40CD"/>
    <w:rsid w:val="00AD43DC"/>
    <w:rsid w:val="00AD4CC4"/>
    <w:rsid w:val="00AD4CF8"/>
    <w:rsid w:val="00AD4E26"/>
    <w:rsid w:val="00AD5452"/>
    <w:rsid w:val="00AD5A42"/>
    <w:rsid w:val="00AD5A7C"/>
    <w:rsid w:val="00AD5DA3"/>
    <w:rsid w:val="00AD5E57"/>
    <w:rsid w:val="00AD5E98"/>
    <w:rsid w:val="00AD5FFB"/>
    <w:rsid w:val="00AD6126"/>
    <w:rsid w:val="00AD65A0"/>
    <w:rsid w:val="00AD6BDD"/>
    <w:rsid w:val="00AD6E6D"/>
    <w:rsid w:val="00AD6EC0"/>
    <w:rsid w:val="00AD6F4B"/>
    <w:rsid w:val="00AD6FB7"/>
    <w:rsid w:val="00AD716F"/>
    <w:rsid w:val="00AD78A9"/>
    <w:rsid w:val="00AD790E"/>
    <w:rsid w:val="00AD7B41"/>
    <w:rsid w:val="00AD7CAC"/>
    <w:rsid w:val="00AE023A"/>
    <w:rsid w:val="00AE03F8"/>
    <w:rsid w:val="00AE04C6"/>
    <w:rsid w:val="00AE0926"/>
    <w:rsid w:val="00AE0D4A"/>
    <w:rsid w:val="00AE0DA0"/>
    <w:rsid w:val="00AE0DE8"/>
    <w:rsid w:val="00AE11C7"/>
    <w:rsid w:val="00AE143D"/>
    <w:rsid w:val="00AE17B1"/>
    <w:rsid w:val="00AE18DD"/>
    <w:rsid w:val="00AE1C6F"/>
    <w:rsid w:val="00AE1ED3"/>
    <w:rsid w:val="00AE201B"/>
    <w:rsid w:val="00AE21D1"/>
    <w:rsid w:val="00AE23B5"/>
    <w:rsid w:val="00AE2717"/>
    <w:rsid w:val="00AE2720"/>
    <w:rsid w:val="00AE2843"/>
    <w:rsid w:val="00AE287F"/>
    <w:rsid w:val="00AE2BFA"/>
    <w:rsid w:val="00AE3031"/>
    <w:rsid w:val="00AE3691"/>
    <w:rsid w:val="00AE3C2F"/>
    <w:rsid w:val="00AE3ED5"/>
    <w:rsid w:val="00AE3F6A"/>
    <w:rsid w:val="00AE4965"/>
    <w:rsid w:val="00AE4C14"/>
    <w:rsid w:val="00AE4DD2"/>
    <w:rsid w:val="00AE4F1D"/>
    <w:rsid w:val="00AE535E"/>
    <w:rsid w:val="00AE5BA3"/>
    <w:rsid w:val="00AE5C7F"/>
    <w:rsid w:val="00AE5D21"/>
    <w:rsid w:val="00AE6158"/>
    <w:rsid w:val="00AE6CC4"/>
    <w:rsid w:val="00AE6DD8"/>
    <w:rsid w:val="00AE7358"/>
    <w:rsid w:val="00AE751F"/>
    <w:rsid w:val="00AE7583"/>
    <w:rsid w:val="00AE76B8"/>
    <w:rsid w:val="00AE76FF"/>
    <w:rsid w:val="00AE7797"/>
    <w:rsid w:val="00AE7BE0"/>
    <w:rsid w:val="00AE7C2F"/>
    <w:rsid w:val="00AE7CBF"/>
    <w:rsid w:val="00AE7F36"/>
    <w:rsid w:val="00AF00CF"/>
    <w:rsid w:val="00AF0102"/>
    <w:rsid w:val="00AF039D"/>
    <w:rsid w:val="00AF043B"/>
    <w:rsid w:val="00AF04BD"/>
    <w:rsid w:val="00AF0710"/>
    <w:rsid w:val="00AF080D"/>
    <w:rsid w:val="00AF0B38"/>
    <w:rsid w:val="00AF0BB0"/>
    <w:rsid w:val="00AF0C45"/>
    <w:rsid w:val="00AF0D1F"/>
    <w:rsid w:val="00AF142B"/>
    <w:rsid w:val="00AF15B4"/>
    <w:rsid w:val="00AF15B9"/>
    <w:rsid w:val="00AF194B"/>
    <w:rsid w:val="00AF1A0C"/>
    <w:rsid w:val="00AF1AA3"/>
    <w:rsid w:val="00AF1C02"/>
    <w:rsid w:val="00AF1D02"/>
    <w:rsid w:val="00AF1E76"/>
    <w:rsid w:val="00AF252A"/>
    <w:rsid w:val="00AF2B55"/>
    <w:rsid w:val="00AF2CF7"/>
    <w:rsid w:val="00AF2CFF"/>
    <w:rsid w:val="00AF3828"/>
    <w:rsid w:val="00AF38BC"/>
    <w:rsid w:val="00AF38D3"/>
    <w:rsid w:val="00AF3F03"/>
    <w:rsid w:val="00AF3F71"/>
    <w:rsid w:val="00AF3FB8"/>
    <w:rsid w:val="00AF449C"/>
    <w:rsid w:val="00AF44C1"/>
    <w:rsid w:val="00AF4502"/>
    <w:rsid w:val="00AF4B5D"/>
    <w:rsid w:val="00AF4D10"/>
    <w:rsid w:val="00AF5034"/>
    <w:rsid w:val="00AF531C"/>
    <w:rsid w:val="00AF5A5A"/>
    <w:rsid w:val="00AF5C4D"/>
    <w:rsid w:val="00AF6019"/>
    <w:rsid w:val="00AF6043"/>
    <w:rsid w:val="00AF62BB"/>
    <w:rsid w:val="00AF62E8"/>
    <w:rsid w:val="00AF6339"/>
    <w:rsid w:val="00AF64A9"/>
    <w:rsid w:val="00AF6847"/>
    <w:rsid w:val="00AF6A86"/>
    <w:rsid w:val="00AF7009"/>
    <w:rsid w:val="00AF70B4"/>
    <w:rsid w:val="00AF7161"/>
    <w:rsid w:val="00AF72F8"/>
    <w:rsid w:val="00AF7683"/>
    <w:rsid w:val="00AF7867"/>
    <w:rsid w:val="00AF7CE5"/>
    <w:rsid w:val="00AF7F06"/>
    <w:rsid w:val="00AF7FCF"/>
    <w:rsid w:val="00B0027A"/>
    <w:rsid w:val="00B006D5"/>
    <w:rsid w:val="00B006FE"/>
    <w:rsid w:val="00B00AC8"/>
    <w:rsid w:val="00B00BD2"/>
    <w:rsid w:val="00B00D92"/>
    <w:rsid w:val="00B00FBB"/>
    <w:rsid w:val="00B01163"/>
    <w:rsid w:val="00B0147D"/>
    <w:rsid w:val="00B01AD4"/>
    <w:rsid w:val="00B01F49"/>
    <w:rsid w:val="00B01F5F"/>
    <w:rsid w:val="00B020FE"/>
    <w:rsid w:val="00B0222C"/>
    <w:rsid w:val="00B02255"/>
    <w:rsid w:val="00B025C8"/>
    <w:rsid w:val="00B02787"/>
    <w:rsid w:val="00B02E16"/>
    <w:rsid w:val="00B0351C"/>
    <w:rsid w:val="00B03718"/>
    <w:rsid w:val="00B03A1E"/>
    <w:rsid w:val="00B04020"/>
    <w:rsid w:val="00B04043"/>
    <w:rsid w:val="00B04100"/>
    <w:rsid w:val="00B043AA"/>
    <w:rsid w:val="00B04765"/>
    <w:rsid w:val="00B047D2"/>
    <w:rsid w:val="00B04968"/>
    <w:rsid w:val="00B052F4"/>
    <w:rsid w:val="00B054FE"/>
    <w:rsid w:val="00B0554E"/>
    <w:rsid w:val="00B05673"/>
    <w:rsid w:val="00B05A88"/>
    <w:rsid w:val="00B05BFB"/>
    <w:rsid w:val="00B05F10"/>
    <w:rsid w:val="00B06053"/>
    <w:rsid w:val="00B060FF"/>
    <w:rsid w:val="00B0615A"/>
    <w:rsid w:val="00B06317"/>
    <w:rsid w:val="00B064F9"/>
    <w:rsid w:val="00B06896"/>
    <w:rsid w:val="00B06D6E"/>
    <w:rsid w:val="00B06EEE"/>
    <w:rsid w:val="00B06F61"/>
    <w:rsid w:val="00B0758A"/>
    <w:rsid w:val="00B0763B"/>
    <w:rsid w:val="00B076D2"/>
    <w:rsid w:val="00B07A2F"/>
    <w:rsid w:val="00B07C5C"/>
    <w:rsid w:val="00B07E9B"/>
    <w:rsid w:val="00B07F03"/>
    <w:rsid w:val="00B0BB0B"/>
    <w:rsid w:val="00B107C6"/>
    <w:rsid w:val="00B10AAD"/>
    <w:rsid w:val="00B10AD1"/>
    <w:rsid w:val="00B111BE"/>
    <w:rsid w:val="00B111E2"/>
    <w:rsid w:val="00B113D1"/>
    <w:rsid w:val="00B11413"/>
    <w:rsid w:val="00B11458"/>
    <w:rsid w:val="00B11B90"/>
    <w:rsid w:val="00B11CA3"/>
    <w:rsid w:val="00B11E7D"/>
    <w:rsid w:val="00B124FE"/>
    <w:rsid w:val="00B12947"/>
    <w:rsid w:val="00B12ACB"/>
    <w:rsid w:val="00B1318B"/>
    <w:rsid w:val="00B13539"/>
    <w:rsid w:val="00B1359A"/>
    <w:rsid w:val="00B137EB"/>
    <w:rsid w:val="00B13B78"/>
    <w:rsid w:val="00B13FF4"/>
    <w:rsid w:val="00B140F7"/>
    <w:rsid w:val="00B141A8"/>
    <w:rsid w:val="00B147A0"/>
    <w:rsid w:val="00B147D9"/>
    <w:rsid w:val="00B148DE"/>
    <w:rsid w:val="00B14951"/>
    <w:rsid w:val="00B14D4B"/>
    <w:rsid w:val="00B14F44"/>
    <w:rsid w:val="00B15083"/>
    <w:rsid w:val="00B150C0"/>
    <w:rsid w:val="00B1513B"/>
    <w:rsid w:val="00B151AB"/>
    <w:rsid w:val="00B15785"/>
    <w:rsid w:val="00B1593C"/>
    <w:rsid w:val="00B15AE1"/>
    <w:rsid w:val="00B15B68"/>
    <w:rsid w:val="00B15CEE"/>
    <w:rsid w:val="00B1635E"/>
    <w:rsid w:val="00B164BE"/>
    <w:rsid w:val="00B164C4"/>
    <w:rsid w:val="00B165D9"/>
    <w:rsid w:val="00B1675B"/>
    <w:rsid w:val="00B1686A"/>
    <w:rsid w:val="00B16954"/>
    <w:rsid w:val="00B16984"/>
    <w:rsid w:val="00B169F1"/>
    <w:rsid w:val="00B173B9"/>
    <w:rsid w:val="00B175B4"/>
    <w:rsid w:val="00B176DE"/>
    <w:rsid w:val="00B1778C"/>
    <w:rsid w:val="00B1779C"/>
    <w:rsid w:val="00B1786A"/>
    <w:rsid w:val="00B17893"/>
    <w:rsid w:val="00B1790E"/>
    <w:rsid w:val="00B17AD6"/>
    <w:rsid w:val="00B17CE1"/>
    <w:rsid w:val="00B17EC9"/>
    <w:rsid w:val="00B20074"/>
    <w:rsid w:val="00B20292"/>
    <w:rsid w:val="00B202E5"/>
    <w:rsid w:val="00B205DF"/>
    <w:rsid w:val="00B206AF"/>
    <w:rsid w:val="00B20805"/>
    <w:rsid w:val="00B20A6D"/>
    <w:rsid w:val="00B20AAB"/>
    <w:rsid w:val="00B20BE1"/>
    <w:rsid w:val="00B20F24"/>
    <w:rsid w:val="00B211F0"/>
    <w:rsid w:val="00B21686"/>
    <w:rsid w:val="00B22493"/>
    <w:rsid w:val="00B226E7"/>
    <w:rsid w:val="00B22761"/>
    <w:rsid w:val="00B2292B"/>
    <w:rsid w:val="00B22D09"/>
    <w:rsid w:val="00B22E70"/>
    <w:rsid w:val="00B2359C"/>
    <w:rsid w:val="00B23616"/>
    <w:rsid w:val="00B2469E"/>
    <w:rsid w:val="00B24EE6"/>
    <w:rsid w:val="00B24FF9"/>
    <w:rsid w:val="00B250CA"/>
    <w:rsid w:val="00B25324"/>
    <w:rsid w:val="00B25B32"/>
    <w:rsid w:val="00B25BD8"/>
    <w:rsid w:val="00B26222"/>
    <w:rsid w:val="00B26AF4"/>
    <w:rsid w:val="00B26F2D"/>
    <w:rsid w:val="00B278E7"/>
    <w:rsid w:val="00B27927"/>
    <w:rsid w:val="00B27952"/>
    <w:rsid w:val="00B27AFD"/>
    <w:rsid w:val="00B27BAC"/>
    <w:rsid w:val="00B30800"/>
    <w:rsid w:val="00B308EB"/>
    <w:rsid w:val="00B30E1D"/>
    <w:rsid w:val="00B310D5"/>
    <w:rsid w:val="00B3165A"/>
    <w:rsid w:val="00B316A5"/>
    <w:rsid w:val="00B317C4"/>
    <w:rsid w:val="00B31DE5"/>
    <w:rsid w:val="00B31E22"/>
    <w:rsid w:val="00B31ED0"/>
    <w:rsid w:val="00B322E8"/>
    <w:rsid w:val="00B3258B"/>
    <w:rsid w:val="00B3262C"/>
    <w:rsid w:val="00B328E5"/>
    <w:rsid w:val="00B32D39"/>
    <w:rsid w:val="00B32FCE"/>
    <w:rsid w:val="00B32FD1"/>
    <w:rsid w:val="00B33373"/>
    <w:rsid w:val="00B33825"/>
    <w:rsid w:val="00B33A17"/>
    <w:rsid w:val="00B33A66"/>
    <w:rsid w:val="00B33DC2"/>
    <w:rsid w:val="00B33DC9"/>
    <w:rsid w:val="00B34140"/>
    <w:rsid w:val="00B34185"/>
    <w:rsid w:val="00B34209"/>
    <w:rsid w:val="00B34280"/>
    <w:rsid w:val="00B34535"/>
    <w:rsid w:val="00B34545"/>
    <w:rsid w:val="00B34AEC"/>
    <w:rsid w:val="00B34B9F"/>
    <w:rsid w:val="00B34D19"/>
    <w:rsid w:val="00B34DA9"/>
    <w:rsid w:val="00B35051"/>
    <w:rsid w:val="00B35259"/>
    <w:rsid w:val="00B3545E"/>
    <w:rsid w:val="00B359E0"/>
    <w:rsid w:val="00B35C8E"/>
    <w:rsid w:val="00B35C8F"/>
    <w:rsid w:val="00B35DA4"/>
    <w:rsid w:val="00B36391"/>
    <w:rsid w:val="00B36490"/>
    <w:rsid w:val="00B36AA0"/>
    <w:rsid w:val="00B36AA3"/>
    <w:rsid w:val="00B36D7D"/>
    <w:rsid w:val="00B36EF9"/>
    <w:rsid w:val="00B37624"/>
    <w:rsid w:val="00B37A15"/>
    <w:rsid w:val="00B37C08"/>
    <w:rsid w:val="00B404E5"/>
    <w:rsid w:val="00B4069B"/>
    <w:rsid w:val="00B406DE"/>
    <w:rsid w:val="00B40973"/>
    <w:rsid w:val="00B40A31"/>
    <w:rsid w:val="00B40A9D"/>
    <w:rsid w:val="00B40B0E"/>
    <w:rsid w:val="00B40C68"/>
    <w:rsid w:val="00B41139"/>
    <w:rsid w:val="00B411A2"/>
    <w:rsid w:val="00B41271"/>
    <w:rsid w:val="00B413F8"/>
    <w:rsid w:val="00B4146F"/>
    <w:rsid w:val="00B414C6"/>
    <w:rsid w:val="00B41526"/>
    <w:rsid w:val="00B415A1"/>
    <w:rsid w:val="00B418B1"/>
    <w:rsid w:val="00B41B78"/>
    <w:rsid w:val="00B41DCA"/>
    <w:rsid w:val="00B420B8"/>
    <w:rsid w:val="00B42330"/>
    <w:rsid w:val="00B429C7"/>
    <w:rsid w:val="00B42E7E"/>
    <w:rsid w:val="00B43246"/>
    <w:rsid w:val="00B43371"/>
    <w:rsid w:val="00B434A1"/>
    <w:rsid w:val="00B4365C"/>
    <w:rsid w:val="00B436DA"/>
    <w:rsid w:val="00B438FF"/>
    <w:rsid w:val="00B43974"/>
    <w:rsid w:val="00B43CAD"/>
    <w:rsid w:val="00B43FB1"/>
    <w:rsid w:val="00B4412C"/>
    <w:rsid w:val="00B44281"/>
    <w:rsid w:val="00B4456B"/>
    <w:rsid w:val="00B44F3B"/>
    <w:rsid w:val="00B45072"/>
    <w:rsid w:val="00B4527A"/>
    <w:rsid w:val="00B45424"/>
    <w:rsid w:val="00B45672"/>
    <w:rsid w:val="00B458E3"/>
    <w:rsid w:val="00B45CDD"/>
    <w:rsid w:val="00B45D26"/>
    <w:rsid w:val="00B45DDD"/>
    <w:rsid w:val="00B45F4F"/>
    <w:rsid w:val="00B460E7"/>
    <w:rsid w:val="00B4672B"/>
    <w:rsid w:val="00B46912"/>
    <w:rsid w:val="00B46943"/>
    <w:rsid w:val="00B46A60"/>
    <w:rsid w:val="00B46D5E"/>
    <w:rsid w:val="00B46FBE"/>
    <w:rsid w:val="00B4758E"/>
    <w:rsid w:val="00B478AC"/>
    <w:rsid w:val="00B47CC1"/>
    <w:rsid w:val="00B47E95"/>
    <w:rsid w:val="00B50054"/>
    <w:rsid w:val="00B5016B"/>
    <w:rsid w:val="00B505C8"/>
    <w:rsid w:val="00B5063A"/>
    <w:rsid w:val="00B507AF"/>
    <w:rsid w:val="00B507C2"/>
    <w:rsid w:val="00B50AC9"/>
    <w:rsid w:val="00B50B25"/>
    <w:rsid w:val="00B50ED6"/>
    <w:rsid w:val="00B50F80"/>
    <w:rsid w:val="00B50FC7"/>
    <w:rsid w:val="00B510F7"/>
    <w:rsid w:val="00B51762"/>
    <w:rsid w:val="00B51DFD"/>
    <w:rsid w:val="00B51FA4"/>
    <w:rsid w:val="00B526D0"/>
    <w:rsid w:val="00B52980"/>
    <w:rsid w:val="00B52AA9"/>
    <w:rsid w:val="00B52C55"/>
    <w:rsid w:val="00B52D7A"/>
    <w:rsid w:val="00B52E04"/>
    <w:rsid w:val="00B52F84"/>
    <w:rsid w:val="00B53047"/>
    <w:rsid w:val="00B53161"/>
    <w:rsid w:val="00B532B5"/>
    <w:rsid w:val="00B53327"/>
    <w:rsid w:val="00B5371D"/>
    <w:rsid w:val="00B53832"/>
    <w:rsid w:val="00B54368"/>
    <w:rsid w:val="00B54843"/>
    <w:rsid w:val="00B54957"/>
    <w:rsid w:val="00B54A2F"/>
    <w:rsid w:val="00B54A70"/>
    <w:rsid w:val="00B54F12"/>
    <w:rsid w:val="00B54F9B"/>
    <w:rsid w:val="00B55533"/>
    <w:rsid w:val="00B55798"/>
    <w:rsid w:val="00B55CCB"/>
    <w:rsid w:val="00B55E59"/>
    <w:rsid w:val="00B564CA"/>
    <w:rsid w:val="00B56C75"/>
    <w:rsid w:val="00B56EB5"/>
    <w:rsid w:val="00B56EC1"/>
    <w:rsid w:val="00B5786C"/>
    <w:rsid w:val="00B57B12"/>
    <w:rsid w:val="00B57C8B"/>
    <w:rsid w:val="00B57FD4"/>
    <w:rsid w:val="00B60288"/>
    <w:rsid w:val="00B60367"/>
    <w:rsid w:val="00B60640"/>
    <w:rsid w:val="00B606A8"/>
    <w:rsid w:val="00B608FB"/>
    <w:rsid w:val="00B60C68"/>
    <w:rsid w:val="00B61461"/>
    <w:rsid w:val="00B61587"/>
    <w:rsid w:val="00B615BB"/>
    <w:rsid w:val="00B6193E"/>
    <w:rsid w:val="00B61A9E"/>
    <w:rsid w:val="00B61B15"/>
    <w:rsid w:val="00B61B5E"/>
    <w:rsid w:val="00B61C82"/>
    <w:rsid w:val="00B6228D"/>
    <w:rsid w:val="00B6252E"/>
    <w:rsid w:val="00B62725"/>
    <w:rsid w:val="00B629B8"/>
    <w:rsid w:val="00B62BFA"/>
    <w:rsid w:val="00B630AC"/>
    <w:rsid w:val="00B633F9"/>
    <w:rsid w:val="00B636EE"/>
    <w:rsid w:val="00B636F4"/>
    <w:rsid w:val="00B6390F"/>
    <w:rsid w:val="00B63CC2"/>
    <w:rsid w:val="00B63CF2"/>
    <w:rsid w:val="00B63E02"/>
    <w:rsid w:val="00B63E94"/>
    <w:rsid w:val="00B64181"/>
    <w:rsid w:val="00B64401"/>
    <w:rsid w:val="00B64542"/>
    <w:rsid w:val="00B6482D"/>
    <w:rsid w:val="00B6496C"/>
    <w:rsid w:val="00B64FB2"/>
    <w:rsid w:val="00B651A3"/>
    <w:rsid w:val="00B6558D"/>
    <w:rsid w:val="00B65A13"/>
    <w:rsid w:val="00B66060"/>
    <w:rsid w:val="00B662DC"/>
    <w:rsid w:val="00B666F9"/>
    <w:rsid w:val="00B66C9E"/>
    <w:rsid w:val="00B67079"/>
    <w:rsid w:val="00B67546"/>
    <w:rsid w:val="00B675FB"/>
    <w:rsid w:val="00B6761D"/>
    <w:rsid w:val="00B67696"/>
    <w:rsid w:val="00B6775F"/>
    <w:rsid w:val="00B67AAC"/>
    <w:rsid w:val="00B67F74"/>
    <w:rsid w:val="00B67FEE"/>
    <w:rsid w:val="00B701A7"/>
    <w:rsid w:val="00B7057A"/>
    <w:rsid w:val="00B705DF"/>
    <w:rsid w:val="00B70660"/>
    <w:rsid w:val="00B70999"/>
    <w:rsid w:val="00B70AAC"/>
    <w:rsid w:val="00B70BA1"/>
    <w:rsid w:val="00B70CD2"/>
    <w:rsid w:val="00B710A9"/>
    <w:rsid w:val="00B711BE"/>
    <w:rsid w:val="00B71526"/>
    <w:rsid w:val="00B718C6"/>
    <w:rsid w:val="00B71985"/>
    <w:rsid w:val="00B72045"/>
    <w:rsid w:val="00B728C2"/>
    <w:rsid w:val="00B72B59"/>
    <w:rsid w:val="00B72BCF"/>
    <w:rsid w:val="00B72C63"/>
    <w:rsid w:val="00B72F0A"/>
    <w:rsid w:val="00B73283"/>
    <w:rsid w:val="00B73342"/>
    <w:rsid w:val="00B73412"/>
    <w:rsid w:val="00B73639"/>
    <w:rsid w:val="00B73760"/>
    <w:rsid w:val="00B73838"/>
    <w:rsid w:val="00B73AA8"/>
    <w:rsid w:val="00B73AE1"/>
    <w:rsid w:val="00B73B53"/>
    <w:rsid w:val="00B74BF2"/>
    <w:rsid w:val="00B75104"/>
    <w:rsid w:val="00B754DC"/>
    <w:rsid w:val="00B756DA"/>
    <w:rsid w:val="00B75B78"/>
    <w:rsid w:val="00B75CB8"/>
    <w:rsid w:val="00B75D77"/>
    <w:rsid w:val="00B75DF8"/>
    <w:rsid w:val="00B76045"/>
    <w:rsid w:val="00B76059"/>
    <w:rsid w:val="00B769B8"/>
    <w:rsid w:val="00B76C20"/>
    <w:rsid w:val="00B77191"/>
    <w:rsid w:val="00B77240"/>
    <w:rsid w:val="00B7735A"/>
    <w:rsid w:val="00B77489"/>
    <w:rsid w:val="00B777D3"/>
    <w:rsid w:val="00B77BCF"/>
    <w:rsid w:val="00B77C76"/>
    <w:rsid w:val="00B77F18"/>
    <w:rsid w:val="00B802F5"/>
    <w:rsid w:val="00B80611"/>
    <w:rsid w:val="00B8088E"/>
    <w:rsid w:val="00B80A68"/>
    <w:rsid w:val="00B80BD1"/>
    <w:rsid w:val="00B80DD6"/>
    <w:rsid w:val="00B80E6B"/>
    <w:rsid w:val="00B81488"/>
    <w:rsid w:val="00B816A5"/>
    <w:rsid w:val="00B816D4"/>
    <w:rsid w:val="00B817CF"/>
    <w:rsid w:val="00B81B8B"/>
    <w:rsid w:val="00B82125"/>
    <w:rsid w:val="00B8222B"/>
    <w:rsid w:val="00B8224B"/>
    <w:rsid w:val="00B82956"/>
    <w:rsid w:val="00B82E1D"/>
    <w:rsid w:val="00B82EB2"/>
    <w:rsid w:val="00B83003"/>
    <w:rsid w:val="00B8316D"/>
    <w:rsid w:val="00B833D2"/>
    <w:rsid w:val="00B83509"/>
    <w:rsid w:val="00B8382A"/>
    <w:rsid w:val="00B83A1E"/>
    <w:rsid w:val="00B83D97"/>
    <w:rsid w:val="00B83DAC"/>
    <w:rsid w:val="00B83DEA"/>
    <w:rsid w:val="00B83F87"/>
    <w:rsid w:val="00B840D2"/>
    <w:rsid w:val="00B842E7"/>
    <w:rsid w:val="00B84BF0"/>
    <w:rsid w:val="00B84FD5"/>
    <w:rsid w:val="00B85647"/>
    <w:rsid w:val="00B857DB"/>
    <w:rsid w:val="00B85847"/>
    <w:rsid w:val="00B859F1"/>
    <w:rsid w:val="00B85A14"/>
    <w:rsid w:val="00B85B62"/>
    <w:rsid w:val="00B860FD"/>
    <w:rsid w:val="00B862AB"/>
    <w:rsid w:val="00B864BD"/>
    <w:rsid w:val="00B867B7"/>
    <w:rsid w:val="00B86DFA"/>
    <w:rsid w:val="00B86E0A"/>
    <w:rsid w:val="00B87505"/>
    <w:rsid w:val="00B878B9"/>
    <w:rsid w:val="00B87A02"/>
    <w:rsid w:val="00B87AA8"/>
    <w:rsid w:val="00B87B5C"/>
    <w:rsid w:val="00B87C8A"/>
    <w:rsid w:val="00B87DBE"/>
    <w:rsid w:val="00B90755"/>
    <w:rsid w:val="00B90FD4"/>
    <w:rsid w:val="00B91917"/>
    <w:rsid w:val="00B91922"/>
    <w:rsid w:val="00B91AE6"/>
    <w:rsid w:val="00B91DE4"/>
    <w:rsid w:val="00B91EBE"/>
    <w:rsid w:val="00B9202D"/>
    <w:rsid w:val="00B92346"/>
    <w:rsid w:val="00B92353"/>
    <w:rsid w:val="00B9262B"/>
    <w:rsid w:val="00B926AF"/>
    <w:rsid w:val="00B927B3"/>
    <w:rsid w:val="00B929B7"/>
    <w:rsid w:val="00B92A2E"/>
    <w:rsid w:val="00B92A89"/>
    <w:rsid w:val="00B92DB5"/>
    <w:rsid w:val="00B930FD"/>
    <w:rsid w:val="00B939F2"/>
    <w:rsid w:val="00B93F4A"/>
    <w:rsid w:val="00B942A8"/>
    <w:rsid w:val="00B943B8"/>
    <w:rsid w:val="00B945F7"/>
    <w:rsid w:val="00B94640"/>
    <w:rsid w:val="00B948FA"/>
    <w:rsid w:val="00B94995"/>
    <w:rsid w:val="00B949CC"/>
    <w:rsid w:val="00B953CD"/>
    <w:rsid w:val="00B95D29"/>
    <w:rsid w:val="00B95DAE"/>
    <w:rsid w:val="00B95DFA"/>
    <w:rsid w:val="00B96108"/>
    <w:rsid w:val="00B9616B"/>
    <w:rsid w:val="00B9644D"/>
    <w:rsid w:val="00B966EF"/>
    <w:rsid w:val="00B96760"/>
    <w:rsid w:val="00B967AA"/>
    <w:rsid w:val="00B9684E"/>
    <w:rsid w:val="00B96B67"/>
    <w:rsid w:val="00B96D15"/>
    <w:rsid w:val="00B96E79"/>
    <w:rsid w:val="00B96FA3"/>
    <w:rsid w:val="00B9739E"/>
    <w:rsid w:val="00B977EF"/>
    <w:rsid w:val="00B97960"/>
    <w:rsid w:val="00B97EC6"/>
    <w:rsid w:val="00B97F46"/>
    <w:rsid w:val="00BA0461"/>
    <w:rsid w:val="00BA068F"/>
    <w:rsid w:val="00BA124F"/>
    <w:rsid w:val="00BA1BCD"/>
    <w:rsid w:val="00BA1EB5"/>
    <w:rsid w:val="00BA1F13"/>
    <w:rsid w:val="00BA2476"/>
    <w:rsid w:val="00BA27F2"/>
    <w:rsid w:val="00BA2DCD"/>
    <w:rsid w:val="00BA2FA1"/>
    <w:rsid w:val="00BA3524"/>
    <w:rsid w:val="00BA3545"/>
    <w:rsid w:val="00BA35AE"/>
    <w:rsid w:val="00BA3996"/>
    <w:rsid w:val="00BA3A1C"/>
    <w:rsid w:val="00BA3A4E"/>
    <w:rsid w:val="00BA3B78"/>
    <w:rsid w:val="00BA3E90"/>
    <w:rsid w:val="00BA3FB9"/>
    <w:rsid w:val="00BA414B"/>
    <w:rsid w:val="00BA4344"/>
    <w:rsid w:val="00BA455A"/>
    <w:rsid w:val="00BA46D9"/>
    <w:rsid w:val="00BA49E0"/>
    <w:rsid w:val="00BA4C6B"/>
    <w:rsid w:val="00BA4EC7"/>
    <w:rsid w:val="00BA4FD4"/>
    <w:rsid w:val="00BA5113"/>
    <w:rsid w:val="00BA5182"/>
    <w:rsid w:val="00BA53DE"/>
    <w:rsid w:val="00BA5697"/>
    <w:rsid w:val="00BA56A9"/>
    <w:rsid w:val="00BA5767"/>
    <w:rsid w:val="00BA5F69"/>
    <w:rsid w:val="00BA60E4"/>
    <w:rsid w:val="00BA6104"/>
    <w:rsid w:val="00BA6189"/>
    <w:rsid w:val="00BA6201"/>
    <w:rsid w:val="00BA62CB"/>
    <w:rsid w:val="00BA63EA"/>
    <w:rsid w:val="00BA64EE"/>
    <w:rsid w:val="00BA6985"/>
    <w:rsid w:val="00BA69D6"/>
    <w:rsid w:val="00BA6B82"/>
    <w:rsid w:val="00BA6D38"/>
    <w:rsid w:val="00BA6EA1"/>
    <w:rsid w:val="00BA6F76"/>
    <w:rsid w:val="00BA7034"/>
    <w:rsid w:val="00BA7071"/>
    <w:rsid w:val="00BA7128"/>
    <w:rsid w:val="00BA712E"/>
    <w:rsid w:val="00BA715C"/>
    <w:rsid w:val="00BA72A6"/>
    <w:rsid w:val="00BA744E"/>
    <w:rsid w:val="00BA751B"/>
    <w:rsid w:val="00BA76DC"/>
    <w:rsid w:val="00BA7810"/>
    <w:rsid w:val="00BA78A9"/>
    <w:rsid w:val="00BA7B67"/>
    <w:rsid w:val="00BB01B5"/>
    <w:rsid w:val="00BB0263"/>
    <w:rsid w:val="00BB0484"/>
    <w:rsid w:val="00BB08B9"/>
    <w:rsid w:val="00BB092E"/>
    <w:rsid w:val="00BB0C79"/>
    <w:rsid w:val="00BB0E50"/>
    <w:rsid w:val="00BB1122"/>
    <w:rsid w:val="00BB1147"/>
    <w:rsid w:val="00BB1219"/>
    <w:rsid w:val="00BB149C"/>
    <w:rsid w:val="00BB1991"/>
    <w:rsid w:val="00BB1B15"/>
    <w:rsid w:val="00BB1CAD"/>
    <w:rsid w:val="00BB2392"/>
    <w:rsid w:val="00BB23F9"/>
    <w:rsid w:val="00BB2909"/>
    <w:rsid w:val="00BB2B51"/>
    <w:rsid w:val="00BB3335"/>
    <w:rsid w:val="00BB33C7"/>
    <w:rsid w:val="00BB3529"/>
    <w:rsid w:val="00BB3599"/>
    <w:rsid w:val="00BB375B"/>
    <w:rsid w:val="00BB3D43"/>
    <w:rsid w:val="00BB407B"/>
    <w:rsid w:val="00BB4090"/>
    <w:rsid w:val="00BB40CD"/>
    <w:rsid w:val="00BB4392"/>
    <w:rsid w:val="00BB48A7"/>
    <w:rsid w:val="00BB4A23"/>
    <w:rsid w:val="00BB4BA9"/>
    <w:rsid w:val="00BB5479"/>
    <w:rsid w:val="00BB54BA"/>
    <w:rsid w:val="00BB57BC"/>
    <w:rsid w:val="00BB5C16"/>
    <w:rsid w:val="00BB5CE7"/>
    <w:rsid w:val="00BB5EC6"/>
    <w:rsid w:val="00BB6C5B"/>
    <w:rsid w:val="00BB7697"/>
    <w:rsid w:val="00BB7C9C"/>
    <w:rsid w:val="00BB7CE3"/>
    <w:rsid w:val="00BB7D8E"/>
    <w:rsid w:val="00BC001B"/>
    <w:rsid w:val="00BC03C3"/>
    <w:rsid w:val="00BC0F1B"/>
    <w:rsid w:val="00BC10A4"/>
    <w:rsid w:val="00BC15DD"/>
    <w:rsid w:val="00BC19FD"/>
    <w:rsid w:val="00BC1EBA"/>
    <w:rsid w:val="00BC1F12"/>
    <w:rsid w:val="00BC2003"/>
    <w:rsid w:val="00BC269F"/>
    <w:rsid w:val="00BC26AF"/>
    <w:rsid w:val="00BC27A4"/>
    <w:rsid w:val="00BC27A6"/>
    <w:rsid w:val="00BC2A96"/>
    <w:rsid w:val="00BC2B64"/>
    <w:rsid w:val="00BC2FF0"/>
    <w:rsid w:val="00BC33CB"/>
    <w:rsid w:val="00BC3466"/>
    <w:rsid w:val="00BC3555"/>
    <w:rsid w:val="00BC39F9"/>
    <w:rsid w:val="00BC3C27"/>
    <w:rsid w:val="00BC3DE3"/>
    <w:rsid w:val="00BC410E"/>
    <w:rsid w:val="00BC4120"/>
    <w:rsid w:val="00BC42CB"/>
    <w:rsid w:val="00BC4936"/>
    <w:rsid w:val="00BC4E33"/>
    <w:rsid w:val="00BC527D"/>
    <w:rsid w:val="00BC5313"/>
    <w:rsid w:val="00BC5393"/>
    <w:rsid w:val="00BC5481"/>
    <w:rsid w:val="00BC5721"/>
    <w:rsid w:val="00BC59DB"/>
    <w:rsid w:val="00BC5B32"/>
    <w:rsid w:val="00BC5BA5"/>
    <w:rsid w:val="00BC62A0"/>
    <w:rsid w:val="00BC63DB"/>
    <w:rsid w:val="00BC6694"/>
    <w:rsid w:val="00BC6838"/>
    <w:rsid w:val="00BC68A5"/>
    <w:rsid w:val="00BC6A6B"/>
    <w:rsid w:val="00BC6E65"/>
    <w:rsid w:val="00BC6F03"/>
    <w:rsid w:val="00BC7337"/>
    <w:rsid w:val="00BC77C9"/>
    <w:rsid w:val="00BC7A98"/>
    <w:rsid w:val="00BC7AC9"/>
    <w:rsid w:val="00BC7B77"/>
    <w:rsid w:val="00BC7BEF"/>
    <w:rsid w:val="00BD031E"/>
    <w:rsid w:val="00BD04F3"/>
    <w:rsid w:val="00BD056F"/>
    <w:rsid w:val="00BD06B5"/>
    <w:rsid w:val="00BD0A71"/>
    <w:rsid w:val="00BD0C36"/>
    <w:rsid w:val="00BD1283"/>
    <w:rsid w:val="00BD129E"/>
    <w:rsid w:val="00BD1463"/>
    <w:rsid w:val="00BD15E3"/>
    <w:rsid w:val="00BD18CF"/>
    <w:rsid w:val="00BD1AE3"/>
    <w:rsid w:val="00BD1BAD"/>
    <w:rsid w:val="00BD1CBD"/>
    <w:rsid w:val="00BD27B5"/>
    <w:rsid w:val="00BD2977"/>
    <w:rsid w:val="00BD2A28"/>
    <w:rsid w:val="00BD2B7B"/>
    <w:rsid w:val="00BD2DE9"/>
    <w:rsid w:val="00BD2E28"/>
    <w:rsid w:val="00BD2EA9"/>
    <w:rsid w:val="00BD2F8B"/>
    <w:rsid w:val="00BD2FA7"/>
    <w:rsid w:val="00BD312B"/>
    <w:rsid w:val="00BD3152"/>
    <w:rsid w:val="00BD34CD"/>
    <w:rsid w:val="00BD3A37"/>
    <w:rsid w:val="00BD3AA4"/>
    <w:rsid w:val="00BD3AEB"/>
    <w:rsid w:val="00BD3C24"/>
    <w:rsid w:val="00BD404D"/>
    <w:rsid w:val="00BD40DF"/>
    <w:rsid w:val="00BD410D"/>
    <w:rsid w:val="00BD4336"/>
    <w:rsid w:val="00BD4506"/>
    <w:rsid w:val="00BD45D5"/>
    <w:rsid w:val="00BD495F"/>
    <w:rsid w:val="00BD4F90"/>
    <w:rsid w:val="00BD55AE"/>
    <w:rsid w:val="00BD55EE"/>
    <w:rsid w:val="00BD5634"/>
    <w:rsid w:val="00BD56DA"/>
    <w:rsid w:val="00BD5801"/>
    <w:rsid w:val="00BD588C"/>
    <w:rsid w:val="00BD598B"/>
    <w:rsid w:val="00BD5B9F"/>
    <w:rsid w:val="00BD5CA2"/>
    <w:rsid w:val="00BD61F2"/>
    <w:rsid w:val="00BD6393"/>
    <w:rsid w:val="00BD691F"/>
    <w:rsid w:val="00BD6A37"/>
    <w:rsid w:val="00BD6D8E"/>
    <w:rsid w:val="00BD6FA5"/>
    <w:rsid w:val="00BD7266"/>
    <w:rsid w:val="00BD74A2"/>
    <w:rsid w:val="00BD7504"/>
    <w:rsid w:val="00BD7736"/>
    <w:rsid w:val="00BD7821"/>
    <w:rsid w:val="00BD7830"/>
    <w:rsid w:val="00BD7AAC"/>
    <w:rsid w:val="00BD7DD3"/>
    <w:rsid w:val="00BE0363"/>
    <w:rsid w:val="00BE03D0"/>
    <w:rsid w:val="00BE03F2"/>
    <w:rsid w:val="00BE0A27"/>
    <w:rsid w:val="00BE0D34"/>
    <w:rsid w:val="00BE0D82"/>
    <w:rsid w:val="00BE0DC9"/>
    <w:rsid w:val="00BE0F0F"/>
    <w:rsid w:val="00BE100D"/>
    <w:rsid w:val="00BE1150"/>
    <w:rsid w:val="00BE16AC"/>
    <w:rsid w:val="00BE1729"/>
    <w:rsid w:val="00BE18B9"/>
    <w:rsid w:val="00BE199F"/>
    <w:rsid w:val="00BE1A65"/>
    <w:rsid w:val="00BE1E46"/>
    <w:rsid w:val="00BE2132"/>
    <w:rsid w:val="00BE24C4"/>
    <w:rsid w:val="00BE2DDC"/>
    <w:rsid w:val="00BE2ECD"/>
    <w:rsid w:val="00BE2F6C"/>
    <w:rsid w:val="00BE3073"/>
    <w:rsid w:val="00BE329D"/>
    <w:rsid w:val="00BE35F1"/>
    <w:rsid w:val="00BE35FA"/>
    <w:rsid w:val="00BE38EF"/>
    <w:rsid w:val="00BE39F6"/>
    <w:rsid w:val="00BE3CB4"/>
    <w:rsid w:val="00BE44C6"/>
    <w:rsid w:val="00BE4AB4"/>
    <w:rsid w:val="00BE4BE1"/>
    <w:rsid w:val="00BE4D0F"/>
    <w:rsid w:val="00BE5108"/>
    <w:rsid w:val="00BE5159"/>
    <w:rsid w:val="00BE5897"/>
    <w:rsid w:val="00BE59A5"/>
    <w:rsid w:val="00BE5A78"/>
    <w:rsid w:val="00BE5CB8"/>
    <w:rsid w:val="00BE5DDC"/>
    <w:rsid w:val="00BE5E59"/>
    <w:rsid w:val="00BE5F6C"/>
    <w:rsid w:val="00BE60EE"/>
    <w:rsid w:val="00BE6311"/>
    <w:rsid w:val="00BE6313"/>
    <w:rsid w:val="00BE65D3"/>
    <w:rsid w:val="00BE68BE"/>
    <w:rsid w:val="00BE6A77"/>
    <w:rsid w:val="00BE6DBA"/>
    <w:rsid w:val="00BE6F70"/>
    <w:rsid w:val="00BE7AF7"/>
    <w:rsid w:val="00BE7F72"/>
    <w:rsid w:val="00BF0033"/>
    <w:rsid w:val="00BF033E"/>
    <w:rsid w:val="00BF0402"/>
    <w:rsid w:val="00BF0AA9"/>
    <w:rsid w:val="00BF0ABE"/>
    <w:rsid w:val="00BF0D60"/>
    <w:rsid w:val="00BF1292"/>
    <w:rsid w:val="00BF1623"/>
    <w:rsid w:val="00BF16B5"/>
    <w:rsid w:val="00BF1A1F"/>
    <w:rsid w:val="00BF1B51"/>
    <w:rsid w:val="00BF1EC0"/>
    <w:rsid w:val="00BF1F84"/>
    <w:rsid w:val="00BF2003"/>
    <w:rsid w:val="00BF20AD"/>
    <w:rsid w:val="00BF212F"/>
    <w:rsid w:val="00BF23FF"/>
    <w:rsid w:val="00BF2475"/>
    <w:rsid w:val="00BF250D"/>
    <w:rsid w:val="00BF25FC"/>
    <w:rsid w:val="00BF2B21"/>
    <w:rsid w:val="00BF2C7D"/>
    <w:rsid w:val="00BF3209"/>
    <w:rsid w:val="00BF3696"/>
    <w:rsid w:val="00BF3994"/>
    <w:rsid w:val="00BF3996"/>
    <w:rsid w:val="00BF3B41"/>
    <w:rsid w:val="00BF3BC3"/>
    <w:rsid w:val="00BF3C39"/>
    <w:rsid w:val="00BF3D84"/>
    <w:rsid w:val="00BF4032"/>
    <w:rsid w:val="00BF4334"/>
    <w:rsid w:val="00BF4488"/>
    <w:rsid w:val="00BF45B7"/>
    <w:rsid w:val="00BF4712"/>
    <w:rsid w:val="00BF4CFE"/>
    <w:rsid w:val="00BF4DA4"/>
    <w:rsid w:val="00BF4F13"/>
    <w:rsid w:val="00BF5903"/>
    <w:rsid w:val="00BF60CA"/>
    <w:rsid w:val="00BF6103"/>
    <w:rsid w:val="00BF61F2"/>
    <w:rsid w:val="00BF62B5"/>
    <w:rsid w:val="00BF652F"/>
    <w:rsid w:val="00BF65BD"/>
    <w:rsid w:val="00BF65FA"/>
    <w:rsid w:val="00BF6A89"/>
    <w:rsid w:val="00BF6CCA"/>
    <w:rsid w:val="00BF6E1B"/>
    <w:rsid w:val="00BF7231"/>
    <w:rsid w:val="00BF72F2"/>
    <w:rsid w:val="00BF76CD"/>
    <w:rsid w:val="00BF779B"/>
    <w:rsid w:val="00BF7910"/>
    <w:rsid w:val="00BF7A3F"/>
    <w:rsid w:val="00BF7AFC"/>
    <w:rsid w:val="00BF7B81"/>
    <w:rsid w:val="00BF7FC6"/>
    <w:rsid w:val="00BF7FEB"/>
    <w:rsid w:val="00C00127"/>
    <w:rsid w:val="00C0012C"/>
    <w:rsid w:val="00C0058A"/>
    <w:rsid w:val="00C00610"/>
    <w:rsid w:val="00C00685"/>
    <w:rsid w:val="00C00D3A"/>
    <w:rsid w:val="00C00EE8"/>
    <w:rsid w:val="00C00F46"/>
    <w:rsid w:val="00C01015"/>
    <w:rsid w:val="00C0134B"/>
    <w:rsid w:val="00C0135E"/>
    <w:rsid w:val="00C01A77"/>
    <w:rsid w:val="00C01D48"/>
    <w:rsid w:val="00C01F56"/>
    <w:rsid w:val="00C01FA4"/>
    <w:rsid w:val="00C0214E"/>
    <w:rsid w:val="00C022C2"/>
    <w:rsid w:val="00C025EE"/>
    <w:rsid w:val="00C0276B"/>
    <w:rsid w:val="00C02876"/>
    <w:rsid w:val="00C02A28"/>
    <w:rsid w:val="00C02AF1"/>
    <w:rsid w:val="00C02BA5"/>
    <w:rsid w:val="00C03193"/>
    <w:rsid w:val="00C0319C"/>
    <w:rsid w:val="00C033BC"/>
    <w:rsid w:val="00C036BD"/>
    <w:rsid w:val="00C036C2"/>
    <w:rsid w:val="00C0377B"/>
    <w:rsid w:val="00C03885"/>
    <w:rsid w:val="00C03C1E"/>
    <w:rsid w:val="00C03C33"/>
    <w:rsid w:val="00C03C65"/>
    <w:rsid w:val="00C0455C"/>
    <w:rsid w:val="00C04677"/>
    <w:rsid w:val="00C04A81"/>
    <w:rsid w:val="00C04C2B"/>
    <w:rsid w:val="00C04D41"/>
    <w:rsid w:val="00C04E7C"/>
    <w:rsid w:val="00C04F3D"/>
    <w:rsid w:val="00C051F9"/>
    <w:rsid w:val="00C0528B"/>
    <w:rsid w:val="00C0556D"/>
    <w:rsid w:val="00C05CC6"/>
    <w:rsid w:val="00C05E24"/>
    <w:rsid w:val="00C06062"/>
    <w:rsid w:val="00C06914"/>
    <w:rsid w:val="00C069C2"/>
    <w:rsid w:val="00C06CF3"/>
    <w:rsid w:val="00C06EED"/>
    <w:rsid w:val="00C06F98"/>
    <w:rsid w:val="00C06FE6"/>
    <w:rsid w:val="00C07227"/>
    <w:rsid w:val="00C07617"/>
    <w:rsid w:val="00C0778D"/>
    <w:rsid w:val="00C07AFF"/>
    <w:rsid w:val="00C07C9E"/>
    <w:rsid w:val="00C10185"/>
    <w:rsid w:val="00C10745"/>
    <w:rsid w:val="00C10820"/>
    <w:rsid w:val="00C10A0B"/>
    <w:rsid w:val="00C10A26"/>
    <w:rsid w:val="00C10BBB"/>
    <w:rsid w:val="00C10C18"/>
    <w:rsid w:val="00C10D19"/>
    <w:rsid w:val="00C114B1"/>
    <w:rsid w:val="00C11702"/>
    <w:rsid w:val="00C11914"/>
    <w:rsid w:val="00C11A9B"/>
    <w:rsid w:val="00C11CCD"/>
    <w:rsid w:val="00C12017"/>
    <w:rsid w:val="00C12400"/>
    <w:rsid w:val="00C12720"/>
    <w:rsid w:val="00C128AD"/>
    <w:rsid w:val="00C128F5"/>
    <w:rsid w:val="00C12ACC"/>
    <w:rsid w:val="00C12D44"/>
    <w:rsid w:val="00C1316B"/>
    <w:rsid w:val="00C133E6"/>
    <w:rsid w:val="00C1349D"/>
    <w:rsid w:val="00C13C99"/>
    <w:rsid w:val="00C13E64"/>
    <w:rsid w:val="00C13F0E"/>
    <w:rsid w:val="00C14156"/>
    <w:rsid w:val="00C14682"/>
    <w:rsid w:val="00C148B7"/>
    <w:rsid w:val="00C14CC9"/>
    <w:rsid w:val="00C14D73"/>
    <w:rsid w:val="00C14E66"/>
    <w:rsid w:val="00C1541C"/>
    <w:rsid w:val="00C1549F"/>
    <w:rsid w:val="00C1571A"/>
    <w:rsid w:val="00C158C8"/>
    <w:rsid w:val="00C158CB"/>
    <w:rsid w:val="00C158ED"/>
    <w:rsid w:val="00C15B2E"/>
    <w:rsid w:val="00C15C1F"/>
    <w:rsid w:val="00C15C6E"/>
    <w:rsid w:val="00C15CEE"/>
    <w:rsid w:val="00C15D3F"/>
    <w:rsid w:val="00C1640D"/>
    <w:rsid w:val="00C166D4"/>
    <w:rsid w:val="00C166DB"/>
    <w:rsid w:val="00C1676A"/>
    <w:rsid w:val="00C1684D"/>
    <w:rsid w:val="00C16C36"/>
    <w:rsid w:val="00C16D19"/>
    <w:rsid w:val="00C1703E"/>
    <w:rsid w:val="00C174A4"/>
    <w:rsid w:val="00C174AD"/>
    <w:rsid w:val="00C175D4"/>
    <w:rsid w:val="00C17729"/>
    <w:rsid w:val="00C17C6A"/>
    <w:rsid w:val="00C17D5C"/>
    <w:rsid w:val="00C17DCA"/>
    <w:rsid w:val="00C202E8"/>
    <w:rsid w:val="00C2055B"/>
    <w:rsid w:val="00C20857"/>
    <w:rsid w:val="00C20C8E"/>
    <w:rsid w:val="00C20E90"/>
    <w:rsid w:val="00C212A5"/>
    <w:rsid w:val="00C21727"/>
    <w:rsid w:val="00C21811"/>
    <w:rsid w:val="00C21963"/>
    <w:rsid w:val="00C219D5"/>
    <w:rsid w:val="00C21D2A"/>
    <w:rsid w:val="00C21EDE"/>
    <w:rsid w:val="00C21F77"/>
    <w:rsid w:val="00C22048"/>
    <w:rsid w:val="00C223C8"/>
    <w:rsid w:val="00C22476"/>
    <w:rsid w:val="00C224C4"/>
    <w:rsid w:val="00C22801"/>
    <w:rsid w:val="00C22B3B"/>
    <w:rsid w:val="00C22B9C"/>
    <w:rsid w:val="00C22BB2"/>
    <w:rsid w:val="00C2353D"/>
    <w:rsid w:val="00C238F0"/>
    <w:rsid w:val="00C23A38"/>
    <w:rsid w:val="00C23B17"/>
    <w:rsid w:val="00C23EC8"/>
    <w:rsid w:val="00C2439D"/>
    <w:rsid w:val="00C2458E"/>
    <w:rsid w:val="00C24650"/>
    <w:rsid w:val="00C24D8B"/>
    <w:rsid w:val="00C251F6"/>
    <w:rsid w:val="00C256DA"/>
    <w:rsid w:val="00C25816"/>
    <w:rsid w:val="00C259F3"/>
    <w:rsid w:val="00C25C94"/>
    <w:rsid w:val="00C25DF0"/>
    <w:rsid w:val="00C2624E"/>
    <w:rsid w:val="00C26377"/>
    <w:rsid w:val="00C26538"/>
    <w:rsid w:val="00C26768"/>
    <w:rsid w:val="00C26A4A"/>
    <w:rsid w:val="00C26F35"/>
    <w:rsid w:val="00C270A9"/>
    <w:rsid w:val="00C27143"/>
    <w:rsid w:val="00C27680"/>
    <w:rsid w:val="00C276A8"/>
    <w:rsid w:val="00C27B38"/>
    <w:rsid w:val="00C27D1D"/>
    <w:rsid w:val="00C30199"/>
    <w:rsid w:val="00C304CA"/>
    <w:rsid w:val="00C308C8"/>
    <w:rsid w:val="00C309FD"/>
    <w:rsid w:val="00C30C01"/>
    <w:rsid w:val="00C30D35"/>
    <w:rsid w:val="00C31259"/>
    <w:rsid w:val="00C312DA"/>
    <w:rsid w:val="00C3130D"/>
    <w:rsid w:val="00C3171A"/>
    <w:rsid w:val="00C31DDC"/>
    <w:rsid w:val="00C31E76"/>
    <w:rsid w:val="00C31EC4"/>
    <w:rsid w:val="00C320A7"/>
    <w:rsid w:val="00C3234B"/>
    <w:rsid w:val="00C329AD"/>
    <w:rsid w:val="00C329F4"/>
    <w:rsid w:val="00C32CE5"/>
    <w:rsid w:val="00C32DA9"/>
    <w:rsid w:val="00C32E19"/>
    <w:rsid w:val="00C32E43"/>
    <w:rsid w:val="00C32ED5"/>
    <w:rsid w:val="00C3303C"/>
    <w:rsid w:val="00C334EC"/>
    <w:rsid w:val="00C3375E"/>
    <w:rsid w:val="00C33864"/>
    <w:rsid w:val="00C33896"/>
    <w:rsid w:val="00C33938"/>
    <w:rsid w:val="00C33B9E"/>
    <w:rsid w:val="00C33C99"/>
    <w:rsid w:val="00C33DE0"/>
    <w:rsid w:val="00C33F07"/>
    <w:rsid w:val="00C3406E"/>
    <w:rsid w:val="00C34AD3"/>
    <w:rsid w:val="00C3517F"/>
    <w:rsid w:val="00C354BC"/>
    <w:rsid w:val="00C35704"/>
    <w:rsid w:val="00C3581D"/>
    <w:rsid w:val="00C35B48"/>
    <w:rsid w:val="00C35CDA"/>
    <w:rsid w:val="00C35E83"/>
    <w:rsid w:val="00C3604F"/>
    <w:rsid w:val="00C36438"/>
    <w:rsid w:val="00C3657E"/>
    <w:rsid w:val="00C369D1"/>
    <w:rsid w:val="00C36D39"/>
    <w:rsid w:val="00C36F83"/>
    <w:rsid w:val="00C373A0"/>
    <w:rsid w:val="00C374E8"/>
    <w:rsid w:val="00C37519"/>
    <w:rsid w:val="00C3770A"/>
    <w:rsid w:val="00C37748"/>
    <w:rsid w:val="00C377A4"/>
    <w:rsid w:val="00C377D4"/>
    <w:rsid w:val="00C379A6"/>
    <w:rsid w:val="00C37A33"/>
    <w:rsid w:val="00C37F64"/>
    <w:rsid w:val="00C37F88"/>
    <w:rsid w:val="00C404FB"/>
    <w:rsid w:val="00C407EF"/>
    <w:rsid w:val="00C40978"/>
    <w:rsid w:val="00C40AE4"/>
    <w:rsid w:val="00C40D56"/>
    <w:rsid w:val="00C40D8C"/>
    <w:rsid w:val="00C40FA4"/>
    <w:rsid w:val="00C4108B"/>
    <w:rsid w:val="00C4108E"/>
    <w:rsid w:val="00C41187"/>
    <w:rsid w:val="00C4247A"/>
    <w:rsid w:val="00C42B42"/>
    <w:rsid w:val="00C42BA3"/>
    <w:rsid w:val="00C42C63"/>
    <w:rsid w:val="00C42C9C"/>
    <w:rsid w:val="00C42CF2"/>
    <w:rsid w:val="00C42E30"/>
    <w:rsid w:val="00C42E80"/>
    <w:rsid w:val="00C42F85"/>
    <w:rsid w:val="00C431B8"/>
    <w:rsid w:val="00C43231"/>
    <w:rsid w:val="00C43342"/>
    <w:rsid w:val="00C43383"/>
    <w:rsid w:val="00C4351E"/>
    <w:rsid w:val="00C43597"/>
    <w:rsid w:val="00C435BD"/>
    <w:rsid w:val="00C43679"/>
    <w:rsid w:val="00C436C5"/>
    <w:rsid w:val="00C437F0"/>
    <w:rsid w:val="00C43AEE"/>
    <w:rsid w:val="00C43C03"/>
    <w:rsid w:val="00C44396"/>
    <w:rsid w:val="00C445C3"/>
    <w:rsid w:val="00C445E7"/>
    <w:rsid w:val="00C4480E"/>
    <w:rsid w:val="00C4499F"/>
    <w:rsid w:val="00C44B1E"/>
    <w:rsid w:val="00C44B2D"/>
    <w:rsid w:val="00C44FF2"/>
    <w:rsid w:val="00C45094"/>
    <w:rsid w:val="00C45095"/>
    <w:rsid w:val="00C454C7"/>
    <w:rsid w:val="00C4573F"/>
    <w:rsid w:val="00C45BEA"/>
    <w:rsid w:val="00C45C3F"/>
    <w:rsid w:val="00C45D05"/>
    <w:rsid w:val="00C45F82"/>
    <w:rsid w:val="00C46250"/>
    <w:rsid w:val="00C4628B"/>
    <w:rsid w:val="00C4640E"/>
    <w:rsid w:val="00C4647C"/>
    <w:rsid w:val="00C468CB"/>
    <w:rsid w:val="00C46B55"/>
    <w:rsid w:val="00C4712A"/>
    <w:rsid w:val="00C4716F"/>
    <w:rsid w:val="00C471C4"/>
    <w:rsid w:val="00C471CE"/>
    <w:rsid w:val="00C47501"/>
    <w:rsid w:val="00C47526"/>
    <w:rsid w:val="00C47705"/>
    <w:rsid w:val="00C47A67"/>
    <w:rsid w:val="00C47ACE"/>
    <w:rsid w:val="00C47CF4"/>
    <w:rsid w:val="00C502F1"/>
    <w:rsid w:val="00C5035D"/>
    <w:rsid w:val="00C514B4"/>
    <w:rsid w:val="00C514BB"/>
    <w:rsid w:val="00C514D3"/>
    <w:rsid w:val="00C51A90"/>
    <w:rsid w:val="00C51B14"/>
    <w:rsid w:val="00C51EFB"/>
    <w:rsid w:val="00C52018"/>
    <w:rsid w:val="00C52809"/>
    <w:rsid w:val="00C52866"/>
    <w:rsid w:val="00C52D6F"/>
    <w:rsid w:val="00C53767"/>
    <w:rsid w:val="00C537B9"/>
    <w:rsid w:val="00C53B98"/>
    <w:rsid w:val="00C53C52"/>
    <w:rsid w:val="00C53F6D"/>
    <w:rsid w:val="00C53F79"/>
    <w:rsid w:val="00C5458F"/>
    <w:rsid w:val="00C5472E"/>
    <w:rsid w:val="00C54885"/>
    <w:rsid w:val="00C54FDF"/>
    <w:rsid w:val="00C552CA"/>
    <w:rsid w:val="00C55443"/>
    <w:rsid w:val="00C55AB3"/>
    <w:rsid w:val="00C56001"/>
    <w:rsid w:val="00C56665"/>
    <w:rsid w:val="00C566C1"/>
    <w:rsid w:val="00C568BA"/>
    <w:rsid w:val="00C56C83"/>
    <w:rsid w:val="00C5704C"/>
    <w:rsid w:val="00C57307"/>
    <w:rsid w:val="00C5764E"/>
    <w:rsid w:val="00C57943"/>
    <w:rsid w:val="00C6006D"/>
    <w:rsid w:val="00C60108"/>
    <w:rsid w:val="00C601FD"/>
    <w:rsid w:val="00C60480"/>
    <w:rsid w:val="00C6096B"/>
    <w:rsid w:val="00C6099A"/>
    <w:rsid w:val="00C60ACA"/>
    <w:rsid w:val="00C60FF2"/>
    <w:rsid w:val="00C610C2"/>
    <w:rsid w:val="00C61543"/>
    <w:rsid w:val="00C615C0"/>
    <w:rsid w:val="00C617DA"/>
    <w:rsid w:val="00C617F8"/>
    <w:rsid w:val="00C618DF"/>
    <w:rsid w:val="00C61B2E"/>
    <w:rsid w:val="00C61BFC"/>
    <w:rsid w:val="00C61D06"/>
    <w:rsid w:val="00C62832"/>
    <w:rsid w:val="00C629FE"/>
    <w:rsid w:val="00C62A54"/>
    <w:rsid w:val="00C62CEE"/>
    <w:rsid w:val="00C62E9C"/>
    <w:rsid w:val="00C62FE8"/>
    <w:rsid w:val="00C63200"/>
    <w:rsid w:val="00C634AA"/>
    <w:rsid w:val="00C63AF0"/>
    <w:rsid w:val="00C63BD1"/>
    <w:rsid w:val="00C63C68"/>
    <w:rsid w:val="00C64070"/>
    <w:rsid w:val="00C640D4"/>
    <w:rsid w:val="00C64245"/>
    <w:rsid w:val="00C64256"/>
    <w:rsid w:val="00C644C9"/>
    <w:rsid w:val="00C64A54"/>
    <w:rsid w:val="00C64ADE"/>
    <w:rsid w:val="00C64C95"/>
    <w:rsid w:val="00C65445"/>
    <w:rsid w:val="00C65784"/>
    <w:rsid w:val="00C6579F"/>
    <w:rsid w:val="00C65886"/>
    <w:rsid w:val="00C658A0"/>
    <w:rsid w:val="00C65955"/>
    <w:rsid w:val="00C659E2"/>
    <w:rsid w:val="00C659E7"/>
    <w:rsid w:val="00C65A99"/>
    <w:rsid w:val="00C65AAA"/>
    <w:rsid w:val="00C65D04"/>
    <w:rsid w:val="00C65FF6"/>
    <w:rsid w:val="00C6603F"/>
    <w:rsid w:val="00C662B7"/>
    <w:rsid w:val="00C66362"/>
    <w:rsid w:val="00C66409"/>
    <w:rsid w:val="00C668AE"/>
    <w:rsid w:val="00C66B35"/>
    <w:rsid w:val="00C66F43"/>
    <w:rsid w:val="00C6710A"/>
    <w:rsid w:val="00C67217"/>
    <w:rsid w:val="00C67361"/>
    <w:rsid w:val="00C673EE"/>
    <w:rsid w:val="00C674D3"/>
    <w:rsid w:val="00C67666"/>
    <w:rsid w:val="00C6788E"/>
    <w:rsid w:val="00C67944"/>
    <w:rsid w:val="00C67A03"/>
    <w:rsid w:val="00C67B3A"/>
    <w:rsid w:val="00C67B44"/>
    <w:rsid w:val="00C67DC2"/>
    <w:rsid w:val="00C67E34"/>
    <w:rsid w:val="00C7001C"/>
    <w:rsid w:val="00C702B0"/>
    <w:rsid w:val="00C703DF"/>
    <w:rsid w:val="00C70613"/>
    <w:rsid w:val="00C7076A"/>
    <w:rsid w:val="00C7091F"/>
    <w:rsid w:val="00C7093D"/>
    <w:rsid w:val="00C70DCD"/>
    <w:rsid w:val="00C70E5D"/>
    <w:rsid w:val="00C7117E"/>
    <w:rsid w:val="00C711DD"/>
    <w:rsid w:val="00C71270"/>
    <w:rsid w:val="00C71503"/>
    <w:rsid w:val="00C71517"/>
    <w:rsid w:val="00C719DC"/>
    <w:rsid w:val="00C71A67"/>
    <w:rsid w:val="00C71E45"/>
    <w:rsid w:val="00C72179"/>
    <w:rsid w:val="00C72514"/>
    <w:rsid w:val="00C725BF"/>
    <w:rsid w:val="00C72BFC"/>
    <w:rsid w:val="00C72D6C"/>
    <w:rsid w:val="00C73D53"/>
    <w:rsid w:val="00C73ED1"/>
    <w:rsid w:val="00C73F76"/>
    <w:rsid w:val="00C7404D"/>
    <w:rsid w:val="00C7411B"/>
    <w:rsid w:val="00C741F3"/>
    <w:rsid w:val="00C743D6"/>
    <w:rsid w:val="00C74479"/>
    <w:rsid w:val="00C744D9"/>
    <w:rsid w:val="00C74546"/>
    <w:rsid w:val="00C74613"/>
    <w:rsid w:val="00C74698"/>
    <w:rsid w:val="00C7478B"/>
    <w:rsid w:val="00C747B6"/>
    <w:rsid w:val="00C74851"/>
    <w:rsid w:val="00C74905"/>
    <w:rsid w:val="00C74D49"/>
    <w:rsid w:val="00C750EC"/>
    <w:rsid w:val="00C750F8"/>
    <w:rsid w:val="00C753F1"/>
    <w:rsid w:val="00C7563F"/>
    <w:rsid w:val="00C75667"/>
    <w:rsid w:val="00C75901"/>
    <w:rsid w:val="00C75B1C"/>
    <w:rsid w:val="00C76403"/>
    <w:rsid w:val="00C764D5"/>
    <w:rsid w:val="00C7668B"/>
    <w:rsid w:val="00C768F5"/>
    <w:rsid w:val="00C76B39"/>
    <w:rsid w:val="00C76D44"/>
    <w:rsid w:val="00C76D8E"/>
    <w:rsid w:val="00C76D97"/>
    <w:rsid w:val="00C77260"/>
    <w:rsid w:val="00C772F0"/>
    <w:rsid w:val="00C77344"/>
    <w:rsid w:val="00C773D8"/>
    <w:rsid w:val="00C77AF1"/>
    <w:rsid w:val="00C77BB4"/>
    <w:rsid w:val="00C77D8B"/>
    <w:rsid w:val="00C77F65"/>
    <w:rsid w:val="00C80028"/>
    <w:rsid w:val="00C80236"/>
    <w:rsid w:val="00C80444"/>
    <w:rsid w:val="00C80626"/>
    <w:rsid w:val="00C80AEF"/>
    <w:rsid w:val="00C80F20"/>
    <w:rsid w:val="00C81023"/>
    <w:rsid w:val="00C81254"/>
    <w:rsid w:val="00C81261"/>
    <w:rsid w:val="00C81678"/>
    <w:rsid w:val="00C816E6"/>
    <w:rsid w:val="00C81B2E"/>
    <w:rsid w:val="00C81E48"/>
    <w:rsid w:val="00C824EF"/>
    <w:rsid w:val="00C825BE"/>
    <w:rsid w:val="00C82678"/>
    <w:rsid w:val="00C8291F"/>
    <w:rsid w:val="00C82C03"/>
    <w:rsid w:val="00C82C28"/>
    <w:rsid w:val="00C83449"/>
    <w:rsid w:val="00C83454"/>
    <w:rsid w:val="00C8358B"/>
    <w:rsid w:val="00C83C6D"/>
    <w:rsid w:val="00C83E17"/>
    <w:rsid w:val="00C83F70"/>
    <w:rsid w:val="00C843E3"/>
    <w:rsid w:val="00C84411"/>
    <w:rsid w:val="00C844B6"/>
    <w:rsid w:val="00C84A22"/>
    <w:rsid w:val="00C84C23"/>
    <w:rsid w:val="00C84E5E"/>
    <w:rsid w:val="00C85414"/>
    <w:rsid w:val="00C85870"/>
    <w:rsid w:val="00C85878"/>
    <w:rsid w:val="00C858C9"/>
    <w:rsid w:val="00C85A1E"/>
    <w:rsid w:val="00C85B6C"/>
    <w:rsid w:val="00C85DA9"/>
    <w:rsid w:val="00C8606E"/>
    <w:rsid w:val="00C860E5"/>
    <w:rsid w:val="00C864A2"/>
    <w:rsid w:val="00C86BED"/>
    <w:rsid w:val="00C871F6"/>
    <w:rsid w:val="00C875EE"/>
    <w:rsid w:val="00C87B65"/>
    <w:rsid w:val="00C87DAC"/>
    <w:rsid w:val="00C87ED2"/>
    <w:rsid w:val="00C90058"/>
    <w:rsid w:val="00C90598"/>
    <w:rsid w:val="00C90750"/>
    <w:rsid w:val="00C90DC1"/>
    <w:rsid w:val="00C9126B"/>
    <w:rsid w:val="00C912F6"/>
    <w:rsid w:val="00C9139F"/>
    <w:rsid w:val="00C91728"/>
    <w:rsid w:val="00C9182B"/>
    <w:rsid w:val="00C91DEC"/>
    <w:rsid w:val="00C9211E"/>
    <w:rsid w:val="00C9267B"/>
    <w:rsid w:val="00C927DB"/>
    <w:rsid w:val="00C92CF7"/>
    <w:rsid w:val="00C92D3E"/>
    <w:rsid w:val="00C9306F"/>
    <w:rsid w:val="00C932B3"/>
    <w:rsid w:val="00C936EF"/>
    <w:rsid w:val="00C93876"/>
    <w:rsid w:val="00C938CB"/>
    <w:rsid w:val="00C93BDE"/>
    <w:rsid w:val="00C93CA5"/>
    <w:rsid w:val="00C93FEB"/>
    <w:rsid w:val="00C9416C"/>
    <w:rsid w:val="00C943A5"/>
    <w:rsid w:val="00C94414"/>
    <w:rsid w:val="00C949DC"/>
    <w:rsid w:val="00C94BB3"/>
    <w:rsid w:val="00C94FB2"/>
    <w:rsid w:val="00C95195"/>
    <w:rsid w:val="00C955CF"/>
    <w:rsid w:val="00C95716"/>
    <w:rsid w:val="00C95795"/>
    <w:rsid w:val="00C95B57"/>
    <w:rsid w:val="00C9623D"/>
    <w:rsid w:val="00C963D8"/>
    <w:rsid w:val="00C964AD"/>
    <w:rsid w:val="00C965FD"/>
    <w:rsid w:val="00C9670F"/>
    <w:rsid w:val="00C96E6E"/>
    <w:rsid w:val="00C97355"/>
    <w:rsid w:val="00C97780"/>
    <w:rsid w:val="00C977BD"/>
    <w:rsid w:val="00C97B26"/>
    <w:rsid w:val="00C97F28"/>
    <w:rsid w:val="00CA0367"/>
    <w:rsid w:val="00CA03DD"/>
    <w:rsid w:val="00CA0707"/>
    <w:rsid w:val="00CA09C7"/>
    <w:rsid w:val="00CA0ABD"/>
    <w:rsid w:val="00CA0B5E"/>
    <w:rsid w:val="00CA0BED"/>
    <w:rsid w:val="00CA0D57"/>
    <w:rsid w:val="00CA201A"/>
    <w:rsid w:val="00CA2320"/>
    <w:rsid w:val="00CA2427"/>
    <w:rsid w:val="00CA244E"/>
    <w:rsid w:val="00CA25C5"/>
    <w:rsid w:val="00CA262F"/>
    <w:rsid w:val="00CA2636"/>
    <w:rsid w:val="00CA2834"/>
    <w:rsid w:val="00CA284E"/>
    <w:rsid w:val="00CA2A5B"/>
    <w:rsid w:val="00CA2EBD"/>
    <w:rsid w:val="00CA2EC0"/>
    <w:rsid w:val="00CA317C"/>
    <w:rsid w:val="00CA34C0"/>
    <w:rsid w:val="00CA38B2"/>
    <w:rsid w:val="00CA3919"/>
    <w:rsid w:val="00CA397D"/>
    <w:rsid w:val="00CA3A94"/>
    <w:rsid w:val="00CA4052"/>
    <w:rsid w:val="00CA42EB"/>
    <w:rsid w:val="00CA4B09"/>
    <w:rsid w:val="00CA4C82"/>
    <w:rsid w:val="00CA4F64"/>
    <w:rsid w:val="00CA529C"/>
    <w:rsid w:val="00CA55F4"/>
    <w:rsid w:val="00CA5B2D"/>
    <w:rsid w:val="00CA5BB8"/>
    <w:rsid w:val="00CA5DDC"/>
    <w:rsid w:val="00CA5EFB"/>
    <w:rsid w:val="00CA653C"/>
    <w:rsid w:val="00CA6DFD"/>
    <w:rsid w:val="00CA6F63"/>
    <w:rsid w:val="00CA7132"/>
    <w:rsid w:val="00CA74BA"/>
    <w:rsid w:val="00CA761A"/>
    <w:rsid w:val="00CA769C"/>
    <w:rsid w:val="00CA77D6"/>
    <w:rsid w:val="00CA7956"/>
    <w:rsid w:val="00CB003B"/>
    <w:rsid w:val="00CB05E8"/>
    <w:rsid w:val="00CB081B"/>
    <w:rsid w:val="00CB0866"/>
    <w:rsid w:val="00CB094E"/>
    <w:rsid w:val="00CB0C29"/>
    <w:rsid w:val="00CB0E72"/>
    <w:rsid w:val="00CB107E"/>
    <w:rsid w:val="00CB129A"/>
    <w:rsid w:val="00CB19A2"/>
    <w:rsid w:val="00CB1D67"/>
    <w:rsid w:val="00CB1F67"/>
    <w:rsid w:val="00CB1F80"/>
    <w:rsid w:val="00CB2309"/>
    <w:rsid w:val="00CB2370"/>
    <w:rsid w:val="00CB2513"/>
    <w:rsid w:val="00CB273A"/>
    <w:rsid w:val="00CB2B33"/>
    <w:rsid w:val="00CB2B6B"/>
    <w:rsid w:val="00CB2EEA"/>
    <w:rsid w:val="00CB3076"/>
    <w:rsid w:val="00CB39C4"/>
    <w:rsid w:val="00CB3BB8"/>
    <w:rsid w:val="00CB3BD3"/>
    <w:rsid w:val="00CB3BE5"/>
    <w:rsid w:val="00CB3BFD"/>
    <w:rsid w:val="00CB3BFE"/>
    <w:rsid w:val="00CB3D52"/>
    <w:rsid w:val="00CB3D81"/>
    <w:rsid w:val="00CB3F03"/>
    <w:rsid w:val="00CB427A"/>
    <w:rsid w:val="00CB44BD"/>
    <w:rsid w:val="00CB4769"/>
    <w:rsid w:val="00CB47A5"/>
    <w:rsid w:val="00CB48D4"/>
    <w:rsid w:val="00CB49E9"/>
    <w:rsid w:val="00CB4CC6"/>
    <w:rsid w:val="00CB4EC6"/>
    <w:rsid w:val="00CB51C4"/>
    <w:rsid w:val="00CB5254"/>
    <w:rsid w:val="00CB57A0"/>
    <w:rsid w:val="00CB5A1D"/>
    <w:rsid w:val="00CB5B69"/>
    <w:rsid w:val="00CB5E54"/>
    <w:rsid w:val="00CB606D"/>
    <w:rsid w:val="00CB6078"/>
    <w:rsid w:val="00CB63B5"/>
    <w:rsid w:val="00CB6507"/>
    <w:rsid w:val="00CB6510"/>
    <w:rsid w:val="00CB65A4"/>
    <w:rsid w:val="00CB66E2"/>
    <w:rsid w:val="00CB6840"/>
    <w:rsid w:val="00CB6AC7"/>
    <w:rsid w:val="00CB6C14"/>
    <w:rsid w:val="00CB6CC1"/>
    <w:rsid w:val="00CB7A57"/>
    <w:rsid w:val="00CB7B97"/>
    <w:rsid w:val="00CB7DBC"/>
    <w:rsid w:val="00CB7E0F"/>
    <w:rsid w:val="00CC0187"/>
    <w:rsid w:val="00CC04DE"/>
    <w:rsid w:val="00CC060B"/>
    <w:rsid w:val="00CC06BC"/>
    <w:rsid w:val="00CC0FA1"/>
    <w:rsid w:val="00CC13B2"/>
    <w:rsid w:val="00CC1813"/>
    <w:rsid w:val="00CC1B43"/>
    <w:rsid w:val="00CC1C3A"/>
    <w:rsid w:val="00CC1D9D"/>
    <w:rsid w:val="00CC24AF"/>
    <w:rsid w:val="00CC28B6"/>
    <w:rsid w:val="00CC2926"/>
    <w:rsid w:val="00CC2951"/>
    <w:rsid w:val="00CC2C24"/>
    <w:rsid w:val="00CC2F8D"/>
    <w:rsid w:val="00CC3685"/>
    <w:rsid w:val="00CC383E"/>
    <w:rsid w:val="00CC3AE0"/>
    <w:rsid w:val="00CC3D90"/>
    <w:rsid w:val="00CC40D5"/>
    <w:rsid w:val="00CC42BC"/>
    <w:rsid w:val="00CC4D86"/>
    <w:rsid w:val="00CC4EB7"/>
    <w:rsid w:val="00CC50A9"/>
    <w:rsid w:val="00CC5224"/>
    <w:rsid w:val="00CC54B5"/>
    <w:rsid w:val="00CC5614"/>
    <w:rsid w:val="00CC567C"/>
    <w:rsid w:val="00CC57BB"/>
    <w:rsid w:val="00CC6024"/>
    <w:rsid w:val="00CC6605"/>
    <w:rsid w:val="00CC675F"/>
    <w:rsid w:val="00CC68FB"/>
    <w:rsid w:val="00CC6A4D"/>
    <w:rsid w:val="00CC7167"/>
    <w:rsid w:val="00CC75C1"/>
    <w:rsid w:val="00CC76C3"/>
    <w:rsid w:val="00CC7C08"/>
    <w:rsid w:val="00CC7CF6"/>
    <w:rsid w:val="00CC7D2E"/>
    <w:rsid w:val="00CC7FDA"/>
    <w:rsid w:val="00CD040D"/>
    <w:rsid w:val="00CD05C1"/>
    <w:rsid w:val="00CD05F5"/>
    <w:rsid w:val="00CD0623"/>
    <w:rsid w:val="00CD063C"/>
    <w:rsid w:val="00CD0812"/>
    <w:rsid w:val="00CD0992"/>
    <w:rsid w:val="00CD1074"/>
    <w:rsid w:val="00CD1161"/>
    <w:rsid w:val="00CD1997"/>
    <w:rsid w:val="00CD1A8E"/>
    <w:rsid w:val="00CD2690"/>
    <w:rsid w:val="00CD275E"/>
    <w:rsid w:val="00CD2D77"/>
    <w:rsid w:val="00CD2DED"/>
    <w:rsid w:val="00CD2EA4"/>
    <w:rsid w:val="00CD3040"/>
    <w:rsid w:val="00CD3146"/>
    <w:rsid w:val="00CD33FE"/>
    <w:rsid w:val="00CD3474"/>
    <w:rsid w:val="00CD3927"/>
    <w:rsid w:val="00CD3CDB"/>
    <w:rsid w:val="00CD3D8F"/>
    <w:rsid w:val="00CD3FB7"/>
    <w:rsid w:val="00CD43EB"/>
    <w:rsid w:val="00CD4CA1"/>
    <w:rsid w:val="00CD4D81"/>
    <w:rsid w:val="00CD4E82"/>
    <w:rsid w:val="00CD4F7B"/>
    <w:rsid w:val="00CD50C6"/>
    <w:rsid w:val="00CD52E8"/>
    <w:rsid w:val="00CD53C4"/>
    <w:rsid w:val="00CD547D"/>
    <w:rsid w:val="00CD5629"/>
    <w:rsid w:val="00CD57E9"/>
    <w:rsid w:val="00CD5CC9"/>
    <w:rsid w:val="00CD5ED4"/>
    <w:rsid w:val="00CD607F"/>
    <w:rsid w:val="00CD6395"/>
    <w:rsid w:val="00CD6BE4"/>
    <w:rsid w:val="00CD6C3C"/>
    <w:rsid w:val="00CD6DD7"/>
    <w:rsid w:val="00CD6F7B"/>
    <w:rsid w:val="00CD6F7F"/>
    <w:rsid w:val="00CD7067"/>
    <w:rsid w:val="00CD719E"/>
    <w:rsid w:val="00CD74B0"/>
    <w:rsid w:val="00CD7565"/>
    <w:rsid w:val="00CD7759"/>
    <w:rsid w:val="00CD78B2"/>
    <w:rsid w:val="00CD7AED"/>
    <w:rsid w:val="00CD7D28"/>
    <w:rsid w:val="00CD7D80"/>
    <w:rsid w:val="00CD7F5A"/>
    <w:rsid w:val="00CE000E"/>
    <w:rsid w:val="00CE0186"/>
    <w:rsid w:val="00CE04CE"/>
    <w:rsid w:val="00CE04D3"/>
    <w:rsid w:val="00CE094E"/>
    <w:rsid w:val="00CE0D71"/>
    <w:rsid w:val="00CE0D7C"/>
    <w:rsid w:val="00CE0F7A"/>
    <w:rsid w:val="00CE1408"/>
    <w:rsid w:val="00CE16D3"/>
    <w:rsid w:val="00CE18C3"/>
    <w:rsid w:val="00CE1C4B"/>
    <w:rsid w:val="00CE1EE6"/>
    <w:rsid w:val="00CE22F2"/>
    <w:rsid w:val="00CE290D"/>
    <w:rsid w:val="00CE2C5E"/>
    <w:rsid w:val="00CE2D03"/>
    <w:rsid w:val="00CE2DB3"/>
    <w:rsid w:val="00CE2F86"/>
    <w:rsid w:val="00CE2FDB"/>
    <w:rsid w:val="00CE3591"/>
    <w:rsid w:val="00CE3E01"/>
    <w:rsid w:val="00CE404B"/>
    <w:rsid w:val="00CE4D18"/>
    <w:rsid w:val="00CE4ECE"/>
    <w:rsid w:val="00CE5096"/>
    <w:rsid w:val="00CE509E"/>
    <w:rsid w:val="00CE52BA"/>
    <w:rsid w:val="00CE53F8"/>
    <w:rsid w:val="00CE5468"/>
    <w:rsid w:val="00CE5487"/>
    <w:rsid w:val="00CE6878"/>
    <w:rsid w:val="00CE6C78"/>
    <w:rsid w:val="00CE7A32"/>
    <w:rsid w:val="00CE7C83"/>
    <w:rsid w:val="00CE7CAB"/>
    <w:rsid w:val="00CE7EC2"/>
    <w:rsid w:val="00CF01B0"/>
    <w:rsid w:val="00CF0BA3"/>
    <w:rsid w:val="00CF0BF5"/>
    <w:rsid w:val="00CF0F57"/>
    <w:rsid w:val="00CF1358"/>
    <w:rsid w:val="00CF18C9"/>
    <w:rsid w:val="00CF1A5B"/>
    <w:rsid w:val="00CF1C10"/>
    <w:rsid w:val="00CF1CC8"/>
    <w:rsid w:val="00CF1CF7"/>
    <w:rsid w:val="00CF1FD8"/>
    <w:rsid w:val="00CF2187"/>
    <w:rsid w:val="00CF21D8"/>
    <w:rsid w:val="00CF235B"/>
    <w:rsid w:val="00CF26C4"/>
    <w:rsid w:val="00CF277D"/>
    <w:rsid w:val="00CF3107"/>
    <w:rsid w:val="00CF33C6"/>
    <w:rsid w:val="00CF3B6A"/>
    <w:rsid w:val="00CF3FE8"/>
    <w:rsid w:val="00CF404B"/>
    <w:rsid w:val="00CF4251"/>
    <w:rsid w:val="00CF43E7"/>
    <w:rsid w:val="00CF4470"/>
    <w:rsid w:val="00CF44A5"/>
    <w:rsid w:val="00CF4A64"/>
    <w:rsid w:val="00CF4E75"/>
    <w:rsid w:val="00CF538C"/>
    <w:rsid w:val="00CF58BA"/>
    <w:rsid w:val="00CF59AB"/>
    <w:rsid w:val="00CF60EE"/>
    <w:rsid w:val="00CF6426"/>
    <w:rsid w:val="00CF6618"/>
    <w:rsid w:val="00CF6638"/>
    <w:rsid w:val="00CF670E"/>
    <w:rsid w:val="00CF6770"/>
    <w:rsid w:val="00CF69F8"/>
    <w:rsid w:val="00CF6AC5"/>
    <w:rsid w:val="00CF6D32"/>
    <w:rsid w:val="00CF6FCA"/>
    <w:rsid w:val="00CF70D9"/>
    <w:rsid w:val="00CF71B8"/>
    <w:rsid w:val="00CF7367"/>
    <w:rsid w:val="00CF7381"/>
    <w:rsid w:val="00CF7605"/>
    <w:rsid w:val="00CF78E0"/>
    <w:rsid w:val="00CF7A3C"/>
    <w:rsid w:val="00CF7C57"/>
    <w:rsid w:val="00CF7E0C"/>
    <w:rsid w:val="00CF7F1D"/>
    <w:rsid w:val="00D000D3"/>
    <w:rsid w:val="00D00384"/>
    <w:rsid w:val="00D0051D"/>
    <w:rsid w:val="00D00600"/>
    <w:rsid w:val="00D00790"/>
    <w:rsid w:val="00D00931"/>
    <w:rsid w:val="00D00C4D"/>
    <w:rsid w:val="00D00DCE"/>
    <w:rsid w:val="00D0123A"/>
    <w:rsid w:val="00D014D9"/>
    <w:rsid w:val="00D01741"/>
    <w:rsid w:val="00D01AC5"/>
    <w:rsid w:val="00D01C57"/>
    <w:rsid w:val="00D01C8C"/>
    <w:rsid w:val="00D01FA4"/>
    <w:rsid w:val="00D0213B"/>
    <w:rsid w:val="00D0219C"/>
    <w:rsid w:val="00D0231E"/>
    <w:rsid w:val="00D024D3"/>
    <w:rsid w:val="00D029F6"/>
    <w:rsid w:val="00D02A04"/>
    <w:rsid w:val="00D03274"/>
    <w:rsid w:val="00D03339"/>
    <w:rsid w:val="00D0342E"/>
    <w:rsid w:val="00D034D6"/>
    <w:rsid w:val="00D041EE"/>
    <w:rsid w:val="00D04211"/>
    <w:rsid w:val="00D04261"/>
    <w:rsid w:val="00D04438"/>
    <w:rsid w:val="00D044F8"/>
    <w:rsid w:val="00D04670"/>
    <w:rsid w:val="00D04A04"/>
    <w:rsid w:val="00D052E1"/>
    <w:rsid w:val="00D05371"/>
    <w:rsid w:val="00D05B2A"/>
    <w:rsid w:val="00D05BCA"/>
    <w:rsid w:val="00D05BE4"/>
    <w:rsid w:val="00D05C74"/>
    <w:rsid w:val="00D05DBD"/>
    <w:rsid w:val="00D05E0C"/>
    <w:rsid w:val="00D06679"/>
    <w:rsid w:val="00D06825"/>
    <w:rsid w:val="00D06A31"/>
    <w:rsid w:val="00D06BBD"/>
    <w:rsid w:val="00D0704E"/>
    <w:rsid w:val="00D07D39"/>
    <w:rsid w:val="00D07D9C"/>
    <w:rsid w:val="00D07EC0"/>
    <w:rsid w:val="00D1023E"/>
    <w:rsid w:val="00D10411"/>
    <w:rsid w:val="00D107A5"/>
    <w:rsid w:val="00D10A78"/>
    <w:rsid w:val="00D11061"/>
    <w:rsid w:val="00D114DA"/>
    <w:rsid w:val="00D11B59"/>
    <w:rsid w:val="00D1207F"/>
    <w:rsid w:val="00D12431"/>
    <w:rsid w:val="00D125F4"/>
    <w:rsid w:val="00D12ACF"/>
    <w:rsid w:val="00D12C2F"/>
    <w:rsid w:val="00D12CE7"/>
    <w:rsid w:val="00D12EF6"/>
    <w:rsid w:val="00D13277"/>
    <w:rsid w:val="00D133EB"/>
    <w:rsid w:val="00D13870"/>
    <w:rsid w:val="00D13AB1"/>
    <w:rsid w:val="00D13F16"/>
    <w:rsid w:val="00D14473"/>
    <w:rsid w:val="00D1473B"/>
    <w:rsid w:val="00D14A99"/>
    <w:rsid w:val="00D14FE9"/>
    <w:rsid w:val="00D15568"/>
    <w:rsid w:val="00D1559E"/>
    <w:rsid w:val="00D155C2"/>
    <w:rsid w:val="00D15838"/>
    <w:rsid w:val="00D15DB4"/>
    <w:rsid w:val="00D1683D"/>
    <w:rsid w:val="00D16900"/>
    <w:rsid w:val="00D16E88"/>
    <w:rsid w:val="00D16F00"/>
    <w:rsid w:val="00D16F56"/>
    <w:rsid w:val="00D170B7"/>
    <w:rsid w:val="00D179BA"/>
    <w:rsid w:val="00D17BE1"/>
    <w:rsid w:val="00D17C81"/>
    <w:rsid w:val="00D17C9E"/>
    <w:rsid w:val="00D17DDA"/>
    <w:rsid w:val="00D17F48"/>
    <w:rsid w:val="00D200A2"/>
    <w:rsid w:val="00D2012A"/>
    <w:rsid w:val="00D2054A"/>
    <w:rsid w:val="00D20687"/>
    <w:rsid w:val="00D208A9"/>
    <w:rsid w:val="00D20E49"/>
    <w:rsid w:val="00D214C9"/>
    <w:rsid w:val="00D2165E"/>
    <w:rsid w:val="00D21A43"/>
    <w:rsid w:val="00D21A81"/>
    <w:rsid w:val="00D21C2C"/>
    <w:rsid w:val="00D21EE7"/>
    <w:rsid w:val="00D21F78"/>
    <w:rsid w:val="00D2206B"/>
    <w:rsid w:val="00D22231"/>
    <w:rsid w:val="00D22703"/>
    <w:rsid w:val="00D2293E"/>
    <w:rsid w:val="00D22CBD"/>
    <w:rsid w:val="00D22CF1"/>
    <w:rsid w:val="00D23250"/>
    <w:rsid w:val="00D23721"/>
    <w:rsid w:val="00D23845"/>
    <w:rsid w:val="00D238BF"/>
    <w:rsid w:val="00D24026"/>
    <w:rsid w:val="00D24170"/>
    <w:rsid w:val="00D2421C"/>
    <w:rsid w:val="00D24387"/>
    <w:rsid w:val="00D24778"/>
    <w:rsid w:val="00D24977"/>
    <w:rsid w:val="00D249D3"/>
    <w:rsid w:val="00D24AC3"/>
    <w:rsid w:val="00D24E2C"/>
    <w:rsid w:val="00D24E78"/>
    <w:rsid w:val="00D250D4"/>
    <w:rsid w:val="00D252B0"/>
    <w:rsid w:val="00D26092"/>
    <w:rsid w:val="00D26211"/>
    <w:rsid w:val="00D2688B"/>
    <w:rsid w:val="00D26B39"/>
    <w:rsid w:val="00D26CDC"/>
    <w:rsid w:val="00D26E95"/>
    <w:rsid w:val="00D2719B"/>
    <w:rsid w:val="00D2732F"/>
    <w:rsid w:val="00D2763D"/>
    <w:rsid w:val="00D27653"/>
    <w:rsid w:val="00D276B8"/>
    <w:rsid w:val="00D279C8"/>
    <w:rsid w:val="00D27ABD"/>
    <w:rsid w:val="00D27AE9"/>
    <w:rsid w:val="00D27BF1"/>
    <w:rsid w:val="00D27CE5"/>
    <w:rsid w:val="00D27F51"/>
    <w:rsid w:val="00D306E6"/>
    <w:rsid w:val="00D30785"/>
    <w:rsid w:val="00D308EC"/>
    <w:rsid w:val="00D309DF"/>
    <w:rsid w:val="00D30B9D"/>
    <w:rsid w:val="00D31269"/>
    <w:rsid w:val="00D312B1"/>
    <w:rsid w:val="00D31316"/>
    <w:rsid w:val="00D31483"/>
    <w:rsid w:val="00D31505"/>
    <w:rsid w:val="00D316FC"/>
    <w:rsid w:val="00D31779"/>
    <w:rsid w:val="00D31F27"/>
    <w:rsid w:val="00D31F42"/>
    <w:rsid w:val="00D3204B"/>
    <w:rsid w:val="00D321A1"/>
    <w:rsid w:val="00D32366"/>
    <w:rsid w:val="00D32598"/>
    <w:rsid w:val="00D326D3"/>
    <w:rsid w:val="00D32763"/>
    <w:rsid w:val="00D3292C"/>
    <w:rsid w:val="00D32DB3"/>
    <w:rsid w:val="00D3329E"/>
    <w:rsid w:val="00D333F7"/>
    <w:rsid w:val="00D33582"/>
    <w:rsid w:val="00D337D3"/>
    <w:rsid w:val="00D337DD"/>
    <w:rsid w:val="00D33B55"/>
    <w:rsid w:val="00D33C58"/>
    <w:rsid w:val="00D33EAE"/>
    <w:rsid w:val="00D340F3"/>
    <w:rsid w:val="00D34303"/>
    <w:rsid w:val="00D3441F"/>
    <w:rsid w:val="00D34877"/>
    <w:rsid w:val="00D34BE7"/>
    <w:rsid w:val="00D35568"/>
    <w:rsid w:val="00D355E9"/>
    <w:rsid w:val="00D35B49"/>
    <w:rsid w:val="00D35DD6"/>
    <w:rsid w:val="00D35E9E"/>
    <w:rsid w:val="00D35EB1"/>
    <w:rsid w:val="00D35FEE"/>
    <w:rsid w:val="00D36088"/>
    <w:rsid w:val="00D36427"/>
    <w:rsid w:val="00D36445"/>
    <w:rsid w:val="00D36770"/>
    <w:rsid w:val="00D36B0B"/>
    <w:rsid w:val="00D36FFD"/>
    <w:rsid w:val="00D37157"/>
    <w:rsid w:val="00D372C0"/>
    <w:rsid w:val="00D372F0"/>
    <w:rsid w:val="00D376E4"/>
    <w:rsid w:val="00D37786"/>
    <w:rsid w:val="00D37C78"/>
    <w:rsid w:val="00D37CDF"/>
    <w:rsid w:val="00D37ECC"/>
    <w:rsid w:val="00D37F6D"/>
    <w:rsid w:val="00D4021E"/>
    <w:rsid w:val="00D40AAD"/>
    <w:rsid w:val="00D40ADF"/>
    <w:rsid w:val="00D40C96"/>
    <w:rsid w:val="00D40DED"/>
    <w:rsid w:val="00D40FBA"/>
    <w:rsid w:val="00D40FF0"/>
    <w:rsid w:val="00D41170"/>
    <w:rsid w:val="00D414EC"/>
    <w:rsid w:val="00D41601"/>
    <w:rsid w:val="00D417D9"/>
    <w:rsid w:val="00D41BCB"/>
    <w:rsid w:val="00D41E75"/>
    <w:rsid w:val="00D41EA9"/>
    <w:rsid w:val="00D41FAB"/>
    <w:rsid w:val="00D4205B"/>
    <w:rsid w:val="00D4207C"/>
    <w:rsid w:val="00D42482"/>
    <w:rsid w:val="00D42A9E"/>
    <w:rsid w:val="00D42BDF"/>
    <w:rsid w:val="00D43105"/>
    <w:rsid w:val="00D43696"/>
    <w:rsid w:val="00D4397D"/>
    <w:rsid w:val="00D43BCE"/>
    <w:rsid w:val="00D43ED5"/>
    <w:rsid w:val="00D44152"/>
    <w:rsid w:val="00D44578"/>
    <w:rsid w:val="00D447A5"/>
    <w:rsid w:val="00D4486D"/>
    <w:rsid w:val="00D44B0F"/>
    <w:rsid w:val="00D44D7E"/>
    <w:rsid w:val="00D45623"/>
    <w:rsid w:val="00D45678"/>
    <w:rsid w:val="00D45B3D"/>
    <w:rsid w:val="00D45DE3"/>
    <w:rsid w:val="00D45F6A"/>
    <w:rsid w:val="00D4627C"/>
    <w:rsid w:val="00D46942"/>
    <w:rsid w:val="00D469F3"/>
    <w:rsid w:val="00D46B06"/>
    <w:rsid w:val="00D47265"/>
    <w:rsid w:val="00D473EE"/>
    <w:rsid w:val="00D47518"/>
    <w:rsid w:val="00D47540"/>
    <w:rsid w:val="00D4798C"/>
    <w:rsid w:val="00D479FB"/>
    <w:rsid w:val="00D47D59"/>
    <w:rsid w:val="00D47EB2"/>
    <w:rsid w:val="00D504AD"/>
    <w:rsid w:val="00D50732"/>
    <w:rsid w:val="00D50B92"/>
    <w:rsid w:val="00D50F95"/>
    <w:rsid w:val="00D51568"/>
    <w:rsid w:val="00D5186C"/>
    <w:rsid w:val="00D51A35"/>
    <w:rsid w:val="00D51B9C"/>
    <w:rsid w:val="00D51C89"/>
    <w:rsid w:val="00D51EF1"/>
    <w:rsid w:val="00D51F46"/>
    <w:rsid w:val="00D52793"/>
    <w:rsid w:val="00D5285E"/>
    <w:rsid w:val="00D52DFF"/>
    <w:rsid w:val="00D5312B"/>
    <w:rsid w:val="00D53606"/>
    <w:rsid w:val="00D538D4"/>
    <w:rsid w:val="00D53C4E"/>
    <w:rsid w:val="00D53CEC"/>
    <w:rsid w:val="00D53DB7"/>
    <w:rsid w:val="00D54420"/>
    <w:rsid w:val="00D54478"/>
    <w:rsid w:val="00D546F4"/>
    <w:rsid w:val="00D5494C"/>
    <w:rsid w:val="00D5499A"/>
    <w:rsid w:val="00D549DE"/>
    <w:rsid w:val="00D54A07"/>
    <w:rsid w:val="00D54E18"/>
    <w:rsid w:val="00D55049"/>
    <w:rsid w:val="00D55062"/>
    <w:rsid w:val="00D550F9"/>
    <w:rsid w:val="00D55485"/>
    <w:rsid w:val="00D556CD"/>
    <w:rsid w:val="00D556D6"/>
    <w:rsid w:val="00D55952"/>
    <w:rsid w:val="00D55C34"/>
    <w:rsid w:val="00D55F45"/>
    <w:rsid w:val="00D560E2"/>
    <w:rsid w:val="00D5624B"/>
    <w:rsid w:val="00D5643B"/>
    <w:rsid w:val="00D56519"/>
    <w:rsid w:val="00D56838"/>
    <w:rsid w:val="00D568C2"/>
    <w:rsid w:val="00D56BCB"/>
    <w:rsid w:val="00D56C58"/>
    <w:rsid w:val="00D56C8F"/>
    <w:rsid w:val="00D56EA0"/>
    <w:rsid w:val="00D57078"/>
    <w:rsid w:val="00D570E5"/>
    <w:rsid w:val="00D602B4"/>
    <w:rsid w:val="00D605D4"/>
    <w:rsid w:val="00D60646"/>
    <w:rsid w:val="00D60832"/>
    <w:rsid w:val="00D608CA"/>
    <w:rsid w:val="00D60AAD"/>
    <w:rsid w:val="00D60BCA"/>
    <w:rsid w:val="00D60D8A"/>
    <w:rsid w:val="00D61093"/>
    <w:rsid w:val="00D6179A"/>
    <w:rsid w:val="00D619A8"/>
    <w:rsid w:val="00D61A66"/>
    <w:rsid w:val="00D61D3D"/>
    <w:rsid w:val="00D622E1"/>
    <w:rsid w:val="00D622E6"/>
    <w:rsid w:val="00D6268C"/>
    <w:rsid w:val="00D629D2"/>
    <w:rsid w:val="00D6301F"/>
    <w:rsid w:val="00D632E4"/>
    <w:rsid w:val="00D6340F"/>
    <w:rsid w:val="00D6351E"/>
    <w:rsid w:val="00D638DA"/>
    <w:rsid w:val="00D63E1C"/>
    <w:rsid w:val="00D63ED7"/>
    <w:rsid w:val="00D63F93"/>
    <w:rsid w:val="00D641A1"/>
    <w:rsid w:val="00D64257"/>
    <w:rsid w:val="00D642AF"/>
    <w:rsid w:val="00D648A4"/>
    <w:rsid w:val="00D64A06"/>
    <w:rsid w:val="00D64C88"/>
    <w:rsid w:val="00D64CF7"/>
    <w:rsid w:val="00D64D2C"/>
    <w:rsid w:val="00D64EDB"/>
    <w:rsid w:val="00D652F9"/>
    <w:rsid w:val="00D65366"/>
    <w:rsid w:val="00D659AF"/>
    <w:rsid w:val="00D66507"/>
    <w:rsid w:val="00D666D0"/>
    <w:rsid w:val="00D66976"/>
    <w:rsid w:val="00D66CD8"/>
    <w:rsid w:val="00D6729E"/>
    <w:rsid w:val="00D6737E"/>
    <w:rsid w:val="00D673BF"/>
    <w:rsid w:val="00D674D0"/>
    <w:rsid w:val="00D67555"/>
    <w:rsid w:val="00D67926"/>
    <w:rsid w:val="00D67DC2"/>
    <w:rsid w:val="00D706C9"/>
    <w:rsid w:val="00D70864"/>
    <w:rsid w:val="00D70944"/>
    <w:rsid w:val="00D70956"/>
    <w:rsid w:val="00D70B57"/>
    <w:rsid w:val="00D70B91"/>
    <w:rsid w:val="00D70F92"/>
    <w:rsid w:val="00D712B6"/>
    <w:rsid w:val="00D713B0"/>
    <w:rsid w:val="00D71422"/>
    <w:rsid w:val="00D714E6"/>
    <w:rsid w:val="00D71BDA"/>
    <w:rsid w:val="00D71C4E"/>
    <w:rsid w:val="00D71CD2"/>
    <w:rsid w:val="00D71E80"/>
    <w:rsid w:val="00D722FA"/>
    <w:rsid w:val="00D72579"/>
    <w:rsid w:val="00D72588"/>
    <w:rsid w:val="00D72ACA"/>
    <w:rsid w:val="00D72B15"/>
    <w:rsid w:val="00D72C6E"/>
    <w:rsid w:val="00D72DB5"/>
    <w:rsid w:val="00D731F1"/>
    <w:rsid w:val="00D7325E"/>
    <w:rsid w:val="00D73640"/>
    <w:rsid w:val="00D73A18"/>
    <w:rsid w:val="00D73A3C"/>
    <w:rsid w:val="00D73C01"/>
    <w:rsid w:val="00D73CB2"/>
    <w:rsid w:val="00D741EE"/>
    <w:rsid w:val="00D74238"/>
    <w:rsid w:val="00D746AF"/>
    <w:rsid w:val="00D74A5D"/>
    <w:rsid w:val="00D74C72"/>
    <w:rsid w:val="00D7501F"/>
    <w:rsid w:val="00D757BE"/>
    <w:rsid w:val="00D75E70"/>
    <w:rsid w:val="00D75E85"/>
    <w:rsid w:val="00D761E5"/>
    <w:rsid w:val="00D766E7"/>
    <w:rsid w:val="00D7688E"/>
    <w:rsid w:val="00D76E4D"/>
    <w:rsid w:val="00D77310"/>
    <w:rsid w:val="00D7760C"/>
    <w:rsid w:val="00D779F4"/>
    <w:rsid w:val="00D77A8A"/>
    <w:rsid w:val="00D77BAA"/>
    <w:rsid w:val="00D77E95"/>
    <w:rsid w:val="00D77F06"/>
    <w:rsid w:val="00D800CC"/>
    <w:rsid w:val="00D804CA"/>
    <w:rsid w:val="00D80B43"/>
    <w:rsid w:val="00D80BF7"/>
    <w:rsid w:val="00D812A7"/>
    <w:rsid w:val="00D81EAF"/>
    <w:rsid w:val="00D82172"/>
    <w:rsid w:val="00D824F1"/>
    <w:rsid w:val="00D82884"/>
    <w:rsid w:val="00D8288F"/>
    <w:rsid w:val="00D828E5"/>
    <w:rsid w:val="00D82981"/>
    <w:rsid w:val="00D829AA"/>
    <w:rsid w:val="00D82A30"/>
    <w:rsid w:val="00D82C62"/>
    <w:rsid w:val="00D833AB"/>
    <w:rsid w:val="00D834C8"/>
    <w:rsid w:val="00D83ADE"/>
    <w:rsid w:val="00D84A49"/>
    <w:rsid w:val="00D84BF4"/>
    <w:rsid w:val="00D84CE2"/>
    <w:rsid w:val="00D84F5E"/>
    <w:rsid w:val="00D84F68"/>
    <w:rsid w:val="00D85376"/>
    <w:rsid w:val="00D854B8"/>
    <w:rsid w:val="00D855C4"/>
    <w:rsid w:val="00D85BE9"/>
    <w:rsid w:val="00D86586"/>
    <w:rsid w:val="00D866AF"/>
    <w:rsid w:val="00D86967"/>
    <w:rsid w:val="00D86B28"/>
    <w:rsid w:val="00D86F07"/>
    <w:rsid w:val="00D8712D"/>
    <w:rsid w:val="00D8791A"/>
    <w:rsid w:val="00D87AAE"/>
    <w:rsid w:val="00D90030"/>
    <w:rsid w:val="00D90181"/>
    <w:rsid w:val="00D901C5"/>
    <w:rsid w:val="00D90317"/>
    <w:rsid w:val="00D905D6"/>
    <w:rsid w:val="00D90959"/>
    <w:rsid w:val="00D90AE4"/>
    <w:rsid w:val="00D90FD9"/>
    <w:rsid w:val="00D9104A"/>
    <w:rsid w:val="00D91115"/>
    <w:rsid w:val="00D91331"/>
    <w:rsid w:val="00D9149E"/>
    <w:rsid w:val="00D917A0"/>
    <w:rsid w:val="00D9182C"/>
    <w:rsid w:val="00D918DB"/>
    <w:rsid w:val="00D91D06"/>
    <w:rsid w:val="00D923AD"/>
    <w:rsid w:val="00D923ED"/>
    <w:rsid w:val="00D92530"/>
    <w:rsid w:val="00D928C3"/>
    <w:rsid w:val="00D92D28"/>
    <w:rsid w:val="00D92FD4"/>
    <w:rsid w:val="00D931B9"/>
    <w:rsid w:val="00D932DB"/>
    <w:rsid w:val="00D9372F"/>
    <w:rsid w:val="00D93B55"/>
    <w:rsid w:val="00D93CC6"/>
    <w:rsid w:val="00D93D40"/>
    <w:rsid w:val="00D93D78"/>
    <w:rsid w:val="00D93E7F"/>
    <w:rsid w:val="00D93F28"/>
    <w:rsid w:val="00D94507"/>
    <w:rsid w:val="00D9454D"/>
    <w:rsid w:val="00D94633"/>
    <w:rsid w:val="00D94669"/>
    <w:rsid w:val="00D946EA"/>
    <w:rsid w:val="00D94709"/>
    <w:rsid w:val="00D947B9"/>
    <w:rsid w:val="00D948E3"/>
    <w:rsid w:val="00D94984"/>
    <w:rsid w:val="00D949A0"/>
    <w:rsid w:val="00D95057"/>
    <w:rsid w:val="00D956E2"/>
    <w:rsid w:val="00D957EF"/>
    <w:rsid w:val="00D95901"/>
    <w:rsid w:val="00D9596A"/>
    <w:rsid w:val="00D95BE2"/>
    <w:rsid w:val="00D9606E"/>
    <w:rsid w:val="00D96141"/>
    <w:rsid w:val="00D962B1"/>
    <w:rsid w:val="00D96466"/>
    <w:rsid w:val="00D96657"/>
    <w:rsid w:val="00D966FE"/>
    <w:rsid w:val="00D96DB9"/>
    <w:rsid w:val="00D96ED1"/>
    <w:rsid w:val="00D97122"/>
    <w:rsid w:val="00D97D80"/>
    <w:rsid w:val="00DA01F3"/>
    <w:rsid w:val="00DA023C"/>
    <w:rsid w:val="00DA043C"/>
    <w:rsid w:val="00DA04DC"/>
    <w:rsid w:val="00DA061E"/>
    <w:rsid w:val="00DA0F28"/>
    <w:rsid w:val="00DA11F6"/>
    <w:rsid w:val="00DA17FB"/>
    <w:rsid w:val="00DA1858"/>
    <w:rsid w:val="00DA1A01"/>
    <w:rsid w:val="00DA1CBA"/>
    <w:rsid w:val="00DA1D04"/>
    <w:rsid w:val="00DA1FBD"/>
    <w:rsid w:val="00DA2AFD"/>
    <w:rsid w:val="00DA2F91"/>
    <w:rsid w:val="00DA34F2"/>
    <w:rsid w:val="00DA3BFE"/>
    <w:rsid w:val="00DA3F1A"/>
    <w:rsid w:val="00DA4046"/>
    <w:rsid w:val="00DA426E"/>
    <w:rsid w:val="00DA430A"/>
    <w:rsid w:val="00DA43D9"/>
    <w:rsid w:val="00DA4606"/>
    <w:rsid w:val="00DA4633"/>
    <w:rsid w:val="00DA47AC"/>
    <w:rsid w:val="00DA4875"/>
    <w:rsid w:val="00DA48CF"/>
    <w:rsid w:val="00DA4D99"/>
    <w:rsid w:val="00DA60A2"/>
    <w:rsid w:val="00DA6384"/>
    <w:rsid w:val="00DA6AC2"/>
    <w:rsid w:val="00DA6B92"/>
    <w:rsid w:val="00DA6C36"/>
    <w:rsid w:val="00DA6C56"/>
    <w:rsid w:val="00DA6C6B"/>
    <w:rsid w:val="00DA7064"/>
    <w:rsid w:val="00DA73BF"/>
    <w:rsid w:val="00DA7491"/>
    <w:rsid w:val="00DA758A"/>
    <w:rsid w:val="00DA762C"/>
    <w:rsid w:val="00DA7AA9"/>
    <w:rsid w:val="00DA7BDF"/>
    <w:rsid w:val="00DA7D14"/>
    <w:rsid w:val="00DA7D99"/>
    <w:rsid w:val="00DB0026"/>
    <w:rsid w:val="00DB01BC"/>
    <w:rsid w:val="00DB0409"/>
    <w:rsid w:val="00DB0AC0"/>
    <w:rsid w:val="00DB0D30"/>
    <w:rsid w:val="00DB1178"/>
    <w:rsid w:val="00DB1558"/>
    <w:rsid w:val="00DB1B6A"/>
    <w:rsid w:val="00DB1BDB"/>
    <w:rsid w:val="00DB1BF2"/>
    <w:rsid w:val="00DB2052"/>
    <w:rsid w:val="00DB21A6"/>
    <w:rsid w:val="00DB21B3"/>
    <w:rsid w:val="00DB2759"/>
    <w:rsid w:val="00DB27B4"/>
    <w:rsid w:val="00DB3176"/>
    <w:rsid w:val="00DB3604"/>
    <w:rsid w:val="00DB3614"/>
    <w:rsid w:val="00DB3EE0"/>
    <w:rsid w:val="00DB3FEB"/>
    <w:rsid w:val="00DB425B"/>
    <w:rsid w:val="00DB42C9"/>
    <w:rsid w:val="00DB4A6F"/>
    <w:rsid w:val="00DB4D7E"/>
    <w:rsid w:val="00DB4DAE"/>
    <w:rsid w:val="00DB52CC"/>
    <w:rsid w:val="00DB5314"/>
    <w:rsid w:val="00DB56E9"/>
    <w:rsid w:val="00DB5787"/>
    <w:rsid w:val="00DB5AD3"/>
    <w:rsid w:val="00DB5BCD"/>
    <w:rsid w:val="00DB5FCF"/>
    <w:rsid w:val="00DB614E"/>
    <w:rsid w:val="00DB61C7"/>
    <w:rsid w:val="00DB62DC"/>
    <w:rsid w:val="00DB6400"/>
    <w:rsid w:val="00DB662C"/>
    <w:rsid w:val="00DB69B6"/>
    <w:rsid w:val="00DB6B15"/>
    <w:rsid w:val="00DB6BCF"/>
    <w:rsid w:val="00DB6F85"/>
    <w:rsid w:val="00DB7571"/>
    <w:rsid w:val="00DB782C"/>
    <w:rsid w:val="00DB7931"/>
    <w:rsid w:val="00DB7AD6"/>
    <w:rsid w:val="00DB7BA6"/>
    <w:rsid w:val="00DB7C45"/>
    <w:rsid w:val="00DC03CC"/>
    <w:rsid w:val="00DC04E8"/>
    <w:rsid w:val="00DC060A"/>
    <w:rsid w:val="00DC09E6"/>
    <w:rsid w:val="00DC09ED"/>
    <w:rsid w:val="00DC0F1B"/>
    <w:rsid w:val="00DC1101"/>
    <w:rsid w:val="00DC11E3"/>
    <w:rsid w:val="00DC1227"/>
    <w:rsid w:val="00DC12D9"/>
    <w:rsid w:val="00DC1345"/>
    <w:rsid w:val="00DC1447"/>
    <w:rsid w:val="00DC16E2"/>
    <w:rsid w:val="00DC16F3"/>
    <w:rsid w:val="00DC1844"/>
    <w:rsid w:val="00DC18EC"/>
    <w:rsid w:val="00DC1C00"/>
    <w:rsid w:val="00DC1D88"/>
    <w:rsid w:val="00DC210A"/>
    <w:rsid w:val="00DC2C09"/>
    <w:rsid w:val="00DC3009"/>
    <w:rsid w:val="00DC3180"/>
    <w:rsid w:val="00DC3215"/>
    <w:rsid w:val="00DC369F"/>
    <w:rsid w:val="00DC398D"/>
    <w:rsid w:val="00DC3AFD"/>
    <w:rsid w:val="00DC4298"/>
    <w:rsid w:val="00DC42AE"/>
    <w:rsid w:val="00DC44DC"/>
    <w:rsid w:val="00DC4816"/>
    <w:rsid w:val="00DC4B67"/>
    <w:rsid w:val="00DC584C"/>
    <w:rsid w:val="00DC5878"/>
    <w:rsid w:val="00DC5A06"/>
    <w:rsid w:val="00DC5C14"/>
    <w:rsid w:val="00DC603D"/>
    <w:rsid w:val="00DC60DB"/>
    <w:rsid w:val="00DC64BA"/>
    <w:rsid w:val="00DC66CE"/>
    <w:rsid w:val="00DC68ED"/>
    <w:rsid w:val="00DC6B04"/>
    <w:rsid w:val="00DC6C9E"/>
    <w:rsid w:val="00DC6D7A"/>
    <w:rsid w:val="00DC70C5"/>
    <w:rsid w:val="00DC71D1"/>
    <w:rsid w:val="00DC7508"/>
    <w:rsid w:val="00DC7539"/>
    <w:rsid w:val="00DC77A5"/>
    <w:rsid w:val="00DC77AE"/>
    <w:rsid w:val="00DC7AF5"/>
    <w:rsid w:val="00DC7B4D"/>
    <w:rsid w:val="00DC7CAF"/>
    <w:rsid w:val="00DC7E7F"/>
    <w:rsid w:val="00DD00BC"/>
    <w:rsid w:val="00DD0273"/>
    <w:rsid w:val="00DD0431"/>
    <w:rsid w:val="00DD04E4"/>
    <w:rsid w:val="00DD060E"/>
    <w:rsid w:val="00DD0ACB"/>
    <w:rsid w:val="00DD0B79"/>
    <w:rsid w:val="00DD1083"/>
    <w:rsid w:val="00DD12CF"/>
    <w:rsid w:val="00DD1360"/>
    <w:rsid w:val="00DD146A"/>
    <w:rsid w:val="00DD18F0"/>
    <w:rsid w:val="00DD1A16"/>
    <w:rsid w:val="00DD1B7F"/>
    <w:rsid w:val="00DD1EA5"/>
    <w:rsid w:val="00DD1F60"/>
    <w:rsid w:val="00DD2912"/>
    <w:rsid w:val="00DD2925"/>
    <w:rsid w:val="00DD294F"/>
    <w:rsid w:val="00DD2BA5"/>
    <w:rsid w:val="00DD2CAF"/>
    <w:rsid w:val="00DD2DEC"/>
    <w:rsid w:val="00DD341B"/>
    <w:rsid w:val="00DD367A"/>
    <w:rsid w:val="00DD3682"/>
    <w:rsid w:val="00DD37B5"/>
    <w:rsid w:val="00DD386A"/>
    <w:rsid w:val="00DD38C1"/>
    <w:rsid w:val="00DD3BE7"/>
    <w:rsid w:val="00DD4041"/>
    <w:rsid w:val="00DD4135"/>
    <w:rsid w:val="00DD4559"/>
    <w:rsid w:val="00DD4636"/>
    <w:rsid w:val="00DD47C1"/>
    <w:rsid w:val="00DD48AB"/>
    <w:rsid w:val="00DD4AA3"/>
    <w:rsid w:val="00DD4D13"/>
    <w:rsid w:val="00DD56C1"/>
    <w:rsid w:val="00DD5789"/>
    <w:rsid w:val="00DD58B7"/>
    <w:rsid w:val="00DD5A45"/>
    <w:rsid w:val="00DD5B92"/>
    <w:rsid w:val="00DD5F32"/>
    <w:rsid w:val="00DD6233"/>
    <w:rsid w:val="00DD694E"/>
    <w:rsid w:val="00DD694F"/>
    <w:rsid w:val="00DD6983"/>
    <w:rsid w:val="00DD7082"/>
    <w:rsid w:val="00DD773B"/>
    <w:rsid w:val="00DD7B99"/>
    <w:rsid w:val="00DD7DA8"/>
    <w:rsid w:val="00DE0076"/>
    <w:rsid w:val="00DE03B4"/>
    <w:rsid w:val="00DE03D1"/>
    <w:rsid w:val="00DE0436"/>
    <w:rsid w:val="00DE05AE"/>
    <w:rsid w:val="00DE06F3"/>
    <w:rsid w:val="00DE08CE"/>
    <w:rsid w:val="00DE0AA2"/>
    <w:rsid w:val="00DE0B36"/>
    <w:rsid w:val="00DE0FCC"/>
    <w:rsid w:val="00DE102B"/>
    <w:rsid w:val="00DE1408"/>
    <w:rsid w:val="00DE16DF"/>
    <w:rsid w:val="00DE1C8C"/>
    <w:rsid w:val="00DE1F3E"/>
    <w:rsid w:val="00DE1F7C"/>
    <w:rsid w:val="00DE27BB"/>
    <w:rsid w:val="00DE28F4"/>
    <w:rsid w:val="00DE2A3C"/>
    <w:rsid w:val="00DE2B28"/>
    <w:rsid w:val="00DE2B7D"/>
    <w:rsid w:val="00DE2BC9"/>
    <w:rsid w:val="00DE2C93"/>
    <w:rsid w:val="00DE2FDB"/>
    <w:rsid w:val="00DE3087"/>
    <w:rsid w:val="00DE30D7"/>
    <w:rsid w:val="00DE3387"/>
    <w:rsid w:val="00DE365E"/>
    <w:rsid w:val="00DE3989"/>
    <w:rsid w:val="00DE3BAD"/>
    <w:rsid w:val="00DE3CC3"/>
    <w:rsid w:val="00DE3FB4"/>
    <w:rsid w:val="00DE4003"/>
    <w:rsid w:val="00DE423A"/>
    <w:rsid w:val="00DE445D"/>
    <w:rsid w:val="00DE47CC"/>
    <w:rsid w:val="00DE4B43"/>
    <w:rsid w:val="00DE4E6F"/>
    <w:rsid w:val="00DE515D"/>
    <w:rsid w:val="00DE59E0"/>
    <w:rsid w:val="00DE5B06"/>
    <w:rsid w:val="00DE5BF4"/>
    <w:rsid w:val="00DE6212"/>
    <w:rsid w:val="00DE62C9"/>
    <w:rsid w:val="00DE6629"/>
    <w:rsid w:val="00DE66E3"/>
    <w:rsid w:val="00DE6CD3"/>
    <w:rsid w:val="00DE6FB7"/>
    <w:rsid w:val="00DE7B7A"/>
    <w:rsid w:val="00DE7E76"/>
    <w:rsid w:val="00DF0587"/>
    <w:rsid w:val="00DF07E2"/>
    <w:rsid w:val="00DF08A3"/>
    <w:rsid w:val="00DF0AC9"/>
    <w:rsid w:val="00DF116D"/>
    <w:rsid w:val="00DF1866"/>
    <w:rsid w:val="00DF188A"/>
    <w:rsid w:val="00DF18BA"/>
    <w:rsid w:val="00DF1C88"/>
    <w:rsid w:val="00DF1FCA"/>
    <w:rsid w:val="00DF2031"/>
    <w:rsid w:val="00DF2434"/>
    <w:rsid w:val="00DF2A3A"/>
    <w:rsid w:val="00DF2B25"/>
    <w:rsid w:val="00DF2BC7"/>
    <w:rsid w:val="00DF2DDD"/>
    <w:rsid w:val="00DF2F62"/>
    <w:rsid w:val="00DF2F6C"/>
    <w:rsid w:val="00DF32DF"/>
    <w:rsid w:val="00DF3720"/>
    <w:rsid w:val="00DF39B6"/>
    <w:rsid w:val="00DF3BBA"/>
    <w:rsid w:val="00DF3F49"/>
    <w:rsid w:val="00DF4347"/>
    <w:rsid w:val="00DF4FFB"/>
    <w:rsid w:val="00DF5270"/>
    <w:rsid w:val="00DF54CB"/>
    <w:rsid w:val="00DF58EB"/>
    <w:rsid w:val="00DF5B6F"/>
    <w:rsid w:val="00DF5CCE"/>
    <w:rsid w:val="00DF5D0A"/>
    <w:rsid w:val="00DF5D89"/>
    <w:rsid w:val="00DF5F63"/>
    <w:rsid w:val="00DF6965"/>
    <w:rsid w:val="00DF6CCC"/>
    <w:rsid w:val="00DF6D16"/>
    <w:rsid w:val="00DF7043"/>
    <w:rsid w:val="00DF7397"/>
    <w:rsid w:val="00DF7843"/>
    <w:rsid w:val="00DF7A17"/>
    <w:rsid w:val="00DF7F7E"/>
    <w:rsid w:val="00E0010F"/>
    <w:rsid w:val="00E00194"/>
    <w:rsid w:val="00E00241"/>
    <w:rsid w:val="00E002A4"/>
    <w:rsid w:val="00E002B8"/>
    <w:rsid w:val="00E00580"/>
    <w:rsid w:val="00E0074D"/>
    <w:rsid w:val="00E00B27"/>
    <w:rsid w:val="00E00F26"/>
    <w:rsid w:val="00E00FEE"/>
    <w:rsid w:val="00E0100F"/>
    <w:rsid w:val="00E01039"/>
    <w:rsid w:val="00E0155C"/>
    <w:rsid w:val="00E0169B"/>
    <w:rsid w:val="00E01AF2"/>
    <w:rsid w:val="00E01F74"/>
    <w:rsid w:val="00E02089"/>
    <w:rsid w:val="00E02A51"/>
    <w:rsid w:val="00E02C1D"/>
    <w:rsid w:val="00E03216"/>
    <w:rsid w:val="00E0339C"/>
    <w:rsid w:val="00E034E1"/>
    <w:rsid w:val="00E034E4"/>
    <w:rsid w:val="00E03504"/>
    <w:rsid w:val="00E035A4"/>
    <w:rsid w:val="00E037FC"/>
    <w:rsid w:val="00E03A7B"/>
    <w:rsid w:val="00E03C44"/>
    <w:rsid w:val="00E03CA2"/>
    <w:rsid w:val="00E03D47"/>
    <w:rsid w:val="00E040EE"/>
    <w:rsid w:val="00E04591"/>
    <w:rsid w:val="00E0495F"/>
    <w:rsid w:val="00E04AB9"/>
    <w:rsid w:val="00E04B02"/>
    <w:rsid w:val="00E04CD4"/>
    <w:rsid w:val="00E04D8B"/>
    <w:rsid w:val="00E052E8"/>
    <w:rsid w:val="00E05363"/>
    <w:rsid w:val="00E05460"/>
    <w:rsid w:val="00E05574"/>
    <w:rsid w:val="00E05A2E"/>
    <w:rsid w:val="00E05B72"/>
    <w:rsid w:val="00E05CF6"/>
    <w:rsid w:val="00E05D53"/>
    <w:rsid w:val="00E05F04"/>
    <w:rsid w:val="00E06094"/>
    <w:rsid w:val="00E064E2"/>
    <w:rsid w:val="00E0663F"/>
    <w:rsid w:val="00E06BC5"/>
    <w:rsid w:val="00E06C2E"/>
    <w:rsid w:val="00E06C6E"/>
    <w:rsid w:val="00E06DB6"/>
    <w:rsid w:val="00E07084"/>
    <w:rsid w:val="00E07233"/>
    <w:rsid w:val="00E072FC"/>
    <w:rsid w:val="00E07549"/>
    <w:rsid w:val="00E07863"/>
    <w:rsid w:val="00E0791C"/>
    <w:rsid w:val="00E07A4C"/>
    <w:rsid w:val="00E07A97"/>
    <w:rsid w:val="00E1004B"/>
    <w:rsid w:val="00E10818"/>
    <w:rsid w:val="00E10A56"/>
    <w:rsid w:val="00E10DE9"/>
    <w:rsid w:val="00E11553"/>
    <w:rsid w:val="00E11A1D"/>
    <w:rsid w:val="00E11C0C"/>
    <w:rsid w:val="00E12153"/>
    <w:rsid w:val="00E12322"/>
    <w:rsid w:val="00E123BA"/>
    <w:rsid w:val="00E124F4"/>
    <w:rsid w:val="00E12696"/>
    <w:rsid w:val="00E1284E"/>
    <w:rsid w:val="00E12DED"/>
    <w:rsid w:val="00E12FBF"/>
    <w:rsid w:val="00E132C4"/>
    <w:rsid w:val="00E13E6C"/>
    <w:rsid w:val="00E13FF9"/>
    <w:rsid w:val="00E147C8"/>
    <w:rsid w:val="00E14884"/>
    <w:rsid w:val="00E148A7"/>
    <w:rsid w:val="00E149BE"/>
    <w:rsid w:val="00E14C1E"/>
    <w:rsid w:val="00E14C94"/>
    <w:rsid w:val="00E14DA3"/>
    <w:rsid w:val="00E14E59"/>
    <w:rsid w:val="00E1506F"/>
    <w:rsid w:val="00E153B4"/>
    <w:rsid w:val="00E154EF"/>
    <w:rsid w:val="00E15CBB"/>
    <w:rsid w:val="00E15D13"/>
    <w:rsid w:val="00E16A24"/>
    <w:rsid w:val="00E16A74"/>
    <w:rsid w:val="00E16CC4"/>
    <w:rsid w:val="00E16D8D"/>
    <w:rsid w:val="00E170E5"/>
    <w:rsid w:val="00E17899"/>
    <w:rsid w:val="00E1789A"/>
    <w:rsid w:val="00E17A27"/>
    <w:rsid w:val="00E17B3A"/>
    <w:rsid w:val="00E204E4"/>
    <w:rsid w:val="00E207B2"/>
    <w:rsid w:val="00E208DF"/>
    <w:rsid w:val="00E20C20"/>
    <w:rsid w:val="00E20CFE"/>
    <w:rsid w:val="00E20EEE"/>
    <w:rsid w:val="00E21086"/>
    <w:rsid w:val="00E21481"/>
    <w:rsid w:val="00E215EB"/>
    <w:rsid w:val="00E216C5"/>
    <w:rsid w:val="00E21A6B"/>
    <w:rsid w:val="00E21B04"/>
    <w:rsid w:val="00E21CC5"/>
    <w:rsid w:val="00E21DD8"/>
    <w:rsid w:val="00E22029"/>
    <w:rsid w:val="00E220AC"/>
    <w:rsid w:val="00E22137"/>
    <w:rsid w:val="00E223DB"/>
    <w:rsid w:val="00E22587"/>
    <w:rsid w:val="00E22AF7"/>
    <w:rsid w:val="00E22B81"/>
    <w:rsid w:val="00E22BFE"/>
    <w:rsid w:val="00E22C86"/>
    <w:rsid w:val="00E22EFE"/>
    <w:rsid w:val="00E22FD5"/>
    <w:rsid w:val="00E2362F"/>
    <w:rsid w:val="00E237CF"/>
    <w:rsid w:val="00E23D03"/>
    <w:rsid w:val="00E23D8B"/>
    <w:rsid w:val="00E23DD4"/>
    <w:rsid w:val="00E23DD7"/>
    <w:rsid w:val="00E24465"/>
    <w:rsid w:val="00E247FC"/>
    <w:rsid w:val="00E248AC"/>
    <w:rsid w:val="00E24CCE"/>
    <w:rsid w:val="00E24FF2"/>
    <w:rsid w:val="00E252F4"/>
    <w:rsid w:val="00E25429"/>
    <w:rsid w:val="00E25637"/>
    <w:rsid w:val="00E2582F"/>
    <w:rsid w:val="00E25918"/>
    <w:rsid w:val="00E259C2"/>
    <w:rsid w:val="00E25AC7"/>
    <w:rsid w:val="00E25D04"/>
    <w:rsid w:val="00E263B3"/>
    <w:rsid w:val="00E2644D"/>
    <w:rsid w:val="00E26678"/>
    <w:rsid w:val="00E269F9"/>
    <w:rsid w:val="00E26D7F"/>
    <w:rsid w:val="00E27006"/>
    <w:rsid w:val="00E27247"/>
    <w:rsid w:val="00E2728A"/>
    <w:rsid w:val="00E272DC"/>
    <w:rsid w:val="00E27382"/>
    <w:rsid w:val="00E27636"/>
    <w:rsid w:val="00E277A9"/>
    <w:rsid w:val="00E278A8"/>
    <w:rsid w:val="00E278EB"/>
    <w:rsid w:val="00E279DD"/>
    <w:rsid w:val="00E27EA8"/>
    <w:rsid w:val="00E30295"/>
    <w:rsid w:val="00E30570"/>
    <w:rsid w:val="00E30626"/>
    <w:rsid w:val="00E3075F"/>
    <w:rsid w:val="00E307A5"/>
    <w:rsid w:val="00E30A2B"/>
    <w:rsid w:val="00E312CF"/>
    <w:rsid w:val="00E31386"/>
    <w:rsid w:val="00E31423"/>
    <w:rsid w:val="00E31495"/>
    <w:rsid w:val="00E3151D"/>
    <w:rsid w:val="00E31598"/>
    <w:rsid w:val="00E3168B"/>
    <w:rsid w:val="00E31D90"/>
    <w:rsid w:val="00E31E25"/>
    <w:rsid w:val="00E320CE"/>
    <w:rsid w:val="00E320E1"/>
    <w:rsid w:val="00E32139"/>
    <w:rsid w:val="00E327F9"/>
    <w:rsid w:val="00E32ACA"/>
    <w:rsid w:val="00E330A1"/>
    <w:rsid w:val="00E330F0"/>
    <w:rsid w:val="00E331CB"/>
    <w:rsid w:val="00E332E3"/>
    <w:rsid w:val="00E33580"/>
    <w:rsid w:val="00E335FA"/>
    <w:rsid w:val="00E33931"/>
    <w:rsid w:val="00E33933"/>
    <w:rsid w:val="00E33C7E"/>
    <w:rsid w:val="00E33CDF"/>
    <w:rsid w:val="00E33EE5"/>
    <w:rsid w:val="00E33FD6"/>
    <w:rsid w:val="00E33FE8"/>
    <w:rsid w:val="00E3401B"/>
    <w:rsid w:val="00E3448B"/>
    <w:rsid w:val="00E3450E"/>
    <w:rsid w:val="00E34BBD"/>
    <w:rsid w:val="00E34D28"/>
    <w:rsid w:val="00E34D62"/>
    <w:rsid w:val="00E34FC7"/>
    <w:rsid w:val="00E3573E"/>
    <w:rsid w:val="00E358D2"/>
    <w:rsid w:val="00E35C86"/>
    <w:rsid w:val="00E35E8F"/>
    <w:rsid w:val="00E36013"/>
    <w:rsid w:val="00E3604A"/>
    <w:rsid w:val="00E36452"/>
    <w:rsid w:val="00E36641"/>
    <w:rsid w:val="00E36BC6"/>
    <w:rsid w:val="00E3742E"/>
    <w:rsid w:val="00E375D8"/>
    <w:rsid w:val="00E3772F"/>
    <w:rsid w:val="00E37F28"/>
    <w:rsid w:val="00E40047"/>
    <w:rsid w:val="00E40067"/>
    <w:rsid w:val="00E400B1"/>
    <w:rsid w:val="00E40657"/>
    <w:rsid w:val="00E4080A"/>
    <w:rsid w:val="00E40C78"/>
    <w:rsid w:val="00E40D84"/>
    <w:rsid w:val="00E40E02"/>
    <w:rsid w:val="00E40E70"/>
    <w:rsid w:val="00E4115D"/>
    <w:rsid w:val="00E411B8"/>
    <w:rsid w:val="00E41299"/>
    <w:rsid w:val="00E41927"/>
    <w:rsid w:val="00E419E6"/>
    <w:rsid w:val="00E41CF1"/>
    <w:rsid w:val="00E41E29"/>
    <w:rsid w:val="00E41F83"/>
    <w:rsid w:val="00E42742"/>
    <w:rsid w:val="00E427F6"/>
    <w:rsid w:val="00E42A71"/>
    <w:rsid w:val="00E42DEC"/>
    <w:rsid w:val="00E4313A"/>
    <w:rsid w:val="00E435E8"/>
    <w:rsid w:val="00E4382C"/>
    <w:rsid w:val="00E43DBB"/>
    <w:rsid w:val="00E44244"/>
    <w:rsid w:val="00E44681"/>
    <w:rsid w:val="00E44AF7"/>
    <w:rsid w:val="00E44BFC"/>
    <w:rsid w:val="00E44D3F"/>
    <w:rsid w:val="00E44DF1"/>
    <w:rsid w:val="00E44F23"/>
    <w:rsid w:val="00E45521"/>
    <w:rsid w:val="00E45598"/>
    <w:rsid w:val="00E4598F"/>
    <w:rsid w:val="00E45A59"/>
    <w:rsid w:val="00E45C74"/>
    <w:rsid w:val="00E45FF8"/>
    <w:rsid w:val="00E4615A"/>
    <w:rsid w:val="00E46232"/>
    <w:rsid w:val="00E4674A"/>
    <w:rsid w:val="00E468AB"/>
    <w:rsid w:val="00E46976"/>
    <w:rsid w:val="00E46B9E"/>
    <w:rsid w:val="00E46F00"/>
    <w:rsid w:val="00E47737"/>
    <w:rsid w:val="00E47893"/>
    <w:rsid w:val="00E479F8"/>
    <w:rsid w:val="00E47A4A"/>
    <w:rsid w:val="00E47F2A"/>
    <w:rsid w:val="00E50083"/>
    <w:rsid w:val="00E500F0"/>
    <w:rsid w:val="00E50440"/>
    <w:rsid w:val="00E505A3"/>
    <w:rsid w:val="00E505E7"/>
    <w:rsid w:val="00E50982"/>
    <w:rsid w:val="00E50A5F"/>
    <w:rsid w:val="00E50DD7"/>
    <w:rsid w:val="00E50E56"/>
    <w:rsid w:val="00E50F90"/>
    <w:rsid w:val="00E51207"/>
    <w:rsid w:val="00E5144A"/>
    <w:rsid w:val="00E514F3"/>
    <w:rsid w:val="00E5157A"/>
    <w:rsid w:val="00E51AF6"/>
    <w:rsid w:val="00E51D81"/>
    <w:rsid w:val="00E51E50"/>
    <w:rsid w:val="00E51F5F"/>
    <w:rsid w:val="00E521D9"/>
    <w:rsid w:val="00E52242"/>
    <w:rsid w:val="00E52245"/>
    <w:rsid w:val="00E5299A"/>
    <w:rsid w:val="00E52F80"/>
    <w:rsid w:val="00E53115"/>
    <w:rsid w:val="00E53227"/>
    <w:rsid w:val="00E532EB"/>
    <w:rsid w:val="00E5332E"/>
    <w:rsid w:val="00E5338E"/>
    <w:rsid w:val="00E538B0"/>
    <w:rsid w:val="00E53B5C"/>
    <w:rsid w:val="00E53D10"/>
    <w:rsid w:val="00E53F2F"/>
    <w:rsid w:val="00E5456F"/>
    <w:rsid w:val="00E54974"/>
    <w:rsid w:val="00E54ADF"/>
    <w:rsid w:val="00E54B3D"/>
    <w:rsid w:val="00E54CA6"/>
    <w:rsid w:val="00E54D9E"/>
    <w:rsid w:val="00E54FF7"/>
    <w:rsid w:val="00E552DD"/>
    <w:rsid w:val="00E55343"/>
    <w:rsid w:val="00E55365"/>
    <w:rsid w:val="00E554F1"/>
    <w:rsid w:val="00E55585"/>
    <w:rsid w:val="00E55719"/>
    <w:rsid w:val="00E55758"/>
    <w:rsid w:val="00E56301"/>
    <w:rsid w:val="00E56680"/>
    <w:rsid w:val="00E56856"/>
    <w:rsid w:val="00E569DB"/>
    <w:rsid w:val="00E56A8D"/>
    <w:rsid w:val="00E56B63"/>
    <w:rsid w:val="00E56EC0"/>
    <w:rsid w:val="00E56F23"/>
    <w:rsid w:val="00E5723B"/>
    <w:rsid w:val="00E5758B"/>
    <w:rsid w:val="00E57AB7"/>
    <w:rsid w:val="00E57E10"/>
    <w:rsid w:val="00E57E8B"/>
    <w:rsid w:val="00E57FCA"/>
    <w:rsid w:val="00E602C9"/>
    <w:rsid w:val="00E60455"/>
    <w:rsid w:val="00E60763"/>
    <w:rsid w:val="00E6081E"/>
    <w:rsid w:val="00E609C7"/>
    <w:rsid w:val="00E60A4B"/>
    <w:rsid w:val="00E61137"/>
    <w:rsid w:val="00E6120D"/>
    <w:rsid w:val="00E61884"/>
    <w:rsid w:val="00E61A7D"/>
    <w:rsid w:val="00E61F1D"/>
    <w:rsid w:val="00E625C7"/>
    <w:rsid w:val="00E62689"/>
    <w:rsid w:val="00E62A13"/>
    <w:rsid w:val="00E62A4D"/>
    <w:rsid w:val="00E62F4A"/>
    <w:rsid w:val="00E6329B"/>
    <w:rsid w:val="00E635C2"/>
    <w:rsid w:val="00E63808"/>
    <w:rsid w:val="00E63F06"/>
    <w:rsid w:val="00E6409A"/>
    <w:rsid w:val="00E64157"/>
    <w:rsid w:val="00E644F2"/>
    <w:rsid w:val="00E6468B"/>
    <w:rsid w:val="00E64767"/>
    <w:rsid w:val="00E6529B"/>
    <w:rsid w:val="00E652AE"/>
    <w:rsid w:val="00E6561E"/>
    <w:rsid w:val="00E65818"/>
    <w:rsid w:val="00E65857"/>
    <w:rsid w:val="00E659D1"/>
    <w:rsid w:val="00E65A3B"/>
    <w:rsid w:val="00E65C47"/>
    <w:rsid w:val="00E65F03"/>
    <w:rsid w:val="00E66021"/>
    <w:rsid w:val="00E6616F"/>
    <w:rsid w:val="00E66381"/>
    <w:rsid w:val="00E665C2"/>
    <w:rsid w:val="00E66D19"/>
    <w:rsid w:val="00E66FB8"/>
    <w:rsid w:val="00E672A1"/>
    <w:rsid w:val="00E675D8"/>
    <w:rsid w:val="00E67A52"/>
    <w:rsid w:val="00E67ADA"/>
    <w:rsid w:val="00E67CCC"/>
    <w:rsid w:val="00E67EAC"/>
    <w:rsid w:val="00E67F08"/>
    <w:rsid w:val="00E70295"/>
    <w:rsid w:val="00E7030C"/>
    <w:rsid w:val="00E704B5"/>
    <w:rsid w:val="00E7055B"/>
    <w:rsid w:val="00E70901"/>
    <w:rsid w:val="00E70AB3"/>
    <w:rsid w:val="00E71933"/>
    <w:rsid w:val="00E728C2"/>
    <w:rsid w:val="00E72A1E"/>
    <w:rsid w:val="00E72B01"/>
    <w:rsid w:val="00E72E08"/>
    <w:rsid w:val="00E7312C"/>
    <w:rsid w:val="00E7322F"/>
    <w:rsid w:val="00E732AD"/>
    <w:rsid w:val="00E736B3"/>
    <w:rsid w:val="00E7445B"/>
    <w:rsid w:val="00E751E5"/>
    <w:rsid w:val="00E7522A"/>
    <w:rsid w:val="00E75DFE"/>
    <w:rsid w:val="00E75EDB"/>
    <w:rsid w:val="00E75EF6"/>
    <w:rsid w:val="00E75FCF"/>
    <w:rsid w:val="00E7602D"/>
    <w:rsid w:val="00E760AC"/>
    <w:rsid w:val="00E76175"/>
    <w:rsid w:val="00E7647E"/>
    <w:rsid w:val="00E76961"/>
    <w:rsid w:val="00E76E05"/>
    <w:rsid w:val="00E76EB5"/>
    <w:rsid w:val="00E77117"/>
    <w:rsid w:val="00E77161"/>
    <w:rsid w:val="00E773FD"/>
    <w:rsid w:val="00E774C4"/>
    <w:rsid w:val="00E77532"/>
    <w:rsid w:val="00E77633"/>
    <w:rsid w:val="00E778A9"/>
    <w:rsid w:val="00E77A27"/>
    <w:rsid w:val="00E77C10"/>
    <w:rsid w:val="00E80259"/>
    <w:rsid w:val="00E8033D"/>
    <w:rsid w:val="00E80F19"/>
    <w:rsid w:val="00E81188"/>
    <w:rsid w:val="00E813BA"/>
    <w:rsid w:val="00E816E8"/>
    <w:rsid w:val="00E81C7E"/>
    <w:rsid w:val="00E81E3D"/>
    <w:rsid w:val="00E81F38"/>
    <w:rsid w:val="00E824F5"/>
    <w:rsid w:val="00E8282B"/>
    <w:rsid w:val="00E828B6"/>
    <w:rsid w:val="00E82BCD"/>
    <w:rsid w:val="00E82BEF"/>
    <w:rsid w:val="00E82CD7"/>
    <w:rsid w:val="00E833F8"/>
    <w:rsid w:val="00E834C6"/>
    <w:rsid w:val="00E83983"/>
    <w:rsid w:val="00E83AB8"/>
    <w:rsid w:val="00E840E8"/>
    <w:rsid w:val="00E8422F"/>
    <w:rsid w:val="00E845A1"/>
    <w:rsid w:val="00E84957"/>
    <w:rsid w:val="00E84DAE"/>
    <w:rsid w:val="00E85061"/>
    <w:rsid w:val="00E85259"/>
    <w:rsid w:val="00E85BE5"/>
    <w:rsid w:val="00E85C0F"/>
    <w:rsid w:val="00E85C9E"/>
    <w:rsid w:val="00E85EA2"/>
    <w:rsid w:val="00E86154"/>
    <w:rsid w:val="00E865F9"/>
    <w:rsid w:val="00E86672"/>
    <w:rsid w:val="00E867F0"/>
    <w:rsid w:val="00E86BBF"/>
    <w:rsid w:val="00E86DED"/>
    <w:rsid w:val="00E8736F"/>
    <w:rsid w:val="00E874A1"/>
    <w:rsid w:val="00E87984"/>
    <w:rsid w:val="00E87A4D"/>
    <w:rsid w:val="00E87CE6"/>
    <w:rsid w:val="00E87DF2"/>
    <w:rsid w:val="00E87E76"/>
    <w:rsid w:val="00E906BF"/>
    <w:rsid w:val="00E907F4"/>
    <w:rsid w:val="00E908A1"/>
    <w:rsid w:val="00E909B8"/>
    <w:rsid w:val="00E90CC5"/>
    <w:rsid w:val="00E90DEE"/>
    <w:rsid w:val="00E90F10"/>
    <w:rsid w:val="00E913C5"/>
    <w:rsid w:val="00E9170E"/>
    <w:rsid w:val="00E919F2"/>
    <w:rsid w:val="00E91A44"/>
    <w:rsid w:val="00E91BBE"/>
    <w:rsid w:val="00E91BFF"/>
    <w:rsid w:val="00E920C8"/>
    <w:rsid w:val="00E92853"/>
    <w:rsid w:val="00E92C7D"/>
    <w:rsid w:val="00E9304C"/>
    <w:rsid w:val="00E93271"/>
    <w:rsid w:val="00E932B5"/>
    <w:rsid w:val="00E93393"/>
    <w:rsid w:val="00E93402"/>
    <w:rsid w:val="00E939D4"/>
    <w:rsid w:val="00E93FE5"/>
    <w:rsid w:val="00E941D2"/>
    <w:rsid w:val="00E94281"/>
    <w:rsid w:val="00E94B17"/>
    <w:rsid w:val="00E950DE"/>
    <w:rsid w:val="00E95365"/>
    <w:rsid w:val="00E95B1C"/>
    <w:rsid w:val="00E95DC7"/>
    <w:rsid w:val="00E96168"/>
    <w:rsid w:val="00E96235"/>
    <w:rsid w:val="00E9662D"/>
    <w:rsid w:val="00E967D5"/>
    <w:rsid w:val="00E96B38"/>
    <w:rsid w:val="00E96C4B"/>
    <w:rsid w:val="00E96C6E"/>
    <w:rsid w:val="00E96E10"/>
    <w:rsid w:val="00E973B1"/>
    <w:rsid w:val="00E97AAA"/>
    <w:rsid w:val="00E97AEC"/>
    <w:rsid w:val="00E97B60"/>
    <w:rsid w:val="00E97F5C"/>
    <w:rsid w:val="00EA03A5"/>
    <w:rsid w:val="00EA047F"/>
    <w:rsid w:val="00EA08BB"/>
    <w:rsid w:val="00EA09CD"/>
    <w:rsid w:val="00EA0BF0"/>
    <w:rsid w:val="00EA0EC7"/>
    <w:rsid w:val="00EA1275"/>
    <w:rsid w:val="00EA14B9"/>
    <w:rsid w:val="00EA167B"/>
    <w:rsid w:val="00EA1746"/>
    <w:rsid w:val="00EA1C46"/>
    <w:rsid w:val="00EA1FF0"/>
    <w:rsid w:val="00EA20F7"/>
    <w:rsid w:val="00EA215D"/>
    <w:rsid w:val="00EA22AE"/>
    <w:rsid w:val="00EA23E5"/>
    <w:rsid w:val="00EA24B9"/>
    <w:rsid w:val="00EA2691"/>
    <w:rsid w:val="00EA2C11"/>
    <w:rsid w:val="00EA2F87"/>
    <w:rsid w:val="00EA30BF"/>
    <w:rsid w:val="00EA30D1"/>
    <w:rsid w:val="00EA3C8D"/>
    <w:rsid w:val="00EA3D25"/>
    <w:rsid w:val="00EA3E54"/>
    <w:rsid w:val="00EA3F26"/>
    <w:rsid w:val="00EA480B"/>
    <w:rsid w:val="00EA4812"/>
    <w:rsid w:val="00EA49D5"/>
    <w:rsid w:val="00EA4BB1"/>
    <w:rsid w:val="00EA4C02"/>
    <w:rsid w:val="00EA5528"/>
    <w:rsid w:val="00EA5695"/>
    <w:rsid w:val="00EA5826"/>
    <w:rsid w:val="00EA5B1B"/>
    <w:rsid w:val="00EA5B23"/>
    <w:rsid w:val="00EA5DD2"/>
    <w:rsid w:val="00EA6404"/>
    <w:rsid w:val="00EA6465"/>
    <w:rsid w:val="00EA65C6"/>
    <w:rsid w:val="00EA672C"/>
    <w:rsid w:val="00EA68EA"/>
    <w:rsid w:val="00EA6977"/>
    <w:rsid w:val="00EA6ABF"/>
    <w:rsid w:val="00EA6C95"/>
    <w:rsid w:val="00EA6D17"/>
    <w:rsid w:val="00EA7E8E"/>
    <w:rsid w:val="00EA7F36"/>
    <w:rsid w:val="00EB0007"/>
    <w:rsid w:val="00EB0135"/>
    <w:rsid w:val="00EB060E"/>
    <w:rsid w:val="00EB06DF"/>
    <w:rsid w:val="00EB0A23"/>
    <w:rsid w:val="00EB0AC0"/>
    <w:rsid w:val="00EB0CA5"/>
    <w:rsid w:val="00EB0F8E"/>
    <w:rsid w:val="00EB13B4"/>
    <w:rsid w:val="00EB1485"/>
    <w:rsid w:val="00EB148F"/>
    <w:rsid w:val="00EB16B4"/>
    <w:rsid w:val="00EB16C3"/>
    <w:rsid w:val="00EB1B04"/>
    <w:rsid w:val="00EB20DD"/>
    <w:rsid w:val="00EB22B9"/>
    <w:rsid w:val="00EB2607"/>
    <w:rsid w:val="00EB27E5"/>
    <w:rsid w:val="00EB2963"/>
    <w:rsid w:val="00EB2A89"/>
    <w:rsid w:val="00EB2B19"/>
    <w:rsid w:val="00EB2F30"/>
    <w:rsid w:val="00EB2FA1"/>
    <w:rsid w:val="00EB3143"/>
    <w:rsid w:val="00EB3151"/>
    <w:rsid w:val="00EB3694"/>
    <w:rsid w:val="00EB3909"/>
    <w:rsid w:val="00EB3974"/>
    <w:rsid w:val="00EB3978"/>
    <w:rsid w:val="00EB3A31"/>
    <w:rsid w:val="00EB3B89"/>
    <w:rsid w:val="00EB3C37"/>
    <w:rsid w:val="00EB4015"/>
    <w:rsid w:val="00EB4242"/>
    <w:rsid w:val="00EB4A38"/>
    <w:rsid w:val="00EB4C0B"/>
    <w:rsid w:val="00EB4C0E"/>
    <w:rsid w:val="00EB4D5A"/>
    <w:rsid w:val="00EB4F70"/>
    <w:rsid w:val="00EB52FB"/>
    <w:rsid w:val="00EB5333"/>
    <w:rsid w:val="00EB5509"/>
    <w:rsid w:val="00EB57BD"/>
    <w:rsid w:val="00EB588F"/>
    <w:rsid w:val="00EB5AF9"/>
    <w:rsid w:val="00EB5BEC"/>
    <w:rsid w:val="00EB63AF"/>
    <w:rsid w:val="00EB64D8"/>
    <w:rsid w:val="00EB6B4B"/>
    <w:rsid w:val="00EB6C35"/>
    <w:rsid w:val="00EB713A"/>
    <w:rsid w:val="00EB7408"/>
    <w:rsid w:val="00EB7727"/>
    <w:rsid w:val="00EB77DB"/>
    <w:rsid w:val="00EB7A8E"/>
    <w:rsid w:val="00EB7C32"/>
    <w:rsid w:val="00EC0563"/>
    <w:rsid w:val="00EC06FB"/>
    <w:rsid w:val="00EC0B19"/>
    <w:rsid w:val="00EC0BAC"/>
    <w:rsid w:val="00EC0D2C"/>
    <w:rsid w:val="00EC1107"/>
    <w:rsid w:val="00EC111F"/>
    <w:rsid w:val="00EC156B"/>
    <w:rsid w:val="00EC1D1A"/>
    <w:rsid w:val="00EC230B"/>
    <w:rsid w:val="00EC262C"/>
    <w:rsid w:val="00EC2A7B"/>
    <w:rsid w:val="00EC330F"/>
    <w:rsid w:val="00EC408D"/>
    <w:rsid w:val="00EC40DC"/>
    <w:rsid w:val="00EC47C8"/>
    <w:rsid w:val="00EC4962"/>
    <w:rsid w:val="00EC4D5E"/>
    <w:rsid w:val="00EC4EA7"/>
    <w:rsid w:val="00EC5101"/>
    <w:rsid w:val="00EC5111"/>
    <w:rsid w:val="00EC5B32"/>
    <w:rsid w:val="00EC5C14"/>
    <w:rsid w:val="00EC5CFF"/>
    <w:rsid w:val="00EC5DA7"/>
    <w:rsid w:val="00EC5ECD"/>
    <w:rsid w:val="00EC5F41"/>
    <w:rsid w:val="00EC61FB"/>
    <w:rsid w:val="00EC6271"/>
    <w:rsid w:val="00EC65D2"/>
    <w:rsid w:val="00EC67B6"/>
    <w:rsid w:val="00EC6A6C"/>
    <w:rsid w:val="00EC6AC0"/>
    <w:rsid w:val="00EC6DAD"/>
    <w:rsid w:val="00EC772D"/>
    <w:rsid w:val="00EC7886"/>
    <w:rsid w:val="00EC7E3D"/>
    <w:rsid w:val="00ED0055"/>
    <w:rsid w:val="00ED0076"/>
    <w:rsid w:val="00ED0110"/>
    <w:rsid w:val="00ED086D"/>
    <w:rsid w:val="00ED0C79"/>
    <w:rsid w:val="00ED0E56"/>
    <w:rsid w:val="00ED0F84"/>
    <w:rsid w:val="00ED100D"/>
    <w:rsid w:val="00ED1307"/>
    <w:rsid w:val="00ED143C"/>
    <w:rsid w:val="00ED14B2"/>
    <w:rsid w:val="00ED1880"/>
    <w:rsid w:val="00ED1974"/>
    <w:rsid w:val="00ED287B"/>
    <w:rsid w:val="00ED2C38"/>
    <w:rsid w:val="00ED2CA4"/>
    <w:rsid w:val="00ED2E7D"/>
    <w:rsid w:val="00ED2FD6"/>
    <w:rsid w:val="00ED3038"/>
    <w:rsid w:val="00ED3265"/>
    <w:rsid w:val="00ED334A"/>
    <w:rsid w:val="00ED3EAF"/>
    <w:rsid w:val="00ED400B"/>
    <w:rsid w:val="00ED400E"/>
    <w:rsid w:val="00ED4193"/>
    <w:rsid w:val="00ED44DF"/>
    <w:rsid w:val="00ED4AA1"/>
    <w:rsid w:val="00ED5301"/>
    <w:rsid w:val="00ED5347"/>
    <w:rsid w:val="00ED5649"/>
    <w:rsid w:val="00ED5678"/>
    <w:rsid w:val="00ED5714"/>
    <w:rsid w:val="00ED59A6"/>
    <w:rsid w:val="00ED5B3C"/>
    <w:rsid w:val="00ED5CCE"/>
    <w:rsid w:val="00ED64B3"/>
    <w:rsid w:val="00ED65C4"/>
    <w:rsid w:val="00ED6715"/>
    <w:rsid w:val="00ED67AE"/>
    <w:rsid w:val="00ED67CC"/>
    <w:rsid w:val="00ED67E6"/>
    <w:rsid w:val="00ED686B"/>
    <w:rsid w:val="00ED68DC"/>
    <w:rsid w:val="00ED6DDD"/>
    <w:rsid w:val="00ED6E9A"/>
    <w:rsid w:val="00ED7220"/>
    <w:rsid w:val="00ED722E"/>
    <w:rsid w:val="00ED7275"/>
    <w:rsid w:val="00ED74EF"/>
    <w:rsid w:val="00ED7535"/>
    <w:rsid w:val="00ED791C"/>
    <w:rsid w:val="00ED7AE0"/>
    <w:rsid w:val="00ED7B60"/>
    <w:rsid w:val="00ED7DEB"/>
    <w:rsid w:val="00ED7E73"/>
    <w:rsid w:val="00EE0340"/>
    <w:rsid w:val="00EE0578"/>
    <w:rsid w:val="00EE07C6"/>
    <w:rsid w:val="00EE0C70"/>
    <w:rsid w:val="00EE0E5A"/>
    <w:rsid w:val="00EE0EB2"/>
    <w:rsid w:val="00EE0F9B"/>
    <w:rsid w:val="00EE1067"/>
    <w:rsid w:val="00EE10F2"/>
    <w:rsid w:val="00EE1179"/>
    <w:rsid w:val="00EE1582"/>
    <w:rsid w:val="00EE17DC"/>
    <w:rsid w:val="00EE1976"/>
    <w:rsid w:val="00EE1C5D"/>
    <w:rsid w:val="00EE2232"/>
    <w:rsid w:val="00EE22C5"/>
    <w:rsid w:val="00EE26D3"/>
    <w:rsid w:val="00EE2B6A"/>
    <w:rsid w:val="00EE2B71"/>
    <w:rsid w:val="00EE30BB"/>
    <w:rsid w:val="00EE335F"/>
    <w:rsid w:val="00EE37C8"/>
    <w:rsid w:val="00EE43BA"/>
    <w:rsid w:val="00EE444A"/>
    <w:rsid w:val="00EE4652"/>
    <w:rsid w:val="00EE48D9"/>
    <w:rsid w:val="00EE495E"/>
    <w:rsid w:val="00EE528E"/>
    <w:rsid w:val="00EE539B"/>
    <w:rsid w:val="00EE5A2A"/>
    <w:rsid w:val="00EE5B05"/>
    <w:rsid w:val="00EE5E8F"/>
    <w:rsid w:val="00EE6E0A"/>
    <w:rsid w:val="00EE6F13"/>
    <w:rsid w:val="00EE6F1D"/>
    <w:rsid w:val="00EE733D"/>
    <w:rsid w:val="00EE7689"/>
    <w:rsid w:val="00EE7905"/>
    <w:rsid w:val="00EE7E96"/>
    <w:rsid w:val="00EE7FC2"/>
    <w:rsid w:val="00EF0769"/>
    <w:rsid w:val="00EF0A6C"/>
    <w:rsid w:val="00EF0DE4"/>
    <w:rsid w:val="00EF0E94"/>
    <w:rsid w:val="00EF102F"/>
    <w:rsid w:val="00EF10E5"/>
    <w:rsid w:val="00EF1889"/>
    <w:rsid w:val="00EF18C3"/>
    <w:rsid w:val="00EF19E3"/>
    <w:rsid w:val="00EF1EF0"/>
    <w:rsid w:val="00EF2147"/>
    <w:rsid w:val="00EF220E"/>
    <w:rsid w:val="00EF23F9"/>
    <w:rsid w:val="00EF24C6"/>
    <w:rsid w:val="00EF285C"/>
    <w:rsid w:val="00EF29A9"/>
    <w:rsid w:val="00EF2B12"/>
    <w:rsid w:val="00EF2DCF"/>
    <w:rsid w:val="00EF2E4D"/>
    <w:rsid w:val="00EF35F1"/>
    <w:rsid w:val="00EF3F93"/>
    <w:rsid w:val="00EF45EE"/>
    <w:rsid w:val="00EF465C"/>
    <w:rsid w:val="00EF4804"/>
    <w:rsid w:val="00EF4827"/>
    <w:rsid w:val="00EF4A24"/>
    <w:rsid w:val="00EF4AA9"/>
    <w:rsid w:val="00EF4E82"/>
    <w:rsid w:val="00EF4F1C"/>
    <w:rsid w:val="00EF5212"/>
    <w:rsid w:val="00EF56C3"/>
    <w:rsid w:val="00EF5756"/>
    <w:rsid w:val="00EF57FA"/>
    <w:rsid w:val="00EF5EA7"/>
    <w:rsid w:val="00EF6099"/>
    <w:rsid w:val="00EF619B"/>
    <w:rsid w:val="00EF647A"/>
    <w:rsid w:val="00EF6A34"/>
    <w:rsid w:val="00EF6A68"/>
    <w:rsid w:val="00EF6CA6"/>
    <w:rsid w:val="00EF740A"/>
    <w:rsid w:val="00EF7583"/>
    <w:rsid w:val="00EF7724"/>
    <w:rsid w:val="00EF7978"/>
    <w:rsid w:val="00EF7A81"/>
    <w:rsid w:val="00EF7FEC"/>
    <w:rsid w:val="00F000A8"/>
    <w:rsid w:val="00F00178"/>
    <w:rsid w:val="00F0054A"/>
    <w:rsid w:val="00F0065D"/>
    <w:rsid w:val="00F00688"/>
    <w:rsid w:val="00F00AA5"/>
    <w:rsid w:val="00F00B07"/>
    <w:rsid w:val="00F00BCD"/>
    <w:rsid w:val="00F012B7"/>
    <w:rsid w:val="00F01735"/>
    <w:rsid w:val="00F01BA3"/>
    <w:rsid w:val="00F01CF4"/>
    <w:rsid w:val="00F01D6D"/>
    <w:rsid w:val="00F01D9A"/>
    <w:rsid w:val="00F0208B"/>
    <w:rsid w:val="00F0216D"/>
    <w:rsid w:val="00F02741"/>
    <w:rsid w:val="00F027E8"/>
    <w:rsid w:val="00F0290A"/>
    <w:rsid w:val="00F02994"/>
    <w:rsid w:val="00F02E27"/>
    <w:rsid w:val="00F02F2B"/>
    <w:rsid w:val="00F03542"/>
    <w:rsid w:val="00F03736"/>
    <w:rsid w:val="00F0377D"/>
    <w:rsid w:val="00F03971"/>
    <w:rsid w:val="00F03F69"/>
    <w:rsid w:val="00F0426F"/>
    <w:rsid w:val="00F04620"/>
    <w:rsid w:val="00F04679"/>
    <w:rsid w:val="00F046E7"/>
    <w:rsid w:val="00F04C3E"/>
    <w:rsid w:val="00F04D86"/>
    <w:rsid w:val="00F04DE7"/>
    <w:rsid w:val="00F05040"/>
    <w:rsid w:val="00F05205"/>
    <w:rsid w:val="00F0574A"/>
    <w:rsid w:val="00F05983"/>
    <w:rsid w:val="00F05C9B"/>
    <w:rsid w:val="00F05CEF"/>
    <w:rsid w:val="00F05DAE"/>
    <w:rsid w:val="00F05E50"/>
    <w:rsid w:val="00F06335"/>
    <w:rsid w:val="00F063B6"/>
    <w:rsid w:val="00F0643D"/>
    <w:rsid w:val="00F06539"/>
    <w:rsid w:val="00F0656E"/>
    <w:rsid w:val="00F066E7"/>
    <w:rsid w:val="00F0688C"/>
    <w:rsid w:val="00F06C4D"/>
    <w:rsid w:val="00F07030"/>
    <w:rsid w:val="00F070D9"/>
    <w:rsid w:val="00F071B7"/>
    <w:rsid w:val="00F07208"/>
    <w:rsid w:val="00F074A1"/>
    <w:rsid w:val="00F075D7"/>
    <w:rsid w:val="00F07C9A"/>
    <w:rsid w:val="00F07D8D"/>
    <w:rsid w:val="00F07FAC"/>
    <w:rsid w:val="00F1011C"/>
    <w:rsid w:val="00F10284"/>
    <w:rsid w:val="00F10304"/>
    <w:rsid w:val="00F109B3"/>
    <w:rsid w:val="00F10A24"/>
    <w:rsid w:val="00F10A52"/>
    <w:rsid w:val="00F10A82"/>
    <w:rsid w:val="00F10C31"/>
    <w:rsid w:val="00F10CF9"/>
    <w:rsid w:val="00F1101B"/>
    <w:rsid w:val="00F11116"/>
    <w:rsid w:val="00F111C8"/>
    <w:rsid w:val="00F1149D"/>
    <w:rsid w:val="00F115EE"/>
    <w:rsid w:val="00F116A9"/>
    <w:rsid w:val="00F116C1"/>
    <w:rsid w:val="00F11BA2"/>
    <w:rsid w:val="00F11EB7"/>
    <w:rsid w:val="00F11EEE"/>
    <w:rsid w:val="00F120DA"/>
    <w:rsid w:val="00F1242C"/>
    <w:rsid w:val="00F13175"/>
    <w:rsid w:val="00F131B8"/>
    <w:rsid w:val="00F13282"/>
    <w:rsid w:val="00F138B5"/>
    <w:rsid w:val="00F139CA"/>
    <w:rsid w:val="00F13C8A"/>
    <w:rsid w:val="00F13E29"/>
    <w:rsid w:val="00F14443"/>
    <w:rsid w:val="00F14524"/>
    <w:rsid w:val="00F1472E"/>
    <w:rsid w:val="00F14735"/>
    <w:rsid w:val="00F14C4F"/>
    <w:rsid w:val="00F14D01"/>
    <w:rsid w:val="00F14E83"/>
    <w:rsid w:val="00F14EC6"/>
    <w:rsid w:val="00F15040"/>
    <w:rsid w:val="00F1507F"/>
    <w:rsid w:val="00F150AC"/>
    <w:rsid w:val="00F15260"/>
    <w:rsid w:val="00F153B1"/>
    <w:rsid w:val="00F154BA"/>
    <w:rsid w:val="00F164F9"/>
    <w:rsid w:val="00F16762"/>
    <w:rsid w:val="00F16A3F"/>
    <w:rsid w:val="00F16AC1"/>
    <w:rsid w:val="00F16BE6"/>
    <w:rsid w:val="00F17650"/>
    <w:rsid w:val="00F17A04"/>
    <w:rsid w:val="00F20108"/>
    <w:rsid w:val="00F20139"/>
    <w:rsid w:val="00F201D7"/>
    <w:rsid w:val="00F2022B"/>
    <w:rsid w:val="00F2029B"/>
    <w:rsid w:val="00F203EC"/>
    <w:rsid w:val="00F20501"/>
    <w:rsid w:val="00F20CE4"/>
    <w:rsid w:val="00F2125F"/>
    <w:rsid w:val="00F21300"/>
    <w:rsid w:val="00F2156E"/>
    <w:rsid w:val="00F218A5"/>
    <w:rsid w:val="00F21973"/>
    <w:rsid w:val="00F225D2"/>
    <w:rsid w:val="00F22D4D"/>
    <w:rsid w:val="00F22D9D"/>
    <w:rsid w:val="00F237C5"/>
    <w:rsid w:val="00F237D1"/>
    <w:rsid w:val="00F23835"/>
    <w:rsid w:val="00F239CC"/>
    <w:rsid w:val="00F24057"/>
    <w:rsid w:val="00F24148"/>
    <w:rsid w:val="00F24191"/>
    <w:rsid w:val="00F24474"/>
    <w:rsid w:val="00F244BD"/>
    <w:rsid w:val="00F245D9"/>
    <w:rsid w:val="00F24712"/>
    <w:rsid w:val="00F248B5"/>
    <w:rsid w:val="00F2492B"/>
    <w:rsid w:val="00F24963"/>
    <w:rsid w:val="00F249DC"/>
    <w:rsid w:val="00F24AEF"/>
    <w:rsid w:val="00F24B6E"/>
    <w:rsid w:val="00F24EB0"/>
    <w:rsid w:val="00F251D4"/>
    <w:rsid w:val="00F2585D"/>
    <w:rsid w:val="00F25CCF"/>
    <w:rsid w:val="00F25D17"/>
    <w:rsid w:val="00F25D41"/>
    <w:rsid w:val="00F25D47"/>
    <w:rsid w:val="00F25F34"/>
    <w:rsid w:val="00F261D4"/>
    <w:rsid w:val="00F262DD"/>
    <w:rsid w:val="00F263EB"/>
    <w:rsid w:val="00F2655B"/>
    <w:rsid w:val="00F2656F"/>
    <w:rsid w:val="00F2689A"/>
    <w:rsid w:val="00F269F5"/>
    <w:rsid w:val="00F26D56"/>
    <w:rsid w:val="00F2712B"/>
    <w:rsid w:val="00F271D4"/>
    <w:rsid w:val="00F273E0"/>
    <w:rsid w:val="00F278E0"/>
    <w:rsid w:val="00F27C81"/>
    <w:rsid w:val="00F27EF6"/>
    <w:rsid w:val="00F300A1"/>
    <w:rsid w:val="00F302B5"/>
    <w:rsid w:val="00F30441"/>
    <w:rsid w:val="00F30A2C"/>
    <w:rsid w:val="00F30A5F"/>
    <w:rsid w:val="00F30E40"/>
    <w:rsid w:val="00F313A7"/>
    <w:rsid w:val="00F313FE"/>
    <w:rsid w:val="00F31414"/>
    <w:rsid w:val="00F31484"/>
    <w:rsid w:val="00F3163E"/>
    <w:rsid w:val="00F31998"/>
    <w:rsid w:val="00F31A20"/>
    <w:rsid w:val="00F31C62"/>
    <w:rsid w:val="00F31F0D"/>
    <w:rsid w:val="00F327E0"/>
    <w:rsid w:val="00F32B95"/>
    <w:rsid w:val="00F32D9E"/>
    <w:rsid w:val="00F33141"/>
    <w:rsid w:val="00F332A0"/>
    <w:rsid w:val="00F333D2"/>
    <w:rsid w:val="00F3347A"/>
    <w:rsid w:val="00F335FB"/>
    <w:rsid w:val="00F33C6F"/>
    <w:rsid w:val="00F33CCA"/>
    <w:rsid w:val="00F33E3D"/>
    <w:rsid w:val="00F34875"/>
    <w:rsid w:val="00F34AF9"/>
    <w:rsid w:val="00F34C16"/>
    <w:rsid w:val="00F34C79"/>
    <w:rsid w:val="00F34DD4"/>
    <w:rsid w:val="00F35260"/>
    <w:rsid w:val="00F353AD"/>
    <w:rsid w:val="00F35868"/>
    <w:rsid w:val="00F359D7"/>
    <w:rsid w:val="00F35A46"/>
    <w:rsid w:val="00F35C0A"/>
    <w:rsid w:val="00F35C3D"/>
    <w:rsid w:val="00F35D0B"/>
    <w:rsid w:val="00F35F17"/>
    <w:rsid w:val="00F35FE5"/>
    <w:rsid w:val="00F360A4"/>
    <w:rsid w:val="00F36260"/>
    <w:rsid w:val="00F36309"/>
    <w:rsid w:val="00F3670D"/>
    <w:rsid w:val="00F36746"/>
    <w:rsid w:val="00F367F2"/>
    <w:rsid w:val="00F36816"/>
    <w:rsid w:val="00F3682F"/>
    <w:rsid w:val="00F369EC"/>
    <w:rsid w:val="00F36EE7"/>
    <w:rsid w:val="00F373AD"/>
    <w:rsid w:val="00F37539"/>
    <w:rsid w:val="00F377B3"/>
    <w:rsid w:val="00F377DD"/>
    <w:rsid w:val="00F40108"/>
    <w:rsid w:val="00F4022A"/>
    <w:rsid w:val="00F40894"/>
    <w:rsid w:val="00F409FE"/>
    <w:rsid w:val="00F40A9A"/>
    <w:rsid w:val="00F40B72"/>
    <w:rsid w:val="00F40CF9"/>
    <w:rsid w:val="00F40D0F"/>
    <w:rsid w:val="00F40F1B"/>
    <w:rsid w:val="00F4111B"/>
    <w:rsid w:val="00F41124"/>
    <w:rsid w:val="00F4112C"/>
    <w:rsid w:val="00F41484"/>
    <w:rsid w:val="00F41550"/>
    <w:rsid w:val="00F41808"/>
    <w:rsid w:val="00F41AF0"/>
    <w:rsid w:val="00F42273"/>
    <w:rsid w:val="00F426FA"/>
    <w:rsid w:val="00F42796"/>
    <w:rsid w:val="00F4297A"/>
    <w:rsid w:val="00F42B42"/>
    <w:rsid w:val="00F43281"/>
    <w:rsid w:val="00F43285"/>
    <w:rsid w:val="00F43382"/>
    <w:rsid w:val="00F43678"/>
    <w:rsid w:val="00F4368E"/>
    <w:rsid w:val="00F43A8F"/>
    <w:rsid w:val="00F43B68"/>
    <w:rsid w:val="00F43BD4"/>
    <w:rsid w:val="00F43EB4"/>
    <w:rsid w:val="00F43FD1"/>
    <w:rsid w:val="00F4405A"/>
    <w:rsid w:val="00F44222"/>
    <w:rsid w:val="00F4442D"/>
    <w:rsid w:val="00F444B4"/>
    <w:rsid w:val="00F44766"/>
    <w:rsid w:val="00F44A9E"/>
    <w:rsid w:val="00F44B07"/>
    <w:rsid w:val="00F44B53"/>
    <w:rsid w:val="00F44C9F"/>
    <w:rsid w:val="00F44CCD"/>
    <w:rsid w:val="00F451DC"/>
    <w:rsid w:val="00F4550D"/>
    <w:rsid w:val="00F45792"/>
    <w:rsid w:val="00F457AA"/>
    <w:rsid w:val="00F45FCC"/>
    <w:rsid w:val="00F461BA"/>
    <w:rsid w:val="00F4644C"/>
    <w:rsid w:val="00F4674D"/>
    <w:rsid w:val="00F46880"/>
    <w:rsid w:val="00F46B16"/>
    <w:rsid w:val="00F46C8C"/>
    <w:rsid w:val="00F46D4D"/>
    <w:rsid w:val="00F46D52"/>
    <w:rsid w:val="00F46D56"/>
    <w:rsid w:val="00F4705F"/>
    <w:rsid w:val="00F471A5"/>
    <w:rsid w:val="00F47228"/>
    <w:rsid w:val="00F4725E"/>
    <w:rsid w:val="00F47985"/>
    <w:rsid w:val="00F47A3B"/>
    <w:rsid w:val="00F47A45"/>
    <w:rsid w:val="00F5083C"/>
    <w:rsid w:val="00F509A0"/>
    <w:rsid w:val="00F50A87"/>
    <w:rsid w:val="00F50E7C"/>
    <w:rsid w:val="00F512A6"/>
    <w:rsid w:val="00F5143C"/>
    <w:rsid w:val="00F51510"/>
    <w:rsid w:val="00F51A1D"/>
    <w:rsid w:val="00F51CF5"/>
    <w:rsid w:val="00F520AA"/>
    <w:rsid w:val="00F52107"/>
    <w:rsid w:val="00F525BD"/>
    <w:rsid w:val="00F525F7"/>
    <w:rsid w:val="00F52837"/>
    <w:rsid w:val="00F5298F"/>
    <w:rsid w:val="00F52AF8"/>
    <w:rsid w:val="00F52CC6"/>
    <w:rsid w:val="00F52D39"/>
    <w:rsid w:val="00F52E98"/>
    <w:rsid w:val="00F534F1"/>
    <w:rsid w:val="00F537D4"/>
    <w:rsid w:val="00F53960"/>
    <w:rsid w:val="00F53A58"/>
    <w:rsid w:val="00F53E5D"/>
    <w:rsid w:val="00F53F4C"/>
    <w:rsid w:val="00F54217"/>
    <w:rsid w:val="00F547BA"/>
    <w:rsid w:val="00F5481C"/>
    <w:rsid w:val="00F54C53"/>
    <w:rsid w:val="00F553BE"/>
    <w:rsid w:val="00F55752"/>
    <w:rsid w:val="00F55ECF"/>
    <w:rsid w:val="00F560CE"/>
    <w:rsid w:val="00F565AD"/>
    <w:rsid w:val="00F56694"/>
    <w:rsid w:val="00F5709B"/>
    <w:rsid w:val="00F57177"/>
    <w:rsid w:val="00F57235"/>
    <w:rsid w:val="00F57298"/>
    <w:rsid w:val="00F572E5"/>
    <w:rsid w:val="00F5736A"/>
    <w:rsid w:val="00F57842"/>
    <w:rsid w:val="00F578ED"/>
    <w:rsid w:val="00F579CB"/>
    <w:rsid w:val="00F57A5C"/>
    <w:rsid w:val="00F57A9A"/>
    <w:rsid w:val="00F57BF9"/>
    <w:rsid w:val="00F57D5D"/>
    <w:rsid w:val="00F600B0"/>
    <w:rsid w:val="00F60753"/>
    <w:rsid w:val="00F613ED"/>
    <w:rsid w:val="00F613F8"/>
    <w:rsid w:val="00F614D5"/>
    <w:rsid w:val="00F61871"/>
    <w:rsid w:val="00F61B27"/>
    <w:rsid w:val="00F61C35"/>
    <w:rsid w:val="00F61F55"/>
    <w:rsid w:val="00F621C6"/>
    <w:rsid w:val="00F6221E"/>
    <w:rsid w:val="00F6230F"/>
    <w:rsid w:val="00F623F4"/>
    <w:rsid w:val="00F628B3"/>
    <w:rsid w:val="00F628EF"/>
    <w:rsid w:val="00F62E12"/>
    <w:rsid w:val="00F62ED9"/>
    <w:rsid w:val="00F62F64"/>
    <w:rsid w:val="00F63195"/>
    <w:rsid w:val="00F632B5"/>
    <w:rsid w:val="00F638F1"/>
    <w:rsid w:val="00F63FF7"/>
    <w:rsid w:val="00F64081"/>
    <w:rsid w:val="00F64225"/>
    <w:rsid w:val="00F648B1"/>
    <w:rsid w:val="00F64A59"/>
    <w:rsid w:val="00F64C52"/>
    <w:rsid w:val="00F64D92"/>
    <w:rsid w:val="00F64DD5"/>
    <w:rsid w:val="00F64DE2"/>
    <w:rsid w:val="00F64FD9"/>
    <w:rsid w:val="00F6560A"/>
    <w:rsid w:val="00F658D9"/>
    <w:rsid w:val="00F65B00"/>
    <w:rsid w:val="00F65CF0"/>
    <w:rsid w:val="00F65D4C"/>
    <w:rsid w:val="00F65D93"/>
    <w:rsid w:val="00F6601B"/>
    <w:rsid w:val="00F6602E"/>
    <w:rsid w:val="00F66188"/>
    <w:rsid w:val="00F6658C"/>
    <w:rsid w:val="00F66CDF"/>
    <w:rsid w:val="00F66DAE"/>
    <w:rsid w:val="00F67494"/>
    <w:rsid w:val="00F6753C"/>
    <w:rsid w:val="00F6786D"/>
    <w:rsid w:val="00F70093"/>
    <w:rsid w:val="00F7058A"/>
    <w:rsid w:val="00F707A7"/>
    <w:rsid w:val="00F71080"/>
    <w:rsid w:val="00F71403"/>
    <w:rsid w:val="00F71585"/>
    <w:rsid w:val="00F71847"/>
    <w:rsid w:val="00F71D97"/>
    <w:rsid w:val="00F71F42"/>
    <w:rsid w:val="00F723E4"/>
    <w:rsid w:val="00F7273B"/>
    <w:rsid w:val="00F72C0E"/>
    <w:rsid w:val="00F72E19"/>
    <w:rsid w:val="00F72F05"/>
    <w:rsid w:val="00F72FFF"/>
    <w:rsid w:val="00F73685"/>
    <w:rsid w:val="00F736CC"/>
    <w:rsid w:val="00F7372E"/>
    <w:rsid w:val="00F73756"/>
    <w:rsid w:val="00F73918"/>
    <w:rsid w:val="00F73979"/>
    <w:rsid w:val="00F73E3A"/>
    <w:rsid w:val="00F73EBD"/>
    <w:rsid w:val="00F74161"/>
    <w:rsid w:val="00F741A4"/>
    <w:rsid w:val="00F7448C"/>
    <w:rsid w:val="00F745C2"/>
    <w:rsid w:val="00F7469D"/>
    <w:rsid w:val="00F74970"/>
    <w:rsid w:val="00F74EBA"/>
    <w:rsid w:val="00F74F50"/>
    <w:rsid w:val="00F75155"/>
    <w:rsid w:val="00F753D3"/>
    <w:rsid w:val="00F7552A"/>
    <w:rsid w:val="00F75545"/>
    <w:rsid w:val="00F756F6"/>
    <w:rsid w:val="00F757FF"/>
    <w:rsid w:val="00F75E0D"/>
    <w:rsid w:val="00F7602B"/>
    <w:rsid w:val="00F76168"/>
    <w:rsid w:val="00F76689"/>
    <w:rsid w:val="00F76861"/>
    <w:rsid w:val="00F76A3D"/>
    <w:rsid w:val="00F77640"/>
    <w:rsid w:val="00F778AB"/>
    <w:rsid w:val="00F778DD"/>
    <w:rsid w:val="00F77A40"/>
    <w:rsid w:val="00F80268"/>
    <w:rsid w:val="00F804E0"/>
    <w:rsid w:val="00F80741"/>
    <w:rsid w:val="00F80837"/>
    <w:rsid w:val="00F80D44"/>
    <w:rsid w:val="00F8108E"/>
    <w:rsid w:val="00F814A9"/>
    <w:rsid w:val="00F814B4"/>
    <w:rsid w:val="00F81723"/>
    <w:rsid w:val="00F81A46"/>
    <w:rsid w:val="00F81C79"/>
    <w:rsid w:val="00F823B8"/>
    <w:rsid w:val="00F82669"/>
    <w:rsid w:val="00F82A93"/>
    <w:rsid w:val="00F82F2F"/>
    <w:rsid w:val="00F8311E"/>
    <w:rsid w:val="00F83482"/>
    <w:rsid w:val="00F83575"/>
    <w:rsid w:val="00F83864"/>
    <w:rsid w:val="00F84175"/>
    <w:rsid w:val="00F84299"/>
    <w:rsid w:val="00F844CF"/>
    <w:rsid w:val="00F84796"/>
    <w:rsid w:val="00F8491F"/>
    <w:rsid w:val="00F84C6C"/>
    <w:rsid w:val="00F84C84"/>
    <w:rsid w:val="00F84E65"/>
    <w:rsid w:val="00F84FB3"/>
    <w:rsid w:val="00F85209"/>
    <w:rsid w:val="00F8524D"/>
    <w:rsid w:val="00F85275"/>
    <w:rsid w:val="00F858FE"/>
    <w:rsid w:val="00F8630F"/>
    <w:rsid w:val="00F86597"/>
    <w:rsid w:val="00F86960"/>
    <w:rsid w:val="00F86EDD"/>
    <w:rsid w:val="00F8714A"/>
    <w:rsid w:val="00F8720A"/>
    <w:rsid w:val="00F87388"/>
    <w:rsid w:val="00F87581"/>
    <w:rsid w:val="00F87A56"/>
    <w:rsid w:val="00F87BA9"/>
    <w:rsid w:val="00F87CB6"/>
    <w:rsid w:val="00F9018F"/>
    <w:rsid w:val="00F902CE"/>
    <w:rsid w:val="00F90583"/>
    <w:rsid w:val="00F90CB0"/>
    <w:rsid w:val="00F90DEA"/>
    <w:rsid w:val="00F9111D"/>
    <w:rsid w:val="00F91345"/>
    <w:rsid w:val="00F91777"/>
    <w:rsid w:val="00F91C96"/>
    <w:rsid w:val="00F92062"/>
    <w:rsid w:val="00F9226F"/>
    <w:rsid w:val="00F922A2"/>
    <w:rsid w:val="00F92CDD"/>
    <w:rsid w:val="00F92D8A"/>
    <w:rsid w:val="00F931F3"/>
    <w:rsid w:val="00F931F5"/>
    <w:rsid w:val="00F93289"/>
    <w:rsid w:val="00F93470"/>
    <w:rsid w:val="00F9355A"/>
    <w:rsid w:val="00F93756"/>
    <w:rsid w:val="00F93AB1"/>
    <w:rsid w:val="00F93D17"/>
    <w:rsid w:val="00F93DAC"/>
    <w:rsid w:val="00F93FA4"/>
    <w:rsid w:val="00F9400A"/>
    <w:rsid w:val="00F9438A"/>
    <w:rsid w:val="00F945B6"/>
    <w:rsid w:val="00F94786"/>
    <w:rsid w:val="00F94B5E"/>
    <w:rsid w:val="00F94BED"/>
    <w:rsid w:val="00F94D30"/>
    <w:rsid w:val="00F951F2"/>
    <w:rsid w:val="00F95B6E"/>
    <w:rsid w:val="00F95BA8"/>
    <w:rsid w:val="00F9670D"/>
    <w:rsid w:val="00F96714"/>
    <w:rsid w:val="00F96C3C"/>
    <w:rsid w:val="00F96F8C"/>
    <w:rsid w:val="00F97365"/>
    <w:rsid w:val="00F97610"/>
    <w:rsid w:val="00F977DC"/>
    <w:rsid w:val="00F97807"/>
    <w:rsid w:val="00F97D06"/>
    <w:rsid w:val="00FA040B"/>
    <w:rsid w:val="00FA0489"/>
    <w:rsid w:val="00FA0581"/>
    <w:rsid w:val="00FA0700"/>
    <w:rsid w:val="00FA0752"/>
    <w:rsid w:val="00FA07AE"/>
    <w:rsid w:val="00FA0A79"/>
    <w:rsid w:val="00FA1078"/>
    <w:rsid w:val="00FA1081"/>
    <w:rsid w:val="00FA11D8"/>
    <w:rsid w:val="00FA1237"/>
    <w:rsid w:val="00FA12E1"/>
    <w:rsid w:val="00FA158A"/>
    <w:rsid w:val="00FA158D"/>
    <w:rsid w:val="00FA19E1"/>
    <w:rsid w:val="00FA1E9B"/>
    <w:rsid w:val="00FA1ED8"/>
    <w:rsid w:val="00FA24E5"/>
    <w:rsid w:val="00FA27AC"/>
    <w:rsid w:val="00FA27C9"/>
    <w:rsid w:val="00FA28C3"/>
    <w:rsid w:val="00FA2FD2"/>
    <w:rsid w:val="00FA363C"/>
    <w:rsid w:val="00FA366B"/>
    <w:rsid w:val="00FA3757"/>
    <w:rsid w:val="00FA3BF6"/>
    <w:rsid w:val="00FA42E2"/>
    <w:rsid w:val="00FA43E9"/>
    <w:rsid w:val="00FA4806"/>
    <w:rsid w:val="00FA4B4C"/>
    <w:rsid w:val="00FA4D11"/>
    <w:rsid w:val="00FA4D21"/>
    <w:rsid w:val="00FA4E57"/>
    <w:rsid w:val="00FA544D"/>
    <w:rsid w:val="00FA5738"/>
    <w:rsid w:val="00FA57B7"/>
    <w:rsid w:val="00FA5A9E"/>
    <w:rsid w:val="00FA5D98"/>
    <w:rsid w:val="00FA5DA6"/>
    <w:rsid w:val="00FA6433"/>
    <w:rsid w:val="00FA676F"/>
    <w:rsid w:val="00FA67A7"/>
    <w:rsid w:val="00FA6B41"/>
    <w:rsid w:val="00FA6BDA"/>
    <w:rsid w:val="00FA6BE4"/>
    <w:rsid w:val="00FA6D67"/>
    <w:rsid w:val="00FA6D6B"/>
    <w:rsid w:val="00FA71E5"/>
    <w:rsid w:val="00FA72BE"/>
    <w:rsid w:val="00FA77B1"/>
    <w:rsid w:val="00FA7E2C"/>
    <w:rsid w:val="00FB029C"/>
    <w:rsid w:val="00FB0374"/>
    <w:rsid w:val="00FB0482"/>
    <w:rsid w:val="00FB0CC7"/>
    <w:rsid w:val="00FB128B"/>
    <w:rsid w:val="00FB144A"/>
    <w:rsid w:val="00FB157A"/>
    <w:rsid w:val="00FB1654"/>
    <w:rsid w:val="00FB1AE7"/>
    <w:rsid w:val="00FB1B03"/>
    <w:rsid w:val="00FB1D97"/>
    <w:rsid w:val="00FB1F61"/>
    <w:rsid w:val="00FB279A"/>
    <w:rsid w:val="00FB2AF3"/>
    <w:rsid w:val="00FB2F0A"/>
    <w:rsid w:val="00FB32E6"/>
    <w:rsid w:val="00FB3546"/>
    <w:rsid w:val="00FB3859"/>
    <w:rsid w:val="00FB3E54"/>
    <w:rsid w:val="00FB3EC3"/>
    <w:rsid w:val="00FB4180"/>
    <w:rsid w:val="00FB4281"/>
    <w:rsid w:val="00FB4500"/>
    <w:rsid w:val="00FB4569"/>
    <w:rsid w:val="00FB45B7"/>
    <w:rsid w:val="00FB45D8"/>
    <w:rsid w:val="00FB4601"/>
    <w:rsid w:val="00FB4613"/>
    <w:rsid w:val="00FB4884"/>
    <w:rsid w:val="00FB4EDD"/>
    <w:rsid w:val="00FB5017"/>
    <w:rsid w:val="00FB5323"/>
    <w:rsid w:val="00FB5ACC"/>
    <w:rsid w:val="00FB5FBD"/>
    <w:rsid w:val="00FB60D5"/>
    <w:rsid w:val="00FB6113"/>
    <w:rsid w:val="00FB626F"/>
    <w:rsid w:val="00FB67A8"/>
    <w:rsid w:val="00FB6EAE"/>
    <w:rsid w:val="00FB740D"/>
    <w:rsid w:val="00FB74AD"/>
    <w:rsid w:val="00FB75D8"/>
    <w:rsid w:val="00FB7624"/>
    <w:rsid w:val="00FB7682"/>
    <w:rsid w:val="00FB76BE"/>
    <w:rsid w:val="00FB7838"/>
    <w:rsid w:val="00FB79DC"/>
    <w:rsid w:val="00FB79E0"/>
    <w:rsid w:val="00FB7ACD"/>
    <w:rsid w:val="00FB7BE8"/>
    <w:rsid w:val="00FC046E"/>
    <w:rsid w:val="00FC0738"/>
    <w:rsid w:val="00FC07FA"/>
    <w:rsid w:val="00FC0BAE"/>
    <w:rsid w:val="00FC0C2D"/>
    <w:rsid w:val="00FC18C8"/>
    <w:rsid w:val="00FC213D"/>
    <w:rsid w:val="00FC283B"/>
    <w:rsid w:val="00FC2C11"/>
    <w:rsid w:val="00FC2F01"/>
    <w:rsid w:val="00FC32F8"/>
    <w:rsid w:val="00FC35F1"/>
    <w:rsid w:val="00FC387A"/>
    <w:rsid w:val="00FC3D17"/>
    <w:rsid w:val="00FC404E"/>
    <w:rsid w:val="00FC4233"/>
    <w:rsid w:val="00FC4BC0"/>
    <w:rsid w:val="00FC4C2E"/>
    <w:rsid w:val="00FC4EC8"/>
    <w:rsid w:val="00FC56C4"/>
    <w:rsid w:val="00FC56D3"/>
    <w:rsid w:val="00FC5764"/>
    <w:rsid w:val="00FC57CA"/>
    <w:rsid w:val="00FC585A"/>
    <w:rsid w:val="00FC59CC"/>
    <w:rsid w:val="00FC5BE4"/>
    <w:rsid w:val="00FC61D2"/>
    <w:rsid w:val="00FC62EE"/>
    <w:rsid w:val="00FC6321"/>
    <w:rsid w:val="00FC6337"/>
    <w:rsid w:val="00FC6502"/>
    <w:rsid w:val="00FC66B8"/>
    <w:rsid w:val="00FC6B3D"/>
    <w:rsid w:val="00FC6CB1"/>
    <w:rsid w:val="00FC7138"/>
    <w:rsid w:val="00FC76B4"/>
    <w:rsid w:val="00FC7A9A"/>
    <w:rsid w:val="00FC7B08"/>
    <w:rsid w:val="00FC7D96"/>
    <w:rsid w:val="00FC7ECE"/>
    <w:rsid w:val="00FD010D"/>
    <w:rsid w:val="00FD0390"/>
    <w:rsid w:val="00FD053F"/>
    <w:rsid w:val="00FD076C"/>
    <w:rsid w:val="00FD14BB"/>
    <w:rsid w:val="00FD2109"/>
    <w:rsid w:val="00FD22F4"/>
    <w:rsid w:val="00FD22FD"/>
    <w:rsid w:val="00FD231A"/>
    <w:rsid w:val="00FD25A8"/>
    <w:rsid w:val="00FD266B"/>
    <w:rsid w:val="00FD2D0D"/>
    <w:rsid w:val="00FD2D27"/>
    <w:rsid w:val="00FD2F10"/>
    <w:rsid w:val="00FD36D7"/>
    <w:rsid w:val="00FD37E6"/>
    <w:rsid w:val="00FD3834"/>
    <w:rsid w:val="00FD3A1D"/>
    <w:rsid w:val="00FD3DE5"/>
    <w:rsid w:val="00FD447B"/>
    <w:rsid w:val="00FD4912"/>
    <w:rsid w:val="00FD4B1C"/>
    <w:rsid w:val="00FD4B66"/>
    <w:rsid w:val="00FD4FBC"/>
    <w:rsid w:val="00FD5053"/>
    <w:rsid w:val="00FD50C0"/>
    <w:rsid w:val="00FD5363"/>
    <w:rsid w:val="00FD53F6"/>
    <w:rsid w:val="00FD5573"/>
    <w:rsid w:val="00FD55C3"/>
    <w:rsid w:val="00FD580A"/>
    <w:rsid w:val="00FD5D09"/>
    <w:rsid w:val="00FD5D58"/>
    <w:rsid w:val="00FD615B"/>
    <w:rsid w:val="00FD66E7"/>
    <w:rsid w:val="00FD67D0"/>
    <w:rsid w:val="00FD6A80"/>
    <w:rsid w:val="00FD6D04"/>
    <w:rsid w:val="00FD7137"/>
    <w:rsid w:val="00FD730E"/>
    <w:rsid w:val="00FD75C8"/>
    <w:rsid w:val="00FD77A1"/>
    <w:rsid w:val="00FD7926"/>
    <w:rsid w:val="00FE016A"/>
    <w:rsid w:val="00FE0323"/>
    <w:rsid w:val="00FE087D"/>
    <w:rsid w:val="00FE0AF7"/>
    <w:rsid w:val="00FE0D9C"/>
    <w:rsid w:val="00FE0DE5"/>
    <w:rsid w:val="00FE0E3C"/>
    <w:rsid w:val="00FE1047"/>
    <w:rsid w:val="00FE1292"/>
    <w:rsid w:val="00FE191E"/>
    <w:rsid w:val="00FE1A2F"/>
    <w:rsid w:val="00FE26B4"/>
    <w:rsid w:val="00FE28D6"/>
    <w:rsid w:val="00FE2A9D"/>
    <w:rsid w:val="00FE2BDE"/>
    <w:rsid w:val="00FE2C9C"/>
    <w:rsid w:val="00FE2CB4"/>
    <w:rsid w:val="00FE33ED"/>
    <w:rsid w:val="00FE34FC"/>
    <w:rsid w:val="00FE36FE"/>
    <w:rsid w:val="00FE3A9F"/>
    <w:rsid w:val="00FE3B0F"/>
    <w:rsid w:val="00FE3F19"/>
    <w:rsid w:val="00FE3FB7"/>
    <w:rsid w:val="00FE40A6"/>
    <w:rsid w:val="00FE41F6"/>
    <w:rsid w:val="00FE4992"/>
    <w:rsid w:val="00FE4B3A"/>
    <w:rsid w:val="00FE4D66"/>
    <w:rsid w:val="00FE4E36"/>
    <w:rsid w:val="00FE5542"/>
    <w:rsid w:val="00FE564B"/>
    <w:rsid w:val="00FE564D"/>
    <w:rsid w:val="00FE596F"/>
    <w:rsid w:val="00FE5C07"/>
    <w:rsid w:val="00FE5C58"/>
    <w:rsid w:val="00FE5F80"/>
    <w:rsid w:val="00FE5FE8"/>
    <w:rsid w:val="00FE6208"/>
    <w:rsid w:val="00FE63A5"/>
    <w:rsid w:val="00FE6599"/>
    <w:rsid w:val="00FE679D"/>
    <w:rsid w:val="00FE6B38"/>
    <w:rsid w:val="00FE7239"/>
    <w:rsid w:val="00FE73A1"/>
    <w:rsid w:val="00FE78CE"/>
    <w:rsid w:val="00FE79BC"/>
    <w:rsid w:val="00FE7A17"/>
    <w:rsid w:val="00FE7B54"/>
    <w:rsid w:val="00FE7CC6"/>
    <w:rsid w:val="00FE7D8D"/>
    <w:rsid w:val="00FE7D9F"/>
    <w:rsid w:val="00FE7EE4"/>
    <w:rsid w:val="00FF00D9"/>
    <w:rsid w:val="00FF04CE"/>
    <w:rsid w:val="00FF0615"/>
    <w:rsid w:val="00FF07C5"/>
    <w:rsid w:val="00FF09FD"/>
    <w:rsid w:val="00FF0AF2"/>
    <w:rsid w:val="00FF1275"/>
    <w:rsid w:val="00FF1427"/>
    <w:rsid w:val="00FF1B46"/>
    <w:rsid w:val="00FF1CD3"/>
    <w:rsid w:val="00FF1E53"/>
    <w:rsid w:val="00FF2029"/>
    <w:rsid w:val="00FF2567"/>
    <w:rsid w:val="00FF25D1"/>
    <w:rsid w:val="00FF2BAC"/>
    <w:rsid w:val="00FF2E04"/>
    <w:rsid w:val="00FF2FEF"/>
    <w:rsid w:val="00FF32D2"/>
    <w:rsid w:val="00FF332A"/>
    <w:rsid w:val="00FF3818"/>
    <w:rsid w:val="00FF3838"/>
    <w:rsid w:val="00FF3C82"/>
    <w:rsid w:val="00FF4641"/>
    <w:rsid w:val="00FF4A9A"/>
    <w:rsid w:val="00FF4E47"/>
    <w:rsid w:val="00FF4F1E"/>
    <w:rsid w:val="00FF53B9"/>
    <w:rsid w:val="00FF583E"/>
    <w:rsid w:val="00FF5DCC"/>
    <w:rsid w:val="00FF6B3F"/>
    <w:rsid w:val="00FF6B68"/>
    <w:rsid w:val="00FF6C47"/>
    <w:rsid w:val="00FF6D3F"/>
    <w:rsid w:val="00FF709D"/>
    <w:rsid w:val="00FF724B"/>
    <w:rsid w:val="00FF78D8"/>
    <w:rsid w:val="00FF7A56"/>
    <w:rsid w:val="011A0466"/>
    <w:rsid w:val="01702A6E"/>
    <w:rsid w:val="018AEE62"/>
    <w:rsid w:val="01A94BA4"/>
    <w:rsid w:val="01CBE21B"/>
    <w:rsid w:val="01D5D7B6"/>
    <w:rsid w:val="01D63619"/>
    <w:rsid w:val="01DC7197"/>
    <w:rsid w:val="01DD29B2"/>
    <w:rsid w:val="02580B17"/>
    <w:rsid w:val="0269EBBE"/>
    <w:rsid w:val="0279876F"/>
    <w:rsid w:val="0279D610"/>
    <w:rsid w:val="028614F0"/>
    <w:rsid w:val="02C9D639"/>
    <w:rsid w:val="02EC621A"/>
    <w:rsid w:val="0362B837"/>
    <w:rsid w:val="0365A5D8"/>
    <w:rsid w:val="037F8BC4"/>
    <w:rsid w:val="038DB713"/>
    <w:rsid w:val="04071122"/>
    <w:rsid w:val="0428EC49"/>
    <w:rsid w:val="042F0243"/>
    <w:rsid w:val="043CDDAF"/>
    <w:rsid w:val="0480B98F"/>
    <w:rsid w:val="04A98F11"/>
    <w:rsid w:val="04B45719"/>
    <w:rsid w:val="05668C7F"/>
    <w:rsid w:val="05F02C52"/>
    <w:rsid w:val="065D89F7"/>
    <w:rsid w:val="065DB7A1"/>
    <w:rsid w:val="067A6868"/>
    <w:rsid w:val="06AF2529"/>
    <w:rsid w:val="06F279AE"/>
    <w:rsid w:val="070718CE"/>
    <w:rsid w:val="072F11E5"/>
    <w:rsid w:val="07566DF3"/>
    <w:rsid w:val="07AD0FF0"/>
    <w:rsid w:val="07F676D4"/>
    <w:rsid w:val="0852F258"/>
    <w:rsid w:val="08629432"/>
    <w:rsid w:val="089E404F"/>
    <w:rsid w:val="08AB0B6C"/>
    <w:rsid w:val="08B0268B"/>
    <w:rsid w:val="08C23122"/>
    <w:rsid w:val="08D3E16C"/>
    <w:rsid w:val="08E4F466"/>
    <w:rsid w:val="08E510DA"/>
    <w:rsid w:val="093D0F53"/>
    <w:rsid w:val="09529F31"/>
    <w:rsid w:val="09586654"/>
    <w:rsid w:val="09AC948B"/>
    <w:rsid w:val="09B4E220"/>
    <w:rsid w:val="09F67478"/>
    <w:rsid w:val="0A3F7961"/>
    <w:rsid w:val="0A874B07"/>
    <w:rsid w:val="0A8B9A08"/>
    <w:rsid w:val="0AB0F2F5"/>
    <w:rsid w:val="0ABC2EB5"/>
    <w:rsid w:val="0B33BA49"/>
    <w:rsid w:val="0B455CE2"/>
    <w:rsid w:val="0B79FCC4"/>
    <w:rsid w:val="0BB9AE5E"/>
    <w:rsid w:val="0C33AD7A"/>
    <w:rsid w:val="0C366097"/>
    <w:rsid w:val="0CAC0F3E"/>
    <w:rsid w:val="0CD8E48F"/>
    <w:rsid w:val="0D5A80E9"/>
    <w:rsid w:val="0D95F4EA"/>
    <w:rsid w:val="0DACEC29"/>
    <w:rsid w:val="0DF36A03"/>
    <w:rsid w:val="0E070554"/>
    <w:rsid w:val="0E145129"/>
    <w:rsid w:val="0E2A2C0A"/>
    <w:rsid w:val="0E6316F1"/>
    <w:rsid w:val="0E9D2C84"/>
    <w:rsid w:val="0EADC164"/>
    <w:rsid w:val="0EBA6DE2"/>
    <w:rsid w:val="0EEDA885"/>
    <w:rsid w:val="0F5A1041"/>
    <w:rsid w:val="0FA77FA8"/>
    <w:rsid w:val="0FFA78E2"/>
    <w:rsid w:val="101514B6"/>
    <w:rsid w:val="1046D6BB"/>
    <w:rsid w:val="10CB0B9B"/>
    <w:rsid w:val="115CC8DF"/>
    <w:rsid w:val="11721244"/>
    <w:rsid w:val="118F51CD"/>
    <w:rsid w:val="11A4FF76"/>
    <w:rsid w:val="11DB282B"/>
    <w:rsid w:val="11FFDCF4"/>
    <w:rsid w:val="12A800C3"/>
    <w:rsid w:val="13378433"/>
    <w:rsid w:val="133B324D"/>
    <w:rsid w:val="1362F1DC"/>
    <w:rsid w:val="139C75F2"/>
    <w:rsid w:val="13A0C1D0"/>
    <w:rsid w:val="13A315C1"/>
    <w:rsid w:val="13C49D5C"/>
    <w:rsid w:val="13CB8DC8"/>
    <w:rsid w:val="13F7DE3F"/>
    <w:rsid w:val="1422ED1A"/>
    <w:rsid w:val="14451A13"/>
    <w:rsid w:val="1450E227"/>
    <w:rsid w:val="148B9887"/>
    <w:rsid w:val="14BFB0E6"/>
    <w:rsid w:val="14FFC957"/>
    <w:rsid w:val="151200BD"/>
    <w:rsid w:val="1534FB6F"/>
    <w:rsid w:val="157C57A6"/>
    <w:rsid w:val="15E5E0C3"/>
    <w:rsid w:val="1635940E"/>
    <w:rsid w:val="166DCD47"/>
    <w:rsid w:val="16E5A3F5"/>
    <w:rsid w:val="171FC95D"/>
    <w:rsid w:val="172ECB46"/>
    <w:rsid w:val="17719781"/>
    <w:rsid w:val="177B557C"/>
    <w:rsid w:val="17CE21E0"/>
    <w:rsid w:val="17E7176C"/>
    <w:rsid w:val="180728FA"/>
    <w:rsid w:val="180D0D13"/>
    <w:rsid w:val="184398A0"/>
    <w:rsid w:val="18A2442A"/>
    <w:rsid w:val="18BB50A2"/>
    <w:rsid w:val="18BDE771"/>
    <w:rsid w:val="18C3786A"/>
    <w:rsid w:val="18EF896B"/>
    <w:rsid w:val="18F3E237"/>
    <w:rsid w:val="191CF4D0"/>
    <w:rsid w:val="194DFCC5"/>
    <w:rsid w:val="19606046"/>
    <w:rsid w:val="19B458EA"/>
    <w:rsid w:val="19BDF639"/>
    <w:rsid w:val="1A119B08"/>
    <w:rsid w:val="1A3AB2CE"/>
    <w:rsid w:val="1A59547E"/>
    <w:rsid w:val="1A9124D7"/>
    <w:rsid w:val="1A96C59E"/>
    <w:rsid w:val="1B24B500"/>
    <w:rsid w:val="1B464C4D"/>
    <w:rsid w:val="1BAC5D40"/>
    <w:rsid w:val="1BB2653A"/>
    <w:rsid w:val="1BBA9BD7"/>
    <w:rsid w:val="1BD61C62"/>
    <w:rsid w:val="1BF854D2"/>
    <w:rsid w:val="1C0A2110"/>
    <w:rsid w:val="1C4179B1"/>
    <w:rsid w:val="1C475D9E"/>
    <w:rsid w:val="1C6D7B49"/>
    <w:rsid w:val="1C7FA35B"/>
    <w:rsid w:val="1C84CA5B"/>
    <w:rsid w:val="1CA0D34F"/>
    <w:rsid w:val="1CC900DF"/>
    <w:rsid w:val="1D33D128"/>
    <w:rsid w:val="1D36CDE6"/>
    <w:rsid w:val="1D40E99D"/>
    <w:rsid w:val="1D505AEA"/>
    <w:rsid w:val="1D56ED1D"/>
    <w:rsid w:val="1D7869D1"/>
    <w:rsid w:val="1E2BA69E"/>
    <w:rsid w:val="1E53B10B"/>
    <w:rsid w:val="1E679A42"/>
    <w:rsid w:val="1E83CE5E"/>
    <w:rsid w:val="1E933083"/>
    <w:rsid w:val="1EEDC2FF"/>
    <w:rsid w:val="1F0556CA"/>
    <w:rsid w:val="1F548923"/>
    <w:rsid w:val="1F55198A"/>
    <w:rsid w:val="1FC4E879"/>
    <w:rsid w:val="1FECB159"/>
    <w:rsid w:val="1FEF37ED"/>
    <w:rsid w:val="20B761E9"/>
    <w:rsid w:val="20D3829E"/>
    <w:rsid w:val="20D4B011"/>
    <w:rsid w:val="21022505"/>
    <w:rsid w:val="212F75BF"/>
    <w:rsid w:val="213CAB18"/>
    <w:rsid w:val="21475236"/>
    <w:rsid w:val="214F6B6D"/>
    <w:rsid w:val="2153BC2B"/>
    <w:rsid w:val="21A6AD21"/>
    <w:rsid w:val="21B10248"/>
    <w:rsid w:val="21F93270"/>
    <w:rsid w:val="22035A22"/>
    <w:rsid w:val="2244CADD"/>
    <w:rsid w:val="226CA1BD"/>
    <w:rsid w:val="227B6931"/>
    <w:rsid w:val="22A4209E"/>
    <w:rsid w:val="22D1A275"/>
    <w:rsid w:val="22EEAEB0"/>
    <w:rsid w:val="22FB02C3"/>
    <w:rsid w:val="23244551"/>
    <w:rsid w:val="234F6990"/>
    <w:rsid w:val="23734683"/>
    <w:rsid w:val="23832B83"/>
    <w:rsid w:val="2389059F"/>
    <w:rsid w:val="2399C646"/>
    <w:rsid w:val="23BF35CA"/>
    <w:rsid w:val="23DB9E92"/>
    <w:rsid w:val="23FE3A79"/>
    <w:rsid w:val="2409CC79"/>
    <w:rsid w:val="24258092"/>
    <w:rsid w:val="242B40B3"/>
    <w:rsid w:val="24318C51"/>
    <w:rsid w:val="24C288C5"/>
    <w:rsid w:val="24DACE53"/>
    <w:rsid w:val="24DF8E22"/>
    <w:rsid w:val="24F0A81C"/>
    <w:rsid w:val="251112B7"/>
    <w:rsid w:val="251B1328"/>
    <w:rsid w:val="251BE07C"/>
    <w:rsid w:val="2526ACEE"/>
    <w:rsid w:val="25622E46"/>
    <w:rsid w:val="2563F03B"/>
    <w:rsid w:val="257EBDB6"/>
    <w:rsid w:val="25CCC6C6"/>
    <w:rsid w:val="260A1DB8"/>
    <w:rsid w:val="26239A10"/>
    <w:rsid w:val="2626D191"/>
    <w:rsid w:val="2655240F"/>
    <w:rsid w:val="2664599B"/>
    <w:rsid w:val="267E87D6"/>
    <w:rsid w:val="26C6DE35"/>
    <w:rsid w:val="26FBC567"/>
    <w:rsid w:val="2746D83D"/>
    <w:rsid w:val="27972B06"/>
    <w:rsid w:val="27C47972"/>
    <w:rsid w:val="27FCEE1D"/>
    <w:rsid w:val="281D4072"/>
    <w:rsid w:val="28389D73"/>
    <w:rsid w:val="283A3151"/>
    <w:rsid w:val="285EF94F"/>
    <w:rsid w:val="28770511"/>
    <w:rsid w:val="2879CE24"/>
    <w:rsid w:val="2882CED9"/>
    <w:rsid w:val="288C7B78"/>
    <w:rsid w:val="28A7B8BB"/>
    <w:rsid w:val="28F36CDC"/>
    <w:rsid w:val="28FAB797"/>
    <w:rsid w:val="29131701"/>
    <w:rsid w:val="2962F21B"/>
    <w:rsid w:val="29717690"/>
    <w:rsid w:val="2978E836"/>
    <w:rsid w:val="29B1D612"/>
    <w:rsid w:val="29D2AD0E"/>
    <w:rsid w:val="29EBFF0E"/>
    <w:rsid w:val="2A36665C"/>
    <w:rsid w:val="2A49EEF8"/>
    <w:rsid w:val="2A4F8F2A"/>
    <w:rsid w:val="2A5BC470"/>
    <w:rsid w:val="2A6F553F"/>
    <w:rsid w:val="2A8A4451"/>
    <w:rsid w:val="2ABB42E9"/>
    <w:rsid w:val="2ABFF32A"/>
    <w:rsid w:val="2AE5FD57"/>
    <w:rsid w:val="2B2ADBEC"/>
    <w:rsid w:val="2B34425B"/>
    <w:rsid w:val="2B9B55AA"/>
    <w:rsid w:val="2BA583E1"/>
    <w:rsid w:val="2BB31718"/>
    <w:rsid w:val="2BD4A0BA"/>
    <w:rsid w:val="2BF07BA9"/>
    <w:rsid w:val="2BF8D9CD"/>
    <w:rsid w:val="2C36C334"/>
    <w:rsid w:val="2C4C9261"/>
    <w:rsid w:val="2C65F6FC"/>
    <w:rsid w:val="2C7332E3"/>
    <w:rsid w:val="2C7FDB47"/>
    <w:rsid w:val="2CE09D1A"/>
    <w:rsid w:val="2CE80E4E"/>
    <w:rsid w:val="2CF94F4D"/>
    <w:rsid w:val="2CFF8189"/>
    <w:rsid w:val="2D477DD3"/>
    <w:rsid w:val="2D7AEF6E"/>
    <w:rsid w:val="2DD05EAB"/>
    <w:rsid w:val="2DD61495"/>
    <w:rsid w:val="2E28845C"/>
    <w:rsid w:val="2E7D5B15"/>
    <w:rsid w:val="2EC7A7B3"/>
    <w:rsid w:val="2ECA39AD"/>
    <w:rsid w:val="2F56BFEB"/>
    <w:rsid w:val="2FFF3847"/>
    <w:rsid w:val="300E10AD"/>
    <w:rsid w:val="301AAD7B"/>
    <w:rsid w:val="30573D29"/>
    <w:rsid w:val="30698432"/>
    <w:rsid w:val="308F6029"/>
    <w:rsid w:val="30C52179"/>
    <w:rsid w:val="3127D257"/>
    <w:rsid w:val="317B9CF0"/>
    <w:rsid w:val="31886354"/>
    <w:rsid w:val="3267ED95"/>
    <w:rsid w:val="326E14B3"/>
    <w:rsid w:val="32C13A2C"/>
    <w:rsid w:val="32D5B9AA"/>
    <w:rsid w:val="32DB10F6"/>
    <w:rsid w:val="32EDCF79"/>
    <w:rsid w:val="330AC0B7"/>
    <w:rsid w:val="3319A639"/>
    <w:rsid w:val="3398D88C"/>
    <w:rsid w:val="33B6630B"/>
    <w:rsid w:val="33E37992"/>
    <w:rsid w:val="341CD779"/>
    <w:rsid w:val="341DB526"/>
    <w:rsid w:val="3446B114"/>
    <w:rsid w:val="344C9C00"/>
    <w:rsid w:val="344E0BC7"/>
    <w:rsid w:val="344F3483"/>
    <w:rsid w:val="3454CC33"/>
    <w:rsid w:val="346C663B"/>
    <w:rsid w:val="34725FAC"/>
    <w:rsid w:val="348A1FFF"/>
    <w:rsid w:val="34A75062"/>
    <w:rsid w:val="34D52B1A"/>
    <w:rsid w:val="354D8659"/>
    <w:rsid w:val="3664A3E4"/>
    <w:rsid w:val="36674139"/>
    <w:rsid w:val="366A6560"/>
    <w:rsid w:val="36AC9135"/>
    <w:rsid w:val="36D83F4F"/>
    <w:rsid w:val="3708A8AF"/>
    <w:rsid w:val="3725225D"/>
    <w:rsid w:val="3741F551"/>
    <w:rsid w:val="37525C06"/>
    <w:rsid w:val="37594C72"/>
    <w:rsid w:val="37603CDE"/>
    <w:rsid w:val="37654763"/>
    <w:rsid w:val="37BCC472"/>
    <w:rsid w:val="37DADD8B"/>
    <w:rsid w:val="38411CB6"/>
    <w:rsid w:val="386F0624"/>
    <w:rsid w:val="3884B256"/>
    <w:rsid w:val="391202DB"/>
    <w:rsid w:val="3931F466"/>
    <w:rsid w:val="393F59F1"/>
    <w:rsid w:val="3960B3C6"/>
    <w:rsid w:val="398426B2"/>
    <w:rsid w:val="399754CB"/>
    <w:rsid w:val="39BBCB61"/>
    <w:rsid w:val="39C49FD6"/>
    <w:rsid w:val="39DB188A"/>
    <w:rsid w:val="3A1369C2"/>
    <w:rsid w:val="3A4C05DD"/>
    <w:rsid w:val="3A74311E"/>
    <w:rsid w:val="3A96C107"/>
    <w:rsid w:val="3A9ADA3C"/>
    <w:rsid w:val="3AA9433A"/>
    <w:rsid w:val="3AB46677"/>
    <w:rsid w:val="3AD6C63D"/>
    <w:rsid w:val="3B01B52C"/>
    <w:rsid w:val="3B45133F"/>
    <w:rsid w:val="3B9297BD"/>
    <w:rsid w:val="3BC5F90C"/>
    <w:rsid w:val="3C275AEF"/>
    <w:rsid w:val="3C2B59F4"/>
    <w:rsid w:val="3C4D3609"/>
    <w:rsid w:val="3C4D578F"/>
    <w:rsid w:val="3C994C4A"/>
    <w:rsid w:val="3CECF96E"/>
    <w:rsid w:val="3D09E494"/>
    <w:rsid w:val="3D5AC8E8"/>
    <w:rsid w:val="3D774D64"/>
    <w:rsid w:val="3D9274F9"/>
    <w:rsid w:val="3DB65E15"/>
    <w:rsid w:val="3DC61501"/>
    <w:rsid w:val="3DDEED3F"/>
    <w:rsid w:val="3DE27BC7"/>
    <w:rsid w:val="3DF36B5B"/>
    <w:rsid w:val="3E4E5B0E"/>
    <w:rsid w:val="3E56445C"/>
    <w:rsid w:val="3E85E572"/>
    <w:rsid w:val="3EA7594C"/>
    <w:rsid w:val="3EB24626"/>
    <w:rsid w:val="3EC1902A"/>
    <w:rsid w:val="3F22739F"/>
    <w:rsid w:val="3F367AF0"/>
    <w:rsid w:val="3F3D6C85"/>
    <w:rsid w:val="3F7AA61E"/>
    <w:rsid w:val="3FAACED8"/>
    <w:rsid w:val="3FB43DA4"/>
    <w:rsid w:val="3FB7D8AC"/>
    <w:rsid w:val="3FF432F7"/>
    <w:rsid w:val="4012325A"/>
    <w:rsid w:val="40141544"/>
    <w:rsid w:val="40150851"/>
    <w:rsid w:val="404A52C1"/>
    <w:rsid w:val="404C6D74"/>
    <w:rsid w:val="40559146"/>
    <w:rsid w:val="40A21B14"/>
    <w:rsid w:val="40B4C5CE"/>
    <w:rsid w:val="40BB8573"/>
    <w:rsid w:val="40E3F3D9"/>
    <w:rsid w:val="40EF9873"/>
    <w:rsid w:val="41539DF7"/>
    <w:rsid w:val="4163D29B"/>
    <w:rsid w:val="416FE846"/>
    <w:rsid w:val="4180F4E1"/>
    <w:rsid w:val="4183184B"/>
    <w:rsid w:val="41BB045C"/>
    <w:rsid w:val="41CA21D2"/>
    <w:rsid w:val="4242DAC3"/>
    <w:rsid w:val="4299B7BD"/>
    <w:rsid w:val="430DE8F2"/>
    <w:rsid w:val="4318135A"/>
    <w:rsid w:val="431AA458"/>
    <w:rsid w:val="43680512"/>
    <w:rsid w:val="4377FB70"/>
    <w:rsid w:val="43A0656B"/>
    <w:rsid w:val="43CB77C1"/>
    <w:rsid w:val="43E9BE56"/>
    <w:rsid w:val="43F1642E"/>
    <w:rsid w:val="44047904"/>
    <w:rsid w:val="44092D3B"/>
    <w:rsid w:val="4474B6BD"/>
    <w:rsid w:val="448466C7"/>
    <w:rsid w:val="44A9C3EB"/>
    <w:rsid w:val="44ACC67B"/>
    <w:rsid w:val="44BD2C78"/>
    <w:rsid w:val="44F82A3D"/>
    <w:rsid w:val="45032777"/>
    <w:rsid w:val="45106F4C"/>
    <w:rsid w:val="45439B07"/>
    <w:rsid w:val="45605735"/>
    <w:rsid w:val="45AB030F"/>
    <w:rsid w:val="45C98424"/>
    <w:rsid w:val="45E595E9"/>
    <w:rsid w:val="46285C27"/>
    <w:rsid w:val="46389415"/>
    <w:rsid w:val="4666D450"/>
    <w:rsid w:val="4689FA81"/>
    <w:rsid w:val="46B0985F"/>
    <w:rsid w:val="46B7AC66"/>
    <w:rsid w:val="46CE87B6"/>
    <w:rsid w:val="46FD9C82"/>
    <w:rsid w:val="470A007E"/>
    <w:rsid w:val="47121B39"/>
    <w:rsid w:val="47122712"/>
    <w:rsid w:val="4722B110"/>
    <w:rsid w:val="472D49B5"/>
    <w:rsid w:val="477C4AE7"/>
    <w:rsid w:val="479B64D5"/>
    <w:rsid w:val="47A0C0B4"/>
    <w:rsid w:val="47AC551E"/>
    <w:rsid w:val="47AFA4F1"/>
    <w:rsid w:val="47CB8E34"/>
    <w:rsid w:val="47DA12A9"/>
    <w:rsid w:val="4803C423"/>
    <w:rsid w:val="48816D97"/>
    <w:rsid w:val="489643AA"/>
    <w:rsid w:val="48C2074A"/>
    <w:rsid w:val="491729FF"/>
    <w:rsid w:val="491A90C8"/>
    <w:rsid w:val="49258951"/>
    <w:rsid w:val="4940BAB1"/>
    <w:rsid w:val="49719E7E"/>
    <w:rsid w:val="497D9244"/>
    <w:rsid w:val="497E6F5C"/>
    <w:rsid w:val="499A229C"/>
    <w:rsid w:val="4A2AA77E"/>
    <w:rsid w:val="4A4266E8"/>
    <w:rsid w:val="4A5B123C"/>
    <w:rsid w:val="4A74B541"/>
    <w:rsid w:val="4AEA628D"/>
    <w:rsid w:val="4AF50544"/>
    <w:rsid w:val="4B20CF33"/>
    <w:rsid w:val="4B21C973"/>
    <w:rsid w:val="4B4A46FE"/>
    <w:rsid w:val="4B53EEDB"/>
    <w:rsid w:val="4B8F643D"/>
    <w:rsid w:val="4BF0C9DD"/>
    <w:rsid w:val="4BF70564"/>
    <w:rsid w:val="4C0AC449"/>
    <w:rsid w:val="4C15B787"/>
    <w:rsid w:val="4C5FFE51"/>
    <w:rsid w:val="4CA2FA8D"/>
    <w:rsid w:val="4CCE052E"/>
    <w:rsid w:val="4CE7188E"/>
    <w:rsid w:val="4D097AA6"/>
    <w:rsid w:val="4D1F05DF"/>
    <w:rsid w:val="4D31691F"/>
    <w:rsid w:val="4D3D8044"/>
    <w:rsid w:val="4D590111"/>
    <w:rsid w:val="4D61C72E"/>
    <w:rsid w:val="4DAA70F6"/>
    <w:rsid w:val="4E077F47"/>
    <w:rsid w:val="4E0CF374"/>
    <w:rsid w:val="4E10759A"/>
    <w:rsid w:val="4E946E30"/>
    <w:rsid w:val="4EB45428"/>
    <w:rsid w:val="4EEABF3A"/>
    <w:rsid w:val="4EF173AF"/>
    <w:rsid w:val="4F15F47E"/>
    <w:rsid w:val="4F9A612F"/>
    <w:rsid w:val="4FB9BAC0"/>
    <w:rsid w:val="4FC8E77D"/>
    <w:rsid w:val="504ED175"/>
    <w:rsid w:val="5077558F"/>
    <w:rsid w:val="5086A328"/>
    <w:rsid w:val="50875BB2"/>
    <w:rsid w:val="5091F44A"/>
    <w:rsid w:val="516DB909"/>
    <w:rsid w:val="517908EF"/>
    <w:rsid w:val="51EE7234"/>
    <w:rsid w:val="52083F71"/>
    <w:rsid w:val="525FB63E"/>
    <w:rsid w:val="52D33E46"/>
    <w:rsid w:val="52D468AB"/>
    <w:rsid w:val="52F756EE"/>
    <w:rsid w:val="52FE3E5A"/>
    <w:rsid w:val="539D9338"/>
    <w:rsid w:val="53ACDD31"/>
    <w:rsid w:val="53D88A8C"/>
    <w:rsid w:val="540F58F7"/>
    <w:rsid w:val="544B6DF9"/>
    <w:rsid w:val="545604C6"/>
    <w:rsid w:val="5493A23A"/>
    <w:rsid w:val="549B2D1F"/>
    <w:rsid w:val="549DB66D"/>
    <w:rsid w:val="54E37D08"/>
    <w:rsid w:val="54EFD523"/>
    <w:rsid w:val="5527F596"/>
    <w:rsid w:val="55586608"/>
    <w:rsid w:val="55DCFDE8"/>
    <w:rsid w:val="55DFD349"/>
    <w:rsid w:val="55F74160"/>
    <w:rsid w:val="560B7A9D"/>
    <w:rsid w:val="561D8C7B"/>
    <w:rsid w:val="56227628"/>
    <w:rsid w:val="5641B464"/>
    <w:rsid w:val="5642C77D"/>
    <w:rsid w:val="56800A3A"/>
    <w:rsid w:val="56855C94"/>
    <w:rsid w:val="568A7C00"/>
    <w:rsid w:val="56C5AD15"/>
    <w:rsid w:val="56CF2496"/>
    <w:rsid w:val="5736EA24"/>
    <w:rsid w:val="5784A85C"/>
    <w:rsid w:val="57A2887B"/>
    <w:rsid w:val="57EF91BE"/>
    <w:rsid w:val="57F2725C"/>
    <w:rsid w:val="5826A3F2"/>
    <w:rsid w:val="585161BC"/>
    <w:rsid w:val="58604239"/>
    <w:rsid w:val="587072CA"/>
    <w:rsid w:val="58BF857A"/>
    <w:rsid w:val="58D7DDCB"/>
    <w:rsid w:val="58E73844"/>
    <w:rsid w:val="58E8B021"/>
    <w:rsid w:val="5909A17A"/>
    <w:rsid w:val="5931F2A2"/>
    <w:rsid w:val="594DF2AA"/>
    <w:rsid w:val="596F1A52"/>
    <w:rsid w:val="5981E098"/>
    <w:rsid w:val="599FF70F"/>
    <w:rsid w:val="59DD265B"/>
    <w:rsid w:val="5A3B4320"/>
    <w:rsid w:val="5A41E474"/>
    <w:rsid w:val="5A4C9A7F"/>
    <w:rsid w:val="5AD34C17"/>
    <w:rsid w:val="5AF6E0A1"/>
    <w:rsid w:val="5B1C7955"/>
    <w:rsid w:val="5B297469"/>
    <w:rsid w:val="5B510EE5"/>
    <w:rsid w:val="5B5D51FE"/>
    <w:rsid w:val="5B704915"/>
    <w:rsid w:val="5B7263C8"/>
    <w:rsid w:val="5B7CFAB9"/>
    <w:rsid w:val="5B8C9D80"/>
    <w:rsid w:val="5BC559C0"/>
    <w:rsid w:val="5C6472D6"/>
    <w:rsid w:val="5C6C98EA"/>
    <w:rsid w:val="5C6DA497"/>
    <w:rsid w:val="5C8C1F58"/>
    <w:rsid w:val="5CA00A65"/>
    <w:rsid w:val="5CEC1366"/>
    <w:rsid w:val="5CF805A6"/>
    <w:rsid w:val="5CFD0F72"/>
    <w:rsid w:val="5D1CD885"/>
    <w:rsid w:val="5D3F948C"/>
    <w:rsid w:val="5D411E7D"/>
    <w:rsid w:val="5DBF9E19"/>
    <w:rsid w:val="5DD17946"/>
    <w:rsid w:val="5DD377FA"/>
    <w:rsid w:val="5DD702A4"/>
    <w:rsid w:val="5DED9114"/>
    <w:rsid w:val="5DF5FF2A"/>
    <w:rsid w:val="5E08D2E8"/>
    <w:rsid w:val="5E7636D1"/>
    <w:rsid w:val="5E7B9FA8"/>
    <w:rsid w:val="5E9977C5"/>
    <w:rsid w:val="5EEBD075"/>
    <w:rsid w:val="5EEE703D"/>
    <w:rsid w:val="5F2A1DDE"/>
    <w:rsid w:val="5F312BE5"/>
    <w:rsid w:val="5F526392"/>
    <w:rsid w:val="5F863E47"/>
    <w:rsid w:val="5F8763E9"/>
    <w:rsid w:val="5F8A223D"/>
    <w:rsid w:val="5F92C0B3"/>
    <w:rsid w:val="6006FB12"/>
    <w:rsid w:val="60096D75"/>
    <w:rsid w:val="6009FD8E"/>
    <w:rsid w:val="60197332"/>
    <w:rsid w:val="6049A276"/>
    <w:rsid w:val="605379E5"/>
    <w:rsid w:val="60760A00"/>
    <w:rsid w:val="60B0E771"/>
    <w:rsid w:val="60F52717"/>
    <w:rsid w:val="61093A84"/>
    <w:rsid w:val="61099ADC"/>
    <w:rsid w:val="610E01E7"/>
    <w:rsid w:val="61183A21"/>
    <w:rsid w:val="611B4CDF"/>
    <w:rsid w:val="6128CCA3"/>
    <w:rsid w:val="6149CC76"/>
    <w:rsid w:val="6169A518"/>
    <w:rsid w:val="618975DF"/>
    <w:rsid w:val="619763E6"/>
    <w:rsid w:val="61E5DFAD"/>
    <w:rsid w:val="61F72F60"/>
    <w:rsid w:val="6214ED1E"/>
    <w:rsid w:val="62836504"/>
    <w:rsid w:val="628BC0FB"/>
    <w:rsid w:val="633FE039"/>
    <w:rsid w:val="635B5C8B"/>
    <w:rsid w:val="635C8636"/>
    <w:rsid w:val="63D9F837"/>
    <w:rsid w:val="63E6BC4A"/>
    <w:rsid w:val="641C2BC2"/>
    <w:rsid w:val="645315C6"/>
    <w:rsid w:val="646F365A"/>
    <w:rsid w:val="6496027F"/>
    <w:rsid w:val="64CD5BC7"/>
    <w:rsid w:val="64FE92CC"/>
    <w:rsid w:val="6509A610"/>
    <w:rsid w:val="6512E312"/>
    <w:rsid w:val="65320334"/>
    <w:rsid w:val="6536EE30"/>
    <w:rsid w:val="656C6ED7"/>
    <w:rsid w:val="656ED441"/>
    <w:rsid w:val="659DDF1F"/>
    <w:rsid w:val="65B049AA"/>
    <w:rsid w:val="660FC8B1"/>
    <w:rsid w:val="6610429E"/>
    <w:rsid w:val="6630FDA7"/>
    <w:rsid w:val="6661CFF9"/>
    <w:rsid w:val="670BD2E4"/>
    <w:rsid w:val="67164DD3"/>
    <w:rsid w:val="67783312"/>
    <w:rsid w:val="677A9B77"/>
    <w:rsid w:val="678C8F35"/>
    <w:rsid w:val="67A9E9DC"/>
    <w:rsid w:val="681F8928"/>
    <w:rsid w:val="6823609A"/>
    <w:rsid w:val="68363758"/>
    <w:rsid w:val="6839E075"/>
    <w:rsid w:val="6867429E"/>
    <w:rsid w:val="687534D7"/>
    <w:rsid w:val="689623E1"/>
    <w:rsid w:val="68A33EB6"/>
    <w:rsid w:val="6900B943"/>
    <w:rsid w:val="6900F6A4"/>
    <w:rsid w:val="69140C81"/>
    <w:rsid w:val="692ADB7D"/>
    <w:rsid w:val="699B6713"/>
    <w:rsid w:val="69E2C2C8"/>
    <w:rsid w:val="6A1E695A"/>
    <w:rsid w:val="6A243401"/>
    <w:rsid w:val="6A5A911A"/>
    <w:rsid w:val="6A67DF76"/>
    <w:rsid w:val="6AAA839B"/>
    <w:rsid w:val="6AC5240B"/>
    <w:rsid w:val="6B00790C"/>
    <w:rsid w:val="6B0A3E2E"/>
    <w:rsid w:val="6B0F6047"/>
    <w:rsid w:val="6BB8CB39"/>
    <w:rsid w:val="6BC9B9B3"/>
    <w:rsid w:val="6C23B2CF"/>
    <w:rsid w:val="6C3D5525"/>
    <w:rsid w:val="6C46686F"/>
    <w:rsid w:val="6C70F208"/>
    <w:rsid w:val="6C90AE15"/>
    <w:rsid w:val="6CAA6741"/>
    <w:rsid w:val="6D21F106"/>
    <w:rsid w:val="6D5F6384"/>
    <w:rsid w:val="6D7111FD"/>
    <w:rsid w:val="6D876899"/>
    <w:rsid w:val="6DC8C1E6"/>
    <w:rsid w:val="6DE40971"/>
    <w:rsid w:val="6E1A9C9D"/>
    <w:rsid w:val="6ECD65A5"/>
    <w:rsid w:val="6EE09DA2"/>
    <w:rsid w:val="6F74EE4D"/>
    <w:rsid w:val="6F784334"/>
    <w:rsid w:val="6F81C451"/>
    <w:rsid w:val="6F89FC29"/>
    <w:rsid w:val="6FA915E0"/>
    <w:rsid w:val="6FBD7500"/>
    <w:rsid w:val="6FDB82B4"/>
    <w:rsid w:val="6FFCC8AA"/>
    <w:rsid w:val="70500B14"/>
    <w:rsid w:val="70559408"/>
    <w:rsid w:val="70AA0456"/>
    <w:rsid w:val="70D452D6"/>
    <w:rsid w:val="70EFAB85"/>
    <w:rsid w:val="71003AE7"/>
    <w:rsid w:val="711FC53F"/>
    <w:rsid w:val="713152D4"/>
    <w:rsid w:val="724945BF"/>
    <w:rsid w:val="7256117D"/>
    <w:rsid w:val="72574FF9"/>
    <w:rsid w:val="72765E43"/>
    <w:rsid w:val="72815664"/>
    <w:rsid w:val="72D5468A"/>
    <w:rsid w:val="72E9C395"/>
    <w:rsid w:val="7353F650"/>
    <w:rsid w:val="73C72E6E"/>
    <w:rsid w:val="73E0FFDF"/>
    <w:rsid w:val="73EFFAE0"/>
    <w:rsid w:val="74012B89"/>
    <w:rsid w:val="741A0635"/>
    <w:rsid w:val="74477096"/>
    <w:rsid w:val="7481C95A"/>
    <w:rsid w:val="74ABFEB2"/>
    <w:rsid w:val="7525BB2F"/>
    <w:rsid w:val="75525C49"/>
    <w:rsid w:val="755B060A"/>
    <w:rsid w:val="7569E49D"/>
    <w:rsid w:val="75C0591F"/>
    <w:rsid w:val="76297BB7"/>
    <w:rsid w:val="763B80A1"/>
    <w:rsid w:val="766B1747"/>
    <w:rsid w:val="7670F022"/>
    <w:rsid w:val="77012367"/>
    <w:rsid w:val="775AFC40"/>
    <w:rsid w:val="777B04F6"/>
    <w:rsid w:val="77AEB808"/>
    <w:rsid w:val="77D35535"/>
    <w:rsid w:val="7817F10C"/>
    <w:rsid w:val="782CF755"/>
    <w:rsid w:val="7872B447"/>
    <w:rsid w:val="788E3B54"/>
    <w:rsid w:val="78E026B9"/>
    <w:rsid w:val="79387E9A"/>
    <w:rsid w:val="794FF657"/>
    <w:rsid w:val="798C7BCC"/>
    <w:rsid w:val="79985CF5"/>
    <w:rsid w:val="79B7FF92"/>
    <w:rsid w:val="7A429CF0"/>
    <w:rsid w:val="7A5A4D13"/>
    <w:rsid w:val="7A7BB6CB"/>
    <w:rsid w:val="7AAA430F"/>
    <w:rsid w:val="7AB9913B"/>
    <w:rsid w:val="7AC5046B"/>
    <w:rsid w:val="7B07BD08"/>
    <w:rsid w:val="7B15A84C"/>
    <w:rsid w:val="7B169485"/>
    <w:rsid w:val="7B475C08"/>
    <w:rsid w:val="7B52D282"/>
    <w:rsid w:val="7B7171FC"/>
    <w:rsid w:val="7BC65C18"/>
    <w:rsid w:val="7C32B6E7"/>
    <w:rsid w:val="7C661F81"/>
    <w:rsid w:val="7C838314"/>
    <w:rsid w:val="7C913365"/>
    <w:rsid w:val="7C96F6D2"/>
    <w:rsid w:val="7D4103F5"/>
    <w:rsid w:val="7D77DCE6"/>
    <w:rsid w:val="7D81D746"/>
    <w:rsid w:val="7D93F615"/>
    <w:rsid w:val="7D9D9190"/>
    <w:rsid w:val="7DA589B7"/>
    <w:rsid w:val="7DCABEEE"/>
    <w:rsid w:val="7DF8BB1A"/>
    <w:rsid w:val="7DFEDAFA"/>
    <w:rsid w:val="7E028031"/>
    <w:rsid w:val="7E210A1A"/>
    <w:rsid w:val="7E5FD6EC"/>
    <w:rsid w:val="7E81E711"/>
    <w:rsid w:val="7E8713CA"/>
    <w:rsid w:val="7E97406F"/>
    <w:rsid w:val="7ECD606D"/>
    <w:rsid w:val="7ED5CC90"/>
    <w:rsid w:val="7F15E304"/>
    <w:rsid w:val="7F5181C9"/>
    <w:rsid w:val="7F840BB4"/>
    <w:rsid w:val="7F84F1B1"/>
    <w:rsid w:val="7F9EDCC7"/>
    <w:rsid w:val="7FAE8C4E"/>
    <w:rsid w:val="7FFDE54C"/>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DA0C86"/>
  <w15:docId w15:val="{1CBCB86D-04B0-46EF-9B42-4A19082F5E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EastAsia" w:hAnsi="Arial" w:cs="Verdana"/>
        <w:color w:val="404040"/>
        <w:lang w:val="da-DK"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semiHidden="1" w:uiPriority="1" w:qFormat="1"/>
    <w:lsdException w:name="heading 8" w:semiHidden="1" w:uiPriority="1" w:qFormat="1"/>
    <w:lsdException w:name="heading 9" w:semiHidden="1" w:uiPriority="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iPriority="7"/>
    <w:lsdException w:name="annotation text" w:semiHidden="1"/>
    <w:lsdException w:name="header" w:semiHidden="1" w:uiPriority="11"/>
    <w:lsdException w:name="footer" w:semiHidden="1"/>
    <w:lsdException w:name="index heading" w:semiHidden="1"/>
    <w:lsdException w:name="caption" w:semiHidden="1" w:uiPriority="4" w:qFormat="1"/>
    <w:lsdException w:name="table of figures" w:semiHidden="1"/>
    <w:lsdException w:name="envelope address" w:semiHidden="1"/>
    <w:lsdException w:name="envelope return" w:semiHidden="1"/>
    <w:lsdException w:name="footnote reference" w:semiHidden="1" w:uiPriority="7"/>
    <w:lsdException w:name="annotation reference" w:semiHidden="1"/>
    <w:lsdException w:name="line number" w:semiHidden="1"/>
    <w:lsdException w:name="page number" w:semiHidden="1" w:uiPriority="21"/>
    <w:lsdException w:name="endnote reference" w:semiHidden="1" w:uiPriority="21"/>
    <w:lsdException w:name="endnote text" w:semiHidden="1" w:uiPriority="21"/>
    <w:lsdException w:name="table of authorities" w:semiHidden="1" w:uiPriority="10"/>
    <w:lsdException w:name="macro" w:semiHidden="1"/>
    <w:lsdException w:name="toa heading" w:semiHidden="1" w:uiPriority="39"/>
    <w:lsdException w:name="List" w:semiHidden="1"/>
    <w:lsdException w:name="List Bullet" w:semiHidden="1" w:uiPriority="3" w:qFormat="1"/>
    <w:lsdException w:name="List Number" w:uiPriority="3" w:qFormat="1"/>
    <w:lsdException w:name="List 2" w:semiHidden="1"/>
    <w:lsdException w:name="List 3" w:semiHidden="1"/>
    <w:lsdException w:name="List 4" w:semiHidden="1"/>
    <w:lsdException w:name="List 5" w:semiHidden="1"/>
    <w:lsdException w:name="List Bullet 2" w:semiHidden="1" w:uiPriority="3" w:qFormat="1"/>
    <w:lsdException w:name="List Bullet 3" w:semiHidden="1" w:uiPriority="3" w:qFormat="1"/>
    <w:lsdException w:name="List Bullet 4" w:semiHidden="1" w:uiPriority="3"/>
    <w:lsdException w:name="List Bullet 5" w:uiPriority="3"/>
    <w:lsdException w:name="List Number 2" w:semiHidden="1" w:uiPriority="3"/>
    <w:lsdException w:name="List Number 3" w:semiHidden="1" w:uiPriority="3"/>
    <w:lsdException w:name="List Number 4" w:semiHidden="1" w:uiPriority="3"/>
    <w:lsdException w:name="List Number 5" w:semiHidden="1"/>
    <w:lsdException w:name="Title" w:uiPriority="19"/>
    <w:lsdException w:name="Closing" w:semiHidden="1"/>
    <w:lsdException w:name="Signature" w:semiHidden="1" w:uiPriority="10"/>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9"/>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uiPriority="21"/>
    <w:lsdException w:name="Strong" w:semiHidden="1"/>
    <w:lsdException w:name="Emphasis" w:semiHidden="1" w:uiPriority="19"/>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lsdException w:name="Intense Quote"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semiHidden="1"/>
    <w:lsdException w:name="Subtle Reference" w:qFormat="1"/>
    <w:lsdException w:name="Intense Reference" w:qFormat="1"/>
    <w:lsdException w:name="Book Title" w:qFormat="1"/>
    <w:lsdException w:name="Bibliography" w:semiHidden="1"/>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latentStyles>
  <w:style w:type="paragraph" w:default="1" w:styleId="Normal">
    <w:name w:val="Normal"/>
    <w:qFormat/>
    <w:rsid w:val="005D6A62"/>
    <w:rPr>
      <w:lang w:val="en-GB"/>
    </w:rPr>
  </w:style>
  <w:style w:type="paragraph" w:styleId="Heading1">
    <w:name w:val="heading 1"/>
    <w:basedOn w:val="Normal"/>
    <w:next w:val="Normal"/>
    <w:link w:val="Heading1Char"/>
    <w:uiPriority w:val="1"/>
    <w:qFormat/>
    <w:rsid w:val="005D6A62"/>
    <w:pPr>
      <w:keepNext/>
      <w:keepLines/>
      <w:pageBreakBefore/>
      <w:numPr>
        <w:numId w:val="11"/>
      </w:numPr>
      <w:spacing w:line="192" w:lineRule="auto"/>
      <w:outlineLvl w:val="0"/>
    </w:pPr>
    <w:rPr>
      <w:rFonts w:asciiTheme="majorHAnsi" w:eastAsia="Times New Roman" w:hAnsiTheme="majorHAnsi" w:cs="Arial"/>
      <w:b/>
      <w:color w:val="auto"/>
      <w:sz w:val="48"/>
      <w:szCs w:val="40"/>
    </w:rPr>
  </w:style>
  <w:style w:type="paragraph" w:styleId="Heading2">
    <w:name w:val="heading 2"/>
    <w:basedOn w:val="Normal"/>
    <w:next w:val="Normal"/>
    <w:link w:val="Heading2Char"/>
    <w:uiPriority w:val="1"/>
    <w:qFormat/>
    <w:rsid w:val="005D6A62"/>
    <w:pPr>
      <w:keepNext/>
      <w:keepLines/>
      <w:numPr>
        <w:ilvl w:val="1"/>
        <w:numId w:val="11"/>
      </w:numPr>
      <w:spacing w:before="360" w:line="192" w:lineRule="auto"/>
      <w:outlineLvl w:val="1"/>
    </w:pPr>
    <w:rPr>
      <w:rFonts w:asciiTheme="majorHAnsi" w:eastAsia="Times New Roman" w:hAnsiTheme="majorHAnsi" w:cs="Arial"/>
      <w:b/>
      <w:color w:val="auto"/>
      <w:sz w:val="36"/>
      <w:szCs w:val="32"/>
    </w:rPr>
  </w:style>
  <w:style w:type="paragraph" w:styleId="Heading3">
    <w:name w:val="heading 3"/>
    <w:basedOn w:val="Normal"/>
    <w:next w:val="Normal"/>
    <w:link w:val="Heading3Char"/>
    <w:uiPriority w:val="1"/>
    <w:qFormat/>
    <w:rsid w:val="00CF26C4"/>
    <w:pPr>
      <w:keepNext/>
      <w:keepLines/>
      <w:numPr>
        <w:ilvl w:val="2"/>
        <w:numId w:val="11"/>
      </w:numPr>
      <w:spacing w:line="320" w:lineRule="atLeast"/>
      <w:outlineLvl w:val="2"/>
    </w:pPr>
    <w:rPr>
      <w:rFonts w:eastAsia="Times New Roman" w:cs="Courier New"/>
      <w:b/>
      <w:color w:val="auto"/>
      <w:sz w:val="28"/>
      <w:szCs w:val="32"/>
    </w:rPr>
  </w:style>
  <w:style w:type="paragraph" w:styleId="Heading4">
    <w:name w:val="heading 4"/>
    <w:basedOn w:val="Normal"/>
    <w:next w:val="Normal"/>
    <w:link w:val="Heading4Char"/>
    <w:uiPriority w:val="1"/>
    <w:qFormat/>
    <w:rsid w:val="00CF26C4"/>
    <w:pPr>
      <w:keepNext/>
      <w:keepLines/>
      <w:numPr>
        <w:ilvl w:val="3"/>
        <w:numId w:val="11"/>
      </w:numPr>
      <w:spacing w:line="260" w:lineRule="atLeast"/>
      <w:outlineLvl w:val="3"/>
    </w:pPr>
    <w:rPr>
      <w:rFonts w:eastAsia="Times New Roman" w:cs="Courier New"/>
      <w:b/>
      <w:iCs/>
      <w:color w:val="auto"/>
      <w:sz w:val="22"/>
      <w:szCs w:val="30"/>
    </w:rPr>
  </w:style>
  <w:style w:type="paragraph" w:styleId="Heading5">
    <w:name w:val="heading 5"/>
    <w:basedOn w:val="Normal"/>
    <w:next w:val="Normal"/>
    <w:link w:val="Heading5Char"/>
    <w:uiPriority w:val="1"/>
    <w:semiHidden/>
    <w:qFormat/>
    <w:rsid w:val="00CF26C4"/>
    <w:pPr>
      <w:keepNext/>
      <w:keepLines/>
      <w:spacing w:line="260" w:lineRule="atLeast"/>
      <w:outlineLvl w:val="4"/>
    </w:pPr>
    <w:rPr>
      <w:rFonts w:eastAsia="Times New Roman" w:cs="Arial"/>
      <w:b/>
      <w:sz w:val="22"/>
      <w:szCs w:val="28"/>
    </w:rPr>
  </w:style>
  <w:style w:type="paragraph" w:styleId="Heading6">
    <w:name w:val="heading 6"/>
    <w:basedOn w:val="Normal"/>
    <w:next w:val="Normal"/>
    <w:link w:val="Heading6Char"/>
    <w:uiPriority w:val="1"/>
    <w:semiHidden/>
    <w:qFormat/>
    <w:rsid w:val="00CF26C4"/>
    <w:pPr>
      <w:keepNext/>
      <w:keepLines/>
      <w:spacing w:line="260" w:lineRule="atLeast"/>
      <w:outlineLvl w:val="5"/>
    </w:pPr>
    <w:rPr>
      <w:rFonts w:eastAsia="Times New Roman" w:cs="Arial"/>
      <w:b/>
      <w:iCs/>
      <w:sz w:val="22"/>
      <w:szCs w:val="26"/>
    </w:rPr>
  </w:style>
  <w:style w:type="paragraph" w:styleId="Heading7">
    <w:name w:val="heading 7"/>
    <w:basedOn w:val="Normal"/>
    <w:next w:val="Normal"/>
    <w:link w:val="Heading7Char"/>
    <w:uiPriority w:val="1"/>
    <w:semiHidden/>
    <w:qFormat/>
    <w:rsid w:val="00CF26C4"/>
    <w:pPr>
      <w:keepNext/>
      <w:keepLines/>
      <w:spacing w:line="260" w:lineRule="atLeast"/>
      <w:outlineLvl w:val="6"/>
    </w:pPr>
    <w:rPr>
      <w:rFonts w:eastAsia="Times New Roman" w:cs="Arial"/>
      <w:b/>
      <w:sz w:val="22"/>
      <w:szCs w:val="24"/>
    </w:rPr>
  </w:style>
  <w:style w:type="paragraph" w:styleId="Heading8">
    <w:name w:val="heading 8"/>
    <w:basedOn w:val="Normal"/>
    <w:next w:val="Normal"/>
    <w:link w:val="Heading8Char"/>
    <w:uiPriority w:val="1"/>
    <w:semiHidden/>
    <w:qFormat/>
    <w:rsid w:val="00CF26C4"/>
    <w:pPr>
      <w:keepNext/>
      <w:keepLines/>
      <w:spacing w:line="260" w:lineRule="atLeast"/>
      <w:outlineLvl w:val="7"/>
    </w:pPr>
    <w:rPr>
      <w:rFonts w:eastAsia="Times New Roman" w:cs="Arial"/>
      <w:b/>
      <w:iCs/>
      <w:sz w:val="22"/>
      <w:szCs w:val="22"/>
    </w:rPr>
  </w:style>
  <w:style w:type="paragraph" w:styleId="Heading9">
    <w:name w:val="heading 9"/>
    <w:basedOn w:val="Normal"/>
    <w:next w:val="Normal"/>
    <w:link w:val="Heading9Char"/>
    <w:uiPriority w:val="1"/>
    <w:semiHidden/>
    <w:qFormat/>
    <w:rsid w:val="00CF26C4"/>
    <w:pPr>
      <w:keepNext/>
      <w:keepLines/>
      <w:spacing w:line="260" w:lineRule="atLeast"/>
      <w:outlineLvl w:val="8"/>
    </w:pPr>
    <w:rPr>
      <w:rFonts w:eastAsia="Times New Roman" w:cs="Arial"/>
      <w:b/>
      <w:bCs/>
      <w:iCs/>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CF26C4"/>
    <w:rPr>
      <w:rFonts w:cs="Arial"/>
    </w:rPr>
  </w:style>
  <w:style w:type="character" w:customStyle="1" w:styleId="BalloonTextChar">
    <w:name w:val="Balloon Text Char"/>
    <w:basedOn w:val="DefaultParagraphFont"/>
    <w:link w:val="BalloonText"/>
    <w:uiPriority w:val="99"/>
    <w:semiHidden/>
    <w:rsid w:val="00CF26C4"/>
    <w:rPr>
      <w:rFonts w:cs="Arial"/>
      <w:lang w:val="en-GB"/>
    </w:rPr>
  </w:style>
  <w:style w:type="paragraph" w:styleId="Bibliography">
    <w:name w:val="Bibliography"/>
    <w:basedOn w:val="Normal"/>
    <w:next w:val="Normal"/>
    <w:uiPriority w:val="99"/>
    <w:semiHidden/>
    <w:rsid w:val="00CF26C4"/>
  </w:style>
  <w:style w:type="table" w:customStyle="1" w:styleId="Blank">
    <w:name w:val="Blank"/>
    <w:basedOn w:val="TableNormal"/>
    <w:uiPriority w:val="99"/>
    <w:rsid w:val="00CF26C4"/>
    <w:pPr>
      <w:spacing w:after="0"/>
    </w:pPr>
    <w:rPr>
      <w:rFonts w:eastAsiaTheme="minorHAnsi"/>
      <w:szCs w:val="18"/>
    </w:rPr>
    <w:tblPr>
      <w:tblCellMar>
        <w:left w:w="0" w:type="dxa"/>
        <w:right w:w="0" w:type="dxa"/>
      </w:tblCellMar>
    </w:tblPr>
    <w:tblStylePr w:type="firstRow">
      <w:pPr>
        <w:wordWrap/>
        <w:spacing w:beforeLines="0" w:before="0" w:beforeAutospacing="0" w:afterLines="0" w:after="0" w:afterAutospacing="0" w:line="240" w:lineRule="auto"/>
        <w:ind w:leftChars="0" w:left="0" w:rightChars="0" w:right="0"/>
      </w:pPr>
    </w:tblStylePr>
    <w:tblStylePr w:type="lastRow">
      <w:pPr>
        <w:spacing w:before="0" w:after="0" w:line="240" w:lineRule="auto"/>
      </w:pPr>
    </w:tblStylePr>
  </w:style>
  <w:style w:type="character" w:customStyle="1" w:styleId="Heading1Char">
    <w:name w:val="Heading 1 Char"/>
    <w:link w:val="Heading1"/>
    <w:uiPriority w:val="1"/>
    <w:rsid w:val="005D6A62"/>
    <w:rPr>
      <w:rFonts w:asciiTheme="majorHAnsi" w:eastAsia="Times New Roman" w:hAnsiTheme="majorHAnsi" w:cs="Arial"/>
      <w:b/>
      <w:color w:val="auto"/>
      <w:sz w:val="48"/>
      <w:szCs w:val="40"/>
      <w:lang w:val="en-GB"/>
    </w:rPr>
  </w:style>
  <w:style w:type="character" w:customStyle="1" w:styleId="Heading2Char">
    <w:name w:val="Heading 2 Char"/>
    <w:link w:val="Heading2"/>
    <w:uiPriority w:val="1"/>
    <w:rsid w:val="005D6A62"/>
    <w:rPr>
      <w:rFonts w:asciiTheme="majorHAnsi" w:eastAsia="Times New Roman" w:hAnsiTheme="majorHAnsi" w:cs="Arial"/>
      <w:b/>
      <w:color w:val="auto"/>
      <w:sz w:val="36"/>
      <w:szCs w:val="32"/>
      <w:lang w:val="en-GB"/>
    </w:rPr>
  </w:style>
  <w:style w:type="character" w:customStyle="1" w:styleId="Heading3Char">
    <w:name w:val="Heading 3 Char"/>
    <w:link w:val="Heading3"/>
    <w:uiPriority w:val="1"/>
    <w:rsid w:val="00CF26C4"/>
    <w:rPr>
      <w:rFonts w:eastAsia="Times New Roman" w:cs="Courier New"/>
      <w:b/>
      <w:color w:val="auto"/>
      <w:sz w:val="28"/>
      <w:szCs w:val="32"/>
      <w:lang w:val="en-GB"/>
    </w:rPr>
  </w:style>
  <w:style w:type="character" w:customStyle="1" w:styleId="Heading4Char">
    <w:name w:val="Heading 4 Char"/>
    <w:link w:val="Heading4"/>
    <w:uiPriority w:val="1"/>
    <w:rsid w:val="00CF26C4"/>
    <w:rPr>
      <w:rFonts w:eastAsia="Times New Roman" w:cs="Courier New"/>
      <w:b/>
      <w:iCs/>
      <w:color w:val="auto"/>
      <w:sz w:val="22"/>
      <w:szCs w:val="30"/>
      <w:lang w:val="en-GB"/>
    </w:rPr>
  </w:style>
  <w:style w:type="character" w:customStyle="1" w:styleId="Heading5Char">
    <w:name w:val="Heading 5 Char"/>
    <w:link w:val="Heading5"/>
    <w:uiPriority w:val="1"/>
    <w:semiHidden/>
    <w:rsid w:val="00CF26C4"/>
    <w:rPr>
      <w:rFonts w:eastAsia="Times New Roman" w:cs="Arial"/>
      <w:b/>
      <w:sz w:val="22"/>
      <w:szCs w:val="28"/>
      <w:lang w:val="en-GB"/>
    </w:rPr>
  </w:style>
  <w:style w:type="character" w:customStyle="1" w:styleId="Heading6Char">
    <w:name w:val="Heading 6 Char"/>
    <w:link w:val="Heading6"/>
    <w:uiPriority w:val="1"/>
    <w:semiHidden/>
    <w:rsid w:val="00CF26C4"/>
    <w:rPr>
      <w:rFonts w:eastAsia="Times New Roman" w:cs="Arial"/>
      <w:b/>
      <w:iCs/>
      <w:sz w:val="22"/>
      <w:szCs w:val="26"/>
      <w:lang w:val="en-GB"/>
    </w:rPr>
  </w:style>
  <w:style w:type="character" w:customStyle="1" w:styleId="Heading7Char">
    <w:name w:val="Heading 7 Char"/>
    <w:link w:val="Heading7"/>
    <w:uiPriority w:val="1"/>
    <w:semiHidden/>
    <w:rsid w:val="00CF26C4"/>
    <w:rPr>
      <w:rFonts w:eastAsia="Times New Roman" w:cs="Arial"/>
      <w:b/>
      <w:sz w:val="22"/>
      <w:szCs w:val="24"/>
      <w:lang w:val="en-GB"/>
    </w:rPr>
  </w:style>
  <w:style w:type="character" w:customStyle="1" w:styleId="Heading8Char">
    <w:name w:val="Heading 8 Char"/>
    <w:link w:val="Heading8"/>
    <w:uiPriority w:val="1"/>
    <w:semiHidden/>
    <w:rsid w:val="00CF26C4"/>
    <w:rPr>
      <w:rFonts w:eastAsia="Times New Roman" w:cs="Arial"/>
      <w:b/>
      <w:iCs/>
      <w:sz w:val="22"/>
      <w:szCs w:val="22"/>
      <w:lang w:val="en-GB"/>
    </w:rPr>
  </w:style>
  <w:style w:type="character" w:customStyle="1" w:styleId="Heading9Char">
    <w:name w:val="Heading 9 Char"/>
    <w:link w:val="Heading9"/>
    <w:uiPriority w:val="1"/>
    <w:semiHidden/>
    <w:rsid w:val="00CF26C4"/>
    <w:rPr>
      <w:rFonts w:eastAsia="Times New Roman" w:cs="Arial"/>
      <w:b/>
      <w:bCs/>
      <w:iCs/>
      <w:sz w:val="22"/>
      <w:lang w:val="en-GB"/>
    </w:rPr>
  </w:style>
  <w:style w:type="paragraph" w:styleId="BlockText">
    <w:name w:val="Block Text"/>
    <w:basedOn w:val="Normal"/>
    <w:uiPriority w:val="99"/>
    <w:semiHidden/>
    <w:rsid w:val="00CF26C4"/>
    <w:pPr>
      <w:pBdr>
        <w:top w:val="single" w:sz="2" w:space="10" w:color="8E8989" w:themeColor="text1" w:themeTint="80"/>
        <w:left w:val="single" w:sz="2" w:space="10" w:color="8E8989" w:themeColor="text1" w:themeTint="80"/>
        <w:bottom w:val="single" w:sz="2" w:space="10" w:color="8E8989" w:themeColor="text1" w:themeTint="80"/>
        <w:right w:val="single" w:sz="2" w:space="10" w:color="8E8989" w:themeColor="text1" w:themeTint="80"/>
      </w:pBdr>
      <w:ind w:left="1151" w:right="1151"/>
    </w:pPr>
    <w:rPr>
      <w:i/>
      <w:iCs/>
    </w:rPr>
  </w:style>
  <w:style w:type="paragraph" w:styleId="BodyText">
    <w:name w:val="Body Text"/>
    <w:basedOn w:val="Normal"/>
    <w:link w:val="BodyTextChar"/>
    <w:uiPriority w:val="99"/>
    <w:semiHidden/>
    <w:rsid w:val="00CF26C4"/>
    <w:pPr>
      <w:spacing w:after="120"/>
    </w:pPr>
  </w:style>
  <w:style w:type="character" w:customStyle="1" w:styleId="BodyTextChar">
    <w:name w:val="Body Text Char"/>
    <w:basedOn w:val="DefaultParagraphFont"/>
    <w:link w:val="BodyText"/>
    <w:uiPriority w:val="99"/>
    <w:semiHidden/>
    <w:rsid w:val="00CF26C4"/>
    <w:rPr>
      <w:lang w:val="en-GB"/>
    </w:rPr>
  </w:style>
  <w:style w:type="paragraph" w:styleId="BodyText2">
    <w:name w:val="Body Text 2"/>
    <w:basedOn w:val="Normal"/>
    <w:link w:val="BodyText2Char"/>
    <w:uiPriority w:val="99"/>
    <w:semiHidden/>
    <w:rsid w:val="00CF26C4"/>
    <w:pPr>
      <w:spacing w:after="120" w:line="480" w:lineRule="auto"/>
    </w:pPr>
  </w:style>
  <w:style w:type="character" w:customStyle="1" w:styleId="BodyText2Char">
    <w:name w:val="Body Text 2 Char"/>
    <w:basedOn w:val="DefaultParagraphFont"/>
    <w:link w:val="BodyText2"/>
    <w:uiPriority w:val="99"/>
    <w:semiHidden/>
    <w:rsid w:val="00CF26C4"/>
    <w:rPr>
      <w:lang w:val="en-GB"/>
    </w:rPr>
  </w:style>
  <w:style w:type="paragraph" w:styleId="BodyText3">
    <w:name w:val="Body Text 3"/>
    <w:basedOn w:val="Normal"/>
    <w:link w:val="BodyText3Char"/>
    <w:uiPriority w:val="99"/>
    <w:semiHidden/>
    <w:rsid w:val="00CF26C4"/>
    <w:pPr>
      <w:spacing w:after="120"/>
    </w:pPr>
    <w:rPr>
      <w:sz w:val="16"/>
      <w:szCs w:val="16"/>
    </w:rPr>
  </w:style>
  <w:style w:type="character" w:customStyle="1" w:styleId="BodyText3Char">
    <w:name w:val="Body Text 3 Char"/>
    <w:basedOn w:val="DefaultParagraphFont"/>
    <w:link w:val="BodyText3"/>
    <w:uiPriority w:val="99"/>
    <w:semiHidden/>
    <w:rsid w:val="00CF26C4"/>
    <w:rPr>
      <w:sz w:val="16"/>
      <w:szCs w:val="16"/>
      <w:lang w:val="en-GB"/>
    </w:rPr>
  </w:style>
  <w:style w:type="paragraph" w:styleId="BodyTextFirstIndent">
    <w:name w:val="Body Text First Indent"/>
    <w:basedOn w:val="BodyText"/>
    <w:link w:val="BodyTextFirstIndentChar"/>
    <w:uiPriority w:val="99"/>
    <w:semiHidden/>
    <w:rsid w:val="00CF26C4"/>
    <w:pPr>
      <w:spacing w:after="0"/>
      <w:ind w:firstLine="360"/>
    </w:pPr>
  </w:style>
  <w:style w:type="character" w:customStyle="1" w:styleId="BodyTextFirstIndentChar">
    <w:name w:val="Body Text First Indent Char"/>
    <w:basedOn w:val="BodyTextChar"/>
    <w:link w:val="BodyTextFirstIndent"/>
    <w:uiPriority w:val="99"/>
    <w:semiHidden/>
    <w:rsid w:val="00CF26C4"/>
    <w:rPr>
      <w:lang w:val="en-GB"/>
    </w:rPr>
  </w:style>
  <w:style w:type="paragraph" w:styleId="BodyTextIndent">
    <w:name w:val="Body Text Indent"/>
    <w:basedOn w:val="Normal"/>
    <w:link w:val="BodyTextIndentChar"/>
    <w:uiPriority w:val="99"/>
    <w:semiHidden/>
    <w:rsid w:val="00CF26C4"/>
    <w:pPr>
      <w:spacing w:after="120"/>
      <w:ind w:left="283"/>
    </w:pPr>
  </w:style>
  <w:style w:type="character" w:customStyle="1" w:styleId="BodyTextIndentChar">
    <w:name w:val="Body Text Indent Char"/>
    <w:basedOn w:val="DefaultParagraphFont"/>
    <w:link w:val="BodyTextIndent"/>
    <w:uiPriority w:val="99"/>
    <w:semiHidden/>
    <w:rsid w:val="00CF26C4"/>
    <w:rPr>
      <w:lang w:val="en-GB"/>
    </w:rPr>
  </w:style>
  <w:style w:type="paragraph" w:styleId="BodyTextFirstIndent2">
    <w:name w:val="Body Text First Indent 2"/>
    <w:basedOn w:val="BodyTextIndent"/>
    <w:link w:val="BodyTextFirstIndent2Char"/>
    <w:uiPriority w:val="99"/>
    <w:semiHidden/>
    <w:rsid w:val="00CF26C4"/>
    <w:pPr>
      <w:spacing w:after="0"/>
      <w:ind w:left="360" w:firstLine="360"/>
    </w:pPr>
  </w:style>
  <w:style w:type="character" w:customStyle="1" w:styleId="BodyTextFirstIndent2Char">
    <w:name w:val="Body Text First Indent 2 Char"/>
    <w:basedOn w:val="BodyTextIndentChar"/>
    <w:link w:val="BodyTextFirstIndent2"/>
    <w:uiPriority w:val="99"/>
    <w:semiHidden/>
    <w:rsid w:val="00CF26C4"/>
    <w:rPr>
      <w:lang w:val="en-GB"/>
    </w:rPr>
  </w:style>
  <w:style w:type="paragraph" w:styleId="BodyTextIndent2">
    <w:name w:val="Body Text Indent 2"/>
    <w:basedOn w:val="Normal"/>
    <w:link w:val="BodyTextIndent2Char"/>
    <w:uiPriority w:val="99"/>
    <w:semiHidden/>
    <w:rsid w:val="00CF26C4"/>
    <w:pPr>
      <w:spacing w:after="120" w:line="480" w:lineRule="auto"/>
      <w:ind w:left="283"/>
    </w:pPr>
  </w:style>
  <w:style w:type="character" w:customStyle="1" w:styleId="BodyTextIndent2Char">
    <w:name w:val="Body Text Indent 2 Char"/>
    <w:basedOn w:val="DefaultParagraphFont"/>
    <w:link w:val="BodyTextIndent2"/>
    <w:uiPriority w:val="99"/>
    <w:semiHidden/>
    <w:rsid w:val="00CF26C4"/>
    <w:rPr>
      <w:lang w:val="en-GB"/>
    </w:rPr>
  </w:style>
  <w:style w:type="paragraph" w:styleId="BodyTextIndent3">
    <w:name w:val="Body Text Indent 3"/>
    <w:basedOn w:val="Normal"/>
    <w:link w:val="BodyTextIndent3Char"/>
    <w:uiPriority w:val="99"/>
    <w:semiHidden/>
    <w:rsid w:val="00CF26C4"/>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CF26C4"/>
    <w:rPr>
      <w:sz w:val="16"/>
      <w:szCs w:val="16"/>
      <w:lang w:val="en-GB"/>
    </w:rPr>
  </w:style>
  <w:style w:type="character" w:styleId="BookTitle">
    <w:name w:val="Book Title"/>
    <w:basedOn w:val="DefaultParagraphFont"/>
    <w:uiPriority w:val="99"/>
    <w:semiHidden/>
    <w:qFormat/>
    <w:rsid w:val="00CF26C4"/>
    <w:rPr>
      <w:b/>
      <w:bCs/>
      <w:caps w:val="0"/>
      <w:smallCaps w:val="0"/>
      <w:spacing w:val="5"/>
    </w:rPr>
  </w:style>
  <w:style w:type="paragraph" w:styleId="Caption">
    <w:name w:val="caption"/>
    <w:basedOn w:val="Normal"/>
    <w:next w:val="Normal"/>
    <w:uiPriority w:val="4"/>
    <w:qFormat/>
    <w:rsid w:val="008A6E45"/>
    <w:pPr>
      <w:keepNext/>
      <w:spacing w:before="240" w:after="80"/>
    </w:pPr>
    <w:rPr>
      <w:rFonts w:eastAsia="Times New Roman" w:cs="Courier New"/>
    </w:rPr>
  </w:style>
  <w:style w:type="paragraph" w:styleId="Closing">
    <w:name w:val="Closing"/>
    <w:basedOn w:val="Normal"/>
    <w:link w:val="ClosingChar"/>
    <w:uiPriority w:val="99"/>
    <w:semiHidden/>
    <w:rsid w:val="00CF26C4"/>
    <w:pPr>
      <w:ind w:left="4252"/>
    </w:pPr>
  </w:style>
  <w:style w:type="character" w:customStyle="1" w:styleId="ClosingChar">
    <w:name w:val="Closing Char"/>
    <w:basedOn w:val="DefaultParagraphFont"/>
    <w:link w:val="Closing"/>
    <w:uiPriority w:val="99"/>
    <w:semiHidden/>
    <w:rsid w:val="00CF26C4"/>
    <w:rPr>
      <w:lang w:val="en-GB"/>
    </w:rPr>
  </w:style>
  <w:style w:type="table" w:styleId="ColorfulGrid">
    <w:name w:val="Colorful Grid"/>
    <w:basedOn w:val="TableNormal"/>
    <w:uiPriority w:val="73"/>
    <w:semiHidden/>
    <w:unhideWhenUsed/>
    <w:rsid w:val="00CF26C4"/>
    <w:pPr>
      <w:spacing w:after="0"/>
    </w:pPr>
    <w:rPr>
      <w:rFonts w:eastAsiaTheme="minorHAnsi" w:cs="Arial"/>
      <w:color w:val="1A1919" w:themeColor="text1"/>
      <w:sz w:val="18"/>
      <w:szCs w:val="18"/>
    </w:rPr>
    <w:tblPr>
      <w:tblStyleRowBandSize w:val="1"/>
      <w:tblStyleColBandSize w:val="1"/>
      <w:tblBorders>
        <w:insideH w:val="single" w:sz="4" w:space="0" w:color="FFFFFF" w:themeColor="background1"/>
      </w:tblBorders>
    </w:tblPr>
    <w:tcPr>
      <w:shd w:val="clear" w:color="auto" w:fill="D2D0D0" w:themeFill="text1" w:themeFillTint="33"/>
    </w:tcPr>
    <w:tblStylePr w:type="firstRow">
      <w:rPr>
        <w:b/>
        <w:bCs/>
      </w:rPr>
      <w:tblPr/>
      <w:tcPr>
        <w:shd w:val="clear" w:color="auto" w:fill="A5A1A1" w:themeFill="text1" w:themeFillTint="66"/>
      </w:tcPr>
    </w:tblStylePr>
    <w:tblStylePr w:type="lastRow">
      <w:rPr>
        <w:b/>
        <w:bCs/>
        <w:color w:val="1A1919" w:themeColor="text1"/>
      </w:rPr>
      <w:tblPr/>
      <w:tcPr>
        <w:shd w:val="clear" w:color="auto" w:fill="A5A1A1" w:themeFill="text1" w:themeFillTint="66"/>
      </w:tcPr>
    </w:tblStylePr>
    <w:tblStylePr w:type="firstCol">
      <w:rPr>
        <w:color w:val="FFFFFF" w:themeColor="background1"/>
      </w:rPr>
      <w:tblPr/>
      <w:tcPr>
        <w:shd w:val="clear" w:color="auto" w:fill="131212" w:themeFill="text1" w:themeFillShade="BF"/>
      </w:tcPr>
    </w:tblStylePr>
    <w:tblStylePr w:type="lastCol">
      <w:rPr>
        <w:color w:val="FFFFFF" w:themeColor="background1"/>
      </w:rPr>
      <w:tblPr/>
      <w:tcPr>
        <w:shd w:val="clear" w:color="auto" w:fill="131212" w:themeFill="text1" w:themeFillShade="BF"/>
      </w:tcPr>
    </w:tblStylePr>
    <w:tblStylePr w:type="band1Vert">
      <w:tblPr/>
      <w:tcPr>
        <w:shd w:val="clear" w:color="auto" w:fill="8F8A8A" w:themeFill="text1" w:themeFillTint="7F"/>
      </w:tcPr>
    </w:tblStylePr>
    <w:tblStylePr w:type="band1Horz">
      <w:tblPr/>
      <w:tcPr>
        <w:shd w:val="clear" w:color="auto" w:fill="8F8A8A" w:themeFill="text1" w:themeFillTint="7F"/>
      </w:tcPr>
    </w:tblStylePr>
  </w:style>
  <w:style w:type="table" w:styleId="ColorfulGrid-Accent1">
    <w:name w:val="Colorful Grid Accent 1"/>
    <w:basedOn w:val="TableNormal"/>
    <w:uiPriority w:val="73"/>
    <w:semiHidden/>
    <w:unhideWhenUsed/>
    <w:rsid w:val="00CF26C4"/>
    <w:pPr>
      <w:spacing w:after="0"/>
    </w:pPr>
    <w:rPr>
      <w:rFonts w:eastAsiaTheme="minorHAnsi" w:cs="Arial"/>
      <w:color w:val="1A1919" w:themeColor="text1"/>
      <w:sz w:val="18"/>
      <w:szCs w:val="18"/>
    </w:rPr>
    <w:tblPr>
      <w:tblStyleRowBandSize w:val="1"/>
      <w:tblStyleColBandSize w:val="1"/>
      <w:tblBorders>
        <w:insideH w:val="single" w:sz="4" w:space="0" w:color="FFFFFF" w:themeColor="background1"/>
      </w:tblBorders>
    </w:tblPr>
    <w:tcPr>
      <w:shd w:val="clear" w:color="auto" w:fill="E0F2F0" w:themeFill="accent1" w:themeFillTint="33"/>
    </w:tcPr>
    <w:tblStylePr w:type="firstRow">
      <w:rPr>
        <w:b/>
        <w:bCs/>
      </w:rPr>
      <w:tblPr/>
      <w:tcPr>
        <w:shd w:val="clear" w:color="auto" w:fill="C2E5E1" w:themeFill="accent1" w:themeFillTint="66"/>
      </w:tcPr>
    </w:tblStylePr>
    <w:tblStylePr w:type="lastRow">
      <w:rPr>
        <w:b/>
        <w:bCs/>
        <w:color w:val="1A1919" w:themeColor="text1"/>
      </w:rPr>
      <w:tblPr/>
      <w:tcPr>
        <w:shd w:val="clear" w:color="auto" w:fill="C2E5E1" w:themeFill="accent1" w:themeFillTint="66"/>
      </w:tcPr>
    </w:tblStylePr>
    <w:tblStylePr w:type="firstCol">
      <w:rPr>
        <w:color w:val="FFFFFF" w:themeColor="background1"/>
      </w:rPr>
      <w:tblPr/>
      <w:tcPr>
        <w:shd w:val="clear" w:color="auto" w:fill="419C90" w:themeFill="accent1" w:themeFillShade="BF"/>
      </w:tcPr>
    </w:tblStylePr>
    <w:tblStylePr w:type="lastCol">
      <w:rPr>
        <w:color w:val="FFFFFF" w:themeColor="background1"/>
      </w:rPr>
      <w:tblPr/>
      <w:tcPr>
        <w:shd w:val="clear" w:color="auto" w:fill="419C90" w:themeFill="accent1" w:themeFillShade="BF"/>
      </w:tcPr>
    </w:tblStylePr>
    <w:tblStylePr w:type="band1Vert">
      <w:tblPr/>
      <w:tcPr>
        <w:shd w:val="clear" w:color="auto" w:fill="B3DFDA" w:themeFill="accent1" w:themeFillTint="7F"/>
      </w:tcPr>
    </w:tblStylePr>
    <w:tblStylePr w:type="band1Horz">
      <w:tblPr/>
      <w:tcPr>
        <w:shd w:val="clear" w:color="auto" w:fill="B3DFDA" w:themeFill="accent1" w:themeFillTint="7F"/>
      </w:tcPr>
    </w:tblStylePr>
  </w:style>
  <w:style w:type="table" w:styleId="ColorfulGrid-Accent2">
    <w:name w:val="Colorful Grid Accent 2"/>
    <w:basedOn w:val="TableNormal"/>
    <w:uiPriority w:val="73"/>
    <w:semiHidden/>
    <w:unhideWhenUsed/>
    <w:rsid w:val="00CF26C4"/>
    <w:pPr>
      <w:spacing w:after="0"/>
    </w:pPr>
    <w:rPr>
      <w:rFonts w:eastAsiaTheme="minorHAnsi" w:cs="Arial"/>
      <w:color w:val="1A1919" w:themeColor="text1"/>
      <w:sz w:val="18"/>
      <w:szCs w:val="18"/>
    </w:rPr>
    <w:tblPr>
      <w:tblStyleRowBandSize w:val="1"/>
      <w:tblStyleColBandSize w:val="1"/>
      <w:tblBorders>
        <w:insideH w:val="single" w:sz="4" w:space="0" w:color="FFFFFF" w:themeColor="background1"/>
      </w:tblBorders>
    </w:tblPr>
    <w:tcPr>
      <w:shd w:val="clear" w:color="auto" w:fill="E0EEF8" w:themeFill="accent2" w:themeFillTint="33"/>
    </w:tcPr>
    <w:tblStylePr w:type="firstRow">
      <w:rPr>
        <w:b/>
        <w:bCs/>
      </w:rPr>
      <w:tblPr/>
      <w:tcPr>
        <w:shd w:val="clear" w:color="auto" w:fill="C2DDF2" w:themeFill="accent2" w:themeFillTint="66"/>
      </w:tcPr>
    </w:tblStylePr>
    <w:tblStylePr w:type="lastRow">
      <w:rPr>
        <w:b/>
        <w:bCs/>
        <w:color w:val="1A1919" w:themeColor="text1"/>
      </w:rPr>
      <w:tblPr/>
      <w:tcPr>
        <w:shd w:val="clear" w:color="auto" w:fill="C2DDF2" w:themeFill="accent2" w:themeFillTint="66"/>
      </w:tcPr>
    </w:tblStylePr>
    <w:tblStylePr w:type="firstCol">
      <w:rPr>
        <w:color w:val="FFFFFF" w:themeColor="background1"/>
      </w:rPr>
      <w:tblPr/>
      <w:tcPr>
        <w:shd w:val="clear" w:color="auto" w:fill="2B85CA" w:themeFill="accent2" w:themeFillShade="BF"/>
      </w:tcPr>
    </w:tblStylePr>
    <w:tblStylePr w:type="lastCol">
      <w:rPr>
        <w:color w:val="FFFFFF" w:themeColor="background1"/>
      </w:rPr>
      <w:tblPr/>
      <w:tcPr>
        <w:shd w:val="clear" w:color="auto" w:fill="2B85CA" w:themeFill="accent2" w:themeFillShade="BF"/>
      </w:tcPr>
    </w:tblStylePr>
    <w:tblStylePr w:type="band1Vert">
      <w:tblPr/>
      <w:tcPr>
        <w:shd w:val="clear" w:color="auto" w:fill="B4D5EF" w:themeFill="accent2" w:themeFillTint="7F"/>
      </w:tcPr>
    </w:tblStylePr>
    <w:tblStylePr w:type="band1Horz">
      <w:tblPr/>
      <w:tcPr>
        <w:shd w:val="clear" w:color="auto" w:fill="B4D5EF" w:themeFill="accent2" w:themeFillTint="7F"/>
      </w:tcPr>
    </w:tblStylePr>
  </w:style>
  <w:style w:type="table" w:styleId="ColorfulGrid-Accent3">
    <w:name w:val="Colorful Grid Accent 3"/>
    <w:basedOn w:val="TableNormal"/>
    <w:uiPriority w:val="73"/>
    <w:semiHidden/>
    <w:unhideWhenUsed/>
    <w:rsid w:val="00CF26C4"/>
    <w:pPr>
      <w:spacing w:after="0"/>
    </w:pPr>
    <w:rPr>
      <w:rFonts w:eastAsiaTheme="minorHAnsi" w:cs="Arial"/>
      <w:color w:val="1A1919" w:themeColor="text1"/>
      <w:sz w:val="18"/>
      <w:szCs w:val="18"/>
    </w:rPr>
    <w:tblPr>
      <w:tblStyleRowBandSize w:val="1"/>
      <w:tblStyleColBandSize w:val="1"/>
      <w:tblBorders>
        <w:insideH w:val="single" w:sz="4" w:space="0" w:color="FFFFFF" w:themeColor="background1"/>
      </w:tblBorders>
    </w:tblPr>
    <w:tcPr>
      <w:shd w:val="clear" w:color="auto" w:fill="DFE1EF" w:themeFill="accent3" w:themeFillTint="33"/>
    </w:tcPr>
    <w:tblStylePr w:type="firstRow">
      <w:rPr>
        <w:b/>
        <w:bCs/>
      </w:rPr>
      <w:tblPr/>
      <w:tcPr>
        <w:shd w:val="clear" w:color="auto" w:fill="C0C3DF" w:themeFill="accent3" w:themeFillTint="66"/>
      </w:tcPr>
    </w:tblStylePr>
    <w:tblStylePr w:type="lastRow">
      <w:rPr>
        <w:b/>
        <w:bCs/>
        <w:color w:val="1A1919" w:themeColor="text1"/>
      </w:rPr>
      <w:tblPr/>
      <w:tcPr>
        <w:shd w:val="clear" w:color="auto" w:fill="C0C3DF" w:themeFill="accent3" w:themeFillTint="66"/>
      </w:tcPr>
    </w:tblStylePr>
    <w:tblStylePr w:type="firstCol">
      <w:rPr>
        <w:color w:val="FFFFFF" w:themeColor="background1"/>
      </w:rPr>
      <w:tblPr/>
      <w:tcPr>
        <w:shd w:val="clear" w:color="auto" w:fill="454B87" w:themeFill="accent3" w:themeFillShade="BF"/>
      </w:tcPr>
    </w:tblStylePr>
    <w:tblStylePr w:type="lastCol">
      <w:rPr>
        <w:color w:val="FFFFFF" w:themeColor="background1"/>
      </w:rPr>
      <w:tblPr/>
      <w:tcPr>
        <w:shd w:val="clear" w:color="auto" w:fill="454B87" w:themeFill="accent3" w:themeFillShade="BF"/>
      </w:tcPr>
    </w:tblStylePr>
    <w:tblStylePr w:type="band1Vert">
      <w:tblPr/>
      <w:tcPr>
        <w:shd w:val="clear" w:color="auto" w:fill="B1B4D7" w:themeFill="accent3" w:themeFillTint="7F"/>
      </w:tcPr>
    </w:tblStylePr>
    <w:tblStylePr w:type="band1Horz">
      <w:tblPr/>
      <w:tcPr>
        <w:shd w:val="clear" w:color="auto" w:fill="B1B4D7" w:themeFill="accent3" w:themeFillTint="7F"/>
      </w:tcPr>
    </w:tblStylePr>
  </w:style>
  <w:style w:type="table" w:styleId="ColorfulGrid-Accent4">
    <w:name w:val="Colorful Grid Accent 4"/>
    <w:basedOn w:val="TableNormal"/>
    <w:uiPriority w:val="73"/>
    <w:semiHidden/>
    <w:unhideWhenUsed/>
    <w:rsid w:val="00CF26C4"/>
    <w:pPr>
      <w:spacing w:after="0"/>
    </w:pPr>
    <w:rPr>
      <w:rFonts w:eastAsiaTheme="minorHAnsi" w:cs="Arial"/>
      <w:color w:val="1A1919" w:themeColor="text1"/>
      <w:sz w:val="18"/>
      <w:szCs w:val="18"/>
    </w:rPr>
    <w:tblPr>
      <w:tblStyleRowBandSize w:val="1"/>
      <w:tblStyleColBandSize w:val="1"/>
      <w:tblBorders>
        <w:insideH w:val="single" w:sz="4" w:space="0" w:color="FFFFFF" w:themeColor="background1"/>
      </w:tblBorders>
    </w:tblPr>
    <w:tcPr>
      <w:shd w:val="clear" w:color="auto" w:fill="EFE1EE" w:themeFill="accent4" w:themeFillTint="33"/>
    </w:tcPr>
    <w:tblStylePr w:type="firstRow">
      <w:rPr>
        <w:b/>
        <w:bCs/>
      </w:rPr>
      <w:tblPr/>
      <w:tcPr>
        <w:shd w:val="clear" w:color="auto" w:fill="E0C4DD" w:themeFill="accent4" w:themeFillTint="66"/>
      </w:tcPr>
    </w:tblStylePr>
    <w:tblStylePr w:type="lastRow">
      <w:rPr>
        <w:b/>
        <w:bCs/>
        <w:color w:val="1A1919" w:themeColor="text1"/>
      </w:rPr>
      <w:tblPr/>
      <w:tcPr>
        <w:shd w:val="clear" w:color="auto" w:fill="E0C4DD" w:themeFill="accent4" w:themeFillTint="66"/>
      </w:tcPr>
    </w:tblStylePr>
    <w:tblStylePr w:type="firstCol">
      <w:rPr>
        <w:color w:val="FFFFFF" w:themeColor="background1"/>
      </w:rPr>
      <w:tblPr/>
      <w:tcPr>
        <w:shd w:val="clear" w:color="auto" w:fill="8C4A85" w:themeFill="accent4" w:themeFillShade="BF"/>
      </w:tcPr>
    </w:tblStylePr>
    <w:tblStylePr w:type="lastCol">
      <w:rPr>
        <w:color w:val="FFFFFF" w:themeColor="background1"/>
      </w:rPr>
      <w:tblPr/>
      <w:tcPr>
        <w:shd w:val="clear" w:color="auto" w:fill="8C4A85" w:themeFill="accent4" w:themeFillShade="BF"/>
      </w:tcPr>
    </w:tblStylePr>
    <w:tblStylePr w:type="band1Vert">
      <w:tblPr/>
      <w:tcPr>
        <w:shd w:val="clear" w:color="auto" w:fill="D8B6D5" w:themeFill="accent4" w:themeFillTint="7F"/>
      </w:tcPr>
    </w:tblStylePr>
    <w:tblStylePr w:type="band1Horz">
      <w:tblPr/>
      <w:tcPr>
        <w:shd w:val="clear" w:color="auto" w:fill="D8B6D5" w:themeFill="accent4" w:themeFillTint="7F"/>
      </w:tcPr>
    </w:tblStylePr>
  </w:style>
  <w:style w:type="table" w:styleId="ColorfulGrid-Accent5">
    <w:name w:val="Colorful Grid Accent 5"/>
    <w:basedOn w:val="TableNormal"/>
    <w:uiPriority w:val="73"/>
    <w:semiHidden/>
    <w:unhideWhenUsed/>
    <w:rsid w:val="00CF26C4"/>
    <w:pPr>
      <w:spacing w:after="0"/>
    </w:pPr>
    <w:rPr>
      <w:rFonts w:eastAsiaTheme="minorHAnsi" w:cs="Arial"/>
      <w:color w:val="1A1919" w:themeColor="text1"/>
      <w:sz w:val="18"/>
      <w:szCs w:val="18"/>
    </w:rPr>
    <w:tblPr>
      <w:tblStyleRowBandSize w:val="1"/>
      <w:tblStyleColBandSize w:val="1"/>
      <w:tblBorders>
        <w:insideH w:val="single" w:sz="4" w:space="0" w:color="FFFFFF" w:themeColor="background1"/>
      </w:tblBorders>
    </w:tblPr>
    <w:tcPr>
      <w:shd w:val="clear" w:color="auto" w:fill="FAECF3" w:themeFill="accent5" w:themeFillTint="33"/>
    </w:tcPr>
    <w:tblStylePr w:type="firstRow">
      <w:rPr>
        <w:b/>
        <w:bCs/>
      </w:rPr>
      <w:tblPr/>
      <w:tcPr>
        <w:shd w:val="clear" w:color="auto" w:fill="F5D9E8" w:themeFill="accent5" w:themeFillTint="66"/>
      </w:tcPr>
    </w:tblStylePr>
    <w:tblStylePr w:type="lastRow">
      <w:rPr>
        <w:b/>
        <w:bCs/>
        <w:color w:val="1A1919" w:themeColor="text1"/>
      </w:rPr>
      <w:tblPr/>
      <w:tcPr>
        <w:shd w:val="clear" w:color="auto" w:fill="F5D9E8" w:themeFill="accent5" w:themeFillTint="66"/>
      </w:tcPr>
    </w:tblStylePr>
    <w:tblStylePr w:type="firstCol">
      <w:rPr>
        <w:color w:val="FFFFFF" w:themeColor="background1"/>
      </w:rPr>
      <w:tblPr/>
      <w:tcPr>
        <w:shd w:val="clear" w:color="auto" w:fill="D25399" w:themeFill="accent5" w:themeFillShade="BF"/>
      </w:tcPr>
    </w:tblStylePr>
    <w:tblStylePr w:type="lastCol">
      <w:rPr>
        <w:color w:val="FFFFFF" w:themeColor="background1"/>
      </w:rPr>
      <w:tblPr/>
      <w:tcPr>
        <w:shd w:val="clear" w:color="auto" w:fill="D25399" w:themeFill="accent5" w:themeFillShade="BF"/>
      </w:tcPr>
    </w:tblStylePr>
    <w:tblStylePr w:type="band1Vert">
      <w:tblPr/>
      <w:tcPr>
        <w:shd w:val="clear" w:color="auto" w:fill="F3D0E3" w:themeFill="accent5" w:themeFillTint="7F"/>
      </w:tcPr>
    </w:tblStylePr>
    <w:tblStylePr w:type="band1Horz">
      <w:tblPr/>
      <w:tcPr>
        <w:shd w:val="clear" w:color="auto" w:fill="F3D0E3" w:themeFill="accent5" w:themeFillTint="7F"/>
      </w:tcPr>
    </w:tblStylePr>
  </w:style>
  <w:style w:type="table" w:styleId="ColorfulGrid-Accent6">
    <w:name w:val="Colorful Grid Accent 6"/>
    <w:basedOn w:val="TableNormal"/>
    <w:uiPriority w:val="73"/>
    <w:semiHidden/>
    <w:unhideWhenUsed/>
    <w:rsid w:val="00CF26C4"/>
    <w:pPr>
      <w:spacing w:after="0"/>
    </w:pPr>
    <w:rPr>
      <w:rFonts w:eastAsiaTheme="minorHAnsi" w:cs="Arial"/>
      <w:color w:val="1A1919" w:themeColor="text1"/>
      <w:sz w:val="18"/>
      <w:szCs w:val="18"/>
    </w:rPr>
    <w:tblPr>
      <w:tblStyleRowBandSize w:val="1"/>
      <w:tblStyleColBandSize w:val="1"/>
      <w:tblBorders>
        <w:insideH w:val="single" w:sz="4" w:space="0" w:color="FFFFFF" w:themeColor="background1"/>
      </w:tblBorders>
    </w:tblPr>
    <w:tcPr>
      <w:shd w:val="clear" w:color="auto" w:fill="EBF5FC" w:themeFill="accent6" w:themeFillTint="33"/>
    </w:tcPr>
    <w:tblStylePr w:type="firstRow">
      <w:rPr>
        <w:b/>
        <w:bCs/>
      </w:rPr>
      <w:tblPr/>
      <w:tcPr>
        <w:shd w:val="clear" w:color="auto" w:fill="D7ECFA" w:themeFill="accent6" w:themeFillTint="66"/>
      </w:tcPr>
    </w:tblStylePr>
    <w:tblStylePr w:type="lastRow">
      <w:rPr>
        <w:b/>
        <w:bCs/>
        <w:color w:val="1A1919" w:themeColor="text1"/>
      </w:rPr>
      <w:tblPr/>
      <w:tcPr>
        <w:shd w:val="clear" w:color="auto" w:fill="D7ECFA" w:themeFill="accent6" w:themeFillTint="66"/>
      </w:tcPr>
    </w:tblStylePr>
    <w:tblStylePr w:type="firstCol">
      <w:rPr>
        <w:color w:val="FFFFFF" w:themeColor="background1"/>
      </w:rPr>
      <w:tblPr/>
      <w:tcPr>
        <w:shd w:val="clear" w:color="auto" w:fill="41A8EA" w:themeFill="accent6" w:themeFillShade="BF"/>
      </w:tcPr>
    </w:tblStylePr>
    <w:tblStylePr w:type="lastCol">
      <w:rPr>
        <w:color w:val="FFFFFF" w:themeColor="background1"/>
      </w:rPr>
      <w:tblPr/>
      <w:tcPr>
        <w:shd w:val="clear" w:color="auto" w:fill="41A8EA" w:themeFill="accent6" w:themeFillShade="BF"/>
      </w:tcPr>
    </w:tblStylePr>
    <w:tblStylePr w:type="band1Vert">
      <w:tblPr/>
      <w:tcPr>
        <w:shd w:val="clear" w:color="auto" w:fill="CDE8F9" w:themeFill="accent6" w:themeFillTint="7F"/>
      </w:tcPr>
    </w:tblStylePr>
    <w:tblStylePr w:type="band1Horz">
      <w:tblPr/>
      <w:tcPr>
        <w:shd w:val="clear" w:color="auto" w:fill="CDE8F9" w:themeFill="accent6" w:themeFillTint="7F"/>
      </w:tcPr>
    </w:tblStylePr>
  </w:style>
  <w:style w:type="table" w:styleId="ColorfulList">
    <w:name w:val="Colorful List"/>
    <w:basedOn w:val="TableNormal"/>
    <w:uiPriority w:val="72"/>
    <w:semiHidden/>
    <w:unhideWhenUsed/>
    <w:rsid w:val="00CF26C4"/>
    <w:pPr>
      <w:spacing w:after="0"/>
    </w:pPr>
    <w:rPr>
      <w:rFonts w:eastAsiaTheme="minorHAnsi" w:cs="Arial"/>
      <w:color w:val="1A1919" w:themeColor="text1"/>
      <w:sz w:val="18"/>
      <w:szCs w:val="18"/>
    </w:rPr>
    <w:tblPr>
      <w:tblStyleRowBandSize w:val="1"/>
      <w:tblStyleColBandSize w:val="1"/>
    </w:tblPr>
    <w:tcPr>
      <w:shd w:val="clear" w:color="auto" w:fill="E9E8E8" w:themeFill="text1" w:themeFillTint="19"/>
    </w:tcPr>
    <w:tblStylePr w:type="firstRow">
      <w:rPr>
        <w:b/>
        <w:bCs/>
        <w:color w:val="FFFFFF" w:themeColor="background1"/>
      </w:rPr>
      <w:tblPr/>
      <w:tcPr>
        <w:tcBorders>
          <w:bottom w:val="single" w:sz="12" w:space="0" w:color="FFFFFF" w:themeColor="background1"/>
        </w:tcBorders>
        <w:shd w:val="clear" w:color="auto" w:fill="328DD3" w:themeFill="accent2" w:themeFillShade="CC"/>
      </w:tcPr>
    </w:tblStylePr>
    <w:tblStylePr w:type="lastRow">
      <w:rPr>
        <w:b/>
        <w:bCs/>
        <w:color w:val="328DD3" w:themeColor="accent2" w:themeShade="CC"/>
      </w:rPr>
      <w:tblPr/>
      <w:tcPr>
        <w:tcBorders>
          <w:top w:val="single" w:sz="12" w:space="0" w:color="1A191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7C5C5" w:themeFill="text1" w:themeFillTint="3F"/>
      </w:tcPr>
    </w:tblStylePr>
    <w:tblStylePr w:type="band1Horz">
      <w:tblPr/>
      <w:tcPr>
        <w:shd w:val="clear" w:color="auto" w:fill="D2D0D0" w:themeFill="text1" w:themeFillTint="33"/>
      </w:tcPr>
    </w:tblStylePr>
  </w:style>
  <w:style w:type="table" w:styleId="ColorfulList-Accent1">
    <w:name w:val="Colorful List Accent 1"/>
    <w:basedOn w:val="TableNormal"/>
    <w:uiPriority w:val="72"/>
    <w:semiHidden/>
    <w:unhideWhenUsed/>
    <w:rsid w:val="00CF26C4"/>
    <w:pPr>
      <w:spacing w:after="0"/>
    </w:pPr>
    <w:rPr>
      <w:rFonts w:eastAsiaTheme="minorHAnsi" w:cs="Arial"/>
      <w:color w:val="1A1919" w:themeColor="text1"/>
      <w:sz w:val="18"/>
      <w:szCs w:val="18"/>
    </w:rPr>
    <w:tblPr>
      <w:tblStyleRowBandSize w:val="1"/>
      <w:tblStyleColBandSize w:val="1"/>
    </w:tblPr>
    <w:tcPr>
      <w:shd w:val="clear" w:color="auto" w:fill="F0F8F7" w:themeFill="accent1" w:themeFillTint="19"/>
    </w:tcPr>
    <w:tblStylePr w:type="firstRow">
      <w:rPr>
        <w:b/>
        <w:bCs/>
        <w:color w:val="FFFFFF" w:themeColor="background1"/>
      </w:rPr>
      <w:tblPr/>
      <w:tcPr>
        <w:tcBorders>
          <w:bottom w:val="single" w:sz="12" w:space="0" w:color="FFFFFF" w:themeColor="background1"/>
        </w:tcBorders>
        <w:shd w:val="clear" w:color="auto" w:fill="328DD3" w:themeFill="accent2" w:themeFillShade="CC"/>
      </w:tcPr>
    </w:tblStylePr>
    <w:tblStylePr w:type="lastRow">
      <w:rPr>
        <w:b/>
        <w:bCs/>
        <w:color w:val="328DD3" w:themeColor="accent2" w:themeShade="CC"/>
      </w:rPr>
      <w:tblPr/>
      <w:tcPr>
        <w:tcBorders>
          <w:top w:val="single" w:sz="12" w:space="0" w:color="1A191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EFEC" w:themeFill="accent1" w:themeFillTint="3F"/>
      </w:tcPr>
    </w:tblStylePr>
    <w:tblStylePr w:type="band1Horz">
      <w:tblPr/>
      <w:tcPr>
        <w:shd w:val="clear" w:color="auto" w:fill="E0F2F0" w:themeFill="accent1" w:themeFillTint="33"/>
      </w:tcPr>
    </w:tblStylePr>
  </w:style>
  <w:style w:type="table" w:styleId="ColorfulList-Accent2">
    <w:name w:val="Colorful List Accent 2"/>
    <w:basedOn w:val="TableNormal"/>
    <w:uiPriority w:val="72"/>
    <w:semiHidden/>
    <w:unhideWhenUsed/>
    <w:rsid w:val="00CF26C4"/>
    <w:pPr>
      <w:spacing w:after="0"/>
    </w:pPr>
    <w:rPr>
      <w:rFonts w:eastAsiaTheme="minorHAnsi" w:cs="Arial"/>
      <w:color w:val="1A1919" w:themeColor="text1"/>
      <w:sz w:val="18"/>
      <w:szCs w:val="18"/>
    </w:rPr>
    <w:tblPr>
      <w:tblStyleRowBandSize w:val="1"/>
      <w:tblStyleColBandSize w:val="1"/>
    </w:tblPr>
    <w:tcPr>
      <w:shd w:val="clear" w:color="auto" w:fill="F0F6FB" w:themeFill="accent2" w:themeFillTint="19"/>
    </w:tcPr>
    <w:tblStylePr w:type="firstRow">
      <w:rPr>
        <w:b/>
        <w:bCs/>
        <w:color w:val="FFFFFF" w:themeColor="background1"/>
      </w:rPr>
      <w:tblPr/>
      <w:tcPr>
        <w:tcBorders>
          <w:bottom w:val="single" w:sz="12" w:space="0" w:color="FFFFFF" w:themeColor="background1"/>
        </w:tcBorders>
        <w:shd w:val="clear" w:color="auto" w:fill="328DD3" w:themeFill="accent2" w:themeFillShade="CC"/>
      </w:tcPr>
    </w:tblStylePr>
    <w:tblStylePr w:type="lastRow">
      <w:rPr>
        <w:b/>
        <w:bCs/>
        <w:color w:val="328DD3" w:themeColor="accent2" w:themeShade="CC"/>
      </w:rPr>
      <w:tblPr/>
      <w:tcPr>
        <w:tcBorders>
          <w:top w:val="single" w:sz="12" w:space="0" w:color="1A191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EAF7" w:themeFill="accent2" w:themeFillTint="3F"/>
      </w:tcPr>
    </w:tblStylePr>
    <w:tblStylePr w:type="band1Horz">
      <w:tblPr/>
      <w:tcPr>
        <w:shd w:val="clear" w:color="auto" w:fill="E0EEF8" w:themeFill="accent2" w:themeFillTint="33"/>
      </w:tcPr>
    </w:tblStylePr>
  </w:style>
  <w:style w:type="table" w:styleId="ColorfulList-Accent3">
    <w:name w:val="Colorful List Accent 3"/>
    <w:basedOn w:val="TableNormal"/>
    <w:uiPriority w:val="72"/>
    <w:semiHidden/>
    <w:unhideWhenUsed/>
    <w:rsid w:val="00CF26C4"/>
    <w:pPr>
      <w:spacing w:after="0"/>
    </w:pPr>
    <w:rPr>
      <w:rFonts w:eastAsiaTheme="minorHAnsi" w:cs="Arial"/>
      <w:color w:val="1A1919" w:themeColor="text1"/>
      <w:sz w:val="18"/>
      <w:szCs w:val="18"/>
    </w:rPr>
    <w:tblPr>
      <w:tblStyleRowBandSize w:val="1"/>
      <w:tblStyleColBandSize w:val="1"/>
    </w:tblPr>
    <w:tcPr>
      <w:shd w:val="clear" w:color="auto" w:fill="EFF0F7" w:themeFill="accent3" w:themeFillTint="19"/>
    </w:tcPr>
    <w:tblStylePr w:type="firstRow">
      <w:rPr>
        <w:b/>
        <w:bCs/>
        <w:color w:val="FFFFFF" w:themeColor="background1"/>
      </w:rPr>
      <w:tblPr/>
      <w:tcPr>
        <w:tcBorders>
          <w:bottom w:val="single" w:sz="12" w:space="0" w:color="FFFFFF" w:themeColor="background1"/>
        </w:tcBorders>
        <w:shd w:val="clear" w:color="auto" w:fill="964F8E" w:themeFill="accent4" w:themeFillShade="CC"/>
      </w:tcPr>
    </w:tblStylePr>
    <w:tblStylePr w:type="lastRow">
      <w:rPr>
        <w:b/>
        <w:bCs/>
        <w:color w:val="964F8E" w:themeColor="accent4" w:themeShade="CC"/>
      </w:rPr>
      <w:tblPr/>
      <w:tcPr>
        <w:tcBorders>
          <w:top w:val="single" w:sz="12" w:space="0" w:color="1A191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DAEB" w:themeFill="accent3" w:themeFillTint="3F"/>
      </w:tcPr>
    </w:tblStylePr>
    <w:tblStylePr w:type="band1Horz">
      <w:tblPr/>
      <w:tcPr>
        <w:shd w:val="clear" w:color="auto" w:fill="DFE1EF" w:themeFill="accent3" w:themeFillTint="33"/>
      </w:tcPr>
    </w:tblStylePr>
  </w:style>
  <w:style w:type="table" w:styleId="ColorfulList-Accent4">
    <w:name w:val="Colorful List Accent 4"/>
    <w:basedOn w:val="TableNormal"/>
    <w:uiPriority w:val="72"/>
    <w:semiHidden/>
    <w:unhideWhenUsed/>
    <w:rsid w:val="00CF26C4"/>
    <w:pPr>
      <w:spacing w:after="0"/>
    </w:pPr>
    <w:rPr>
      <w:rFonts w:eastAsiaTheme="minorHAnsi" w:cs="Arial"/>
      <w:color w:val="1A1919" w:themeColor="text1"/>
      <w:sz w:val="18"/>
      <w:szCs w:val="18"/>
    </w:rPr>
    <w:tblPr>
      <w:tblStyleRowBandSize w:val="1"/>
      <w:tblStyleColBandSize w:val="1"/>
    </w:tblPr>
    <w:tcPr>
      <w:shd w:val="clear" w:color="auto" w:fill="F7F0F6" w:themeFill="accent4" w:themeFillTint="19"/>
    </w:tcPr>
    <w:tblStylePr w:type="firstRow">
      <w:rPr>
        <w:b/>
        <w:bCs/>
        <w:color w:val="FFFFFF" w:themeColor="background1"/>
      </w:rPr>
      <w:tblPr/>
      <w:tcPr>
        <w:tcBorders>
          <w:bottom w:val="single" w:sz="12" w:space="0" w:color="FFFFFF" w:themeColor="background1"/>
        </w:tcBorders>
        <w:shd w:val="clear" w:color="auto" w:fill="4A5090" w:themeFill="accent3" w:themeFillShade="CC"/>
      </w:tcPr>
    </w:tblStylePr>
    <w:tblStylePr w:type="lastRow">
      <w:rPr>
        <w:b/>
        <w:bCs/>
        <w:color w:val="4A5090" w:themeColor="accent3" w:themeShade="CC"/>
      </w:rPr>
      <w:tblPr/>
      <w:tcPr>
        <w:tcBorders>
          <w:top w:val="single" w:sz="12" w:space="0" w:color="1A191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CDAEA" w:themeFill="accent4" w:themeFillTint="3F"/>
      </w:tcPr>
    </w:tblStylePr>
    <w:tblStylePr w:type="band1Horz">
      <w:tblPr/>
      <w:tcPr>
        <w:shd w:val="clear" w:color="auto" w:fill="EFE1EE" w:themeFill="accent4" w:themeFillTint="33"/>
      </w:tcPr>
    </w:tblStylePr>
  </w:style>
  <w:style w:type="table" w:styleId="ColorfulList-Accent5">
    <w:name w:val="Colorful List Accent 5"/>
    <w:basedOn w:val="TableNormal"/>
    <w:uiPriority w:val="72"/>
    <w:semiHidden/>
    <w:unhideWhenUsed/>
    <w:rsid w:val="00CF26C4"/>
    <w:pPr>
      <w:spacing w:after="0"/>
    </w:pPr>
    <w:rPr>
      <w:rFonts w:eastAsiaTheme="minorHAnsi" w:cs="Arial"/>
      <w:color w:val="1A1919" w:themeColor="text1"/>
      <w:sz w:val="18"/>
      <w:szCs w:val="18"/>
    </w:rPr>
    <w:tblPr>
      <w:tblStyleRowBandSize w:val="1"/>
      <w:tblStyleColBandSize w:val="1"/>
    </w:tblPr>
    <w:tcPr>
      <w:shd w:val="clear" w:color="auto" w:fill="FCF5F9" w:themeFill="accent5" w:themeFillTint="19"/>
    </w:tcPr>
    <w:tblStylePr w:type="firstRow">
      <w:rPr>
        <w:b/>
        <w:bCs/>
        <w:color w:val="FFFFFF" w:themeColor="background1"/>
      </w:rPr>
      <w:tblPr/>
      <w:tcPr>
        <w:tcBorders>
          <w:bottom w:val="single" w:sz="12" w:space="0" w:color="FFFFFF" w:themeColor="background1"/>
        </w:tcBorders>
        <w:shd w:val="clear" w:color="auto" w:fill="54B0EC" w:themeFill="accent6" w:themeFillShade="CC"/>
      </w:tcPr>
    </w:tblStylePr>
    <w:tblStylePr w:type="lastRow">
      <w:rPr>
        <w:b/>
        <w:bCs/>
        <w:color w:val="54B0EC" w:themeColor="accent6" w:themeShade="CC"/>
      </w:rPr>
      <w:tblPr/>
      <w:tcPr>
        <w:tcBorders>
          <w:top w:val="single" w:sz="12" w:space="0" w:color="1A191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E7F1" w:themeFill="accent5" w:themeFillTint="3F"/>
      </w:tcPr>
    </w:tblStylePr>
    <w:tblStylePr w:type="band1Horz">
      <w:tblPr/>
      <w:tcPr>
        <w:shd w:val="clear" w:color="auto" w:fill="FAECF3" w:themeFill="accent5" w:themeFillTint="33"/>
      </w:tcPr>
    </w:tblStylePr>
  </w:style>
  <w:style w:type="table" w:styleId="ColorfulList-Accent6">
    <w:name w:val="Colorful List Accent 6"/>
    <w:basedOn w:val="TableNormal"/>
    <w:uiPriority w:val="72"/>
    <w:semiHidden/>
    <w:unhideWhenUsed/>
    <w:rsid w:val="00CF26C4"/>
    <w:pPr>
      <w:spacing w:after="0"/>
    </w:pPr>
    <w:rPr>
      <w:rFonts w:eastAsiaTheme="minorHAnsi" w:cs="Arial"/>
      <w:color w:val="1A1919" w:themeColor="text1"/>
      <w:sz w:val="18"/>
      <w:szCs w:val="18"/>
    </w:rPr>
    <w:tblPr>
      <w:tblStyleRowBandSize w:val="1"/>
      <w:tblStyleColBandSize w:val="1"/>
    </w:tblPr>
    <w:tcPr>
      <w:shd w:val="clear" w:color="auto" w:fill="F5FAFE" w:themeFill="accent6" w:themeFillTint="19"/>
    </w:tcPr>
    <w:tblStylePr w:type="firstRow">
      <w:rPr>
        <w:b/>
        <w:bCs/>
        <w:color w:val="FFFFFF" w:themeColor="background1"/>
      </w:rPr>
      <w:tblPr/>
      <w:tcPr>
        <w:tcBorders>
          <w:bottom w:val="single" w:sz="12" w:space="0" w:color="FFFFFF" w:themeColor="background1"/>
        </w:tcBorders>
        <w:shd w:val="clear" w:color="auto" w:fill="D763A2" w:themeFill="accent5" w:themeFillShade="CC"/>
      </w:tcPr>
    </w:tblStylePr>
    <w:tblStylePr w:type="lastRow">
      <w:rPr>
        <w:b/>
        <w:bCs/>
        <w:color w:val="D763A2" w:themeColor="accent5" w:themeShade="CC"/>
      </w:rPr>
      <w:tblPr/>
      <w:tcPr>
        <w:tcBorders>
          <w:top w:val="single" w:sz="12" w:space="0" w:color="1A191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F3FC" w:themeFill="accent6" w:themeFillTint="3F"/>
      </w:tcPr>
    </w:tblStylePr>
    <w:tblStylePr w:type="band1Horz">
      <w:tblPr/>
      <w:tcPr>
        <w:shd w:val="clear" w:color="auto" w:fill="EBF5FC" w:themeFill="accent6" w:themeFillTint="33"/>
      </w:tcPr>
    </w:tblStylePr>
  </w:style>
  <w:style w:type="table" w:styleId="ColorfulShading">
    <w:name w:val="Colorful Shading"/>
    <w:basedOn w:val="TableNormal"/>
    <w:uiPriority w:val="71"/>
    <w:semiHidden/>
    <w:unhideWhenUsed/>
    <w:rsid w:val="00CF26C4"/>
    <w:pPr>
      <w:spacing w:after="0"/>
    </w:pPr>
    <w:rPr>
      <w:rFonts w:eastAsiaTheme="minorHAnsi" w:cs="Arial"/>
      <w:color w:val="1A1919" w:themeColor="text1"/>
      <w:sz w:val="18"/>
      <w:szCs w:val="18"/>
    </w:rPr>
    <w:tblPr>
      <w:tblStyleRowBandSize w:val="1"/>
      <w:tblStyleColBandSize w:val="1"/>
      <w:tblBorders>
        <w:top w:val="single" w:sz="24" w:space="0" w:color="69ACDF" w:themeColor="accent2"/>
        <w:left w:val="single" w:sz="4" w:space="0" w:color="1A1919" w:themeColor="text1"/>
        <w:bottom w:val="single" w:sz="4" w:space="0" w:color="1A1919" w:themeColor="text1"/>
        <w:right w:val="single" w:sz="4" w:space="0" w:color="1A1919" w:themeColor="text1"/>
        <w:insideH w:val="single" w:sz="4" w:space="0" w:color="FFFFFF" w:themeColor="background1"/>
        <w:insideV w:val="single" w:sz="4" w:space="0" w:color="FFFFFF" w:themeColor="background1"/>
      </w:tblBorders>
    </w:tblPr>
    <w:tcPr>
      <w:shd w:val="clear" w:color="auto" w:fill="E9E8E8" w:themeFill="text1" w:themeFillTint="19"/>
    </w:tcPr>
    <w:tblStylePr w:type="firstRow">
      <w:rPr>
        <w:b/>
        <w:bCs/>
      </w:rPr>
      <w:tblPr/>
      <w:tcPr>
        <w:tcBorders>
          <w:top w:val="nil"/>
          <w:left w:val="nil"/>
          <w:bottom w:val="single" w:sz="24" w:space="0" w:color="69AC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F0F0F" w:themeFill="text1" w:themeFillShade="99"/>
      </w:tcPr>
    </w:tblStylePr>
    <w:tblStylePr w:type="firstCol">
      <w:rPr>
        <w:color w:val="FFFFFF" w:themeColor="background1"/>
      </w:rPr>
      <w:tblPr/>
      <w:tcPr>
        <w:tcBorders>
          <w:top w:val="nil"/>
          <w:left w:val="nil"/>
          <w:bottom w:val="nil"/>
          <w:right w:val="nil"/>
          <w:insideH w:val="single" w:sz="4" w:space="0" w:color="0F0F0F" w:themeColor="text1" w:themeShade="99"/>
          <w:insideV w:val="nil"/>
        </w:tcBorders>
        <w:shd w:val="clear" w:color="auto" w:fill="0F0F0F"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31212" w:themeFill="text1" w:themeFillShade="BF"/>
      </w:tcPr>
    </w:tblStylePr>
    <w:tblStylePr w:type="band1Vert">
      <w:tblPr/>
      <w:tcPr>
        <w:shd w:val="clear" w:color="auto" w:fill="A5A1A1" w:themeFill="text1" w:themeFillTint="66"/>
      </w:tcPr>
    </w:tblStylePr>
    <w:tblStylePr w:type="band1Horz">
      <w:tblPr/>
      <w:tcPr>
        <w:shd w:val="clear" w:color="auto" w:fill="8F8A8A" w:themeFill="text1" w:themeFillTint="7F"/>
      </w:tcPr>
    </w:tblStylePr>
    <w:tblStylePr w:type="neCell">
      <w:rPr>
        <w:color w:val="1A1919" w:themeColor="text1"/>
      </w:rPr>
    </w:tblStylePr>
    <w:tblStylePr w:type="nwCell">
      <w:rPr>
        <w:color w:val="1A1919" w:themeColor="text1"/>
      </w:rPr>
    </w:tblStylePr>
  </w:style>
  <w:style w:type="table" w:styleId="ColorfulShading-Accent1">
    <w:name w:val="Colorful Shading Accent 1"/>
    <w:basedOn w:val="TableNormal"/>
    <w:uiPriority w:val="71"/>
    <w:semiHidden/>
    <w:unhideWhenUsed/>
    <w:rsid w:val="00CF26C4"/>
    <w:pPr>
      <w:spacing w:after="0"/>
    </w:pPr>
    <w:rPr>
      <w:rFonts w:eastAsiaTheme="minorHAnsi" w:cs="Arial"/>
      <w:color w:val="1A1919" w:themeColor="text1"/>
      <w:sz w:val="18"/>
      <w:szCs w:val="18"/>
    </w:rPr>
    <w:tblPr>
      <w:tblStyleRowBandSize w:val="1"/>
      <w:tblStyleColBandSize w:val="1"/>
      <w:tblBorders>
        <w:top w:val="single" w:sz="24" w:space="0" w:color="69ACDF" w:themeColor="accent2"/>
        <w:left w:val="single" w:sz="4" w:space="0" w:color="68C0B5" w:themeColor="accent1"/>
        <w:bottom w:val="single" w:sz="4" w:space="0" w:color="68C0B5" w:themeColor="accent1"/>
        <w:right w:val="single" w:sz="4" w:space="0" w:color="68C0B5" w:themeColor="accent1"/>
        <w:insideH w:val="single" w:sz="4" w:space="0" w:color="FFFFFF" w:themeColor="background1"/>
        <w:insideV w:val="single" w:sz="4" w:space="0" w:color="FFFFFF" w:themeColor="background1"/>
      </w:tblBorders>
    </w:tblPr>
    <w:tcPr>
      <w:shd w:val="clear" w:color="auto" w:fill="F0F8F7" w:themeFill="accent1" w:themeFillTint="19"/>
    </w:tcPr>
    <w:tblStylePr w:type="firstRow">
      <w:rPr>
        <w:b/>
        <w:bCs/>
      </w:rPr>
      <w:tblPr/>
      <w:tcPr>
        <w:tcBorders>
          <w:top w:val="nil"/>
          <w:left w:val="nil"/>
          <w:bottom w:val="single" w:sz="24" w:space="0" w:color="69AC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7D73" w:themeFill="accent1" w:themeFillShade="99"/>
      </w:tcPr>
    </w:tblStylePr>
    <w:tblStylePr w:type="firstCol">
      <w:rPr>
        <w:color w:val="FFFFFF" w:themeColor="background1"/>
      </w:rPr>
      <w:tblPr/>
      <w:tcPr>
        <w:tcBorders>
          <w:top w:val="nil"/>
          <w:left w:val="nil"/>
          <w:bottom w:val="nil"/>
          <w:right w:val="nil"/>
          <w:insideH w:val="single" w:sz="4" w:space="0" w:color="347D73" w:themeColor="accent1" w:themeShade="99"/>
          <w:insideV w:val="nil"/>
        </w:tcBorders>
        <w:shd w:val="clear" w:color="auto" w:fill="347D73"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47D73" w:themeFill="accent1" w:themeFillShade="99"/>
      </w:tcPr>
    </w:tblStylePr>
    <w:tblStylePr w:type="band1Vert">
      <w:tblPr/>
      <w:tcPr>
        <w:shd w:val="clear" w:color="auto" w:fill="C2E5E1" w:themeFill="accent1" w:themeFillTint="66"/>
      </w:tcPr>
    </w:tblStylePr>
    <w:tblStylePr w:type="band1Horz">
      <w:tblPr/>
      <w:tcPr>
        <w:shd w:val="clear" w:color="auto" w:fill="B3DFDA" w:themeFill="accent1" w:themeFillTint="7F"/>
      </w:tcPr>
    </w:tblStylePr>
    <w:tblStylePr w:type="neCell">
      <w:rPr>
        <w:color w:val="1A1919" w:themeColor="text1"/>
      </w:rPr>
    </w:tblStylePr>
    <w:tblStylePr w:type="nwCell">
      <w:rPr>
        <w:color w:val="1A1919" w:themeColor="text1"/>
      </w:rPr>
    </w:tblStylePr>
  </w:style>
  <w:style w:type="table" w:styleId="ColorfulShading-Accent2">
    <w:name w:val="Colorful Shading Accent 2"/>
    <w:basedOn w:val="TableNormal"/>
    <w:uiPriority w:val="71"/>
    <w:semiHidden/>
    <w:unhideWhenUsed/>
    <w:rsid w:val="00CF26C4"/>
    <w:pPr>
      <w:spacing w:after="0"/>
    </w:pPr>
    <w:rPr>
      <w:rFonts w:eastAsiaTheme="minorHAnsi" w:cs="Arial"/>
      <w:color w:val="1A1919" w:themeColor="text1"/>
      <w:sz w:val="18"/>
      <w:szCs w:val="18"/>
    </w:rPr>
    <w:tblPr>
      <w:tblStyleRowBandSize w:val="1"/>
      <w:tblStyleColBandSize w:val="1"/>
      <w:tblBorders>
        <w:top w:val="single" w:sz="24" w:space="0" w:color="69ACDF" w:themeColor="accent2"/>
        <w:left w:val="single" w:sz="4" w:space="0" w:color="69ACDF" w:themeColor="accent2"/>
        <w:bottom w:val="single" w:sz="4" w:space="0" w:color="69ACDF" w:themeColor="accent2"/>
        <w:right w:val="single" w:sz="4" w:space="0" w:color="69ACDF" w:themeColor="accent2"/>
        <w:insideH w:val="single" w:sz="4" w:space="0" w:color="FFFFFF" w:themeColor="background1"/>
        <w:insideV w:val="single" w:sz="4" w:space="0" w:color="FFFFFF" w:themeColor="background1"/>
      </w:tblBorders>
    </w:tblPr>
    <w:tcPr>
      <w:shd w:val="clear" w:color="auto" w:fill="F0F6FB" w:themeFill="accent2" w:themeFillTint="19"/>
    </w:tcPr>
    <w:tblStylePr w:type="firstRow">
      <w:rPr>
        <w:b/>
        <w:bCs/>
      </w:rPr>
      <w:tblPr/>
      <w:tcPr>
        <w:tcBorders>
          <w:top w:val="nil"/>
          <w:left w:val="nil"/>
          <w:bottom w:val="single" w:sz="24" w:space="0" w:color="69AC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26AA2" w:themeFill="accent2" w:themeFillShade="99"/>
      </w:tcPr>
    </w:tblStylePr>
    <w:tblStylePr w:type="firstCol">
      <w:rPr>
        <w:color w:val="FFFFFF" w:themeColor="background1"/>
      </w:rPr>
      <w:tblPr/>
      <w:tcPr>
        <w:tcBorders>
          <w:top w:val="nil"/>
          <w:left w:val="nil"/>
          <w:bottom w:val="nil"/>
          <w:right w:val="nil"/>
          <w:insideH w:val="single" w:sz="4" w:space="0" w:color="226AA2" w:themeColor="accent2" w:themeShade="99"/>
          <w:insideV w:val="nil"/>
        </w:tcBorders>
        <w:shd w:val="clear" w:color="auto" w:fill="226AA2"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26AA2" w:themeFill="accent2" w:themeFillShade="99"/>
      </w:tcPr>
    </w:tblStylePr>
    <w:tblStylePr w:type="band1Vert">
      <w:tblPr/>
      <w:tcPr>
        <w:shd w:val="clear" w:color="auto" w:fill="C2DDF2" w:themeFill="accent2" w:themeFillTint="66"/>
      </w:tcPr>
    </w:tblStylePr>
    <w:tblStylePr w:type="band1Horz">
      <w:tblPr/>
      <w:tcPr>
        <w:shd w:val="clear" w:color="auto" w:fill="B4D5EF" w:themeFill="accent2" w:themeFillTint="7F"/>
      </w:tcPr>
    </w:tblStylePr>
    <w:tblStylePr w:type="neCell">
      <w:rPr>
        <w:color w:val="1A1919" w:themeColor="text1"/>
      </w:rPr>
    </w:tblStylePr>
    <w:tblStylePr w:type="nwCell">
      <w:rPr>
        <w:color w:val="1A1919" w:themeColor="text1"/>
      </w:rPr>
    </w:tblStylePr>
  </w:style>
  <w:style w:type="table" w:styleId="ColorfulShading-Accent3">
    <w:name w:val="Colorful Shading Accent 3"/>
    <w:basedOn w:val="TableNormal"/>
    <w:uiPriority w:val="71"/>
    <w:semiHidden/>
    <w:unhideWhenUsed/>
    <w:rsid w:val="00CF26C4"/>
    <w:pPr>
      <w:spacing w:after="0"/>
    </w:pPr>
    <w:rPr>
      <w:rFonts w:eastAsiaTheme="minorHAnsi" w:cs="Arial"/>
      <w:color w:val="1A1919" w:themeColor="text1"/>
      <w:sz w:val="18"/>
      <w:szCs w:val="18"/>
    </w:rPr>
    <w:tblPr>
      <w:tblStyleRowBandSize w:val="1"/>
      <w:tblStyleColBandSize w:val="1"/>
      <w:tblBorders>
        <w:top w:val="single" w:sz="24" w:space="0" w:color="B26DAB" w:themeColor="accent4"/>
        <w:left w:val="single" w:sz="4" w:space="0" w:color="636AAF" w:themeColor="accent3"/>
        <w:bottom w:val="single" w:sz="4" w:space="0" w:color="636AAF" w:themeColor="accent3"/>
        <w:right w:val="single" w:sz="4" w:space="0" w:color="636AAF" w:themeColor="accent3"/>
        <w:insideH w:val="single" w:sz="4" w:space="0" w:color="FFFFFF" w:themeColor="background1"/>
        <w:insideV w:val="single" w:sz="4" w:space="0" w:color="FFFFFF" w:themeColor="background1"/>
      </w:tblBorders>
    </w:tblPr>
    <w:tcPr>
      <w:shd w:val="clear" w:color="auto" w:fill="EFF0F7" w:themeFill="accent3" w:themeFillTint="19"/>
    </w:tcPr>
    <w:tblStylePr w:type="firstRow">
      <w:rPr>
        <w:b/>
        <w:bCs/>
      </w:rPr>
      <w:tblPr/>
      <w:tcPr>
        <w:tcBorders>
          <w:top w:val="nil"/>
          <w:left w:val="nil"/>
          <w:bottom w:val="single" w:sz="24" w:space="0" w:color="B26DAB"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73C6C" w:themeFill="accent3" w:themeFillShade="99"/>
      </w:tcPr>
    </w:tblStylePr>
    <w:tblStylePr w:type="firstCol">
      <w:rPr>
        <w:color w:val="FFFFFF" w:themeColor="background1"/>
      </w:rPr>
      <w:tblPr/>
      <w:tcPr>
        <w:tcBorders>
          <w:top w:val="nil"/>
          <w:left w:val="nil"/>
          <w:bottom w:val="nil"/>
          <w:right w:val="nil"/>
          <w:insideH w:val="single" w:sz="4" w:space="0" w:color="373C6C" w:themeColor="accent3" w:themeShade="99"/>
          <w:insideV w:val="nil"/>
        </w:tcBorders>
        <w:shd w:val="clear" w:color="auto" w:fill="373C6C"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373C6C" w:themeFill="accent3" w:themeFillShade="99"/>
      </w:tcPr>
    </w:tblStylePr>
    <w:tblStylePr w:type="band1Vert">
      <w:tblPr/>
      <w:tcPr>
        <w:shd w:val="clear" w:color="auto" w:fill="C0C3DF" w:themeFill="accent3" w:themeFillTint="66"/>
      </w:tcPr>
    </w:tblStylePr>
    <w:tblStylePr w:type="band1Horz">
      <w:tblPr/>
      <w:tcPr>
        <w:shd w:val="clear" w:color="auto" w:fill="B1B4D7" w:themeFill="accent3" w:themeFillTint="7F"/>
      </w:tcPr>
    </w:tblStylePr>
  </w:style>
  <w:style w:type="table" w:styleId="ColorfulShading-Accent4">
    <w:name w:val="Colorful Shading Accent 4"/>
    <w:basedOn w:val="TableNormal"/>
    <w:uiPriority w:val="71"/>
    <w:semiHidden/>
    <w:unhideWhenUsed/>
    <w:rsid w:val="00CF26C4"/>
    <w:pPr>
      <w:spacing w:after="0"/>
    </w:pPr>
    <w:rPr>
      <w:rFonts w:eastAsiaTheme="minorHAnsi" w:cs="Arial"/>
      <w:color w:val="1A1919" w:themeColor="text1"/>
      <w:sz w:val="18"/>
      <w:szCs w:val="18"/>
    </w:rPr>
    <w:tblPr>
      <w:tblStyleRowBandSize w:val="1"/>
      <w:tblStyleColBandSize w:val="1"/>
      <w:tblBorders>
        <w:top w:val="single" w:sz="24" w:space="0" w:color="636AAF" w:themeColor="accent3"/>
        <w:left w:val="single" w:sz="4" w:space="0" w:color="B26DAB" w:themeColor="accent4"/>
        <w:bottom w:val="single" w:sz="4" w:space="0" w:color="B26DAB" w:themeColor="accent4"/>
        <w:right w:val="single" w:sz="4" w:space="0" w:color="B26DAB" w:themeColor="accent4"/>
        <w:insideH w:val="single" w:sz="4" w:space="0" w:color="FFFFFF" w:themeColor="background1"/>
        <w:insideV w:val="single" w:sz="4" w:space="0" w:color="FFFFFF" w:themeColor="background1"/>
      </w:tblBorders>
    </w:tblPr>
    <w:tcPr>
      <w:shd w:val="clear" w:color="auto" w:fill="F7F0F6" w:themeFill="accent4" w:themeFillTint="19"/>
    </w:tcPr>
    <w:tblStylePr w:type="firstRow">
      <w:rPr>
        <w:b/>
        <w:bCs/>
      </w:rPr>
      <w:tblPr/>
      <w:tcPr>
        <w:tcBorders>
          <w:top w:val="nil"/>
          <w:left w:val="nil"/>
          <w:bottom w:val="single" w:sz="24" w:space="0" w:color="636AA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03B6B" w:themeFill="accent4" w:themeFillShade="99"/>
      </w:tcPr>
    </w:tblStylePr>
    <w:tblStylePr w:type="firstCol">
      <w:rPr>
        <w:color w:val="FFFFFF" w:themeColor="background1"/>
      </w:rPr>
      <w:tblPr/>
      <w:tcPr>
        <w:tcBorders>
          <w:top w:val="nil"/>
          <w:left w:val="nil"/>
          <w:bottom w:val="nil"/>
          <w:right w:val="nil"/>
          <w:insideH w:val="single" w:sz="4" w:space="0" w:color="703B6B" w:themeColor="accent4" w:themeShade="99"/>
          <w:insideV w:val="nil"/>
        </w:tcBorders>
        <w:shd w:val="clear" w:color="auto" w:fill="703B6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03B6B" w:themeFill="accent4" w:themeFillShade="99"/>
      </w:tcPr>
    </w:tblStylePr>
    <w:tblStylePr w:type="band1Vert">
      <w:tblPr/>
      <w:tcPr>
        <w:shd w:val="clear" w:color="auto" w:fill="E0C4DD" w:themeFill="accent4" w:themeFillTint="66"/>
      </w:tcPr>
    </w:tblStylePr>
    <w:tblStylePr w:type="band1Horz">
      <w:tblPr/>
      <w:tcPr>
        <w:shd w:val="clear" w:color="auto" w:fill="D8B6D5" w:themeFill="accent4" w:themeFillTint="7F"/>
      </w:tcPr>
    </w:tblStylePr>
    <w:tblStylePr w:type="neCell">
      <w:rPr>
        <w:color w:val="1A1919" w:themeColor="text1"/>
      </w:rPr>
    </w:tblStylePr>
    <w:tblStylePr w:type="nwCell">
      <w:rPr>
        <w:color w:val="1A1919" w:themeColor="text1"/>
      </w:rPr>
    </w:tblStylePr>
  </w:style>
  <w:style w:type="table" w:styleId="ColorfulShading-Accent5">
    <w:name w:val="Colorful Shading Accent 5"/>
    <w:basedOn w:val="TableNormal"/>
    <w:uiPriority w:val="71"/>
    <w:semiHidden/>
    <w:unhideWhenUsed/>
    <w:rsid w:val="00CF26C4"/>
    <w:pPr>
      <w:spacing w:after="0"/>
    </w:pPr>
    <w:rPr>
      <w:rFonts w:eastAsiaTheme="minorHAnsi" w:cs="Arial"/>
      <w:color w:val="1A1919" w:themeColor="text1"/>
      <w:sz w:val="18"/>
      <w:szCs w:val="18"/>
    </w:rPr>
    <w:tblPr>
      <w:tblStyleRowBandSize w:val="1"/>
      <w:tblStyleColBandSize w:val="1"/>
      <w:tblBorders>
        <w:top w:val="single" w:sz="24" w:space="0" w:color="9CD2F4" w:themeColor="accent6"/>
        <w:left w:val="single" w:sz="4" w:space="0" w:color="E7A2C8" w:themeColor="accent5"/>
        <w:bottom w:val="single" w:sz="4" w:space="0" w:color="E7A2C8" w:themeColor="accent5"/>
        <w:right w:val="single" w:sz="4" w:space="0" w:color="E7A2C8" w:themeColor="accent5"/>
        <w:insideH w:val="single" w:sz="4" w:space="0" w:color="FFFFFF" w:themeColor="background1"/>
        <w:insideV w:val="single" w:sz="4" w:space="0" w:color="FFFFFF" w:themeColor="background1"/>
      </w:tblBorders>
    </w:tblPr>
    <w:tcPr>
      <w:shd w:val="clear" w:color="auto" w:fill="FCF5F9" w:themeFill="accent5" w:themeFillTint="19"/>
    </w:tcPr>
    <w:tblStylePr w:type="firstRow">
      <w:rPr>
        <w:b/>
        <w:bCs/>
      </w:rPr>
      <w:tblPr/>
      <w:tcPr>
        <w:tcBorders>
          <w:top w:val="nil"/>
          <w:left w:val="nil"/>
          <w:bottom w:val="single" w:sz="24" w:space="0" w:color="9CD2F4"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B307C" w:themeFill="accent5" w:themeFillShade="99"/>
      </w:tcPr>
    </w:tblStylePr>
    <w:tblStylePr w:type="firstCol">
      <w:rPr>
        <w:color w:val="FFFFFF" w:themeColor="background1"/>
      </w:rPr>
      <w:tblPr/>
      <w:tcPr>
        <w:tcBorders>
          <w:top w:val="nil"/>
          <w:left w:val="nil"/>
          <w:bottom w:val="nil"/>
          <w:right w:val="nil"/>
          <w:insideH w:val="single" w:sz="4" w:space="0" w:color="BB307C" w:themeColor="accent5" w:themeShade="99"/>
          <w:insideV w:val="nil"/>
        </w:tcBorders>
        <w:shd w:val="clear" w:color="auto" w:fill="BB30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BB307C" w:themeFill="accent5" w:themeFillShade="99"/>
      </w:tcPr>
    </w:tblStylePr>
    <w:tblStylePr w:type="band1Vert">
      <w:tblPr/>
      <w:tcPr>
        <w:shd w:val="clear" w:color="auto" w:fill="F5D9E8" w:themeFill="accent5" w:themeFillTint="66"/>
      </w:tcPr>
    </w:tblStylePr>
    <w:tblStylePr w:type="band1Horz">
      <w:tblPr/>
      <w:tcPr>
        <w:shd w:val="clear" w:color="auto" w:fill="F3D0E3" w:themeFill="accent5" w:themeFillTint="7F"/>
      </w:tcPr>
    </w:tblStylePr>
    <w:tblStylePr w:type="neCell">
      <w:rPr>
        <w:color w:val="1A1919" w:themeColor="text1"/>
      </w:rPr>
    </w:tblStylePr>
    <w:tblStylePr w:type="nwCell">
      <w:rPr>
        <w:color w:val="1A1919" w:themeColor="text1"/>
      </w:rPr>
    </w:tblStylePr>
  </w:style>
  <w:style w:type="table" w:styleId="ColorfulShading-Accent6">
    <w:name w:val="Colorful Shading Accent 6"/>
    <w:basedOn w:val="TableNormal"/>
    <w:uiPriority w:val="71"/>
    <w:semiHidden/>
    <w:unhideWhenUsed/>
    <w:rsid w:val="00CF26C4"/>
    <w:pPr>
      <w:spacing w:after="0"/>
    </w:pPr>
    <w:rPr>
      <w:rFonts w:eastAsiaTheme="minorHAnsi" w:cs="Arial"/>
      <w:color w:val="1A1919" w:themeColor="text1"/>
      <w:sz w:val="18"/>
      <w:szCs w:val="18"/>
    </w:rPr>
    <w:tblPr>
      <w:tblStyleRowBandSize w:val="1"/>
      <w:tblStyleColBandSize w:val="1"/>
      <w:tblBorders>
        <w:top w:val="single" w:sz="24" w:space="0" w:color="E7A2C8" w:themeColor="accent5"/>
        <w:left w:val="single" w:sz="4" w:space="0" w:color="9CD2F4" w:themeColor="accent6"/>
        <w:bottom w:val="single" w:sz="4" w:space="0" w:color="9CD2F4" w:themeColor="accent6"/>
        <w:right w:val="single" w:sz="4" w:space="0" w:color="9CD2F4" w:themeColor="accent6"/>
        <w:insideH w:val="single" w:sz="4" w:space="0" w:color="FFFFFF" w:themeColor="background1"/>
        <w:insideV w:val="single" w:sz="4" w:space="0" w:color="FFFFFF" w:themeColor="background1"/>
      </w:tblBorders>
    </w:tblPr>
    <w:tcPr>
      <w:shd w:val="clear" w:color="auto" w:fill="F5FAFE" w:themeFill="accent6" w:themeFillTint="19"/>
    </w:tcPr>
    <w:tblStylePr w:type="firstRow">
      <w:rPr>
        <w:b/>
        <w:bCs/>
      </w:rPr>
      <w:tblPr/>
      <w:tcPr>
        <w:tcBorders>
          <w:top w:val="nil"/>
          <w:left w:val="nil"/>
          <w:bottom w:val="single" w:sz="24" w:space="0" w:color="E7A2C8"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88DD8" w:themeFill="accent6" w:themeFillShade="99"/>
      </w:tcPr>
    </w:tblStylePr>
    <w:tblStylePr w:type="firstCol">
      <w:rPr>
        <w:color w:val="FFFFFF" w:themeColor="background1"/>
      </w:rPr>
      <w:tblPr/>
      <w:tcPr>
        <w:tcBorders>
          <w:top w:val="nil"/>
          <w:left w:val="nil"/>
          <w:bottom w:val="nil"/>
          <w:right w:val="nil"/>
          <w:insideH w:val="single" w:sz="4" w:space="0" w:color="188DD8" w:themeColor="accent6" w:themeShade="99"/>
          <w:insideV w:val="nil"/>
        </w:tcBorders>
        <w:shd w:val="clear" w:color="auto" w:fill="188DD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188DD8" w:themeFill="accent6" w:themeFillShade="99"/>
      </w:tcPr>
    </w:tblStylePr>
    <w:tblStylePr w:type="band1Vert">
      <w:tblPr/>
      <w:tcPr>
        <w:shd w:val="clear" w:color="auto" w:fill="D7ECFA" w:themeFill="accent6" w:themeFillTint="66"/>
      </w:tcPr>
    </w:tblStylePr>
    <w:tblStylePr w:type="band1Horz">
      <w:tblPr/>
      <w:tcPr>
        <w:shd w:val="clear" w:color="auto" w:fill="CDE8F9" w:themeFill="accent6" w:themeFillTint="7F"/>
      </w:tcPr>
    </w:tblStylePr>
    <w:tblStylePr w:type="neCell">
      <w:rPr>
        <w:color w:val="1A1919" w:themeColor="text1"/>
      </w:rPr>
    </w:tblStylePr>
    <w:tblStylePr w:type="nwCell">
      <w:rPr>
        <w:color w:val="1A1919" w:themeColor="text1"/>
      </w:rPr>
    </w:tblStylePr>
  </w:style>
  <w:style w:type="character" w:styleId="CommentReference">
    <w:name w:val="annotation reference"/>
    <w:basedOn w:val="DefaultParagraphFont"/>
    <w:uiPriority w:val="99"/>
    <w:semiHidden/>
    <w:rsid w:val="00CF26C4"/>
    <w:rPr>
      <w:sz w:val="16"/>
      <w:szCs w:val="16"/>
    </w:rPr>
  </w:style>
  <w:style w:type="paragraph" w:styleId="CommentText">
    <w:name w:val="annotation text"/>
    <w:basedOn w:val="Normal"/>
    <w:link w:val="CommentTextChar"/>
    <w:uiPriority w:val="99"/>
    <w:semiHidden/>
    <w:rsid w:val="00CF26C4"/>
  </w:style>
  <w:style w:type="character" w:customStyle="1" w:styleId="CommentTextChar">
    <w:name w:val="Comment Text Char"/>
    <w:basedOn w:val="DefaultParagraphFont"/>
    <w:link w:val="CommentText"/>
    <w:uiPriority w:val="99"/>
    <w:semiHidden/>
    <w:rsid w:val="00CF26C4"/>
    <w:rPr>
      <w:lang w:val="en-GB"/>
    </w:rPr>
  </w:style>
  <w:style w:type="paragraph" w:styleId="CommentSubject">
    <w:name w:val="annotation subject"/>
    <w:basedOn w:val="CommentText"/>
    <w:next w:val="CommentText"/>
    <w:link w:val="CommentSubjectChar"/>
    <w:uiPriority w:val="99"/>
    <w:semiHidden/>
    <w:rsid w:val="00CF26C4"/>
    <w:rPr>
      <w:b/>
      <w:bCs/>
    </w:rPr>
  </w:style>
  <w:style w:type="character" w:customStyle="1" w:styleId="CommentSubjectChar">
    <w:name w:val="Comment Subject Char"/>
    <w:basedOn w:val="CommentTextChar"/>
    <w:link w:val="CommentSubject"/>
    <w:uiPriority w:val="99"/>
    <w:semiHidden/>
    <w:rsid w:val="00CF26C4"/>
    <w:rPr>
      <w:b/>
      <w:bCs/>
      <w:lang w:val="en-GB"/>
    </w:rPr>
  </w:style>
  <w:style w:type="table" w:styleId="DarkList">
    <w:name w:val="Dark List"/>
    <w:basedOn w:val="TableNormal"/>
    <w:uiPriority w:val="70"/>
    <w:semiHidden/>
    <w:unhideWhenUsed/>
    <w:rsid w:val="00CF26C4"/>
    <w:pPr>
      <w:spacing w:after="0"/>
    </w:pPr>
    <w:rPr>
      <w:rFonts w:eastAsiaTheme="minorHAnsi" w:cs="Arial"/>
      <w:color w:val="FFFFFF" w:themeColor="background1"/>
      <w:sz w:val="18"/>
      <w:szCs w:val="18"/>
    </w:rPr>
    <w:tblPr>
      <w:tblStyleRowBandSize w:val="1"/>
      <w:tblStyleColBandSize w:val="1"/>
    </w:tblPr>
    <w:tcPr>
      <w:shd w:val="clear" w:color="auto" w:fill="1A1919" w:themeFill="text1"/>
    </w:tcPr>
    <w:tblStylePr w:type="firstRow">
      <w:rPr>
        <w:b/>
        <w:bCs/>
      </w:rPr>
      <w:tblPr/>
      <w:tcPr>
        <w:tcBorders>
          <w:top w:val="nil"/>
          <w:left w:val="nil"/>
          <w:bottom w:val="single" w:sz="18" w:space="0" w:color="FFFFFF" w:themeColor="background1"/>
          <w:right w:val="nil"/>
          <w:insideH w:val="nil"/>
          <w:insideV w:val="nil"/>
        </w:tcBorders>
        <w:shd w:val="clear" w:color="auto" w:fill="1A1919" w:themeFill="text1"/>
      </w:tcPr>
    </w:tblStylePr>
    <w:tblStylePr w:type="lastRow">
      <w:tblPr/>
      <w:tcPr>
        <w:tcBorders>
          <w:top w:val="single" w:sz="18" w:space="0" w:color="FFFFFF" w:themeColor="background1"/>
          <w:left w:val="nil"/>
          <w:bottom w:val="nil"/>
          <w:right w:val="nil"/>
          <w:insideH w:val="nil"/>
          <w:insideV w:val="nil"/>
        </w:tcBorders>
        <w:shd w:val="clear" w:color="auto" w:fill="0C0C0C"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31212"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31212" w:themeFill="text1" w:themeFillShade="BF"/>
      </w:tcPr>
    </w:tblStylePr>
    <w:tblStylePr w:type="band1Vert">
      <w:tblPr/>
      <w:tcPr>
        <w:tcBorders>
          <w:top w:val="nil"/>
          <w:left w:val="nil"/>
          <w:bottom w:val="nil"/>
          <w:right w:val="nil"/>
          <w:insideH w:val="nil"/>
          <w:insideV w:val="nil"/>
        </w:tcBorders>
        <w:shd w:val="clear" w:color="auto" w:fill="131212" w:themeFill="text1" w:themeFillShade="BF"/>
      </w:tcPr>
    </w:tblStylePr>
    <w:tblStylePr w:type="band1Horz">
      <w:tblPr/>
      <w:tcPr>
        <w:tcBorders>
          <w:top w:val="nil"/>
          <w:left w:val="nil"/>
          <w:bottom w:val="nil"/>
          <w:right w:val="nil"/>
          <w:insideH w:val="nil"/>
          <w:insideV w:val="nil"/>
        </w:tcBorders>
        <w:shd w:val="clear" w:color="auto" w:fill="131212" w:themeFill="text1" w:themeFillShade="BF"/>
      </w:tcPr>
    </w:tblStylePr>
  </w:style>
  <w:style w:type="table" w:styleId="DarkList-Accent1">
    <w:name w:val="Dark List Accent 1"/>
    <w:basedOn w:val="TableNormal"/>
    <w:uiPriority w:val="70"/>
    <w:semiHidden/>
    <w:unhideWhenUsed/>
    <w:rsid w:val="00CF26C4"/>
    <w:pPr>
      <w:spacing w:after="0"/>
    </w:pPr>
    <w:rPr>
      <w:rFonts w:eastAsiaTheme="minorHAnsi" w:cs="Arial"/>
      <w:color w:val="FFFFFF" w:themeColor="background1"/>
      <w:sz w:val="18"/>
      <w:szCs w:val="18"/>
    </w:rPr>
    <w:tblPr>
      <w:tblStyleRowBandSize w:val="1"/>
      <w:tblStyleColBandSize w:val="1"/>
    </w:tblPr>
    <w:tcPr>
      <w:shd w:val="clear" w:color="auto" w:fill="68C0B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1A1919" w:themeFill="text1"/>
      </w:tcPr>
    </w:tblStylePr>
    <w:tblStylePr w:type="lastRow">
      <w:tblPr/>
      <w:tcPr>
        <w:tcBorders>
          <w:top w:val="single" w:sz="18" w:space="0" w:color="FFFFFF" w:themeColor="background1"/>
          <w:left w:val="nil"/>
          <w:bottom w:val="nil"/>
          <w:right w:val="nil"/>
          <w:insideH w:val="nil"/>
          <w:insideV w:val="nil"/>
        </w:tcBorders>
        <w:shd w:val="clear" w:color="auto" w:fill="2B67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19C9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19C90" w:themeFill="accent1" w:themeFillShade="BF"/>
      </w:tcPr>
    </w:tblStylePr>
    <w:tblStylePr w:type="band1Vert">
      <w:tblPr/>
      <w:tcPr>
        <w:tcBorders>
          <w:top w:val="nil"/>
          <w:left w:val="nil"/>
          <w:bottom w:val="nil"/>
          <w:right w:val="nil"/>
          <w:insideH w:val="nil"/>
          <w:insideV w:val="nil"/>
        </w:tcBorders>
        <w:shd w:val="clear" w:color="auto" w:fill="419C90" w:themeFill="accent1" w:themeFillShade="BF"/>
      </w:tcPr>
    </w:tblStylePr>
    <w:tblStylePr w:type="band1Horz">
      <w:tblPr/>
      <w:tcPr>
        <w:tcBorders>
          <w:top w:val="nil"/>
          <w:left w:val="nil"/>
          <w:bottom w:val="nil"/>
          <w:right w:val="nil"/>
          <w:insideH w:val="nil"/>
          <w:insideV w:val="nil"/>
        </w:tcBorders>
        <w:shd w:val="clear" w:color="auto" w:fill="419C90" w:themeFill="accent1" w:themeFillShade="BF"/>
      </w:tcPr>
    </w:tblStylePr>
  </w:style>
  <w:style w:type="table" w:styleId="DarkList-Accent2">
    <w:name w:val="Dark List Accent 2"/>
    <w:basedOn w:val="TableNormal"/>
    <w:uiPriority w:val="70"/>
    <w:semiHidden/>
    <w:unhideWhenUsed/>
    <w:rsid w:val="00CF26C4"/>
    <w:pPr>
      <w:spacing w:after="0"/>
    </w:pPr>
    <w:rPr>
      <w:rFonts w:eastAsiaTheme="minorHAnsi" w:cs="Arial"/>
      <w:color w:val="FFFFFF" w:themeColor="background1"/>
      <w:sz w:val="18"/>
      <w:szCs w:val="18"/>
    </w:rPr>
    <w:tblPr>
      <w:tblStyleRowBandSize w:val="1"/>
      <w:tblStyleColBandSize w:val="1"/>
    </w:tblPr>
    <w:tcPr>
      <w:shd w:val="clear" w:color="auto" w:fill="69ACD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1A1919" w:themeFill="text1"/>
      </w:tcPr>
    </w:tblStylePr>
    <w:tblStylePr w:type="lastRow">
      <w:tblPr/>
      <w:tcPr>
        <w:tcBorders>
          <w:top w:val="single" w:sz="18" w:space="0" w:color="FFFFFF" w:themeColor="background1"/>
          <w:left w:val="nil"/>
          <w:bottom w:val="nil"/>
          <w:right w:val="nil"/>
          <w:insideH w:val="nil"/>
          <w:insideV w:val="nil"/>
        </w:tcBorders>
        <w:shd w:val="clear" w:color="auto" w:fill="1C5886"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2B85C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2B85CA" w:themeFill="accent2" w:themeFillShade="BF"/>
      </w:tcPr>
    </w:tblStylePr>
    <w:tblStylePr w:type="band1Vert">
      <w:tblPr/>
      <w:tcPr>
        <w:tcBorders>
          <w:top w:val="nil"/>
          <w:left w:val="nil"/>
          <w:bottom w:val="nil"/>
          <w:right w:val="nil"/>
          <w:insideH w:val="nil"/>
          <w:insideV w:val="nil"/>
        </w:tcBorders>
        <w:shd w:val="clear" w:color="auto" w:fill="2B85CA" w:themeFill="accent2" w:themeFillShade="BF"/>
      </w:tcPr>
    </w:tblStylePr>
    <w:tblStylePr w:type="band1Horz">
      <w:tblPr/>
      <w:tcPr>
        <w:tcBorders>
          <w:top w:val="nil"/>
          <w:left w:val="nil"/>
          <w:bottom w:val="nil"/>
          <w:right w:val="nil"/>
          <w:insideH w:val="nil"/>
          <w:insideV w:val="nil"/>
        </w:tcBorders>
        <w:shd w:val="clear" w:color="auto" w:fill="2B85CA" w:themeFill="accent2" w:themeFillShade="BF"/>
      </w:tcPr>
    </w:tblStylePr>
  </w:style>
  <w:style w:type="table" w:styleId="DarkList-Accent3">
    <w:name w:val="Dark List Accent 3"/>
    <w:basedOn w:val="TableNormal"/>
    <w:uiPriority w:val="70"/>
    <w:semiHidden/>
    <w:unhideWhenUsed/>
    <w:rsid w:val="00CF26C4"/>
    <w:pPr>
      <w:spacing w:after="0"/>
    </w:pPr>
    <w:rPr>
      <w:rFonts w:eastAsiaTheme="minorHAnsi" w:cs="Arial"/>
      <w:color w:val="FFFFFF" w:themeColor="background1"/>
      <w:sz w:val="18"/>
      <w:szCs w:val="18"/>
    </w:rPr>
    <w:tblPr>
      <w:tblStyleRowBandSize w:val="1"/>
      <w:tblStyleColBandSize w:val="1"/>
    </w:tblPr>
    <w:tcPr>
      <w:shd w:val="clear" w:color="auto" w:fill="636AA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1A1919" w:themeFill="text1"/>
      </w:tcPr>
    </w:tblStylePr>
    <w:tblStylePr w:type="lastRow">
      <w:tblPr/>
      <w:tcPr>
        <w:tcBorders>
          <w:top w:val="single" w:sz="18" w:space="0" w:color="FFFFFF" w:themeColor="background1"/>
          <w:left w:val="nil"/>
          <w:bottom w:val="nil"/>
          <w:right w:val="nil"/>
          <w:insideH w:val="nil"/>
          <w:insideV w:val="nil"/>
        </w:tcBorders>
        <w:shd w:val="clear" w:color="auto" w:fill="2E325A"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454B8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454B87" w:themeFill="accent3" w:themeFillShade="BF"/>
      </w:tcPr>
    </w:tblStylePr>
    <w:tblStylePr w:type="band1Vert">
      <w:tblPr/>
      <w:tcPr>
        <w:tcBorders>
          <w:top w:val="nil"/>
          <w:left w:val="nil"/>
          <w:bottom w:val="nil"/>
          <w:right w:val="nil"/>
          <w:insideH w:val="nil"/>
          <w:insideV w:val="nil"/>
        </w:tcBorders>
        <w:shd w:val="clear" w:color="auto" w:fill="454B87" w:themeFill="accent3" w:themeFillShade="BF"/>
      </w:tcPr>
    </w:tblStylePr>
    <w:tblStylePr w:type="band1Horz">
      <w:tblPr/>
      <w:tcPr>
        <w:tcBorders>
          <w:top w:val="nil"/>
          <w:left w:val="nil"/>
          <w:bottom w:val="nil"/>
          <w:right w:val="nil"/>
          <w:insideH w:val="nil"/>
          <w:insideV w:val="nil"/>
        </w:tcBorders>
        <w:shd w:val="clear" w:color="auto" w:fill="454B87" w:themeFill="accent3" w:themeFillShade="BF"/>
      </w:tcPr>
    </w:tblStylePr>
  </w:style>
  <w:style w:type="table" w:styleId="DarkList-Accent4">
    <w:name w:val="Dark List Accent 4"/>
    <w:basedOn w:val="TableNormal"/>
    <w:uiPriority w:val="70"/>
    <w:semiHidden/>
    <w:unhideWhenUsed/>
    <w:rsid w:val="00CF26C4"/>
    <w:pPr>
      <w:spacing w:after="0"/>
    </w:pPr>
    <w:rPr>
      <w:rFonts w:eastAsiaTheme="minorHAnsi" w:cs="Arial"/>
      <w:color w:val="FFFFFF" w:themeColor="background1"/>
      <w:sz w:val="18"/>
      <w:szCs w:val="18"/>
    </w:rPr>
    <w:tblPr>
      <w:tblStyleRowBandSize w:val="1"/>
      <w:tblStyleColBandSize w:val="1"/>
    </w:tblPr>
    <w:tcPr>
      <w:shd w:val="clear" w:color="auto" w:fill="B26DAB"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1A1919" w:themeFill="text1"/>
      </w:tcPr>
    </w:tblStylePr>
    <w:tblStylePr w:type="lastRow">
      <w:tblPr/>
      <w:tcPr>
        <w:tcBorders>
          <w:top w:val="single" w:sz="18" w:space="0" w:color="FFFFFF" w:themeColor="background1"/>
          <w:left w:val="nil"/>
          <w:bottom w:val="nil"/>
          <w:right w:val="nil"/>
          <w:insideH w:val="nil"/>
          <w:insideV w:val="nil"/>
        </w:tcBorders>
        <w:shd w:val="clear" w:color="auto" w:fill="5D3158"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8C4A85"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8C4A85" w:themeFill="accent4" w:themeFillShade="BF"/>
      </w:tcPr>
    </w:tblStylePr>
    <w:tblStylePr w:type="band1Vert">
      <w:tblPr/>
      <w:tcPr>
        <w:tcBorders>
          <w:top w:val="nil"/>
          <w:left w:val="nil"/>
          <w:bottom w:val="nil"/>
          <w:right w:val="nil"/>
          <w:insideH w:val="nil"/>
          <w:insideV w:val="nil"/>
        </w:tcBorders>
        <w:shd w:val="clear" w:color="auto" w:fill="8C4A85" w:themeFill="accent4" w:themeFillShade="BF"/>
      </w:tcPr>
    </w:tblStylePr>
    <w:tblStylePr w:type="band1Horz">
      <w:tblPr/>
      <w:tcPr>
        <w:tcBorders>
          <w:top w:val="nil"/>
          <w:left w:val="nil"/>
          <w:bottom w:val="nil"/>
          <w:right w:val="nil"/>
          <w:insideH w:val="nil"/>
          <w:insideV w:val="nil"/>
        </w:tcBorders>
        <w:shd w:val="clear" w:color="auto" w:fill="8C4A85" w:themeFill="accent4" w:themeFillShade="BF"/>
      </w:tcPr>
    </w:tblStylePr>
  </w:style>
  <w:style w:type="table" w:styleId="DarkList-Accent5">
    <w:name w:val="Dark List Accent 5"/>
    <w:basedOn w:val="TableNormal"/>
    <w:uiPriority w:val="70"/>
    <w:semiHidden/>
    <w:unhideWhenUsed/>
    <w:rsid w:val="00CF26C4"/>
    <w:pPr>
      <w:spacing w:after="0"/>
    </w:pPr>
    <w:rPr>
      <w:rFonts w:eastAsiaTheme="minorHAnsi" w:cs="Arial"/>
      <w:color w:val="FFFFFF" w:themeColor="background1"/>
      <w:sz w:val="18"/>
      <w:szCs w:val="18"/>
    </w:rPr>
    <w:tblPr>
      <w:tblStyleRowBandSize w:val="1"/>
      <w:tblStyleColBandSize w:val="1"/>
    </w:tblPr>
    <w:tcPr>
      <w:shd w:val="clear" w:color="auto" w:fill="E7A2C8"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1A1919" w:themeFill="text1"/>
      </w:tcPr>
    </w:tblStylePr>
    <w:tblStylePr w:type="lastRow">
      <w:tblPr/>
      <w:tcPr>
        <w:tcBorders>
          <w:top w:val="single" w:sz="18" w:space="0" w:color="FFFFFF" w:themeColor="background1"/>
          <w:left w:val="nil"/>
          <w:bottom w:val="nil"/>
          <w:right w:val="nil"/>
          <w:insideH w:val="nil"/>
          <w:insideV w:val="nil"/>
        </w:tcBorders>
        <w:shd w:val="clear" w:color="auto" w:fill="9B2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D25399"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D25399" w:themeFill="accent5" w:themeFillShade="BF"/>
      </w:tcPr>
    </w:tblStylePr>
    <w:tblStylePr w:type="band1Vert">
      <w:tblPr/>
      <w:tcPr>
        <w:tcBorders>
          <w:top w:val="nil"/>
          <w:left w:val="nil"/>
          <w:bottom w:val="nil"/>
          <w:right w:val="nil"/>
          <w:insideH w:val="nil"/>
          <w:insideV w:val="nil"/>
        </w:tcBorders>
        <w:shd w:val="clear" w:color="auto" w:fill="D25399" w:themeFill="accent5" w:themeFillShade="BF"/>
      </w:tcPr>
    </w:tblStylePr>
    <w:tblStylePr w:type="band1Horz">
      <w:tblPr/>
      <w:tcPr>
        <w:tcBorders>
          <w:top w:val="nil"/>
          <w:left w:val="nil"/>
          <w:bottom w:val="nil"/>
          <w:right w:val="nil"/>
          <w:insideH w:val="nil"/>
          <w:insideV w:val="nil"/>
        </w:tcBorders>
        <w:shd w:val="clear" w:color="auto" w:fill="D25399" w:themeFill="accent5" w:themeFillShade="BF"/>
      </w:tcPr>
    </w:tblStylePr>
  </w:style>
  <w:style w:type="table" w:styleId="DarkList-Accent6">
    <w:name w:val="Dark List Accent 6"/>
    <w:basedOn w:val="TableNormal"/>
    <w:uiPriority w:val="70"/>
    <w:semiHidden/>
    <w:unhideWhenUsed/>
    <w:rsid w:val="00CF26C4"/>
    <w:pPr>
      <w:spacing w:after="0"/>
    </w:pPr>
    <w:rPr>
      <w:rFonts w:eastAsiaTheme="minorHAnsi" w:cs="Arial"/>
      <w:color w:val="FFFFFF" w:themeColor="background1"/>
      <w:sz w:val="18"/>
      <w:szCs w:val="18"/>
    </w:rPr>
    <w:tblPr>
      <w:tblStyleRowBandSize w:val="1"/>
      <w:tblStyleColBandSize w:val="1"/>
    </w:tblPr>
    <w:tcPr>
      <w:shd w:val="clear" w:color="auto" w:fill="9CD2F4"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1A1919" w:themeFill="text1"/>
      </w:tcPr>
    </w:tblStylePr>
    <w:tblStylePr w:type="lastRow">
      <w:tblPr/>
      <w:tcPr>
        <w:tcBorders>
          <w:top w:val="single" w:sz="18" w:space="0" w:color="FFFFFF" w:themeColor="background1"/>
          <w:left w:val="nil"/>
          <w:bottom w:val="nil"/>
          <w:right w:val="nil"/>
          <w:insideH w:val="nil"/>
          <w:insideV w:val="nil"/>
        </w:tcBorders>
        <w:shd w:val="clear" w:color="auto" w:fill="1475B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41A8E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41A8EA" w:themeFill="accent6" w:themeFillShade="BF"/>
      </w:tcPr>
    </w:tblStylePr>
    <w:tblStylePr w:type="band1Vert">
      <w:tblPr/>
      <w:tcPr>
        <w:tcBorders>
          <w:top w:val="nil"/>
          <w:left w:val="nil"/>
          <w:bottom w:val="nil"/>
          <w:right w:val="nil"/>
          <w:insideH w:val="nil"/>
          <w:insideV w:val="nil"/>
        </w:tcBorders>
        <w:shd w:val="clear" w:color="auto" w:fill="41A8EA" w:themeFill="accent6" w:themeFillShade="BF"/>
      </w:tcPr>
    </w:tblStylePr>
    <w:tblStylePr w:type="band1Horz">
      <w:tblPr/>
      <w:tcPr>
        <w:tcBorders>
          <w:top w:val="nil"/>
          <w:left w:val="nil"/>
          <w:bottom w:val="nil"/>
          <w:right w:val="nil"/>
          <w:insideH w:val="nil"/>
          <w:insideV w:val="nil"/>
        </w:tcBorders>
        <w:shd w:val="clear" w:color="auto" w:fill="41A8EA" w:themeFill="accent6" w:themeFillShade="BF"/>
      </w:tcPr>
    </w:tblStylePr>
  </w:style>
  <w:style w:type="paragraph" w:styleId="Date">
    <w:name w:val="Date"/>
    <w:basedOn w:val="Normal"/>
    <w:next w:val="Normal"/>
    <w:link w:val="DateChar"/>
    <w:uiPriority w:val="99"/>
    <w:semiHidden/>
    <w:rsid w:val="00CF26C4"/>
  </w:style>
  <w:style w:type="character" w:customStyle="1" w:styleId="DateChar">
    <w:name w:val="Date Char"/>
    <w:basedOn w:val="DefaultParagraphFont"/>
    <w:link w:val="Date"/>
    <w:uiPriority w:val="99"/>
    <w:semiHidden/>
    <w:rsid w:val="00CF26C4"/>
    <w:rPr>
      <w:lang w:val="en-GB"/>
    </w:rPr>
  </w:style>
  <w:style w:type="paragraph" w:customStyle="1" w:styleId="DocumentHeading">
    <w:name w:val="Document Heading"/>
    <w:basedOn w:val="Heading1"/>
    <w:uiPriority w:val="99"/>
    <w:semiHidden/>
    <w:rsid w:val="00CF26C4"/>
    <w:pPr>
      <w:numPr>
        <w:numId w:val="0"/>
      </w:numPr>
      <w:spacing w:after="260" w:line="300" w:lineRule="atLeast"/>
      <w:ind w:left="851" w:hanging="851"/>
    </w:pPr>
    <w:rPr>
      <w:rFonts w:ascii="Arial" w:hAnsi="Arial"/>
    </w:rPr>
  </w:style>
  <w:style w:type="paragraph" w:styleId="DocumentMap">
    <w:name w:val="Document Map"/>
    <w:basedOn w:val="Normal"/>
    <w:link w:val="DocumentMapChar"/>
    <w:uiPriority w:val="99"/>
    <w:semiHidden/>
    <w:rsid w:val="00CF26C4"/>
    <w:rPr>
      <w:rFonts w:cs="Arial"/>
      <w:sz w:val="16"/>
      <w:szCs w:val="16"/>
    </w:rPr>
  </w:style>
  <w:style w:type="character" w:customStyle="1" w:styleId="DocumentMapChar">
    <w:name w:val="Document Map Char"/>
    <w:basedOn w:val="DefaultParagraphFont"/>
    <w:link w:val="DocumentMap"/>
    <w:uiPriority w:val="99"/>
    <w:semiHidden/>
    <w:rsid w:val="00CF26C4"/>
    <w:rPr>
      <w:rFonts w:cs="Arial"/>
      <w:sz w:val="16"/>
      <w:szCs w:val="16"/>
      <w:lang w:val="en-GB"/>
    </w:rPr>
  </w:style>
  <w:style w:type="paragraph" w:styleId="Title">
    <w:name w:val="Title"/>
    <w:basedOn w:val="Normal"/>
    <w:next w:val="Normal"/>
    <w:link w:val="TitleChar"/>
    <w:uiPriority w:val="19"/>
    <w:semiHidden/>
    <w:rsid w:val="00CF26C4"/>
    <w:pPr>
      <w:spacing w:before="220" w:after="220" w:line="840" w:lineRule="atLeast"/>
      <w:contextualSpacing/>
    </w:pPr>
    <w:rPr>
      <w:rFonts w:eastAsiaTheme="majorEastAsia" w:cs="Arial"/>
      <w:caps/>
      <w:color w:val="auto"/>
      <w:spacing w:val="5"/>
      <w:kern w:val="28"/>
      <w:sz w:val="84"/>
      <w:szCs w:val="52"/>
    </w:rPr>
  </w:style>
  <w:style w:type="character" w:customStyle="1" w:styleId="TitleChar">
    <w:name w:val="Title Char"/>
    <w:basedOn w:val="DefaultParagraphFont"/>
    <w:link w:val="Title"/>
    <w:uiPriority w:val="19"/>
    <w:rsid w:val="00CF26C4"/>
    <w:rPr>
      <w:rFonts w:eastAsiaTheme="majorEastAsia" w:cs="Arial"/>
      <w:caps/>
      <w:color w:val="auto"/>
      <w:spacing w:val="5"/>
      <w:kern w:val="28"/>
      <w:sz w:val="84"/>
      <w:szCs w:val="52"/>
      <w:lang w:val="en-GB"/>
    </w:rPr>
  </w:style>
  <w:style w:type="paragraph" w:customStyle="1" w:styleId="DocumentName">
    <w:name w:val="Document Name"/>
    <w:basedOn w:val="Title"/>
    <w:uiPriority w:val="99"/>
    <w:semiHidden/>
    <w:rsid w:val="00CF26C4"/>
    <w:pPr>
      <w:spacing w:line="360" w:lineRule="atLeast"/>
    </w:pPr>
    <w:rPr>
      <w:caps w:val="0"/>
      <w:sz w:val="28"/>
    </w:rPr>
  </w:style>
  <w:style w:type="paragraph" w:styleId="E-mailSignature">
    <w:name w:val="E-mail Signature"/>
    <w:basedOn w:val="Normal"/>
    <w:link w:val="E-mailSignatureChar"/>
    <w:uiPriority w:val="99"/>
    <w:semiHidden/>
    <w:rsid w:val="00CF26C4"/>
  </w:style>
  <w:style w:type="character" w:customStyle="1" w:styleId="E-mailSignatureChar">
    <w:name w:val="E-mail Signature Char"/>
    <w:basedOn w:val="DefaultParagraphFont"/>
    <w:link w:val="E-mailSignature"/>
    <w:uiPriority w:val="99"/>
    <w:semiHidden/>
    <w:rsid w:val="00CF26C4"/>
    <w:rPr>
      <w:lang w:val="en-GB"/>
    </w:rPr>
  </w:style>
  <w:style w:type="character" w:styleId="Emphasis">
    <w:name w:val="Emphasis"/>
    <w:basedOn w:val="DefaultParagraphFont"/>
    <w:uiPriority w:val="19"/>
    <w:semiHidden/>
    <w:rsid w:val="00CF26C4"/>
    <w:rPr>
      <w:i/>
      <w:iCs/>
    </w:rPr>
  </w:style>
  <w:style w:type="character" w:styleId="EndnoteReference">
    <w:name w:val="endnote reference"/>
    <w:basedOn w:val="DefaultParagraphFont"/>
    <w:uiPriority w:val="21"/>
    <w:semiHidden/>
    <w:rsid w:val="00CF26C4"/>
    <w:rPr>
      <w:vertAlign w:val="superscript"/>
    </w:rPr>
  </w:style>
  <w:style w:type="paragraph" w:styleId="EndnoteText">
    <w:name w:val="endnote text"/>
    <w:basedOn w:val="Normal"/>
    <w:link w:val="EndnoteTextChar"/>
    <w:uiPriority w:val="21"/>
    <w:semiHidden/>
    <w:rsid w:val="00CF26C4"/>
    <w:pPr>
      <w:spacing w:after="120" w:line="240" w:lineRule="atLeast"/>
      <w:ind w:left="85" w:hanging="85"/>
    </w:pPr>
    <w:rPr>
      <w:sz w:val="16"/>
    </w:rPr>
  </w:style>
  <w:style w:type="character" w:customStyle="1" w:styleId="EndnoteTextChar">
    <w:name w:val="Endnote Text Char"/>
    <w:basedOn w:val="DefaultParagraphFont"/>
    <w:link w:val="EndnoteText"/>
    <w:uiPriority w:val="21"/>
    <w:semiHidden/>
    <w:rsid w:val="00CF26C4"/>
    <w:rPr>
      <w:sz w:val="16"/>
      <w:lang w:val="en-GB"/>
    </w:rPr>
  </w:style>
  <w:style w:type="paragraph" w:styleId="EnvelopeAddress">
    <w:name w:val="envelope address"/>
    <w:basedOn w:val="Normal"/>
    <w:uiPriority w:val="99"/>
    <w:semiHidden/>
    <w:rsid w:val="00CF26C4"/>
    <w:pPr>
      <w:framePr w:w="7920" w:h="1980" w:hRule="exact" w:hSpace="141"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CF26C4"/>
    <w:rPr>
      <w:rFonts w:asciiTheme="majorHAnsi" w:eastAsiaTheme="majorEastAsia" w:hAnsiTheme="majorHAnsi" w:cstheme="majorBidi"/>
    </w:rPr>
  </w:style>
  <w:style w:type="character" w:styleId="FollowedHyperlink">
    <w:name w:val="FollowedHyperlink"/>
    <w:basedOn w:val="DefaultParagraphFont"/>
    <w:uiPriority w:val="21"/>
    <w:semiHidden/>
    <w:rsid w:val="00CF26C4"/>
    <w:rPr>
      <w:color w:val="B26DAB" w:themeColor="followedHyperlink"/>
      <w:u w:val="single"/>
    </w:rPr>
  </w:style>
  <w:style w:type="paragraph" w:styleId="Footer">
    <w:name w:val="footer"/>
    <w:basedOn w:val="Normal"/>
    <w:link w:val="FooterChar"/>
    <w:uiPriority w:val="99"/>
    <w:rsid w:val="00CF26C4"/>
    <w:pPr>
      <w:tabs>
        <w:tab w:val="center" w:pos="4513"/>
        <w:tab w:val="right" w:pos="9026"/>
      </w:tabs>
      <w:spacing w:after="0" w:line="280" w:lineRule="exact"/>
    </w:pPr>
    <w:rPr>
      <w:rFonts w:eastAsia="Times New Roman" w:cs="Courier New"/>
    </w:rPr>
  </w:style>
  <w:style w:type="character" w:customStyle="1" w:styleId="FooterChar">
    <w:name w:val="Footer Char"/>
    <w:basedOn w:val="DefaultParagraphFont"/>
    <w:link w:val="Footer"/>
    <w:uiPriority w:val="99"/>
    <w:rsid w:val="00CF26C4"/>
    <w:rPr>
      <w:rFonts w:eastAsia="Times New Roman" w:cs="Courier New"/>
      <w:lang w:val="en-GB"/>
    </w:rPr>
  </w:style>
  <w:style w:type="character" w:styleId="FootnoteReference">
    <w:name w:val="footnote reference"/>
    <w:basedOn w:val="DefaultParagraphFont"/>
    <w:uiPriority w:val="7"/>
    <w:semiHidden/>
    <w:rsid w:val="00603E09"/>
    <w:rPr>
      <w:color w:val="808080" w:themeColor="background1" w:themeShade="80"/>
      <w:sz w:val="20"/>
      <w:vertAlign w:val="baseline"/>
    </w:rPr>
  </w:style>
  <w:style w:type="paragraph" w:styleId="FootnoteText">
    <w:name w:val="footnote text"/>
    <w:basedOn w:val="Normal"/>
    <w:link w:val="FootnoteTextChar"/>
    <w:uiPriority w:val="7"/>
    <w:semiHidden/>
    <w:rsid w:val="00F74161"/>
    <w:pPr>
      <w:spacing w:after="120" w:line="240" w:lineRule="atLeast"/>
      <w:ind w:left="284" w:hanging="284"/>
    </w:pPr>
    <w:rPr>
      <w:rFonts w:eastAsia="Times New Roman" w:cs="Courier New"/>
    </w:rPr>
  </w:style>
  <w:style w:type="character" w:customStyle="1" w:styleId="FootnoteTextChar">
    <w:name w:val="Footnote Text Char"/>
    <w:basedOn w:val="DefaultParagraphFont"/>
    <w:link w:val="FootnoteText"/>
    <w:uiPriority w:val="7"/>
    <w:semiHidden/>
    <w:rsid w:val="00F74161"/>
    <w:rPr>
      <w:rFonts w:eastAsia="Times New Roman" w:cs="Courier New"/>
      <w:lang w:val="en-GB"/>
    </w:rPr>
  </w:style>
  <w:style w:type="table" w:styleId="GridTable1Light">
    <w:name w:val="Grid Table 1 Light"/>
    <w:basedOn w:val="TableNormal"/>
    <w:uiPriority w:val="46"/>
    <w:rsid w:val="00CF26C4"/>
    <w:pPr>
      <w:spacing w:after="0"/>
    </w:pPr>
    <w:rPr>
      <w:rFonts w:eastAsiaTheme="minorHAnsi" w:cs="Arial"/>
      <w:sz w:val="18"/>
      <w:szCs w:val="18"/>
    </w:rPr>
    <w:tblPr>
      <w:tblStyleRowBandSize w:val="1"/>
      <w:tblStyleColBandSize w:val="1"/>
      <w:tblBorders>
        <w:top w:val="single" w:sz="4" w:space="0" w:color="A5A1A1" w:themeColor="text1" w:themeTint="66"/>
        <w:left w:val="single" w:sz="4" w:space="0" w:color="A5A1A1" w:themeColor="text1" w:themeTint="66"/>
        <w:bottom w:val="single" w:sz="4" w:space="0" w:color="A5A1A1" w:themeColor="text1" w:themeTint="66"/>
        <w:right w:val="single" w:sz="4" w:space="0" w:color="A5A1A1" w:themeColor="text1" w:themeTint="66"/>
        <w:insideH w:val="single" w:sz="4" w:space="0" w:color="A5A1A1" w:themeColor="text1" w:themeTint="66"/>
        <w:insideV w:val="single" w:sz="4" w:space="0" w:color="A5A1A1" w:themeColor="text1" w:themeTint="66"/>
      </w:tblBorders>
    </w:tblPr>
    <w:tblStylePr w:type="firstRow">
      <w:rPr>
        <w:b/>
        <w:bCs/>
      </w:rPr>
      <w:tblPr/>
      <w:tcPr>
        <w:tcBorders>
          <w:bottom w:val="single" w:sz="12" w:space="0" w:color="777373" w:themeColor="text1" w:themeTint="99"/>
        </w:tcBorders>
      </w:tcPr>
    </w:tblStylePr>
    <w:tblStylePr w:type="lastRow">
      <w:rPr>
        <w:b/>
        <w:bCs/>
      </w:rPr>
      <w:tblPr/>
      <w:tcPr>
        <w:tcBorders>
          <w:top w:val="double" w:sz="2" w:space="0" w:color="777373"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CF26C4"/>
    <w:pPr>
      <w:spacing w:after="0"/>
    </w:pPr>
    <w:rPr>
      <w:rFonts w:eastAsiaTheme="minorHAnsi" w:cs="Arial"/>
      <w:sz w:val="18"/>
      <w:szCs w:val="18"/>
    </w:rPr>
    <w:tblPr>
      <w:tblStyleRowBandSize w:val="1"/>
      <w:tblStyleColBandSize w:val="1"/>
      <w:tblBorders>
        <w:top w:val="single" w:sz="4" w:space="0" w:color="C2E5E1" w:themeColor="accent1" w:themeTint="66"/>
        <w:left w:val="single" w:sz="4" w:space="0" w:color="C2E5E1" w:themeColor="accent1" w:themeTint="66"/>
        <w:bottom w:val="single" w:sz="4" w:space="0" w:color="C2E5E1" w:themeColor="accent1" w:themeTint="66"/>
        <w:right w:val="single" w:sz="4" w:space="0" w:color="C2E5E1" w:themeColor="accent1" w:themeTint="66"/>
        <w:insideH w:val="single" w:sz="4" w:space="0" w:color="C2E5E1" w:themeColor="accent1" w:themeTint="66"/>
        <w:insideV w:val="single" w:sz="4" w:space="0" w:color="C2E5E1" w:themeColor="accent1" w:themeTint="66"/>
      </w:tblBorders>
    </w:tblPr>
    <w:tblStylePr w:type="firstRow">
      <w:rPr>
        <w:b/>
        <w:bCs/>
      </w:rPr>
      <w:tblPr/>
      <w:tcPr>
        <w:tcBorders>
          <w:bottom w:val="single" w:sz="12" w:space="0" w:color="A4D9D2" w:themeColor="accent1" w:themeTint="99"/>
        </w:tcBorders>
      </w:tcPr>
    </w:tblStylePr>
    <w:tblStylePr w:type="lastRow">
      <w:rPr>
        <w:b/>
        <w:bCs/>
      </w:rPr>
      <w:tblPr/>
      <w:tcPr>
        <w:tcBorders>
          <w:top w:val="double" w:sz="2" w:space="0" w:color="A4D9D2"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CF26C4"/>
    <w:pPr>
      <w:spacing w:after="0"/>
    </w:pPr>
    <w:rPr>
      <w:rFonts w:eastAsiaTheme="minorHAnsi" w:cs="Arial"/>
      <w:sz w:val="18"/>
      <w:szCs w:val="18"/>
    </w:rPr>
    <w:tblPr>
      <w:tblStyleRowBandSize w:val="1"/>
      <w:tblStyleColBandSize w:val="1"/>
      <w:tblBorders>
        <w:top w:val="single" w:sz="4" w:space="0" w:color="C2DDF2" w:themeColor="accent2" w:themeTint="66"/>
        <w:left w:val="single" w:sz="4" w:space="0" w:color="C2DDF2" w:themeColor="accent2" w:themeTint="66"/>
        <w:bottom w:val="single" w:sz="4" w:space="0" w:color="C2DDF2" w:themeColor="accent2" w:themeTint="66"/>
        <w:right w:val="single" w:sz="4" w:space="0" w:color="C2DDF2" w:themeColor="accent2" w:themeTint="66"/>
        <w:insideH w:val="single" w:sz="4" w:space="0" w:color="C2DDF2" w:themeColor="accent2" w:themeTint="66"/>
        <w:insideV w:val="single" w:sz="4" w:space="0" w:color="C2DDF2" w:themeColor="accent2" w:themeTint="66"/>
      </w:tblBorders>
    </w:tblPr>
    <w:tblStylePr w:type="firstRow">
      <w:rPr>
        <w:b/>
        <w:bCs/>
      </w:rPr>
      <w:tblPr/>
      <w:tcPr>
        <w:tcBorders>
          <w:bottom w:val="single" w:sz="12" w:space="0" w:color="A4CCEB" w:themeColor="accent2" w:themeTint="99"/>
        </w:tcBorders>
      </w:tcPr>
    </w:tblStylePr>
    <w:tblStylePr w:type="lastRow">
      <w:rPr>
        <w:b/>
        <w:bCs/>
      </w:rPr>
      <w:tblPr/>
      <w:tcPr>
        <w:tcBorders>
          <w:top w:val="double" w:sz="2" w:space="0" w:color="A4CCEB"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CF26C4"/>
    <w:pPr>
      <w:spacing w:after="0"/>
    </w:pPr>
    <w:rPr>
      <w:rFonts w:eastAsiaTheme="minorHAnsi" w:cs="Arial"/>
      <w:sz w:val="18"/>
      <w:szCs w:val="18"/>
    </w:rPr>
    <w:tblPr>
      <w:tblStyleRowBandSize w:val="1"/>
      <w:tblStyleColBandSize w:val="1"/>
      <w:tblBorders>
        <w:top w:val="single" w:sz="4" w:space="0" w:color="C0C3DF" w:themeColor="accent3" w:themeTint="66"/>
        <w:left w:val="single" w:sz="4" w:space="0" w:color="C0C3DF" w:themeColor="accent3" w:themeTint="66"/>
        <w:bottom w:val="single" w:sz="4" w:space="0" w:color="C0C3DF" w:themeColor="accent3" w:themeTint="66"/>
        <w:right w:val="single" w:sz="4" w:space="0" w:color="C0C3DF" w:themeColor="accent3" w:themeTint="66"/>
        <w:insideH w:val="single" w:sz="4" w:space="0" w:color="C0C3DF" w:themeColor="accent3" w:themeTint="66"/>
        <w:insideV w:val="single" w:sz="4" w:space="0" w:color="C0C3DF" w:themeColor="accent3" w:themeTint="66"/>
      </w:tblBorders>
    </w:tblPr>
    <w:tblStylePr w:type="firstRow">
      <w:rPr>
        <w:b/>
        <w:bCs/>
      </w:rPr>
      <w:tblPr/>
      <w:tcPr>
        <w:tcBorders>
          <w:bottom w:val="single" w:sz="12" w:space="0" w:color="A1A5CF" w:themeColor="accent3" w:themeTint="99"/>
        </w:tcBorders>
      </w:tcPr>
    </w:tblStylePr>
    <w:tblStylePr w:type="lastRow">
      <w:rPr>
        <w:b/>
        <w:bCs/>
      </w:rPr>
      <w:tblPr/>
      <w:tcPr>
        <w:tcBorders>
          <w:top w:val="double" w:sz="2" w:space="0" w:color="A1A5C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CF26C4"/>
    <w:pPr>
      <w:spacing w:after="0"/>
    </w:pPr>
    <w:rPr>
      <w:rFonts w:eastAsiaTheme="minorHAnsi" w:cs="Arial"/>
      <w:sz w:val="18"/>
      <w:szCs w:val="18"/>
    </w:rPr>
    <w:tblPr>
      <w:tblStyleRowBandSize w:val="1"/>
      <w:tblStyleColBandSize w:val="1"/>
      <w:tblBorders>
        <w:top w:val="single" w:sz="4" w:space="0" w:color="E0C4DD" w:themeColor="accent4" w:themeTint="66"/>
        <w:left w:val="single" w:sz="4" w:space="0" w:color="E0C4DD" w:themeColor="accent4" w:themeTint="66"/>
        <w:bottom w:val="single" w:sz="4" w:space="0" w:color="E0C4DD" w:themeColor="accent4" w:themeTint="66"/>
        <w:right w:val="single" w:sz="4" w:space="0" w:color="E0C4DD" w:themeColor="accent4" w:themeTint="66"/>
        <w:insideH w:val="single" w:sz="4" w:space="0" w:color="E0C4DD" w:themeColor="accent4" w:themeTint="66"/>
        <w:insideV w:val="single" w:sz="4" w:space="0" w:color="E0C4DD" w:themeColor="accent4" w:themeTint="66"/>
      </w:tblBorders>
    </w:tblPr>
    <w:tblStylePr w:type="firstRow">
      <w:rPr>
        <w:b/>
        <w:bCs/>
      </w:rPr>
      <w:tblPr/>
      <w:tcPr>
        <w:tcBorders>
          <w:bottom w:val="single" w:sz="12" w:space="0" w:color="D0A7CC" w:themeColor="accent4" w:themeTint="99"/>
        </w:tcBorders>
      </w:tcPr>
    </w:tblStylePr>
    <w:tblStylePr w:type="lastRow">
      <w:rPr>
        <w:b/>
        <w:bCs/>
      </w:rPr>
      <w:tblPr/>
      <w:tcPr>
        <w:tcBorders>
          <w:top w:val="double" w:sz="2" w:space="0" w:color="D0A7CC"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CF26C4"/>
    <w:pPr>
      <w:spacing w:after="0"/>
    </w:pPr>
    <w:rPr>
      <w:rFonts w:eastAsiaTheme="minorHAnsi" w:cs="Arial"/>
      <w:sz w:val="18"/>
      <w:szCs w:val="18"/>
    </w:rPr>
    <w:tblPr>
      <w:tblStyleRowBandSize w:val="1"/>
      <w:tblStyleColBandSize w:val="1"/>
      <w:tblBorders>
        <w:top w:val="single" w:sz="4" w:space="0" w:color="F5D9E8" w:themeColor="accent5" w:themeTint="66"/>
        <w:left w:val="single" w:sz="4" w:space="0" w:color="F5D9E8" w:themeColor="accent5" w:themeTint="66"/>
        <w:bottom w:val="single" w:sz="4" w:space="0" w:color="F5D9E8" w:themeColor="accent5" w:themeTint="66"/>
        <w:right w:val="single" w:sz="4" w:space="0" w:color="F5D9E8" w:themeColor="accent5" w:themeTint="66"/>
        <w:insideH w:val="single" w:sz="4" w:space="0" w:color="F5D9E8" w:themeColor="accent5" w:themeTint="66"/>
        <w:insideV w:val="single" w:sz="4" w:space="0" w:color="F5D9E8" w:themeColor="accent5" w:themeTint="66"/>
      </w:tblBorders>
    </w:tblPr>
    <w:tblStylePr w:type="firstRow">
      <w:rPr>
        <w:b/>
        <w:bCs/>
      </w:rPr>
      <w:tblPr/>
      <w:tcPr>
        <w:tcBorders>
          <w:bottom w:val="single" w:sz="12" w:space="0" w:color="F0C7DD" w:themeColor="accent5" w:themeTint="99"/>
        </w:tcBorders>
      </w:tcPr>
    </w:tblStylePr>
    <w:tblStylePr w:type="lastRow">
      <w:rPr>
        <w:b/>
        <w:bCs/>
      </w:rPr>
      <w:tblPr/>
      <w:tcPr>
        <w:tcBorders>
          <w:top w:val="double" w:sz="2" w:space="0" w:color="F0C7DD"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CF26C4"/>
    <w:pPr>
      <w:spacing w:after="0"/>
    </w:pPr>
    <w:rPr>
      <w:rFonts w:eastAsiaTheme="minorHAnsi" w:cs="Arial"/>
      <w:sz w:val="18"/>
      <w:szCs w:val="18"/>
    </w:rPr>
    <w:tblPr>
      <w:tblStyleRowBandSize w:val="1"/>
      <w:tblStyleColBandSize w:val="1"/>
      <w:tblBorders>
        <w:top w:val="single" w:sz="4" w:space="0" w:color="D7ECFA" w:themeColor="accent6" w:themeTint="66"/>
        <w:left w:val="single" w:sz="4" w:space="0" w:color="D7ECFA" w:themeColor="accent6" w:themeTint="66"/>
        <w:bottom w:val="single" w:sz="4" w:space="0" w:color="D7ECFA" w:themeColor="accent6" w:themeTint="66"/>
        <w:right w:val="single" w:sz="4" w:space="0" w:color="D7ECFA" w:themeColor="accent6" w:themeTint="66"/>
        <w:insideH w:val="single" w:sz="4" w:space="0" w:color="D7ECFA" w:themeColor="accent6" w:themeTint="66"/>
        <w:insideV w:val="single" w:sz="4" w:space="0" w:color="D7ECFA" w:themeColor="accent6" w:themeTint="66"/>
      </w:tblBorders>
    </w:tblPr>
    <w:tblStylePr w:type="firstRow">
      <w:rPr>
        <w:b/>
        <w:bCs/>
      </w:rPr>
      <w:tblPr/>
      <w:tcPr>
        <w:tcBorders>
          <w:bottom w:val="single" w:sz="12" w:space="0" w:color="C3E3F8" w:themeColor="accent6" w:themeTint="99"/>
        </w:tcBorders>
      </w:tcPr>
    </w:tblStylePr>
    <w:tblStylePr w:type="lastRow">
      <w:rPr>
        <w:b/>
        <w:bCs/>
      </w:rPr>
      <w:tblPr/>
      <w:tcPr>
        <w:tcBorders>
          <w:top w:val="double" w:sz="2" w:space="0" w:color="C3E3F8"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CF26C4"/>
    <w:pPr>
      <w:spacing w:after="0"/>
    </w:pPr>
    <w:rPr>
      <w:rFonts w:eastAsiaTheme="minorHAnsi" w:cs="Arial"/>
      <w:sz w:val="18"/>
      <w:szCs w:val="18"/>
    </w:rPr>
    <w:tblPr>
      <w:tblStyleRowBandSize w:val="1"/>
      <w:tblStyleColBandSize w:val="1"/>
      <w:tblBorders>
        <w:top w:val="single" w:sz="2" w:space="0" w:color="777373" w:themeColor="text1" w:themeTint="99"/>
        <w:bottom w:val="single" w:sz="2" w:space="0" w:color="777373" w:themeColor="text1" w:themeTint="99"/>
        <w:insideH w:val="single" w:sz="2" w:space="0" w:color="777373" w:themeColor="text1" w:themeTint="99"/>
        <w:insideV w:val="single" w:sz="2" w:space="0" w:color="777373" w:themeColor="text1" w:themeTint="99"/>
      </w:tblBorders>
    </w:tblPr>
    <w:tblStylePr w:type="firstRow">
      <w:rPr>
        <w:b/>
        <w:bCs/>
      </w:rPr>
      <w:tblPr/>
      <w:tcPr>
        <w:tcBorders>
          <w:top w:val="nil"/>
          <w:bottom w:val="single" w:sz="12" w:space="0" w:color="777373" w:themeColor="text1" w:themeTint="99"/>
          <w:insideH w:val="nil"/>
          <w:insideV w:val="nil"/>
        </w:tcBorders>
        <w:shd w:val="clear" w:color="auto" w:fill="FFFFFF" w:themeFill="background1"/>
      </w:tcPr>
    </w:tblStylePr>
    <w:tblStylePr w:type="lastRow">
      <w:rPr>
        <w:b/>
        <w:bCs/>
      </w:rPr>
      <w:tblPr/>
      <w:tcPr>
        <w:tcBorders>
          <w:top w:val="double" w:sz="2" w:space="0" w:color="777373"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2D0D0" w:themeFill="text1" w:themeFillTint="33"/>
      </w:tcPr>
    </w:tblStylePr>
    <w:tblStylePr w:type="band1Horz">
      <w:tblPr/>
      <w:tcPr>
        <w:shd w:val="clear" w:color="auto" w:fill="D2D0D0" w:themeFill="text1" w:themeFillTint="33"/>
      </w:tcPr>
    </w:tblStylePr>
  </w:style>
  <w:style w:type="table" w:styleId="GridTable2-Accent1">
    <w:name w:val="Grid Table 2 Accent 1"/>
    <w:basedOn w:val="TableNormal"/>
    <w:uiPriority w:val="47"/>
    <w:rsid w:val="00CF26C4"/>
    <w:pPr>
      <w:spacing w:after="0"/>
    </w:pPr>
    <w:rPr>
      <w:rFonts w:eastAsiaTheme="minorHAnsi" w:cs="Arial"/>
      <w:sz w:val="18"/>
      <w:szCs w:val="18"/>
    </w:rPr>
    <w:tblPr>
      <w:tblStyleRowBandSize w:val="1"/>
      <w:tblStyleColBandSize w:val="1"/>
      <w:tblBorders>
        <w:top w:val="single" w:sz="2" w:space="0" w:color="A4D9D2" w:themeColor="accent1" w:themeTint="99"/>
        <w:bottom w:val="single" w:sz="2" w:space="0" w:color="A4D9D2" w:themeColor="accent1" w:themeTint="99"/>
        <w:insideH w:val="single" w:sz="2" w:space="0" w:color="A4D9D2" w:themeColor="accent1" w:themeTint="99"/>
        <w:insideV w:val="single" w:sz="2" w:space="0" w:color="A4D9D2" w:themeColor="accent1" w:themeTint="99"/>
      </w:tblBorders>
    </w:tblPr>
    <w:tblStylePr w:type="firstRow">
      <w:rPr>
        <w:b/>
        <w:bCs/>
      </w:rPr>
      <w:tblPr/>
      <w:tcPr>
        <w:tcBorders>
          <w:top w:val="nil"/>
          <w:bottom w:val="single" w:sz="12" w:space="0" w:color="A4D9D2" w:themeColor="accent1" w:themeTint="99"/>
          <w:insideH w:val="nil"/>
          <w:insideV w:val="nil"/>
        </w:tcBorders>
        <w:shd w:val="clear" w:color="auto" w:fill="FFFFFF" w:themeFill="background1"/>
      </w:tcPr>
    </w:tblStylePr>
    <w:tblStylePr w:type="lastRow">
      <w:rPr>
        <w:b/>
        <w:bCs/>
      </w:rPr>
      <w:tblPr/>
      <w:tcPr>
        <w:tcBorders>
          <w:top w:val="double" w:sz="2" w:space="0" w:color="A4D9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F2F0" w:themeFill="accent1" w:themeFillTint="33"/>
      </w:tcPr>
    </w:tblStylePr>
    <w:tblStylePr w:type="band1Horz">
      <w:tblPr/>
      <w:tcPr>
        <w:shd w:val="clear" w:color="auto" w:fill="E0F2F0" w:themeFill="accent1" w:themeFillTint="33"/>
      </w:tcPr>
    </w:tblStylePr>
  </w:style>
  <w:style w:type="table" w:styleId="GridTable2-Accent2">
    <w:name w:val="Grid Table 2 Accent 2"/>
    <w:basedOn w:val="TableNormal"/>
    <w:uiPriority w:val="47"/>
    <w:rsid w:val="00CF26C4"/>
    <w:pPr>
      <w:spacing w:after="0"/>
    </w:pPr>
    <w:rPr>
      <w:rFonts w:eastAsiaTheme="minorHAnsi" w:cs="Arial"/>
      <w:sz w:val="18"/>
      <w:szCs w:val="18"/>
    </w:rPr>
    <w:tblPr>
      <w:tblStyleRowBandSize w:val="1"/>
      <w:tblStyleColBandSize w:val="1"/>
      <w:tblBorders>
        <w:top w:val="single" w:sz="2" w:space="0" w:color="A4CCEB" w:themeColor="accent2" w:themeTint="99"/>
        <w:bottom w:val="single" w:sz="2" w:space="0" w:color="A4CCEB" w:themeColor="accent2" w:themeTint="99"/>
        <w:insideH w:val="single" w:sz="2" w:space="0" w:color="A4CCEB" w:themeColor="accent2" w:themeTint="99"/>
        <w:insideV w:val="single" w:sz="2" w:space="0" w:color="A4CCEB" w:themeColor="accent2" w:themeTint="99"/>
      </w:tblBorders>
    </w:tblPr>
    <w:tblStylePr w:type="firstRow">
      <w:rPr>
        <w:b/>
        <w:bCs/>
      </w:rPr>
      <w:tblPr/>
      <w:tcPr>
        <w:tcBorders>
          <w:top w:val="nil"/>
          <w:bottom w:val="single" w:sz="12" w:space="0" w:color="A4CCEB" w:themeColor="accent2" w:themeTint="99"/>
          <w:insideH w:val="nil"/>
          <w:insideV w:val="nil"/>
        </w:tcBorders>
        <w:shd w:val="clear" w:color="auto" w:fill="FFFFFF" w:themeFill="background1"/>
      </w:tcPr>
    </w:tblStylePr>
    <w:tblStylePr w:type="lastRow">
      <w:rPr>
        <w:b/>
        <w:bCs/>
      </w:rPr>
      <w:tblPr/>
      <w:tcPr>
        <w:tcBorders>
          <w:top w:val="double" w:sz="2" w:space="0" w:color="A4CCEB"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EEF8" w:themeFill="accent2" w:themeFillTint="33"/>
      </w:tcPr>
    </w:tblStylePr>
    <w:tblStylePr w:type="band1Horz">
      <w:tblPr/>
      <w:tcPr>
        <w:shd w:val="clear" w:color="auto" w:fill="E0EEF8" w:themeFill="accent2" w:themeFillTint="33"/>
      </w:tcPr>
    </w:tblStylePr>
  </w:style>
  <w:style w:type="table" w:styleId="GridTable2-Accent3">
    <w:name w:val="Grid Table 2 Accent 3"/>
    <w:basedOn w:val="TableNormal"/>
    <w:uiPriority w:val="47"/>
    <w:rsid w:val="00CF26C4"/>
    <w:pPr>
      <w:spacing w:after="0"/>
    </w:pPr>
    <w:rPr>
      <w:rFonts w:eastAsiaTheme="minorHAnsi" w:cs="Arial"/>
      <w:sz w:val="18"/>
      <w:szCs w:val="18"/>
    </w:rPr>
    <w:tblPr>
      <w:tblStyleRowBandSize w:val="1"/>
      <w:tblStyleColBandSize w:val="1"/>
      <w:tblBorders>
        <w:top w:val="single" w:sz="2" w:space="0" w:color="A1A5CF" w:themeColor="accent3" w:themeTint="99"/>
        <w:bottom w:val="single" w:sz="2" w:space="0" w:color="A1A5CF" w:themeColor="accent3" w:themeTint="99"/>
        <w:insideH w:val="single" w:sz="2" w:space="0" w:color="A1A5CF" w:themeColor="accent3" w:themeTint="99"/>
        <w:insideV w:val="single" w:sz="2" w:space="0" w:color="A1A5CF" w:themeColor="accent3" w:themeTint="99"/>
      </w:tblBorders>
    </w:tblPr>
    <w:tblStylePr w:type="firstRow">
      <w:rPr>
        <w:b/>
        <w:bCs/>
      </w:rPr>
      <w:tblPr/>
      <w:tcPr>
        <w:tcBorders>
          <w:top w:val="nil"/>
          <w:bottom w:val="single" w:sz="12" w:space="0" w:color="A1A5CF" w:themeColor="accent3" w:themeTint="99"/>
          <w:insideH w:val="nil"/>
          <w:insideV w:val="nil"/>
        </w:tcBorders>
        <w:shd w:val="clear" w:color="auto" w:fill="FFFFFF" w:themeFill="background1"/>
      </w:tcPr>
    </w:tblStylePr>
    <w:tblStylePr w:type="lastRow">
      <w:rPr>
        <w:b/>
        <w:bCs/>
      </w:rPr>
      <w:tblPr/>
      <w:tcPr>
        <w:tcBorders>
          <w:top w:val="double" w:sz="2" w:space="0" w:color="A1A5C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1EF" w:themeFill="accent3" w:themeFillTint="33"/>
      </w:tcPr>
    </w:tblStylePr>
    <w:tblStylePr w:type="band1Horz">
      <w:tblPr/>
      <w:tcPr>
        <w:shd w:val="clear" w:color="auto" w:fill="DFE1EF" w:themeFill="accent3" w:themeFillTint="33"/>
      </w:tcPr>
    </w:tblStylePr>
  </w:style>
  <w:style w:type="table" w:styleId="GridTable2-Accent4">
    <w:name w:val="Grid Table 2 Accent 4"/>
    <w:basedOn w:val="TableNormal"/>
    <w:uiPriority w:val="47"/>
    <w:rsid w:val="00CF26C4"/>
    <w:pPr>
      <w:spacing w:after="0"/>
    </w:pPr>
    <w:rPr>
      <w:rFonts w:eastAsiaTheme="minorHAnsi" w:cs="Arial"/>
      <w:sz w:val="18"/>
      <w:szCs w:val="18"/>
    </w:rPr>
    <w:tblPr>
      <w:tblStyleRowBandSize w:val="1"/>
      <w:tblStyleColBandSize w:val="1"/>
      <w:tblBorders>
        <w:top w:val="single" w:sz="2" w:space="0" w:color="D0A7CC" w:themeColor="accent4" w:themeTint="99"/>
        <w:bottom w:val="single" w:sz="2" w:space="0" w:color="D0A7CC" w:themeColor="accent4" w:themeTint="99"/>
        <w:insideH w:val="single" w:sz="2" w:space="0" w:color="D0A7CC" w:themeColor="accent4" w:themeTint="99"/>
        <w:insideV w:val="single" w:sz="2" w:space="0" w:color="D0A7CC" w:themeColor="accent4" w:themeTint="99"/>
      </w:tblBorders>
    </w:tblPr>
    <w:tblStylePr w:type="firstRow">
      <w:rPr>
        <w:b/>
        <w:bCs/>
      </w:rPr>
      <w:tblPr/>
      <w:tcPr>
        <w:tcBorders>
          <w:top w:val="nil"/>
          <w:bottom w:val="single" w:sz="12" w:space="0" w:color="D0A7CC" w:themeColor="accent4" w:themeTint="99"/>
          <w:insideH w:val="nil"/>
          <w:insideV w:val="nil"/>
        </w:tcBorders>
        <w:shd w:val="clear" w:color="auto" w:fill="FFFFFF" w:themeFill="background1"/>
      </w:tcPr>
    </w:tblStylePr>
    <w:tblStylePr w:type="lastRow">
      <w:rPr>
        <w:b/>
        <w:bCs/>
      </w:rPr>
      <w:tblPr/>
      <w:tcPr>
        <w:tcBorders>
          <w:top w:val="double" w:sz="2" w:space="0" w:color="D0A7C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FE1EE" w:themeFill="accent4" w:themeFillTint="33"/>
      </w:tcPr>
    </w:tblStylePr>
    <w:tblStylePr w:type="band1Horz">
      <w:tblPr/>
      <w:tcPr>
        <w:shd w:val="clear" w:color="auto" w:fill="EFE1EE" w:themeFill="accent4" w:themeFillTint="33"/>
      </w:tcPr>
    </w:tblStylePr>
  </w:style>
  <w:style w:type="table" w:styleId="GridTable2-Accent5">
    <w:name w:val="Grid Table 2 Accent 5"/>
    <w:basedOn w:val="TableNormal"/>
    <w:uiPriority w:val="47"/>
    <w:rsid w:val="00CF26C4"/>
    <w:pPr>
      <w:spacing w:after="0"/>
    </w:pPr>
    <w:rPr>
      <w:rFonts w:eastAsiaTheme="minorHAnsi" w:cs="Arial"/>
      <w:sz w:val="18"/>
      <w:szCs w:val="18"/>
    </w:rPr>
    <w:tblPr>
      <w:tblStyleRowBandSize w:val="1"/>
      <w:tblStyleColBandSize w:val="1"/>
      <w:tblBorders>
        <w:top w:val="single" w:sz="2" w:space="0" w:color="F0C7DD" w:themeColor="accent5" w:themeTint="99"/>
        <w:bottom w:val="single" w:sz="2" w:space="0" w:color="F0C7DD" w:themeColor="accent5" w:themeTint="99"/>
        <w:insideH w:val="single" w:sz="2" w:space="0" w:color="F0C7DD" w:themeColor="accent5" w:themeTint="99"/>
        <w:insideV w:val="single" w:sz="2" w:space="0" w:color="F0C7DD" w:themeColor="accent5" w:themeTint="99"/>
      </w:tblBorders>
    </w:tblPr>
    <w:tblStylePr w:type="firstRow">
      <w:rPr>
        <w:b/>
        <w:bCs/>
      </w:rPr>
      <w:tblPr/>
      <w:tcPr>
        <w:tcBorders>
          <w:top w:val="nil"/>
          <w:bottom w:val="single" w:sz="12" w:space="0" w:color="F0C7DD" w:themeColor="accent5" w:themeTint="99"/>
          <w:insideH w:val="nil"/>
          <w:insideV w:val="nil"/>
        </w:tcBorders>
        <w:shd w:val="clear" w:color="auto" w:fill="FFFFFF" w:themeFill="background1"/>
      </w:tcPr>
    </w:tblStylePr>
    <w:tblStylePr w:type="lastRow">
      <w:rPr>
        <w:b/>
        <w:bCs/>
      </w:rPr>
      <w:tblPr/>
      <w:tcPr>
        <w:tcBorders>
          <w:top w:val="double" w:sz="2" w:space="0" w:color="F0C7D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ECF3" w:themeFill="accent5" w:themeFillTint="33"/>
      </w:tcPr>
    </w:tblStylePr>
    <w:tblStylePr w:type="band1Horz">
      <w:tblPr/>
      <w:tcPr>
        <w:shd w:val="clear" w:color="auto" w:fill="FAECF3" w:themeFill="accent5" w:themeFillTint="33"/>
      </w:tcPr>
    </w:tblStylePr>
  </w:style>
  <w:style w:type="table" w:styleId="GridTable2-Accent6">
    <w:name w:val="Grid Table 2 Accent 6"/>
    <w:basedOn w:val="TableNormal"/>
    <w:uiPriority w:val="47"/>
    <w:rsid w:val="00CF26C4"/>
    <w:pPr>
      <w:spacing w:after="0"/>
    </w:pPr>
    <w:rPr>
      <w:rFonts w:eastAsiaTheme="minorHAnsi" w:cs="Arial"/>
      <w:sz w:val="18"/>
      <w:szCs w:val="18"/>
    </w:rPr>
    <w:tblPr>
      <w:tblStyleRowBandSize w:val="1"/>
      <w:tblStyleColBandSize w:val="1"/>
      <w:tblBorders>
        <w:top w:val="single" w:sz="2" w:space="0" w:color="C3E3F8" w:themeColor="accent6" w:themeTint="99"/>
        <w:bottom w:val="single" w:sz="2" w:space="0" w:color="C3E3F8" w:themeColor="accent6" w:themeTint="99"/>
        <w:insideH w:val="single" w:sz="2" w:space="0" w:color="C3E3F8" w:themeColor="accent6" w:themeTint="99"/>
        <w:insideV w:val="single" w:sz="2" w:space="0" w:color="C3E3F8" w:themeColor="accent6" w:themeTint="99"/>
      </w:tblBorders>
    </w:tblPr>
    <w:tblStylePr w:type="firstRow">
      <w:rPr>
        <w:b/>
        <w:bCs/>
      </w:rPr>
      <w:tblPr/>
      <w:tcPr>
        <w:tcBorders>
          <w:top w:val="nil"/>
          <w:bottom w:val="single" w:sz="12" w:space="0" w:color="C3E3F8" w:themeColor="accent6" w:themeTint="99"/>
          <w:insideH w:val="nil"/>
          <w:insideV w:val="nil"/>
        </w:tcBorders>
        <w:shd w:val="clear" w:color="auto" w:fill="FFFFFF" w:themeFill="background1"/>
      </w:tcPr>
    </w:tblStylePr>
    <w:tblStylePr w:type="lastRow">
      <w:rPr>
        <w:b/>
        <w:bCs/>
      </w:rPr>
      <w:tblPr/>
      <w:tcPr>
        <w:tcBorders>
          <w:top w:val="double" w:sz="2" w:space="0" w:color="C3E3F8"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BF5FC" w:themeFill="accent6" w:themeFillTint="33"/>
      </w:tcPr>
    </w:tblStylePr>
    <w:tblStylePr w:type="band1Horz">
      <w:tblPr/>
      <w:tcPr>
        <w:shd w:val="clear" w:color="auto" w:fill="EBF5FC" w:themeFill="accent6" w:themeFillTint="33"/>
      </w:tcPr>
    </w:tblStylePr>
  </w:style>
  <w:style w:type="table" w:styleId="GridTable3">
    <w:name w:val="Grid Table 3"/>
    <w:basedOn w:val="TableNormal"/>
    <w:uiPriority w:val="48"/>
    <w:rsid w:val="00CF26C4"/>
    <w:pPr>
      <w:spacing w:after="0"/>
    </w:pPr>
    <w:rPr>
      <w:rFonts w:eastAsiaTheme="minorHAnsi" w:cs="Arial"/>
      <w:sz w:val="18"/>
      <w:szCs w:val="18"/>
    </w:rPr>
    <w:tblPr>
      <w:tblStyleRowBandSize w:val="1"/>
      <w:tblStyleColBandSize w:val="1"/>
      <w:tblBorders>
        <w:top w:val="single" w:sz="4" w:space="0" w:color="777373" w:themeColor="text1" w:themeTint="99"/>
        <w:left w:val="single" w:sz="4" w:space="0" w:color="777373" w:themeColor="text1" w:themeTint="99"/>
        <w:bottom w:val="single" w:sz="4" w:space="0" w:color="777373" w:themeColor="text1" w:themeTint="99"/>
        <w:right w:val="single" w:sz="4" w:space="0" w:color="777373" w:themeColor="text1" w:themeTint="99"/>
        <w:insideH w:val="single" w:sz="4" w:space="0" w:color="777373" w:themeColor="text1" w:themeTint="99"/>
        <w:insideV w:val="single" w:sz="4" w:space="0" w:color="77737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D0D0" w:themeFill="text1" w:themeFillTint="33"/>
      </w:tcPr>
    </w:tblStylePr>
    <w:tblStylePr w:type="band1Horz">
      <w:tblPr/>
      <w:tcPr>
        <w:shd w:val="clear" w:color="auto" w:fill="D2D0D0" w:themeFill="text1" w:themeFillTint="33"/>
      </w:tcPr>
    </w:tblStylePr>
    <w:tblStylePr w:type="neCell">
      <w:tblPr/>
      <w:tcPr>
        <w:tcBorders>
          <w:bottom w:val="single" w:sz="4" w:space="0" w:color="777373" w:themeColor="text1" w:themeTint="99"/>
        </w:tcBorders>
      </w:tcPr>
    </w:tblStylePr>
    <w:tblStylePr w:type="nwCell">
      <w:tblPr/>
      <w:tcPr>
        <w:tcBorders>
          <w:bottom w:val="single" w:sz="4" w:space="0" w:color="777373" w:themeColor="text1" w:themeTint="99"/>
        </w:tcBorders>
      </w:tcPr>
    </w:tblStylePr>
    <w:tblStylePr w:type="seCell">
      <w:tblPr/>
      <w:tcPr>
        <w:tcBorders>
          <w:top w:val="single" w:sz="4" w:space="0" w:color="777373" w:themeColor="text1" w:themeTint="99"/>
        </w:tcBorders>
      </w:tcPr>
    </w:tblStylePr>
    <w:tblStylePr w:type="swCell">
      <w:tblPr/>
      <w:tcPr>
        <w:tcBorders>
          <w:top w:val="single" w:sz="4" w:space="0" w:color="777373" w:themeColor="text1" w:themeTint="99"/>
        </w:tcBorders>
      </w:tcPr>
    </w:tblStylePr>
  </w:style>
  <w:style w:type="table" w:styleId="GridTable3-Accent1">
    <w:name w:val="Grid Table 3 Accent 1"/>
    <w:basedOn w:val="TableNormal"/>
    <w:uiPriority w:val="48"/>
    <w:rsid w:val="00CF26C4"/>
    <w:pPr>
      <w:spacing w:after="0"/>
    </w:pPr>
    <w:rPr>
      <w:rFonts w:eastAsiaTheme="minorHAnsi" w:cs="Arial"/>
      <w:sz w:val="18"/>
      <w:szCs w:val="18"/>
    </w:rPr>
    <w:tblPr>
      <w:tblStyleRowBandSize w:val="1"/>
      <w:tblStyleColBandSize w:val="1"/>
      <w:tblBorders>
        <w:top w:val="single" w:sz="4" w:space="0" w:color="A4D9D2" w:themeColor="accent1" w:themeTint="99"/>
        <w:left w:val="single" w:sz="4" w:space="0" w:color="A4D9D2" w:themeColor="accent1" w:themeTint="99"/>
        <w:bottom w:val="single" w:sz="4" w:space="0" w:color="A4D9D2" w:themeColor="accent1" w:themeTint="99"/>
        <w:right w:val="single" w:sz="4" w:space="0" w:color="A4D9D2" w:themeColor="accent1" w:themeTint="99"/>
        <w:insideH w:val="single" w:sz="4" w:space="0" w:color="A4D9D2" w:themeColor="accent1" w:themeTint="99"/>
        <w:insideV w:val="single" w:sz="4" w:space="0" w:color="A4D9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F2F0" w:themeFill="accent1" w:themeFillTint="33"/>
      </w:tcPr>
    </w:tblStylePr>
    <w:tblStylePr w:type="band1Horz">
      <w:tblPr/>
      <w:tcPr>
        <w:shd w:val="clear" w:color="auto" w:fill="E0F2F0" w:themeFill="accent1" w:themeFillTint="33"/>
      </w:tcPr>
    </w:tblStylePr>
    <w:tblStylePr w:type="neCell">
      <w:tblPr/>
      <w:tcPr>
        <w:tcBorders>
          <w:bottom w:val="single" w:sz="4" w:space="0" w:color="A4D9D2" w:themeColor="accent1" w:themeTint="99"/>
        </w:tcBorders>
      </w:tcPr>
    </w:tblStylePr>
    <w:tblStylePr w:type="nwCell">
      <w:tblPr/>
      <w:tcPr>
        <w:tcBorders>
          <w:bottom w:val="single" w:sz="4" w:space="0" w:color="A4D9D2" w:themeColor="accent1" w:themeTint="99"/>
        </w:tcBorders>
      </w:tcPr>
    </w:tblStylePr>
    <w:tblStylePr w:type="seCell">
      <w:tblPr/>
      <w:tcPr>
        <w:tcBorders>
          <w:top w:val="single" w:sz="4" w:space="0" w:color="A4D9D2" w:themeColor="accent1" w:themeTint="99"/>
        </w:tcBorders>
      </w:tcPr>
    </w:tblStylePr>
    <w:tblStylePr w:type="swCell">
      <w:tblPr/>
      <w:tcPr>
        <w:tcBorders>
          <w:top w:val="single" w:sz="4" w:space="0" w:color="A4D9D2" w:themeColor="accent1" w:themeTint="99"/>
        </w:tcBorders>
      </w:tcPr>
    </w:tblStylePr>
  </w:style>
  <w:style w:type="table" w:styleId="GridTable3-Accent2">
    <w:name w:val="Grid Table 3 Accent 2"/>
    <w:basedOn w:val="TableNormal"/>
    <w:uiPriority w:val="48"/>
    <w:rsid w:val="00CF26C4"/>
    <w:pPr>
      <w:spacing w:after="0"/>
    </w:pPr>
    <w:rPr>
      <w:rFonts w:eastAsiaTheme="minorHAnsi" w:cs="Arial"/>
      <w:sz w:val="18"/>
      <w:szCs w:val="18"/>
    </w:rPr>
    <w:tblPr>
      <w:tblStyleRowBandSize w:val="1"/>
      <w:tblStyleColBandSize w:val="1"/>
      <w:tblBorders>
        <w:top w:val="single" w:sz="4" w:space="0" w:color="A4CCEB" w:themeColor="accent2" w:themeTint="99"/>
        <w:left w:val="single" w:sz="4" w:space="0" w:color="A4CCEB" w:themeColor="accent2" w:themeTint="99"/>
        <w:bottom w:val="single" w:sz="4" w:space="0" w:color="A4CCEB" w:themeColor="accent2" w:themeTint="99"/>
        <w:right w:val="single" w:sz="4" w:space="0" w:color="A4CCEB" w:themeColor="accent2" w:themeTint="99"/>
        <w:insideH w:val="single" w:sz="4" w:space="0" w:color="A4CCEB" w:themeColor="accent2" w:themeTint="99"/>
        <w:insideV w:val="single" w:sz="4" w:space="0" w:color="A4CC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EF8" w:themeFill="accent2" w:themeFillTint="33"/>
      </w:tcPr>
    </w:tblStylePr>
    <w:tblStylePr w:type="band1Horz">
      <w:tblPr/>
      <w:tcPr>
        <w:shd w:val="clear" w:color="auto" w:fill="E0EEF8" w:themeFill="accent2" w:themeFillTint="33"/>
      </w:tcPr>
    </w:tblStylePr>
    <w:tblStylePr w:type="neCell">
      <w:tblPr/>
      <w:tcPr>
        <w:tcBorders>
          <w:bottom w:val="single" w:sz="4" w:space="0" w:color="A4CCEB" w:themeColor="accent2" w:themeTint="99"/>
        </w:tcBorders>
      </w:tcPr>
    </w:tblStylePr>
    <w:tblStylePr w:type="nwCell">
      <w:tblPr/>
      <w:tcPr>
        <w:tcBorders>
          <w:bottom w:val="single" w:sz="4" w:space="0" w:color="A4CCEB" w:themeColor="accent2" w:themeTint="99"/>
        </w:tcBorders>
      </w:tcPr>
    </w:tblStylePr>
    <w:tblStylePr w:type="seCell">
      <w:tblPr/>
      <w:tcPr>
        <w:tcBorders>
          <w:top w:val="single" w:sz="4" w:space="0" w:color="A4CCEB" w:themeColor="accent2" w:themeTint="99"/>
        </w:tcBorders>
      </w:tcPr>
    </w:tblStylePr>
    <w:tblStylePr w:type="swCell">
      <w:tblPr/>
      <w:tcPr>
        <w:tcBorders>
          <w:top w:val="single" w:sz="4" w:space="0" w:color="A4CCEB" w:themeColor="accent2" w:themeTint="99"/>
        </w:tcBorders>
      </w:tcPr>
    </w:tblStylePr>
  </w:style>
  <w:style w:type="table" w:styleId="GridTable3-Accent3">
    <w:name w:val="Grid Table 3 Accent 3"/>
    <w:basedOn w:val="TableNormal"/>
    <w:uiPriority w:val="48"/>
    <w:rsid w:val="00CF26C4"/>
    <w:pPr>
      <w:spacing w:after="0"/>
    </w:pPr>
    <w:rPr>
      <w:rFonts w:eastAsiaTheme="minorHAnsi" w:cs="Arial"/>
      <w:sz w:val="18"/>
      <w:szCs w:val="18"/>
    </w:rPr>
    <w:tblPr>
      <w:tblStyleRowBandSize w:val="1"/>
      <w:tblStyleColBandSize w:val="1"/>
      <w:tblBorders>
        <w:top w:val="single" w:sz="4" w:space="0" w:color="A1A5CF" w:themeColor="accent3" w:themeTint="99"/>
        <w:left w:val="single" w:sz="4" w:space="0" w:color="A1A5CF" w:themeColor="accent3" w:themeTint="99"/>
        <w:bottom w:val="single" w:sz="4" w:space="0" w:color="A1A5CF" w:themeColor="accent3" w:themeTint="99"/>
        <w:right w:val="single" w:sz="4" w:space="0" w:color="A1A5CF" w:themeColor="accent3" w:themeTint="99"/>
        <w:insideH w:val="single" w:sz="4" w:space="0" w:color="A1A5CF" w:themeColor="accent3" w:themeTint="99"/>
        <w:insideV w:val="single" w:sz="4" w:space="0" w:color="A1A5C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1EF" w:themeFill="accent3" w:themeFillTint="33"/>
      </w:tcPr>
    </w:tblStylePr>
    <w:tblStylePr w:type="band1Horz">
      <w:tblPr/>
      <w:tcPr>
        <w:shd w:val="clear" w:color="auto" w:fill="DFE1EF" w:themeFill="accent3" w:themeFillTint="33"/>
      </w:tcPr>
    </w:tblStylePr>
    <w:tblStylePr w:type="neCell">
      <w:tblPr/>
      <w:tcPr>
        <w:tcBorders>
          <w:bottom w:val="single" w:sz="4" w:space="0" w:color="A1A5CF" w:themeColor="accent3" w:themeTint="99"/>
        </w:tcBorders>
      </w:tcPr>
    </w:tblStylePr>
    <w:tblStylePr w:type="nwCell">
      <w:tblPr/>
      <w:tcPr>
        <w:tcBorders>
          <w:bottom w:val="single" w:sz="4" w:space="0" w:color="A1A5CF" w:themeColor="accent3" w:themeTint="99"/>
        </w:tcBorders>
      </w:tcPr>
    </w:tblStylePr>
    <w:tblStylePr w:type="seCell">
      <w:tblPr/>
      <w:tcPr>
        <w:tcBorders>
          <w:top w:val="single" w:sz="4" w:space="0" w:color="A1A5CF" w:themeColor="accent3" w:themeTint="99"/>
        </w:tcBorders>
      </w:tcPr>
    </w:tblStylePr>
    <w:tblStylePr w:type="swCell">
      <w:tblPr/>
      <w:tcPr>
        <w:tcBorders>
          <w:top w:val="single" w:sz="4" w:space="0" w:color="A1A5CF" w:themeColor="accent3" w:themeTint="99"/>
        </w:tcBorders>
      </w:tcPr>
    </w:tblStylePr>
  </w:style>
  <w:style w:type="table" w:styleId="GridTable3-Accent4">
    <w:name w:val="Grid Table 3 Accent 4"/>
    <w:basedOn w:val="TableNormal"/>
    <w:uiPriority w:val="48"/>
    <w:rsid w:val="00CF26C4"/>
    <w:pPr>
      <w:spacing w:after="0"/>
    </w:pPr>
    <w:rPr>
      <w:rFonts w:eastAsiaTheme="minorHAnsi" w:cs="Arial"/>
      <w:sz w:val="18"/>
      <w:szCs w:val="18"/>
    </w:rPr>
    <w:tblPr>
      <w:tblStyleRowBandSize w:val="1"/>
      <w:tblStyleColBandSize w:val="1"/>
      <w:tblBorders>
        <w:top w:val="single" w:sz="4" w:space="0" w:color="D0A7CC" w:themeColor="accent4" w:themeTint="99"/>
        <w:left w:val="single" w:sz="4" w:space="0" w:color="D0A7CC" w:themeColor="accent4" w:themeTint="99"/>
        <w:bottom w:val="single" w:sz="4" w:space="0" w:color="D0A7CC" w:themeColor="accent4" w:themeTint="99"/>
        <w:right w:val="single" w:sz="4" w:space="0" w:color="D0A7CC" w:themeColor="accent4" w:themeTint="99"/>
        <w:insideH w:val="single" w:sz="4" w:space="0" w:color="D0A7CC" w:themeColor="accent4" w:themeTint="99"/>
        <w:insideV w:val="single" w:sz="4" w:space="0" w:color="D0A7C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FE1EE" w:themeFill="accent4" w:themeFillTint="33"/>
      </w:tcPr>
    </w:tblStylePr>
    <w:tblStylePr w:type="band1Horz">
      <w:tblPr/>
      <w:tcPr>
        <w:shd w:val="clear" w:color="auto" w:fill="EFE1EE" w:themeFill="accent4" w:themeFillTint="33"/>
      </w:tcPr>
    </w:tblStylePr>
    <w:tblStylePr w:type="neCell">
      <w:tblPr/>
      <w:tcPr>
        <w:tcBorders>
          <w:bottom w:val="single" w:sz="4" w:space="0" w:color="D0A7CC" w:themeColor="accent4" w:themeTint="99"/>
        </w:tcBorders>
      </w:tcPr>
    </w:tblStylePr>
    <w:tblStylePr w:type="nwCell">
      <w:tblPr/>
      <w:tcPr>
        <w:tcBorders>
          <w:bottom w:val="single" w:sz="4" w:space="0" w:color="D0A7CC" w:themeColor="accent4" w:themeTint="99"/>
        </w:tcBorders>
      </w:tcPr>
    </w:tblStylePr>
    <w:tblStylePr w:type="seCell">
      <w:tblPr/>
      <w:tcPr>
        <w:tcBorders>
          <w:top w:val="single" w:sz="4" w:space="0" w:color="D0A7CC" w:themeColor="accent4" w:themeTint="99"/>
        </w:tcBorders>
      </w:tcPr>
    </w:tblStylePr>
    <w:tblStylePr w:type="swCell">
      <w:tblPr/>
      <w:tcPr>
        <w:tcBorders>
          <w:top w:val="single" w:sz="4" w:space="0" w:color="D0A7CC" w:themeColor="accent4" w:themeTint="99"/>
        </w:tcBorders>
      </w:tcPr>
    </w:tblStylePr>
  </w:style>
  <w:style w:type="table" w:styleId="GridTable3-Accent5">
    <w:name w:val="Grid Table 3 Accent 5"/>
    <w:basedOn w:val="TableNormal"/>
    <w:uiPriority w:val="48"/>
    <w:rsid w:val="00CF26C4"/>
    <w:pPr>
      <w:spacing w:after="0"/>
    </w:pPr>
    <w:rPr>
      <w:rFonts w:eastAsiaTheme="minorHAnsi" w:cs="Arial"/>
      <w:sz w:val="18"/>
      <w:szCs w:val="18"/>
    </w:rPr>
    <w:tblPr>
      <w:tblStyleRowBandSize w:val="1"/>
      <w:tblStyleColBandSize w:val="1"/>
      <w:tblBorders>
        <w:top w:val="single" w:sz="4" w:space="0" w:color="F0C7DD" w:themeColor="accent5" w:themeTint="99"/>
        <w:left w:val="single" w:sz="4" w:space="0" w:color="F0C7DD" w:themeColor="accent5" w:themeTint="99"/>
        <w:bottom w:val="single" w:sz="4" w:space="0" w:color="F0C7DD" w:themeColor="accent5" w:themeTint="99"/>
        <w:right w:val="single" w:sz="4" w:space="0" w:color="F0C7DD" w:themeColor="accent5" w:themeTint="99"/>
        <w:insideH w:val="single" w:sz="4" w:space="0" w:color="F0C7DD" w:themeColor="accent5" w:themeTint="99"/>
        <w:insideV w:val="single" w:sz="4" w:space="0" w:color="F0C7D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CF3" w:themeFill="accent5" w:themeFillTint="33"/>
      </w:tcPr>
    </w:tblStylePr>
    <w:tblStylePr w:type="band1Horz">
      <w:tblPr/>
      <w:tcPr>
        <w:shd w:val="clear" w:color="auto" w:fill="FAECF3" w:themeFill="accent5" w:themeFillTint="33"/>
      </w:tcPr>
    </w:tblStylePr>
    <w:tblStylePr w:type="neCell">
      <w:tblPr/>
      <w:tcPr>
        <w:tcBorders>
          <w:bottom w:val="single" w:sz="4" w:space="0" w:color="F0C7DD" w:themeColor="accent5" w:themeTint="99"/>
        </w:tcBorders>
      </w:tcPr>
    </w:tblStylePr>
    <w:tblStylePr w:type="nwCell">
      <w:tblPr/>
      <w:tcPr>
        <w:tcBorders>
          <w:bottom w:val="single" w:sz="4" w:space="0" w:color="F0C7DD" w:themeColor="accent5" w:themeTint="99"/>
        </w:tcBorders>
      </w:tcPr>
    </w:tblStylePr>
    <w:tblStylePr w:type="seCell">
      <w:tblPr/>
      <w:tcPr>
        <w:tcBorders>
          <w:top w:val="single" w:sz="4" w:space="0" w:color="F0C7DD" w:themeColor="accent5" w:themeTint="99"/>
        </w:tcBorders>
      </w:tcPr>
    </w:tblStylePr>
    <w:tblStylePr w:type="swCell">
      <w:tblPr/>
      <w:tcPr>
        <w:tcBorders>
          <w:top w:val="single" w:sz="4" w:space="0" w:color="F0C7DD" w:themeColor="accent5" w:themeTint="99"/>
        </w:tcBorders>
      </w:tcPr>
    </w:tblStylePr>
  </w:style>
  <w:style w:type="table" w:styleId="GridTable3-Accent6">
    <w:name w:val="Grid Table 3 Accent 6"/>
    <w:basedOn w:val="TableNormal"/>
    <w:uiPriority w:val="48"/>
    <w:rsid w:val="00CF26C4"/>
    <w:pPr>
      <w:spacing w:after="0"/>
    </w:pPr>
    <w:rPr>
      <w:rFonts w:eastAsiaTheme="minorHAnsi" w:cs="Arial"/>
      <w:sz w:val="18"/>
      <w:szCs w:val="18"/>
    </w:rPr>
    <w:tblPr>
      <w:tblStyleRowBandSize w:val="1"/>
      <w:tblStyleColBandSize w:val="1"/>
      <w:tblBorders>
        <w:top w:val="single" w:sz="4" w:space="0" w:color="C3E3F8" w:themeColor="accent6" w:themeTint="99"/>
        <w:left w:val="single" w:sz="4" w:space="0" w:color="C3E3F8" w:themeColor="accent6" w:themeTint="99"/>
        <w:bottom w:val="single" w:sz="4" w:space="0" w:color="C3E3F8" w:themeColor="accent6" w:themeTint="99"/>
        <w:right w:val="single" w:sz="4" w:space="0" w:color="C3E3F8" w:themeColor="accent6" w:themeTint="99"/>
        <w:insideH w:val="single" w:sz="4" w:space="0" w:color="C3E3F8" w:themeColor="accent6" w:themeTint="99"/>
        <w:insideV w:val="single" w:sz="4" w:space="0" w:color="C3E3F8"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BF5FC" w:themeFill="accent6" w:themeFillTint="33"/>
      </w:tcPr>
    </w:tblStylePr>
    <w:tblStylePr w:type="band1Horz">
      <w:tblPr/>
      <w:tcPr>
        <w:shd w:val="clear" w:color="auto" w:fill="EBF5FC" w:themeFill="accent6" w:themeFillTint="33"/>
      </w:tcPr>
    </w:tblStylePr>
    <w:tblStylePr w:type="neCell">
      <w:tblPr/>
      <w:tcPr>
        <w:tcBorders>
          <w:bottom w:val="single" w:sz="4" w:space="0" w:color="C3E3F8" w:themeColor="accent6" w:themeTint="99"/>
        </w:tcBorders>
      </w:tcPr>
    </w:tblStylePr>
    <w:tblStylePr w:type="nwCell">
      <w:tblPr/>
      <w:tcPr>
        <w:tcBorders>
          <w:bottom w:val="single" w:sz="4" w:space="0" w:color="C3E3F8" w:themeColor="accent6" w:themeTint="99"/>
        </w:tcBorders>
      </w:tcPr>
    </w:tblStylePr>
    <w:tblStylePr w:type="seCell">
      <w:tblPr/>
      <w:tcPr>
        <w:tcBorders>
          <w:top w:val="single" w:sz="4" w:space="0" w:color="C3E3F8" w:themeColor="accent6" w:themeTint="99"/>
        </w:tcBorders>
      </w:tcPr>
    </w:tblStylePr>
    <w:tblStylePr w:type="swCell">
      <w:tblPr/>
      <w:tcPr>
        <w:tcBorders>
          <w:top w:val="single" w:sz="4" w:space="0" w:color="C3E3F8" w:themeColor="accent6" w:themeTint="99"/>
        </w:tcBorders>
      </w:tcPr>
    </w:tblStylePr>
  </w:style>
  <w:style w:type="table" w:styleId="GridTable4">
    <w:name w:val="Grid Table 4"/>
    <w:basedOn w:val="TableNormal"/>
    <w:uiPriority w:val="49"/>
    <w:rsid w:val="00CF26C4"/>
    <w:pPr>
      <w:spacing w:after="0"/>
    </w:pPr>
    <w:rPr>
      <w:rFonts w:eastAsiaTheme="minorHAnsi" w:cs="Arial"/>
      <w:sz w:val="18"/>
      <w:szCs w:val="18"/>
    </w:rPr>
    <w:tblPr>
      <w:tblStyleRowBandSize w:val="1"/>
      <w:tblStyleColBandSize w:val="1"/>
      <w:tblBorders>
        <w:top w:val="single" w:sz="4" w:space="0" w:color="777373" w:themeColor="text1" w:themeTint="99"/>
        <w:left w:val="single" w:sz="4" w:space="0" w:color="777373" w:themeColor="text1" w:themeTint="99"/>
        <w:bottom w:val="single" w:sz="4" w:space="0" w:color="777373" w:themeColor="text1" w:themeTint="99"/>
        <w:right w:val="single" w:sz="4" w:space="0" w:color="777373" w:themeColor="text1" w:themeTint="99"/>
        <w:insideH w:val="single" w:sz="4" w:space="0" w:color="777373" w:themeColor="text1" w:themeTint="99"/>
        <w:insideV w:val="single" w:sz="4" w:space="0" w:color="777373" w:themeColor="text1" w:themeTint="99"/>
      </w:tblBorders>
    </w:tblPr>
    <w:tblStylePr w:type="firstRow">
      <w:rPr>
        <w:b/>
        <w:bCs/>
        <w:color w:val="FFFFFF" w:themeColor="background1"/>
      </w:rPr>
      <w:tblPr/>
      <w:tcPr>
        <w:tcBorders>
          <w:top w:val="single" w:sz="4" w:space="0" w:color="1A1919" w:themeColor="text1"/>
          <w:left w:val="single" w:sz="4" w:space="0" w:color="1A1919" w:themeColor="text1"/>
          <w:bottom w:val="single" w:sz="4" w:space="0" w:color="1A1919" w:themeColor="text1"/>
          <w:right w:val="single" w:sz="4" w:space="0" w:color="1A1919" w:themeColor="text1"/>
          <w:insideH w:val="nil"/>
          <w:insideV w:val="nil"/>
        </w:tcBorders>
        <w:shd w:val="clear" w:color="auto" w:fill="1A1919" w:themeFill="text1"/>
      </w:tcPr>
    </w:tblStylePr>
    <w:tblStylePr w:type="lastRow">
      <w:rPr>
        <w:b/>
        <w:bCs/>
      </w:rPr>
      <w:tblPr/>
      <w:tcPr>
        <w:tcBorders>
          <w:top w:val="double" w:sz="4" w:space="0" w:color="1A1919" w:themeColor="text1"/>
        </w:tcBorders>
      </w:tcPr>
    </w:tblStylePr>
    <w:tblStylePr w:type="firstCol">
      <w:rPr>
        <w:b/>
        <w:bCs/>
      </w:rPr>
    </w:tblStylePr>
    <w:tblStylePr w:type="lastCol">
      <w:rPr>
        <w:b/>
        <w:bCs/>
      </w:rPr>
    </w:tblStylePr>
    <w:tblStylePr w:type="band1Vert">
      <w:tblPr/>
      <w:tcPr>
        <w:shd w:val="clear" w:color="auto" w:fill="D2D0D0" w:themeFill="text1" w:themeFillTint="33"/>
      </w:tcPr>
    </w:tblStylePr>
    <w:tblStylePr w:type="band1Horz">
      <w:tblPr/>
      <w:tcPr>
        <w:shd w:val="clear" w:color="auto" w:fill="D2D0D0" w:themeFill="text1" w:themeFillTint="33"/>
      </w:tcPr>
    </w:tblStylePr>
  </w:style>
  <w:style w:type="table" w:styleId="GridTable4-Accent1">
    <w:name w:val="Grid Table 4 Accent 1"/>
    <w:basedOn w:val="TableNormal"/>
    <w:uiPriority w:val="49"/>
    <w:rsid w:val="00CF26C4"/>
    <w:pPr>
      <w:spacing w:after="0"/>
    </w:pPr>
    <w:rPr>
      <w:rFonts w:eastAsiaTheme="minorHAnsi" w:cs="Arial"/>
      <w:sz w:val="18"/>
      <w:szCs w:val="18"/>
    </w:rPr>
    <w:tblPr>
      <w:tblStyleRowBandSize w:val="1"/>
      <w:tblStyleColBandSize w:val="1"/>
      <w:tblBorders>
        <w:top w:val="single" w:sz="4" w:space="0" w:color="A4D9D2" w:themeColor="accent1" w:themeTint="99"/>
        <w:left w:val="single" w:sz="4" w:space="0" w:color="A4D9D2" w:themeColor="accent1" w:themeTint="99"/>
        <w:bottom w:val="single" w:sz="4" w:space="0" w:color="A4D9D2" w:themeColor="accent1" w:themeTint="99"/>
        <w:right w:val="single" w:sz="4" w:space="0" w:color="A4D9D2" w:themeColor="accent1" w:themeTint="99"/>
        <w:insideH w:val="single" w:sz="4" w:space="0" w:color="A4D9D2" w:themeColor="accent1" w:themeTint="99"/>
        <w:insideV w:val="single" w:sz="4" w:space="0" w:color="A4D9D2" w:themeColor="accent1" w:themeTint="99"/>
      </w:tblBorders>
    </w:tblPr>
    <w:tblStylePr w:type="firstRow">
      <w:rPr>
        <w:b/>
        <w:bCs/>
        <w:color w:val="FFFFFF" w:themeColor="background1"/>
      </w:rPr>
      <w:tblPr/>
      <w:tcPr>
        <w:tcBorders>
          <w:top w:val="single" w:sz="4" w:space="0" w:color="68C0B5" w:themeColor="accent1"/>
          <w:left w:val="single" w:sz="4" w:space="0" w:color="68C0B5" w:themeColor="accent1"/>
          <w:bottom w:val="single" w:sz="4" w:space="0" w:color="68C0B5" w:themeColor="accent1"/>
          <w:right w:val="single" w:sz="4" w:space="0" w:color="68C0B5" w:themeColor="accent1"/>
          <w:insideH w:val="nil"/>
          <w:insideV w:val="nil"/>
        </w:tcBorders>
        <w:shd w:val="clear" w:color="auto" w:fill="68C0B5" w:themeFill="accent1"/>
      </w:tcPr>
    </w:tblStylePr>
    <w:tblStylePr w:type="lastRow">
      <w:rPr>
        <w:b/>
        <w:bCs/>
      </w:rPr>
      <w:tblPr/>
      <w:tcPr>
        <w:tcBorders>
          <w:top w:val="double" w:sz="4" w:space="0" w:color="68C0B5" w:themeColor="accent1"/>
        </w:tcBorders>
      </w:tcPr>
    </w:tblStylePr>
    <w:tblStylePr w:type="firstCol">
      <w:rPr>
        <w:b/>
        <w:bCs/>
      </w:rPr>
    </w:tblStylePr>
    <w:tblStylePr w:type="lastCol">
      <w:rPr>
        <w:b/>
        <w:bCs/>
      </w:rPr>
    </w:tblStylePr>
    <w:tblStylePr w:type="band1Vert">
      <w:tblPr/>
      <w:tcPr>
        <w:shd w:val="clear" w:color="auto" w:fill="E0F2F0" w:themeFill="accent1" w:themeFillTint="33"/>
      </w:tcPr>
    </w:tblStylePr>
    <w:tblStylePr w:type="band1Horz">
      <w:tblPr/>
      <w:tcPr>
        <w:shd w:val="clear" w:color="auto" w:fill="E0F2F0" w:themeFill="accent1" w:themeFillTint="33"/>
      </w:tcPr>
    </w:tblStylePr>
  </w:style>
  <w:style w:type="table" w:styleId="GridTable4-Accent2">
    <w:name w:val="Grid Table 4 Accent 2"/>
    <w:basedOn w:val="TableNormal"/>
    <w:uiPriority w:val="49"/>
    <w:rsid w:val="00CF26C4"/>
    <w:pPr>
      <w:spacing w:after="0"/>
    </w:pPr>
    <w:rPr>
      <w:rFonts w:eastAsiaTheme="minorHAnsi" w:cs="Arial"/>
      <w:sz w:val="18"/>
      <w:szCs w:val="18"/>
    </w:rPr>
    <w:tblPr>
      <w:tblStyleRowBandSize w:val="1"/>
      <w:tblStyleColBandSize w:val="1"/>
      <w:tblBorders>
        <w:top w:val="single" w:sz="4" w:space="0" w:color="A4CCEB" w:themeColor="accent2" w:themeTint="99"/>
        <w:left w:val="single" w:sz="4" w:space="0" w:color="A4CCEB" w:themeColor="accent2" w:themeTint="99"/>
        <w:bottom w:val="single" w:sz="4" w:space="0" w:color="A4CCEB" w:themeColor="accent2" w:themeTint="99"/>
        <w:right w:val="single" w:sz="4" w:space="0" w:color="A4CCEB" w:themeColor="accent2" w:themeTint="99"/>
        <w:insideH w:val="single" w:sz="4" w:space="0" w:color="A4CCEB" w:themeColor="accent2" w:themeTint="99"/>
        <w:insideV w:val="single" w:sz="4" w:space="0" w:color="A4CCEB" w:themeColor="accent2" w:themeTint="99"/>
      </w:tblBorders>
    </w:tblPr>
    <w:tblStylePr w:type="firstRow">
      <w:rPr>
        <w:b/>
        <w:bCs/>
        <w:color w:val="FFFFFF" w:themeColor="background1"/>
      </w:rPr>
      <w:tblPr/>
      <w:tcPr>
        <w:tcBorders>
          <w:top w:val="single" w:sz="4" w:space="0" w:color="69ACDF" w:themeColor="accent2"/>
          <w:left w:val="single" w:sz="4" w:space="0" w:color="69ACDF" w:themeColor="accent2"/>
          <w:bottom w:val="single" w:sz="4" w:space="0" w:color="69ACDF" w:themeColor="accent2"/>
          <w:right w:val="single" w:sz="4" w:space="0" w:color="69ACDF" w:themeColor="accent2"/>
          <w:insideH w:val="nil"/>
          <w:insideV w:val="nil"/>
        </w:tcBorders>
        <w:shd w:val="clear" w:color="auto" w:fill="69ACDF" w:themeFill="accent2"/>
      </w:tcPr>
    </w:tblStylePr>
    <w:tblStylePr w:type="lastRow">
      <w:rPr>
        <w:b/>
        <w:bCs/>
      </w:rPr>
      <w:tblPr/>
      <w:tcPr>
        <w:tcBorders>
          <w:top w:val="double" w:sz="4" w:space="0" w:color="69ACDF" w:themeColor="accent2"/>
        </w:tcBorders>
      </w:tcPr>
    </w:tblStylePr>
    <w:tblStylePr w:type="firstCol">
      <w:rPr>
        <w:b/>
        <w:bCs/>
      </w:rPr>
    </w:tblStylePr>
    <w:tblStylePr w:type="lastCol">
      <w:rPr>
        <w:b/>
        <w:bCs/>
      </w:rPr>
    </w:tblStylePr>
    <w:tblStylePr w:type="band1Vert">
      <w:tblPr/>
      <w:tcPr>
        <w:shd w:val="clear" w:color="auto" w:fill="E0EEF8" w:themeFill="accent2" w:themeFillTint="33"/>
      </w:tcPr>
    </w:tblStylePr>
    <w:tblStylePr w:type="band1Horz">
      <w:tblPr/>
      <w:tcPr>
        <w:shd w:val="clear" w:color="auto" w:fill="E0EEF8" w:themeFill="accent2" w:themeFillTint="33"/>
      </w:tcPr>
    </w:tblStylePr>
  </w:style>
  <w:style w:type="table" w:styleId="GridTable4-Accent3">
    <w:name w:val="Grid Table 4 Accent 3"/>
    <w:basedOn w:val="TableNormal"/>
    <w:uiPriority w:val="49"/>
    <w:rsid w:val="00CF26C4"/>
    <w:pPr>
      <w:spacing w:after="0"/>
    </w:pPr>
    <w:rPr>
      <w:rFonts w:eastAsiaTheme="minorHAnsi" w:cs="Arial"/>
      <w:sz w:val="18"/>
      <w:szCs w:val="18"/>
    </w:rPr>
    <w:tblPr>
      <w:tblStyleRowBandSize w:val="1"/>
      <w:tblStyleColBandSize w:val="1"/>
      <w:tblBorders>
        <w:top w:val="single" w:sz="4" w:space="0" w:color="A1A5CF" w:themeColor="accent3" w:themeTint="99"/>
        <w:left w:val="single" w:sz="4" w:space="0" w:color="A1A5CF" w:themeColor="accent3" w:themeTint="99"/>
        <w:bottom w:val="single" w:sz="4" w:space="0" w:color="A1A5CF" w:themeColor="accent3" w:themeTint="99"/>
        <w:right w:val="single" w:sz="4" w:space="0" w:color="A1A5CF" w:themeColor="accent3" w:themeTint="99"/>
        <w:insideH w:val="single" w:sz="4" w:space="0" w:color="A1A5CF" w:themeColor="accent3" w:themeTint="99"/>
        <w:insideV w:val="single" w:sz="4" w:space="0" w:color="A1A5CF" w:themeColor="accent3" w:themeTint="99"/>
      </w:tblBorders>
    </w:tblPr>
    <w:tblStylePr w:type="firstRow">
      <w:rPr>
        <w:b/>
        <w:bCs/>
        <w:color w:val="FFFFFF" w:themeColor="background1"/>
      </w:rPr>
      <w:tblPr/>
      <w:tcPr>
        <w:tcBorders>
          <w:top w:val="single" w:sz="4" w:space="0" w:color="636AAF" w:themeColor="accent3"/>
          <w:left w:val="single" w:sz="4" w:space="0" w:color="636AAF" w:themeColor="accent3"/>
          <w:bottom w:val="single" w:sz="4" w:space="0" w:color="636AAF" w:themeColor="accent3"/>
          <w:right w:val="single" w:sz="4" w:space="0" w:color="636AAF" w:themeColor="accent3"/>
          <w:insideH w:val="nil"/>
          <w:insideV w:val="nil"/>
        </w:tcBorders>
        <w:shd w:val="clear" w:color="auto" w:fill="636AAF" w:themeFill="accent3"/>
      </w:tcPr>
    </w:tblStylePr>
    <w:tblStylePr w:type="lastRow">
      <w:rPr>
        <w:b/>
        <w:bCs/>
      </w:rPr>
      <w:tblPr/>
      <w:tcPr>
        <w:tcBorders>
          <w:top w:val="double" w:sz="4" w:space="0" w:color="636AAF" w:themeColor="accent3"/>
        </w:tcBorders>
      </w:tcPr>
    </w:tblStylePr>
    <w:tblStylePr w:type="firstCol">
      <w:rPr>
        <w:b/>
        <w:bCs/>
      </w:rPr>
    </w:tblStylePr>
    <w:tblStylePr w:type="lastCol">
      <w:rPr>
        <w:b/>
        <w:bCs/>
      </w:rPr>
    </w:tblStylePr>
    <w:tblStylePr w:type="band1Vert">
      <w:tblPr/>
      <w:tcPr>
        <w:shd w:val="clear" w:color="auto" w:fill="DFE1EF" w:themeFill="accent3" w:themeFillTint="33"/>
      </w:tcPr>
    </w:tblStylePr>
    <w:tblStylePr w:type="band1Horz">
      <w:tblPr/>
      <w:tcPr>
        <w:shd w:val="clear" w:color="auto" w:fill="DFE1EF" w:themeFill="accent3" w:themeFillTint="33"/>
      </w:tcPr>
    </w:tblStylePr>
  </w:style>
  <w:style w:type="table" w:styleId="GridTable4-Accent4">
    <w:name w:val="Grid Table 4 Accent 4"/>
    <w:basedOn w:val="TableNormal"/>
    <w:uiPriority w:val="49"/>
    <w:rsid w:val="00CF26C4"/>
    <w:pPr>
      <w:spacing w:after="0"/>
    </w:pPr>
    <w:rPr>
      <w:rFonts w:eastAsiaTheme="minorHAnsi" w:cs="Arial"/>
      <w:sz w:val="18"/>
      <w:szCs w:val="18"/>
    </w:rPr>
    <w:tblPr>
      <w:tblStyleRowBandSize w:val="1"/>
      <w:tblStyleColBandSize w:val="1"/>
      <w:tblBorders>
        <w:top w:val="single" w:sz="4" w:space="0" w:color="D0A7CC" w:themeColor="accent4" w:themeTint="99"/>
        <w:left w:val="single" w:sz="4" w:space="0" w:color="D0A7CC" w:themeColor="accent4" w:themeTint="99"/>
        <w:bottom w:val="single" w:sz="4" w:space="0" w:color="D0A7CC" w:themeColor="accent4" w:themeTint="99"/>
        <w:right w:val="single" w:sz="4" w:space="0" w:color="D0A7CC" w:themeColor="accent4" w:themeTint="99"/>
        <w:insideH w:val="single" w:sz="4" w:space="0" w:color="D0A7CC" w:themeColor="accent4" w:themeTint="99"/>
        <w:insideV w:val="single" w:sz="4" w:space="0" w:color="D0A7CC" w:themeColor="accent4" w:themeTint="99"/>
      </w:tblBorders>
    </w:tblPr>
    <w:tblStylePr w:type="firstRow">
      <w:rPr>
        <w:b/>
        <w:bCs/>
        <w:color w:val="FFFFFF" w:themeColor="background1"/>
      </w:rPr>
      <w:tblPr/>
      <w:tcPr>
        <w:tcBorders>
          <w:top w:val="single" w:sz="4" w:space="0" w:color="B26DAB" w:themeColor="accent4"/>
          <w:left w:val="single" w:sz="4" w:space="0" w:color="B26DAB" w:themeColor="accent4"/>
          <w:bottom w:val="single" w:sz="4" w:space="0" w:color="B26DAB" w:themeColor="accent4"/>
          <w:right w:val="single" w:sz="4" w:space="0" w:color="B26DAB" w:themeColor="accent4"/>
          <w:insideH w:val="nil"/>
          <w:insideV w:val="nil"/>
        </w:tcBorders>
        <w:shd w:val="clear" w:color="auto" w:fill="B26DAB" w:themeFill="accent4"/>
      </w:tcPr>
    </w:tblStylePr>
    <w:tblStylePr w:type="lastRow">
      <w:rPr>
        <w:b/>
        <w:bCs/>
      </w:rPr>
      <w:tblPr/>
      <w:tcPr>
        <w:tcBorders>
          <w:top w:val="double" w:sz="4" w:space="0" w:color="B26DAB" w:themeColor="accent4"/>
        </w:tcBorders>
      </w:tcPr>
    </w:tblStylePr>
    <w:tblStylePr w:type="firstCol">
      <w:rPr>
        <w:b/>
        <w:bCs/>
      </w:rPr>
    </w:tblStylePr>
    <w:tblStylePr w:type="lastCol">
      <w:rPr>
        <w:b/>
        <w:bCs/>
      </w:rPr>
    </w:tblStylePr>
    <w:tblStylePr w:type="band1Vert">
      <w:tblPr/>
      <w:tcPr>
        <w:shd w:val="clear" w:color="auto" w:fill="EFE1EE" w:themeFill="accent4" w:themeFillTint="33"/>
      </w:tcPr>
    </w:tblStylePr>
    <w:tblStylePr w:type="band1Horz">
      <w:tblPr/>
      <w:tcPr>
        <w:shd w:val="clear" w:color="auto" w:fill="EFE1EE" w:themeFill="accent4" w:themeFillTint="33"/>
      </w:tcPr>
    </w:tblStylePr>
  </w:style>
  <w:style w:type="table" w:styleId="GridTable4-Accent5">
    <w:name w:val="Grid Table 4 Accent 5"/>
    <w:basedOn w:val="TableNormal"/>
    <w:uiPriority w:val="49"/>
    <w:rsid w:val="00CF26C4"/>
    <w:pPr>
      <w:spacing w:after="0"/>
    </w:pPr>
    <w:rPr>
      <w:rFonts w:eastAsiaTheme="minorHAnsi" w:cs="Arial"/>
      <w:sz w:val="18"/>
      <w:szCs w:val="18"/>
    </w:rPr>
    <w:tblPr>
      <w:tblStyleRowBandSize w:val="1"/>
      <w:tblStyleColBandSize w:val="1"/>
      <w:tblBorders>
        <w:top w:val="single" w:sz="4" w:space="0" w:color="F0C7DD" w:themeColor="accent5" w:themeTint="99"/>
        <w:left w:val="single" w:sz="4" w:space="0" w:color="F0C7DD" w:themeColor="accent5" w:themeTint="99"/>
        <w:bottom w:val="single" w:sz="4" w:space="0" w:color="F0C7DD" w:themeColor="accent5" w:themeTint="99"/>
        <w:right w:val="single" w:sz="4" w:space="0" w:color="F0C7DD" w:themeColor="accent5" w:themeTint="99"/>
        <w:insideH w:val="single" w:sz="4" w:space="0" w:color="F0C7DD" w:themeColor="accent5" w:themeTint="99"/>
        <w:insideV w:val="single" w:sz="4" w:space="0" w:color="F0C7DD" w:themeColor="accent5" w:themeTint="99"/>
      </w:tblBorders>
    </w:tblPr>
    <w:tblStylePr w:type="firstRow">
      <w:rPr>
        <w:b/>
        <w:bCs/>
        <w:color w:val="FFFFFF" w:themeColor="background1"/>
      </w:rPr>
      <w:tblPr/>
      <w:tcPr>
        <w:tcBorders>
          <w:top w:val="single" w:sz="4" w:space="0" w:color="E7A2C8" w:themeColor="accent5"/>
          <w:left w:val="single" w:sz="4" w:space="0" w:color="E7A2C8" w:themeColor="accent5"/>
          <w:bottom w:val="single" w:sz="4" w:space="0" w:color="E7A2C8" w:themeColor="accent5"/>
          <w:right w:val="single" w:sz="4" w:space="0" w:color="E7A2C8" w:themeColor="accent5"/>
          <w:insideH w:val="nil"/>
          <w:insideV w:val="nil"/>
        </w:tcBorders>
        <w:shd w:val="clear" w:color="auto" w:fill="E7A2C8" w:themeFill="accent5"/>
      </w:tcPr>
    </w:tblStylePr>
    <w:tblStylePr w:type="lastRow">
      <w:rPr>
        <w:b/>
        <w:bCs/>
      </w:rPr>
      <w:tblPr/>
      <w:tcPr>
        <w:tcBorders>
          <w:top w:val="double" w:sz="4" w:space="0" w:color="E7A2C8" w:themeColor="accent5"/>
        </w:tcBorders>
      </w:tcPr>
    </w:tblStylePr>
    <w:tblStylePr w:type="firstCol">
      <w:rPr>
        <w:b/>
        <w:bCs/>
      </w:rPr>
    </w:tblStylePr>
    <w:tblStylePr w:type="lastCol">
      <w:rPr>
        <w:b/>
        <w:bCs/>
      </w:rPr>
    </w:tblStylePr>
    <w:tblStylePr w:type="band1Vert">
      <w:tblPr/>
      <w:tcPr>
        <w:shd w:val="clear" w:color="auto" w:fill="FAECF3" w:themeFill="accent5" w:themeFillTint="33"/>
      </w:tcPr>
    </w:tblStylePr>
    <w:tblStylePr w:type="band1Horz">
      <w:tblPr/>
      <w:tcPr>
        <w:shd w:val="clear" w:color="auto" w:fill="FAECF3" w:themeFill="accent5" w:themeFillTint="33"/>
      </w:tcPr>
    </w:tblStylePr>
  </w:style>
  <w:style w:type="table" w:styleId="GridTable4-Accent6">
    <w:name w:val="Grid Table 4 Accent 6"/>
    <w:basedOn w:val="TableNormal"/>
    <w:uiPriority w:val="49"/>
    <w:rsid w:val="00CF26C4"/>
    <w:pPr>
      <w:spacing w:after="0"/>
    </w:pPr>
    <w:rPr>
      <w:rFonts w:eastAsiaTheme="minorHAnsi" w:cs="Arial"/>
      <w:sz w:val="18"/>
      <w:szCs w:val="18"/>
    </w:rPr>
    <w:tblPr>
      <w:tblStyleRowBandSize w:val="1"/>
      <w:tblStyleColBandSize w:val="1"/>
      <w:tblBorders>
        <w:top w:val="single" w:sz="4" w:space="0" w:color="C3E3F8" w:themeColor="accent6" w:themeTint="99"/>
        <w:left w:val="single" w:sz="4" w:space="0" w:color="C3E3F8" w:themeColor="accent6" w:themeTint="99"/>
        <w:bottom w:val="single" w:sz="4" w:space="0" w:color="C3E3F8" w:themeColor="accent6" w:themeTint="99"/>
        <w:right w:val="single" w:sz="4" w:space="0" w:color="C3E3F8" w:themeColor="accent6" w:themeTint="99"/>
        <w:insideH w:val="single" w:sz="4" w:space="0" w:color="C3E3F8" w:themeColor="accent6" w:themeTint="99"/>
        <w:insideV w:val="single" w:sz="4" w:space="0" w:color="C3E3F8" w:themeColor="accent6" w:themeTint="99"/>
      </w:tblBorders>
    </w:tblPr>
    <w:tblStylePr w:type="firstRow">
      <w:rPr>
        <w:b/>
        <w:bCs/>
        <w:color w:val="FFFFFF" w:themeColor="background1"/>
      </w:rPr>
      <w:tblPr/>
      <w:tcPr>
        <w:tcBorders>
          <w:top w:val="single" w:sz="4" w:space="0" w:color="9CD2F4" w:themeColor="accent6"/>
          <w:left w:val="single" w:sz="4" w:space="0" w:color="9CD2F4" w:themeColor="accent6"/>
          <w:bottom w:val="single" w:sz="4" w:space="0" w:color="9CD2F4" w:themeColor="accent6"/>
          <w:right w:val="single" w:sz="4" w:space="0" w:color="9CD2F4" w:themeColor="accent6"/>
          <w:insideH w:val="nil"/>
          <w:insideV w:val="nil"/>
        </w:tcBorders>
        <w:shd w:val="clear" w:color="auto" w:fill="9CD2F4" w:themeFill="accent6"/>
      </w:tcPr>
    </w:tblStylePr>
    <w:tblStylePr w:type="lastRow">
      <w:rPr>
        <w:b/>
        <w:bCs/>
      </w:rPr>
      <w:tblPr/>
      <w:tcPr>
        <w:tcBorders>
          <w:top w:val="double" w:sz="4" w:space="0" w:color="9CD2F4" w:themeColor="accent6"/>
        </w:tcBorders>
      </w:tcPr>
    </w:tblStylePr>
    <w:tblStylePr w:type="firstCol">
      <w:rPr>
        <w:b/>
        <w:bCs/>
      </w:rPr>
    </w:tblStylePr>
    <w:tblStylePr w:type="lastCol">
      <w:rPr>
        <w:b/>
        <w:bCs/>
      </w:rPr>
    </w:tblStylePr>
    <w:tblStylePr w:type="band1Vert">
      <w:tblPr/>
      <w:tcPr>
        <w:shd w:val="clear" w:color="auto" w:fill="EBF5FC" w:themeFill="accent6" w:themeFillTint="33"/>
      </w:tcPr>
    </w:tblStylePr>
    <w:tblStylePr w:type="band1Horz">
      <w:tblPr/>
      <w:tcPr>
        <w:shd w:val="clear" w:color="auto" w:fill="EBF5FC" w:themeFill="accent6" w:themeFillTint="33"/>
      </w:tcPr>
    </w:tblStylePr>
  </w:style>
  <w:style w:type="table" w:styleId="GridTable5Dark">
    <w:name w:val="Grid Table 5 Dark"/>
    <w:basedOn w:val="TableNormal"/>
    <w:uiPriority w:val="50"/>
    <w:rsid w:val="00CF26C4"/>
    <w:pPr>
      <w:spacing w:after="0"/>
    </w:pPr>
    <w:rPr>
      <w:rFonts w:eastAsiaTheme="minorHAnsi" w:cs="Arial"/>
      <w:sz w:val="18"/>
      <w:szCs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2D0D0"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A1919"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A1919"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A1919"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A1919" w:themeFill="text1"/>
      </w:tcPr>
    </w:tblStylePr>
    <w:tblStylePr w:type="band1Vert">
      <w:tblPr/>
      <w:tcPr>
        <w:shd w:val="clear" w:color="auto" w:fill="A5A1A1" w:themeFill="text1" w:themeFillTint="66"/>
      </w:tcPr>
    </w:tblStylePr>
    <w:tblStylePr w:type="band1Horz">
      <w:tblPr/>
      <w:tcPr>
        <w:shd w:val="clear" w:color="auto" w:fill="A5A1A1" w:themeFill="text1" w:themeFillTint="66"/>
      </w:tcPr>
    </w:tblStylePr>
  </w:style>
  <w:style w:type="table" w:styleId="GridTable5Dark-Accent1">
    <w:name w:val="Grid Table 5 Dark Accent 1"/>
    <w:basedOn w:val="TableNormal"/>
    <w:uiPriority w:val="50"/>
    <w:rsid w:val="00CF26C4"/>
    <w:pPr>
      <w:spacing w:after="0"/>
    </w:pPr>
    <w:rPr>
      <w:rFonts w:eastAsiaTheme="minorHAnsi" w:cs="Arial"/>
      <w:sz w:val="18"/>
      <w:szCs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F2F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8C0B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8C0B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8C0B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8C0B5" w:themeFill="accent1"/>
      </w:tcPr>
    </w:tblStylePr>
    <w:tblStylePr w:type="band1Vert">
      <w:tblPr/>
      <w:tcPr>
        <w:shd w:val="clear" w:color="auto" w:fill="C2E5E1" w:themeFill="accent1" w:themeFillTint="66"/>
      </w:tcPr>
    </w:tblStylePr>
    <w:tblStylePr w:type="band1Horz">
      <w:tblPr/>
      <w:tcPr>
        <w:shd w:val="clear" w:color="auto" w:fill="C2E5E1" w:themeFill="accent1" w:themeFillTint="66"/>
      </w:tcPr>
    </w:tblStylePr>
  </w:style>
  <w:style w:type="table" w:styleId="GridTable5Dark-Accent2">
    <w:name w:val="Grid Table 5 Dark Accent 2"/>
    <w:basedOn w:val="TableNormal"/>
    <w:uiPriority w:val="50"/>
    <w:rsid w:val="00CF26C4"/>
    <w:pPr>
      <w:spacing w:after="0"/>
    </w:pPr>
    <w:rPr>
      <w:rFonts w:eastAsiaTheme="minorHAnsi" w:cs="Arial"/>
      <w:sz w:val="18"/>
      <w:szCs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EEF8"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9ACD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9ACD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9ACD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9ACDF" w:themeFill="accent2"/>
      </w:tcPr>
    </w:tblStylePr>
    <w:tblStylePr w:type="band1Vert">
      <w:tblPr/>
      <w:tcPr>
        <w:shd w:val="clear" w:color="auto" w:fill="C2DDF2" w:themeFill="accent2" w:themeFillTint="66"/>
      </w:tcPr>
    </w:tblStylePr>
    <w:tblStylePr w:type="band1Horz">
      <w:tblPr/>
      <w:tcPr>
        <w:shd w:val="clear" w:color="auto" w:fill="C2DDF2" w:themeFill="accent2" w:themeFillTint="66"/>
      </w:tcPr>
    </w:tblStylePr>
  </w:style>
  <w:style w:type="table" w:styleId="GridTable5Dark-Accent3">
    <w:name w:val="Grid Table 5 Dark Accent 3"/>
    <w:basedOn w:val="TableNormal"/>
    <w:uiPriority w:val="50"/>
    <w:rsid w:val="00CF26C4"/>
    <w:pPr>
      <w:spacing w:after="0"/>
    </w:pPr>
    <w:rPr>
      <w:rFonts w:eastAsiaTheme="minorHAnsi" w:cs="Arial"/>
      <w:sz w:val="18"/>
      <w:szCs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E1E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36AA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36AA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36AA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36AAF" w:themeFill="accent3"/>
      </w:tcPr>
    </w:tblStylePr>
    <w:tblStylePr w:type="band1Vert">
      <w:tblPr/>
      <w:tcPr>
        <w:shd w:val="clear" w:color="auto" w:fill="C0C3DF" w:themeFill="accent3" w:themeFillTint="66"/>
      </w:tcPr>
    </w:tblStylePr>
    <w:tblStylePr w:type="band1Horz">
      <w:tblPr/>
      <w:tcPr>
        <w:shd w:val="clear" w:color="auto" w:fill="C0C3DF" w:themeFill="accent3" w:themeFillTint="66"/>
      </w:tcPr>
    </w:tblStylePr>
  </w:style>
  <w:style w:type="table" w:styleId="GridTable5Dark-Accent4">
    <w:name w:val="Grid Table 5 Dark Accent 4"/>
    <w:basedOn w:val="TableNormal"/>
    <w:uiPriority w:val="50"/>
    <w:rsid w:val="00CF26C4"/>
    <w:pPr>
      <w:spacing w:after="0"/>
    </w:pPr>
    <w:rPr>
      <w:rFonts w:eastAsiaTheme="minorHAnsi" w:cs="Arial"/>
      <w:sz w:val="18"/>
      <w:szCs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E1EE"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26DAB"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26DAB"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26DAB"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26DAB" w:themeFill="accent4"/>
      </w:tcPr>
    </w:tblStylePr>
    <w:tblStylePr w:type="band1Vert">
      <w:tblPr/>
      <w:tcPr>
        <w:shd w:val="clear" w:color="auto" w:fill="E0C4DD" w:themeFill="accent4" w:themeFillTint="66"/>
      </w:tcPr>
    </w:tblStylePr>
    <w:tblStylePr w:type="band1Horz">
      <w:tblPr/>
      <w:tcPr>
        <w:shd w:val="clear" w:color="auto" w:fill="E0C4DD" w:themeFill="accent4" w:themeFillTint="66"/>
      </w:tcPr>
    </w:tblStylePr>
  </w:style>
  <w:style w:type="table" w:styleId="GridTable5Dark-Accent5">
    <w:name w:val="Grid Table 5 Dark Accent 5"/>
    <w:basedOn w:val="TableNormal"/>
    <w:uiPriority w:val="50"/>
    <w:rsid w:val="00CF26C4"/>
    <w:pPr>
      <w:spacing w:after="0"/>
    </w:pPr>
    <w:rPr>
      <w:rFonts w:eastAsiaTheme="minorHAnsi" w:cs="Arial"/>
      <w:sz w:val="18"/>
      <w:szCs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EC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7A2C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7A2C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7A2C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7A2C8" w:themeFill="accent5"/>
      </w:tcPr>
    </w:tblStylePr>
    <w:tblStylePr w:type="band1Vert">
      <w:tblPr/>
      <w:tcPr>
        <w:shd w:val="clear" w:color="auto" w:fill="F5D9E8" w:themeFill="accent5" w:themeFillTint="66"/>
      </w:tcPr>
    </w:tblStylePr>
    <w:tblStylePr w:type="band1Horz">
      <w:tblPr/>
      <w:tcPr>
        <w:shd w:val="clear" w:color="auto" w:fill="F5D9E8" w:themeFill="accent5" w:themeFillTint="66"/>
      </w:tcPr>
    </w:tblStylePr>
  </w:style>
  <w:style w:type="table" w:styleId="GridTable5Dark-Accent6">
    <w:name w:val="Grid Table 5 Dark Accent 6"/>
    <w:basedOn w:val="TableNormal"/>
    <w:uiPriority w:val="50"/>
    <w:rsid w:val="00CF26C4"/>
    <w:pPr>
      <w:spacing w:after="0"/>
    </w:pPr>
    <w:rPr>
      <w:rFonts w:eastAsiaTheme="minorHAnsi" w:cs="Arial"/>
      <w:sz w:val="18"/>
      <w:szCs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BF5F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CD2F4"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CD2F4"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CD2F4"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CD2F4" w:themeFill="accent6"/>
      </w:tcPr>
    </w:tblStylePr>
    <w:tblStylePr w:type="band1Vert">
      <w:tblPr/>
      <w:tcPr>
        <w:shd w:val="clear" w:color="auto" w:fill="D7ECFA" w:themeFill="accent6" w:themeFillTint="66"/>
      </w:tcPr>
    </w:tblStylePr>
    <w:tblStylePr w:type="band1Horz">
      <w:tblPr/>
      <w:tcPr>
        <w:shd w:val="clear" w:color="auto" w:fill="D7ECFA" w:themeFill="accent6" w:themeFillTint="66"/>
      </w:tcPr>
    </w:tblStylePr>
  </w:style>
  <w:style w:type="table" w:styleId="GridTable6Colorful">
    <w:name w:val="Grid Table 6 Colorful"/>
    <w:basedOn w:val="TableNormal"/>
    <w:uiPriority w:val="51"/>
    <w:rsid w:val="00CF26C4"/>
    <w:pPr>
      <w:spacing w:after="0"/>
    </w:pPr>
    <w:rPr>
      <w:rFonts w:eastAsiaTheme="minorHAnsi" w:cs="Arial"/>
      <w:color w:val="1A1919" w:themeColor="text1"/>
      <w:sz w:val="18"/>
      <w:szCs w:val="18"/>
    </w:rPr>
    <w:tblPr>
      <w:tblStyleRowBandSize w:val="1"/>
      <w:tblStyleColBandSize w:val="1"/>
      <w:tblBorders>
        <w:top w:val="single" w:sz="4" w:space="0" w:color="777373" w:themeColor="text1" w:themeTint="99"/>
        <w:left w:val="single" w:sz="4" w:space="0" w:color="777373" w:themeColor="text1" w:themeTint="99"/>
        <w:bottom w:val="single" w:sz="4" w:space="0" w:color="777373" w:themeColor="text1" w:themeTint="99"/>
        <w:right w:val="single" w:sz="4" w:space="0" w:color="777373" w:themeColor="text1" w:themeTint="99"/>
        <w:insideH w:val="single" w:sz="4" w:space="0" w:color="777373" w:themeColor="text1" w:themeTint="99"/>
        <w:insideV w:val="single" w:sz="4" w:space="0" w:color="777373" w:themeColor="text1" w:themeTint="99"/>
      </w:tblBorders>
    </w:tblPr>
    <w:tblStylePr w:type="firstRow">
      <w:rPr>
        <w:b/>
        <w:bCs/>
      </w:rPr>
      <w:tblPr/>
      <w:tcPr>
        <w:tcBorders>
          <w:bottom w:val="single" w:sz="12" w:space="0" w:color="777373" w:themeColor="text1" w:themeTint="99"/>
        </w:tcBorders>
      </w:tcPr>
    </w:tblStylePr>
    <w:tblStylePr w:type="lastRow">
      <w:rPr>
        <w:b/>
        <w:bCs/>
      </w:rPr>
      <w:tblPr/>
      <w:tcPr>
        <w:tcBorders>
          <w:top w:val="double" w:sz="4" w:space="0" w:color="777373" w:themeColor="text1" w:themeTint="99"/>
        </w:tcBorders>
      </w:tcPr>
    </w:tblStylePr>
    <w:tblStylePr w:type="firstCol">
      <w:rPr>
        <w:b/>
        <w:bCs/>
      </w:rPr>
    </w:tblStylePr>
    <w:tblStylePr w:type="lastCol">
      <w:rPr>
        <w:b/>
        <w:bCs/>
      </w:rPr>
    </w:tblStylePr>
    <w:tblStylePr w:type="band1Vert">
      <w:tblPr/>
      <w:tcPr>
        <w:shd w:val="clear" w:color="auto" w:fill="D2D0D0" w:themeFill="text1" w:themeFillTint="33"/>
      </w:tcPr>
    </w:tblStylePr>
    <w:tblStylePr w:type="band1Horz">
      <w:tblPr/>
      <w:tcPr>
        <w:shd w:val="clear" w:color="auto" w:fill="D2D0D0" w:themeFill="text1" w:themeFillTint="33"/>
      </w:tcPr>
    </w:tblStylePr>
  </w:style>
  <w:style w:type="table" w:styleId="GridTable6Colorful-Accent1">
    <w:name w:val="Grid Table 6 Colorful Accent 1"/>
    <w:basedOn w:val="TableNormal"/>
    <w:uiPriority w:val="51"/>
    <w:rsid w:val="00CF26C4"/>
    <w:pPr>
      <w:spacing w:after="0"/>
    </w:pPr>
    <w:rPr>
      <w:rFonts w:eastAsiaTheme="minorHAnsi" w:cs="Arial"/>
      <w:color w:val="419C90" w:themeColor="accent1" w:themeShade="BF"/>
      <w:sz w:val="18"/>
      <w:szCs w:val="18"/>
    </w:rPr>
    <w:tblPr>
      <w:tblStyleRowBandSize w:val="1"/>
      <w:tblStyleColBandSize w:val="1"/>
      <w:tblBorders>
        <w:top w:val="single" w:sz="4" w:space="0" w:color="A4D9D2" w:themeColor="accent1" w:themeTint="99"/>
        <w:left w:val="single" w:sz="4" w:space="0" w:color="A4D9D2" w:themeColor="accent1" w:themeTint="99"/>
        <w:bottom w:val="single" w:sz="4" w:space="0" w:color="A4D9D2" w:themeColor="accent1" w:themeTint="99"/>
        <w:right w:val="single" w:sz="4" w:space="0" w:color="A4D9D2" w:themeColor="accent1" w:themeTint="99"/>
        <w:insideH w:val="single" w:sz="4" w:space="0" w:color="A4D9D2" w:themeColor="accent1" w:themeTint="99"/>
        <w:insideV w:val="single" w:sz="4" w:space="0" w:color="A4D9D2" w:themeColor="accent1" w:themeTint="99"/>
      </w:tblBorders>
    </w:tblPr>
    <w:tblStylePr w:type="firstRow">
      <w:rPr>
        <w:b/>
        <w:bCs/>
      </w:rPr>
      <w:tblPr/>
      <w:tcPr>
        <w:tcBorders>
          <w:bottom w:val="single" w:sz="12" w:space="0" w:color="A4D9D2" w:themeColor="accent1" w:themeTint="99"/>
        </w:tcBorders>
      </w:tcPr>
    </w:tblStylePr>
    <w:tblStylePr w:type="lastRow">
      <w:rPr>
        <w:b/>
        <w:bCs/>
      </w:rPr>
      <w:tblPr/>
      <w:tcPr>
        <w:tcBorders>
          <w:top w:val="double" w:sz="4" w:space="0" w:color="A4D9D2" w:themeColor="accent1" w:themeTint="99"/>
        </w:tcBorders>
      </w:tcPr>
    </w:tblStylePr>
    <w:tblStylePr w:type="firstCol">
      <w:rPr>
        <w:b/>
        <w:bCs/>
      </w:rPr>
    </w:tblStylePr>
    <w:tblStylePr w:type="lastCol">
      <w:rPr>
        <w:b/>
        <w:bCs/>
      </w:rPr>
    </w:tblStylePr>
    <w:tblStylePr w:type="band1Vert">
      <w:tblPr/>
      <w:tcPr>
        <w:shd w:val="clear" w:color="auto" w:fill="E0F2F0" w:themeFill="accent1" w:themeFillTint="33"/>
      </w:tcPr>
    </w:tblStylePr>
    <w:tblStylePr w:type="band1Horz">
      <w:tblPr/>
      <w:tcPr>
        <w:shd w:val="clear" w:color="auto" w:fill="E0F2F0" w:themeFill="accent1" w:themeFillTint="33"/>
      </w:tcPr>
    </w:tblStylePr>
  </w:style>
  <w:style w:type="table" w:styleId="GridTable6Colorful-Accent2">
    <w:name w:val="Grid Table 6 Colorful Accent 2"/>
    <w:basedOn w:val="TableNormal"/>
    <w:uiPriority w:val="51"/>
    <w:rsid w:val="00CF26C4"/>
    <w:pPr>
      <w:spacing w:after="0"/>
    </w:pPr>
    <w:rPr>
      <w:rFonts w:eastAsiaTheme="minorHAnsi" w:cs="Arial"/>
      <w:color w:val="2B85CA" w:themeColor="accent2" w:themeShade="BF"/>
      <w:sz w:val="18"/>
      <w:szCs w:val="18"/>
    </w:rPr>
    <w:tblPr>
      <w:tblStyleRowBandSize w:val="1"/>
      <w:tblStyleColBandSize w:val="1"/>
      <w:tblBorders>
        <w:top w:val="single" w:sz="4" w:space="0" w:color="A4CCEB" w:themeColor="accent2" w:themeTint="99"/>
        <w:left w:val="single" w:sz="4" w:space="0" w:color="A4CCEB" w:themeColor="accent2" w:themeTint="99"/>
        <w:bottom w:val="single" w:sz="4" w:space="0" w:color="A4CCEB" w:themeColor="accent2" w:themeTint="99"/>
        <w:right w:val="single" w:sz="4" w:space="0" w:color="A4CCEB" w:themeColor="accent2" w:themeTint="99"/>
        <w:insideH w:val="single" w:sz="4" w:space="0" w:color="A4CCEB" w:themeColor="accent2" w:themeTint="99"/>
        <w:insideV w:val="single" w:sz="4" w:space="0" w:color="A4CCEB" w:themeColor="accent2" w:themeTint="99"/>
      </w:tblBorders>
    </w:tblPr>
    <w:tblStylePr w:type="firstRow">
      <w:rPr>
        <w:b/>
        <w:bCs/>
      </w:rPr>
      <w:tblPr/>
      <w:tcPr>
        <w:tcBorders>
          <w:bottom w:val="single" w:sz="12" w:space="0" w:color="A4CCEB" w:themeColor="accent2" w:themeTint="99"/>
        </w:tcBorders>
      </w:tcPr>
    </w:tblStylePr>
    <w:tblStylePr w:type="lastRow">
      <w:rPr>
        <w:b/>
        <w:bCs/>
      </w:rPr>
      <w:tblPr/>
      <w:tcPr>
        <w:tcBorders>
          <w:top w:val="double" w:sz="4" w:space="0" w:color="A4CCEB" w:themeColor="accent2" w:themeTint="99"/>
        </w:tcBorders>
      </w:tcPr>
    </w:tblStylePr>
    <w:tblStylePr w:type="firstCol">
      <w:rPr>
        <w:b/>
        <w:bCs/>
      </w:rPr>
    </w:tblStylePr>
    <w:tblStylePr w:type="lastCol">
      <w:rPr>
        <w:b/>
        <w:bCs/>
      </w:rPr>
    </w:tblStylePr>
    <w:tblStylePr w:type="band1Vert">
      <w:tblPr/>
      <w:tcPr>
        <w:shd w:val="clear" w:color="auto" w:fill="E0EEF8" w:themeFill="accent2" w:themeFillTint="33"/>
      </w:tcPr>
    </w:tblStylePr>
    <w:tblStylePr w:type="band1Horz">
      <w:tblPr/>
      <w:tcPr>
        <w:shd w:val="clear" w:color="auto" w:fill="E0EEF8" w:themeFill="accent2" w:themeFillTint="33"/>
      </w:tcPr>
    </w:tblStylePr>
  </w:style>
  <w:style w:type="table" w:styleId="GridTable6Colorful-Accent3">
    <w:name w:val="Grid Table 6 Colorful Accent 3"/>
    <w:basedOn w:val="TableNormal"/>
    <w:uiPriority w:val="51"/>
    <w:rsid w:val="00CF26C4"/>
    <w:pPr>
      <w:spacing w:after="0"/>
    </w:pPr>
    <w:rPr>
      <w:rFonts w:eastAsiaTheme="minorHAnsi" w:cs="Arial"/>
      <w:color w:val="454B87" w:themeColor="accent3" w:themeShade="BF"/>
      <w:sz w:val="18"/>
      <w:szCs w:val="18"/>
    </w:rPr>
    <w:tblPr>
      <w:tblStyleRowBandSize w:val="1"/>
      <w:tblStyleColBandSize w:val="1"/>
      <w:tblBorders>
        <w:top w:val="single" w:sz="4" w:space="0" w:color="A1A5CF" w:themeColor="accent3" w:themeTint="99"/>
        <w:left w:val="single" w:sz="4" w:space="0" w:color="A1A5CF" w:themeColor="accent3" w:themeTint="99"/>
        <w:bottom w:val="single" w:sz="4" w:space="0" w:color="A1A5CF" w:themeColor="accent3" w:themeTint="99"/>
        <w:right w:val="single" w:sz="4" w:space="0" w:color="A1A5CF" w:themeColor="accent3" w:themeTint="99"/>
        <w:insideH w:val="single" w:sz="4" w:space="0" w:color="A1A5CF" w:themeColor="accent3" w:themeTint="99"/>
        <w:insideV w:val="single" w:sz="4" w:space="0" w:color="A1A5CF" w:themeColor="accent3" w:themeTint="99"/>
      </w:tblBorders>
    </w:tblPr>
    <w:tblStylePr w:type="firstRow">
      <w:rPr>
        <w:b/>
        <w:bCs/>
      </w:rPr>
      <w:tblPr/>
      <w:tcPr>
        <w:tcBorders>
          <w:bottom w:val="single" w:sz="12" w:space="0" w:color="A1A5CF" w:themeColor="accent3" w:themeTint="99"/>
        </w:tcBorders>
      </w:tcPr>
    </w:tblStylePr>
    <w:tblStylePr w:type="lastRow">
      <w:rPr>
        <w:b/>
        <w:bCs/>
      </w:rPr>
      <w:tblPr/>
      <w:tcPr>
        <w:tcBorders>
          <w:top w:val="double" w:sz="4" w:space="0" w:color="A1A5CF" w:themeColor="accent3" w:themeTint="99"/>
        </w:tcBorders>
      </w:tcPr>
    </w:tblStylePr>
    <w:tblStylePr w:type="firstCol">
      <w:rPr>
        <w:b/>
        <w:bCs/>
      </w:rPr>
    </w:tblStylePr>
    <w:tblStylePr w:type="lastCol">
      <w:rPr>
        <w:b/>
        <w:bCs/>
      </w:rPr>
    </w:tblStylePr>
    <w:tblStylePr w:type="band1Vert">
      <w:tblPr/>
      <w:tcPr>
        <w:shd w:val="clear" w:color="auto" w:fill="DFE1EF" w:themeFill="accent3" w:themeFillTint="33"/>
      </w:tcPr>
    </w:tblStylePr>
    <w:tblStylePr w:type="band1Horz">
      <w:tblPr/>
      <w:tcPr>
        <w:shd w:val="clear" w:color="auto" w:fill="DFE1EF" w:themeFill="accent3" w:themeFillTint="33"/>
      </w:tcPr>
    </w:tblStylePr>
  </w:style>
  <w:style w:type="table" w:styleId="GridTable6Colorful-Accent4">
    <w:name w:val="Grid Table 6 Colorful Accent 4"/>
    <w:basedOn w:val="TableNormal"/>
    <w:uiPriority w:val="51"/>
    <w:rsid w:val="00CF26C4"/>
    <w:pPr>
      <w:spacing w:after="0"/>
    </w:pPr>
    <w:rPr>
      <w:rFonts w:eastAsiaTheme="minorHAnsi" w:cs="Arial"/>
      <w:color w:val="8C4A85" w:themeColor="accent4" w:themeShade="BF"/>
      <w:sz w:val="18"/>
      <w:szCs w:val="18"/>
    </w:rPr>
    <w:tblPr>
      <w:tblStyleRowBandSize w:val="1"/>
      <w:tblStyleColBandSize w:val="1"/>
      <w:tblBorders>
        <w:top w:val="single" w:sz="4" w:space="0" w:color="D0A7CC" w:themeColor="accent4" w:themeTint="99"/>
        <w:left w:val="single" w:sz="4" w:space="0" w:color="D0A7CC" w:themeColor="accent4" w:themeTint="99"/>
        <w:bottom w:val="single" w:sz="4" w:space="0" w:color="D0A7CC" w:themeColor="accent4" w:themeTint="99"/>
        <w:right w:val="single" w:sz="4" w:space="0" w:color="D0A7CC" w:themeColor="accent4" w:themeTint="99"/>
        <w:insideH w:val="single" w:sz="4" w:space="0" w:color="D0A7CC" w:themeColor="accent4" w:themeTint="99"/>
        <w:insideV w:val="single" w:sz="4" w:space="0" w:color="D0A7CC" w:themeColor="accent4" w:themeTint="99"/>
      </w:tblBorders>
    </w:tblPr>
    <w:tblStylePr w:type="firstRow">
      <w:rPr>
        <w:b/>
        <w:bCs/>
      </w:rPr>
      <w:tblPr/>
      <w:tcPr>
        <w:tcBorders>
          <w:bottom w:val="single" w:sz="12" w:space="0" w:color="D0A7CC" w:themeColor="accent4" w:themeTint="99"/>
        </w:tcBorders>
      </w:tcPr>
    </w:tblStylePr>
    <w:tblStylePr w:type="lastRow">
      <w:rPr>
        <w:b/>
        <w:bCs/>
      </w:rPr>
      <w:tblPr/>
      <w:tcPr>
        <w:tcBorders>
          <w:top w:val="double" w:sz="4" w:space="0" w:color="D0A7CC" w:themeColor="accent4" w:themeTint="99"/>
        </w:tcBorders>
      </w:tcPr>
    </w:tblStylePr>
    <w:tblStylePr w:type="firstCol">
      <w:rPr>
        <w:b/>
        <w:bCs/>
      </w:rPr>
    </w:tblStylePr>
    <w:tblStylePr w:type="lastCol">
      <w:rPr>
        <w:b/>
        <w:bCs/>
      </w:rPr>
    </w:tblStylePr>
    <w:tblStylePr w:type="band1Vert">
      <w:tblPr/>
      <w:tcPr>
        <w:shd w:val="clear" w:color="auto" w:fill="EFE1EE" w:themeFill="accent4" w:themeFillTint="33"/>
      </w:tcPr>
    </w:tblStylePr>
    <w:tblStylePr w:type="band1Horz">
      <w:tblPr/>
      <w:tcPr>
        <w:shd w:val="clear" w:color="auto" w:fill="EFE1EE" w:themeFill="accent4" w:themeFillTint="33"/>
      </w:tcPr>
    </w:tblStylePr>
  </w:style>
  <w:style w:type="table" w:styleId="GridTable6Colorful-Accent5">
    <w:name w:val="Grid Table 6 Colorful Accent 5"/>
    <w:basedOn w:val="TableNormal"/>
    <w:uiPriority w:val="51"/>
    <w:rsid w:val="00CF26C4"/>
    <w:pPr>
      <w:spacing w:after="0"/>
    </w:pPr>
    <w:rPr>
      <w:rFonts w:eastAsiaTheme="minorHAnsi" w:cs="Arial"/>
      <w:color w:val="D25399" w:themeColor="accent5" w:themeShade="BF"/>
      <w:sz w:val="18"/>
      <w:szCs w:val="18"/>
    </w:rPr>
    <w:tblPr>
      <w:tblStyleRowBandSize w:val="1"/>
      <w:tblStyleColBandSize w:val="1"/>
      <w:tblBorders>
        <w:top w:val="single" w:sz="4" w:space="0" w:color="F0C7DD" w:themeColor="accent5" w:themeTint="99"/>
        <w:left w:val="single" w:sz="4" w:space="0" w:color="F0C7DD" w:themeColor="accent5" w:themeTint="99"/>
        <w:bottom w:val="single" w:sz="4" w:space="0" w:color="F0C7DD" w:themeColor="accent5" w:themeTint="99"/>
        <w:right w:val="single" w:sz="4" w:space="0" w:color="F0C7DD" w:themeColor="accent5" w:themeTint="99"/>
        <w:insideH w:val="single" w:sz="4" w:space="0" w:color="F0C7DD" w:themeColor="accent5" w:themeTint="99"/>
        <w:insideV w:val="single" w:sz="4" w:space="0" w:color="F0C7DD" w:themeColor="accent5" w:themeTint="99"/>
      </w:tblBorders>
    </w:tblPr>
    <w:tblStylePr w:type="firstRow">
      <w:rPr>
        <w:b/>
        <w:bCs/>
      </w:rPr>
      <w:tblPr/>
      <w:tcPr>
        <w:tcBorders>
          <w:bottom w:val="single" w:sz="12" w:space="0" w:color="F0C7DD" w:themeColor="accent5" w:themeTint="99"/>
        </w:tcBorders>
      </w:tcPr>
    </w:tblStylePr>
    <w:tblStylePr w:type="lastRow">
      <w:rPr>
        <w:b/>
        <w:bCs/>
      </w:rPr>
      <w:tblPr/>
      <w:tcPr>
        <w:tcBorders>
          <w:top w:val="double" w:sz="4" w:space="0" w:color="F0C7DD" w:themeColor="accent5" w:themeTint="99"/>
        </w:tcBorders>
      </w:tcPr>
    </w:tblStylePr>
    <w:tblStylePr w:type="firstCol">
      <w:rPr>
        <w:b/>
        <w:bCs/>
      </w:rPr>
    </w:tblStylePr>
    <w:tblStylePr w:type="lastCol">
      <w:rPr>
        <w:b/>
        <w:bCs/>
      </w:rPr>
    </w:tblStylePr>
    <w:tblStylePr w:type="band1Vert">
      <w:tblPr/>
      <w:tcPr>
        <w:shd w:val="clear" w:color="auto" w:fill="FAECF3" w:themeFill="accent5" w:themeFillTint="33"/>
      </w:tcPr>
    </w:tblStylePr>
    <w:tblStylePr w:type="band1Horz">
      <w:tblPr/>
      <w:tcPr>
        <w:shd w:val="clear" w:color="auto" w:fill="FAECF3" w:themeFill="accent5" w:themeFillTint="33"/>
      </w:tcPr>
    </w:tblStylePr>
  </w:style>
  <w:style w:type="table" w:styleId="GridTable6Colorful-Accent6">
    <w:name w:val="Grid Table 6 Colorful Accent 6"/>
    <w:basedOn w:val="TableNormal"/>
    <w:uiPriority w:val="51"/>
    <w:rsid w:val="00CF26C4"/>
    <w:pPr>
      <w:spacing w:after="0"/>
    </w:pPr>
    <w:rPr>
      <w:rFonts w:eastAsiaTheme="minorHAnsi" w:cs="Arial"/>
      <w:color w:val="41A8EA" w:themeColor="accent6" w:themeShade="BF"/>
      <w:sz w:val="18"/>
      <w:szCs w:val="18"/>
    </w:rPr>
    <w:tblPr>
      <w:tblStyleRowBandSize w:val="1"/>
      <w:tblStyleColBandSize w:val="1"/>
      <w:tblBorders>
        <w:top w:val="single" w:sz="4" w:space="0" w:color="C3E3F8" w:themeColor="accent6" w:themeTint="99"/>
        <w:left w:val="single" w:sz="4" w:space="0" w:color="C3E3F8" w:themeColor="accent6" w:themeTint="99"/>
        <w:bottom w:val="single" w:sz="4" w:space="0" w:color="C3E3F8" w:themeColor="accent6" w:themeTint="99"/>
        <w:right w:val="single" w:sz="4" w:space="0" w:color="C3E3F8" w:themeColor="accent6" w:themeTint="99"/>
        <w:insideH w:val="single" w:sz="4" w:space="0" w:color="C3E3F8" w:themeColor="accent6" w:themeTint="99"/>
        <w:insideV w:val="single" w:sz="4" w:space="0" w:color="C3E3F8" w:themeColor="accent6" w:themeTint="99"/>
      </w:tblBorders>
    </w:tblPr>
    <w:tblStylePr w:type="firstRow">
      <w:rPr>
        <w:b/>
        <w:bCs/>
      </w:rPr>
      <w:tblPr/>
      <w:tcPr>
        <w:tcBorders>
          <w:bottom w:val="single" w:sz="12" w:space="0" w:color="C3E3F8" w:themeColor="accent6" w:themeTint="99"/>
        </w:tcBorders>
      </w:tcPr>
    </w:tblStylePr>
    <w:tblStylePr w:type="lastRow">
      <w:rPr>
        <w:b/>
        <w:bCs/>
      </w:rPr>
      <w:tblPr/>
      <w:tcPr>
        <w:tcBorders>
          <w:top w:val="double" w:sz="4" w:space="0" w:color="C3E3F8" w:themeColor="accent6" w:themeTint="99"/>
        </w:tcBorders>
      </w:tcPr>
    </w:tblStylePr>
    <w:tblStylePr w:type="firstCol">
      <w:rPr>
        <w:b/>
        <w:bCs/>
      </w:rPr>
    </w:tblStylePr>
    <w:tblStylePr w:type="lastCol">
      <w:rPr>
        <w:b/>
        <w:bCs/>
      </w:rPr>
    </w:tblStylePr>
    <w:tblStylePr w:type="band1Vert">
      <w:tblPr/>
      <w:tcPr>
        <w:shd w:val="clear" w:color="auto" w:fill="EBF5FC" w:themeFill="accent6" w:themeFillTint="33"/>
      </w:tcPr>
    </w:tblStylePr>
    <w:tblStylePr w:type="band1Horz">
      <w:tblPr/>
      <w:tcPr>
        <w:shd w:val="clear" w:color="auto" w:fill="EBF5FC" w:themeFill="accent6" w:themeFillTint="33"/>
      </w:tcPr>
    </w:tblStylePr>
  </w:style>
  <w:style w:type="table" w:styleId="GridTable7Colorful">
    <w:name w:val="Grid Table 7 Colorful"/>
    <w:basedOn w:val="TableNormal"/>
    <w:uiPriority w:val="52"/>
    <w:rsid w:val="00CF26C4"/>
    <w:pPr>
      <w:spacing w:after="0"/>
    </w:pPr>
    <w:rPr>
      <w:rFonts w:eastAsiaTheme="minorHAnsi" w:cs="Arial"/>
      <w:color w:val="1A1919" w:themeColor="text1"/>
      <w:sz w:val="18"/>
      <w:szCs w:val="18"/>
    </w:rPr>
    <w:tblPr>
      <w:tblStyleRowBandSize w:val="1"/>
      <w:tblStyleColBandSize w:val="1"/>
      <w:tblBorders>
        <w:top w:val="single" w:sz="4" w:space="0" w:color="777373" w:themeColor="text1" w:themeTint="99"/>
        <w:left w:val="single" w:sz="4" w:space="0" w:color="777373" w:themeColor="text1" w:themeTint="99"/>
        <w:bottom w:val="single" w:sz="4" w:space="0" w:color="777373" w:themeColor="text1" w:themeTint="99"/>
        <w:right w:val="single" w:sz="4" w:space="0" w:color="777373" w:themeColor="text1" w:themeTint="99"/>
        <w:insideH w:val="single" w:sz="4" w:space="0" w:color="777373" w:themeColor="text1" w:themeTint="99"/>
        <w:insideV w:val="single" w:sz="4" w:space="0" w:color="77737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D0D0" w:themeFill="text1" w:themeFillTint="33"/>
      </w:tcPr>
    </w:tblStylePr>
    <w:tblStylePr w:type="band1Horz">
      <w:tblPr/>
      <w:tcPr>
        <w:shd w:val="clear" w:color="auto" w:fill="D2D0D0" w:themeFill="text1" w:themeFillTint="33"/>
      </w:tcPr>
    </w:tblStylePr>
    <w:tblStylePr w:type="neCell">
      <w:tblPr/>
      <w:tcPr>
        <w:tcBorders>
          <w:bottom w:val="single" w:sz="4" w:space="0" w:color="777373" w:themeColor="text1" w:themeTint="99"/>
        </w:tcBorders>
      </w:tcPr>
    </w:tblStylePr>
    <w:tblStylePr w:type="nwCell">
      <w:tblPr/>
      <w:tcPr>
        <w:tcBorders>
          <w:bottom w:val="single" w:sz="4" w:space="0" w:color="777373" w:themeColor="text1" w:themeTint="99"/>
        </w:tcBorders>
      </w:tcPr>
    </w:tblStylePr>
    <w:tblStylePr w:type="seCell">
      <w:tblPr/>
      <w:tcPr>
        <w:tcBorders>
          <w:top w:val="single" w:sz="4" w:space="0" w:color="777373" w:themeColor="text1" w:themeTint="99"/>
        </w:tcBorders>
      </w:tcPr>
    </w:tblStylePr>
    <w:tblStylePr w:type="swCell">
      <w:tblPr/>
      <w:tcPr>
        <w:tcBorders>
          <w:top w:val="single" w:sz="4" w:space="0" w:color="777373" w:themeColor="text1" w:themeTint="99"/>
        </w:tcBorders>
      </w:tcPr>
    </w:tblStylePr>
  </w:style>
  <w:style w:type="table" w:styleId="GridTable7Colorful-Accent1">
    <w:name w:val="Grid Table 7 Colorful Accent 1"/>
    <w:basedOn w:val="TableNormal"/>
    <w:uiPriority w:val="52"/>
    <w:rsid w:val="00CF26C4"/>
    <w:pPr>
      <w:spacing w:after="0"/>
    </w:pPr>
    <w:rPr>
      <w:rFonts w:eastAsiaTheme="minorHAnsi" w:cs="Arial"/>
      <w:color w:val="419C90" w:themeColor="accent1" w:themeShade="BF"/>
      <w:sz w:val="18"/>
      <w:szCs w:val="18"/>
    </w:rPr>
    <w:tblPr>
      <w:tblStyleRowBandSize w:val="1"/>
      <w:tblStyleColBandSize w:val="1"/>
      <w:tblBorders>
        <w:top w:val="single" w:sz="4" w:space="0" w:color="A4D9D2" w:themeColor="accent1" w:themeTint="99"/>
        <w:left w:val="single" w:sz="4" w:space="0" w:color="A4D9D2" w:themeColor="accent1" w:themeTint="99"/>
        <w:bottom w:val="single" w:sz="4" w:space="0" w:color="A4D9D2" w:themeColor="accent1" w:themeTint="99"/>
        <w:right w:val="single" w:sz="4" w:space="0" w:color="A4D9D2" w:themeColor="accent1" w:themeTint="99"/>
        <w:insideH w:val="single" w:sz="4" w:space="0" w:color="A4D9D2" w:themeColor="accent1" w:themeTint="99"/>
        <w:insideV w:val="single" w:sz="4" w:space="0" w:color="A4D9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F2F0" w:themeFill="accent1" w:themeFillTint="33"/>
      </w:tcPr>
    </w:tblStylePr>
    <w:tblStylePr w:type="band1Horz">
      <w:tblPr/>
      <w:tcPr>
        <w:shd w:val="clear" w:color="auto" w:fill="E0F2F0" w:themeFill="accent1" w:themeFillTint="33"/>
      </w:tcPr>
    </w:tblStylePr>
    <w:tblStylePr w:type="neCell">
      <w:tblPr/>
      <w:tcPr>
        <w:tcBorders>
          <w:bottom w:val="single" w:sz="4" w:space="0" w:color="A4D9D2" w:themeColor="accent1" w:themeTint="99"/>
        </w:tcBorders>
      </w:tcPr>
    </w:tblStylePr>
    <w:tblStylePr w:type="nwCell">
      <w:tblPr/>
      <w:tcPr>
        <w:tcBorders>
          <w:bottom w:val="single" w:sz="4" w:space="0" w:color="A4D9D2" w:themeColor="accent1" w:themeTint="99"/>
        </w:tcBorders>
      </w:tcPr>
    </w:tblStylePr>
    <w:tblStylePr w:type="seCell">
      <w:tblPr/>
      <w:tcPr>
        <w:tcBorders>
          <w:top w:val="single" w:sz="4" w:space="0" w:color="A4D9D2" w:themeColor="accent1" w:themeTint="99"/>
        </w:tcBorders>
      </w:tcPr>
    </w:tblStylePr>
    <w:tblStylePr w:type="swCell">
      <w:tblPr/>
      <w:tcPr>
        <w:tcBorders>
          <w:top w:val="single" w:sz="4" w:space="0" w:color="A4D9D2" w:themeColor="accent1" w:themeTint="99"/>
        </w:tcBorders>
      </w:tcPr>
    </w:tblStylePr>
  </w:style>
  <w:style w:type="table" w:styleId="GridTable7Colorful-Accent2">
    <w:name w:val="Grid Table 7 Colorful Accent 2"/>
    <w:basedOn w:val="TableNormal"/>
    <w:uiPriority w:val="52"/>
    <w:rsid w:val="00CF26C4"/>
    <w:pPr>
      <w:spacing w:after="0"/>
    </w:pPr>
    <w:rPr>
      <w:rFonts w:eastAsiaTheme="minorHAnsi" w:cs="Arial"/>
      <w:color w:val="2B85CA" w:themeColor="accent2" w:themeShade="BF"/>
      <w:sz w:val="18"/>
      <w:szCs w:val="18"/>
    </w:rPr>
    <w:tblPr>
      <w:tblStyleRowBandSize w:val="1"/>
      <w:tblStyleColBandSize w:val="1"/>
      <w:tblBorders>
        <w:top w:val="single" w:sz="4" w:space="0" w:color="A4CCEB" w:themeColor="accent2" w:themeTint="99"/>
        <w:left w:val="single" w:sz="4" w:space="0" w:color="A4CCEB" w:themeColor="accent2" w:themeTint="99"/>
        <w:bottom w:val="single" w:sz="4" w:space="0" w:color="A4CCEB" w:themeColor="accent2" w:themeTint="99"/>
        <w:right w:val="single" w:sz="4" w:space="0" w:color="A4CCEB" w:themeColor="accent2" w:themeTint="99"/>
        <w:insideH w:val="single" w:sz="4" w:space="0" w:color="A4CCEB" w:themeColor="accent2" w:themeTint="99"/>
        <w:insideV w:val="single" w:sz="4" w:space="0" w:color="A4CC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EF8" w:themeFill="accent2" w:themeFillTint="33"/>
      </w:tcPr>
    </w:tblStylePr>
    <w:tblStylePr w:type="band1Horz">
      <w:tblPr/>
      <w:tcPr>
        <w:shd w:val="clear" w:color="auto" w:fill="E0EEF8" w:themeFill="accent2" w:themeFillTint="33"/>
      </w:tcPr>
    </w:tblStylePr>
    <w:tblStylePr w:type="neCell">
      <w:tblPr/>
      <w:tcPr>
        <w:tcBorders>
          <w:bottom w:val="single" w:sz="4" w:space="0" w:color="A4CCEB" w:themeColor="accent2" w:themeTint="99"/>
        </w:tcBorders>
      </w:tcPr>
    </w:tblStylePr>
    <w:tblStylePr w:type="nwCell">
      <w:tblPr/>
      <w:tcPr>
        <w:tcBorders>
          <w:bottom w:val="single" w:sz="4" w:space="0" w:color="A4CCEB" w:themeColor="accent2" w:themeTint="99"/>
        </w:tcBorders>
      </w:tcPr>
    </w:tblStylePr>
    <w:tblStylePr w:type="seCell">
      <w:tblPr/>
      <w:tcPr>
        <w:tcBorders>
          <w:top w:val="single" w:sz="4" w:space="0" w:color="A4CCEB" w:themeColor="accent2" w:themeTint="99"/>
        </w:tcBorders>
      </w:tcPr>
    </w:tblStylePr>
    <w:tblStylePr w:type="swCell">
      <w:tblPr/>
      <w:tcPr>
        <w:tcBorders>
          <w:top w:val="single" w:sz="4" w:space="0" w:color="A4CCEB" w:themeColor="accent2" w:themeTint="99"/>
        </w:tcBorders>
      </w:tcPr>
    </w:tblStylePr>
  </w:style>
  <w:style w:type="table" w:styleId="GridTable7Colorful-Accent3">
    <w:name w:val="Grid Table 7 Colorful Accent 3"/>
    <w:basedOn w:val="TableNormal"/>
    <w:uiPriority w:val="52"/>
    <w:rsid w:val="00CF26C4"/>
    <w:pPr>
      <w:spacing w:after="0"/>
    </w:pPr>
    <w:rPr>
      <w:rFonts w:eastAsiaTheme="minorHAnsi" w:cs="Arial"/>
      <w:color w:val="454B87" w:themeColor="accent3" w:themeShade="BF"/>
      <w:sz w:val="18"/>
      <w:szCs w:val="18"/>
    </w:rPr>
    <w:tblPr>
      <w:tblStyleRowBandSize w:val="1"/>
      <w:tblStyleColBandSize w:val="1"/>
      <w:tblBorders>
        <w:top w:val="single" w:sz="4" w:space="0" w:color="A1A5CF" w:themeColor="accent3" w:themeTint="99"/>
        <w:left w:val="single" w:sz="4" w:space="0" w:color="A1A5CF" w:themeColor="accent3" w:themeTint="99"/>
        <w:bottom w:val="single" w:sz="4" w:space="0" w:color="A1A5CF" w:themeColor="accent3" w:themeTint="99"/>
        <w:right w:val="single" w:sz="4" w:space="0" w:color="A1A5CF" w:themeColor="accent3" w:themeTint="99"/>
        <w:insideH w:val="single" w:sz="4" w:space="0" w:color="A1A5CF" w:themeColor="accent3" w:themeTint="99"/>
        <w:insideV w:val="single" w:sz="4" w:space="0" w:color="A1A5C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1EF" w:themeFill="accent3" w:themeFillTint="33"/>
      </w:tcPr>
    </w:tblStylePr>
    <w:tblStylePr w:type="band1Horz">
      <w:tblPr/>
      <w:tcPr>
        <w:shd w:val="clear" w:color="auto" w:fill="DFE1EF" w:themeFill="accent3" w:themeFillTint="33"/>
      </w:tcPr>
    </w:tblStylePr>
    <w:tblStylePr w:type="neCell">
      <w:tblPr/>
      <w:tcPr>
        <w:tcBorders>
          <w:bottom w:val="single" w:sz="4" w:space="0" w:color="A1A5CF" w:themeColor="accent3" w:themeTint="99"/>
        </w:tcBorders>
      </w:tcPr>
    </w:tblStylePr>
    <w:tblStylePr w:type="nwCell">
      <w:tblPr/>
      <w:tcPr>
        <w:tcBorders>
          <w:bottom w:val="single" w:sz="4" w:space="0" w:color="A1A5CF" w:themeColor="accent3" w:themeTint="99"/>
        </w:tcBorders>
      </w:tcPr>
    </w:tblStylePr>
    <w:tblStylePr w:type="seCell">
      <w:tblPr/>
      <w:tcPr>
        <w:tcBorders>
          <w:top w:val="single" w:sz="4" w:space="0" w:color="A1A5CF" w:themeColor="accent3" w:themeTint="99"/>
        </w:tcBorders>
      </w:tcPr>
    </w:tblStylePr>
    <w:tblStylePr w:type="swCell">
      <w:tblPr/>
      <w:tcPr>
        <w:tcBorders>
          <w:top w:val="single" w:sz="4" w:space="0" w:color="A1A5CF" w:themeColor="accent3" w:themeTint="99"/>
        </w:tcBorders>
      </w:tcPr>
    </w:tblStylePr>
  </w:style>
  <w:style w:type="table" w:styleId="GridTable7Colorful-Accent4">
    <w:name w:val="Grid Table 7 Colorful Accent 4"/>
    <w:basedOn w:val="TableNormal"/>
    <w:uiPriority w:val="52"/>
    <w:rsid w:val="00CF26C4"/>
    <w:pPr>
      <w:spacing w:after="0"/>
    </w:pPr>
    <w:rPr>
      <w:rFonts w:eastAsiaTheme="minorHAnsi" w:cs="Arial"/>
      <w:color w:val="8C4A85" w:themeColor="accent4" w:themeShade="BF"/>
      <w:sz w:val="18"/>
      <w:szCs w:val="18"/>
    </w:rPr>
    <w:tblPr>
      <w:tblStyleRowBandSize w:val="1"/>
      <w:tblStyleColBandSize w:val="1"/>
      <w:tblBorders>
        <w:top w:val="single" w:sz="4" w:space="0" w:color="D0A7CC" w:themeColor="accent4" w:themeTint="99"/>
        <w:left w:val="single" w:sz="4" w:space="0" w:color="D0A7CC" w:themeColor="accent4" w:themeTint="99"/>
        <w:bottom w:val="single" w:sz="4" w:space="0" w:color="D0A7CC" w:themeColor="accent4" w:themeTint="99"/>
        <w:right w:val="single" w:sz="4" w:space="0" w:color="D0A7CC" w:themeColor="accent4" w:themeTint="99"/>
        <w:insideH w:val="single" w:sz="4" w:space="0" w:color="D0A7CC" w:themeColor="accent4" w:themeTint="99"/>
        <w:insideV w:val="single" w:sz="4" w:space="0" w:color="D0A7C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FE1EE" w:themeFill="accent4" w:themeFillTint="33"/>
      </w:tcPr>
    </w:tblStylePr>
    <w:tblStylePr w:type="band1Horz">
      <w:tblPr/>
      <w:tcPr>
        <w:shd w:val="clear" w:color="auto" w:fill="EFE1EE" w:themeFill="accent4" w:themeFillTint="33"/>
      </w:tcPr>
    </w:tblStylePr>
    <w:tblStylePr w:type="neCell">
      <w:tblPr/>
      <w:tcPr>
        <w:tcBorders>
          <w:bottom w:val="single" w:sz="4" w:space="0" w:color="D0A7CC" w:themeColor="accent4" w:themeTint="99"/>
        </w:tcBorders>
      </w:tcPr>
    </w:tblStylePr>
    <w:tblStylePr w:type="nwCell">
      <w:tblPr/>
      <w:tcPr>
        <w:tcBorders>
          <w:bottom w:val="single" w:sz="4" w:space="0" w:color="D0A7CC" w:themeColor="accent4" w:themeTint="99"/>
        </w:tcBorders>
      </w:tcPr>
    </w:tblStylePr>
    <w:tblStylePr w:type="seCell">
      <w:tblPr/>
      <w:tcPr>
        <w:tcBorders>
          <w:top w:val="single" w:sz="4" w:space="0" w:color="D0A7CC" w:themeColor="accent4" w:themeTint="99"/>
        </w:tcBorders>
      </w:tcPr>
    </w:tblStylePr>
    <w:tblStylePr w:type="swCell">
      <w:tblPr/>
      <w:tcPr>
        <w:tcBorders>
          <w:top w:val="single" w:sz="4" w:space="0" w:color="D0A7CC" w:themeColor="accent4" w:themeTint="99"/>
        </w:tcBorders>
      </w:tcPr>
    </w:tblStylePr>
  </w:style>
  <w:style w:type="table" w:styleId="GridTable7Colorful-Accent5">
    <w:name w:val="Grid Table 7 Colorful Accent 5"/>
    <w:basedOn w:val="TableNormal"/>
    <w:uiPriority w:val="52"/>
    <w:rsid w:val="00CF26C4"/>
    <w:pPr>
      <w:spacing w:after="0"/>
    </w:pPr>
    <w:rPr>
      <w:rFonts w:eastAsiaTheme="minorHAnsi" w:cs="Arial"/>
      <w:color w:val="D25399" w:themeColor="accent5" w:themeShade="BF"/>
      <w:sz w:val="18"/>
      <w:szCs w:val="18"/>
    </w:rPr>
    <w:tblPr>
      <w:tblStyleRowBandSize w:val="1"/>
      <w:tblStyleColBandSize w:val="1"/>
      <w:tblBorders>
        <w:top w:val="single" w:sz="4" w:space="0" w:color="F0C7DD" w:themeColor="accent5" w:themeTint="99"/>
        <w:left w:val="single" w:sz="4" w:space="0" w:color="F0C7DD" w:themeColor="accent5" w:themeTint="99"/>
        <w:bottom w:val="single" w:sz="4" w:space="0" w:color="F0C7DD" w:themeColor="accent5" w:themeTint="99"/>
        <w:right w:val="single" w:sz="4" w:space="0" w:color="F0C7DD" w:themeColor="accent5" w:themeTint="99"/>
        <w:insideH w:val="single" w:sz="4" w:space="0" w:color="F0C7DD" w:themeColor="accent5" w:themeTint="99"/>
        <w:insideV w:val="single" w:sz="4" w:space="0" w:color="F0C7D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CF3" w:themeFill="accent5" w:themeFillTint="33"/>
      </w:tcPr>
    </w:tblStylePr>
    <w:tblStylePr w:type="band1Horz">
      <w:tblPr/>
      <w:tcPr>
        <w:shd w:val="clear" w:color="auto" w:fill="FAECF3" w:themeFill="accent5" w:themeFillTint="33"/>
      </w:tcPr>
    </w:tblStylePr>
    <w:tblStylePr w:type="neCell">
      <w:tblPr/>
      <w:tcPr>
        <w:tcBorders>
          <w:bottom w:val="single" w:sz="4" w:space="0" w:color="F0C7DD" w:themeColor="accent5" w:themeTint="99"/>
        </w:tcBorders>
      </w:tcPr>
    </w:tblStylePr>
    <w:tblStylePr w:type="nwCell">
      <w:tblPr/>
      <w:tcPr>
        <w:tcBorders>
          <w:bottom w:val="single" w:sz="4" w:space="0" w:color="F0C7DD" w:themeColor="accent5" w:themeTint="99"/>
        </w:tcBorders>
      </w:tcPr>
    </w:tblStylePr>
    <w:tblStylePr w:type="seCell">
      <w:tblPr/>
      <w:tcPr>
        <w:tcBorders>
          <w:top w:val="single" w:sz="4" w:space="0" w:color="F0C7DD" w:themeColor="accent5" w:themeTint="99"/>
        </w:tcBorders>
      </w:tcPr>
    </w:tblStylePr>
    <w:tblStylePr w:type="swCell">
      <w:tblPr/>
      <w:tcPr>
        <w:tcBorders>
          <w:top w:val="single" w:sz="4" w:space="0" w:color="F0C7DD" w:themeColor="accent5" w:themeTint="99"/>
        </w:tcBorders>
      </w:tcPr>
    </w:tblStylePr>
  </w:style>
  <w:style w:type="table" w:styleId="GridTable7Colorful-Accent6">
    <w:name w:val="Grid Table 7 Colorful Accent 6"/>
    <w:basedOn w:val="TableNormal"/>
    <w:uiPriority w:val="52"/>
    <w:rsid w:val="00CF26C4"/>
    <w:pPr>
      <w:spacing w:after="0"/>
    </w:pPr>
    <w:rPr>
      <w:rFonts w:eastAsiaTheme="minorHAnsi" w:cs="Arial"/>
      <w:color w:val="41A8EA" w:themeColor="accent6" w:themeShade="BF"/>
      <w:sz w:val="18"/>
      <w:szCs w:val="18"/>
    </w:rPr>
    <w:tblPr>
      <w:tblStyleRowBandSize w:val="1"/>
      <w:tblStyleColBandSize w:val="1"/>
      <w:tblBorders>
        <w:top w:val="single" w:sz="4" w:space="0" w:color="C3E3F8" w:themeColor="accent6" w:themeTint="99"/>
        <w:left w:val="single" w:sz="4" w:space="0" w:color="C3E3F8" w:themeColor="accent6" w:themeTint="99"/>
        <w:bottom w:val="single" w:sz="4" w:space="0" w:color="C3E3F8" w:themeColor="accent6" w:themeTint="99"/>
        <w:right w:val="single" w:sz="4" w:space="0" w:color="C3E3F8" w:themeColor="accent6" w:themeTint="99"/>
        <w:insideH w:val="single" w:sz="4" w:space="0" w:color="C3E3F8" w:themeColor="accent6" w:themeTint="99"/>
        <w:insideV w:val="single" w:sz="4" w:space="0" w:color="C3E3F8"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BF5FC" w:themeFill="accent6" w:themeFillTint="33"/>
      </w:tcPr>
    </w:tblStylePr>
    <w:tblStylePr w:type="band1Horz">
      <w:tblPr/>
      <w:tcPr>
        <w:shd w:val="clear" w:color="auto" w:fill="EBF5FC" w:themeFill="accent6" w:themeFillTint="33"/>
      </w:tcPr>
    </w:tblStylePr>
    <w:tblStylePr w:type="neCell">
      <w:tblPr/>
      <w:tcPr>
        <w:tcBorders>
          <w:bottom w:val="single" w:sz="4" w:space="0" w:color="C3E3F8" w:themeColor="accent6" w:themeTint="99"/>
        </w:tcBorders>
      </w:tcPr>
    </w:tblStylePr>
    <w:tblStylePr w:type="nwCell">
      <w:tblPr/>
      <w:tcPr>
        <w:tcBorders>
          <w:bottom w:val="single" w:sz="4" w:space="0" w:color="C3E3F8" w:themeColor="accent6" w:themeTint="99"/>
        </w:tcBorders>
      </w:tcPr>
    </w:tblStylePr>
    <w:tblStylePr w:type="seCell">
      <w:tblPr/>
      <w:tcPr>
        <w:tcBorders>
          <w:top w:val="single" w:sz="4" w:space="0" w:color="C3E3F8" w:themeColor="accent6" w:themeTint="99"/>
        </w:tcBorders>
      </w:tcPr>
    </w:tblStylePr>
    <w:tblStylePr w:type="swCell">
      <w:tblPr/>
      <w:tcPr>
        <w:tcBorders>
          <w:top w:val="single" w:sz="4" w:space="0" w:color="C3E3F8" w:themeColor="accent6" w:themeTint="99"/>
        </w:tcBorders>
      </w:tcPr>
    </w:tblStylePr>
  </w:style>
  <w:style w:type="character" w:styleId="Hashtag">
    <w:name w:val="Hashtag"/>
    <w:basedOn w:val="DefaultParagraphFont"/>
    <w:uiPriority w:val="99"/>
    <w:semiHidden/>
    <w:rsid w:val="00CF26C4"/>
    <w:rPr>
      <w:color w:val="2B579A"/>
      <w:shd w:val="clear" w:color="auto" w:fill="E1DFDD"/>
    </w:rPr>
  </w:style>
  <w:style w:type="paragraph" w:styleId="Header">
    <w:name w:val="header"/>
    <w:basedOn w:val="Normal"/>
    <w:link w:val="HeaderChar"/>
    <w:uiPriority w:val="11"/>
    <w:semiHidden/>
    <w:rsid w:val="00CF26C4"/>
    <w:pPr>
      <w:tabs>
        <w:tab w:val="center" w:pos="4513"/>
        <w:tab w:val="right" w:pos="9026"/>
      </w:tabs>
      <w:spacing w:after="0"/>
    </w:pPr>
    <w:rPr>
      <w:rFonts w:eastAsia="Times New Roman" w:cs="Courier New"/>
    </w:rPr>
  </w:style>
  <w:style w:type="character" w:customStyle="1" w:styleId="HeaderChar">
    <w:name w:val="Header Char"/>
    <w:basedOn w:val="DefaultParagraphFont"/>
    <w:link w:val="Header"/>
    <w:uiPriority w:val="11"/>
    <w:semiHidden/>
    <w:rsid w:val="00CF26C4"/>
    <w:rPr>
      <w:rFonts w:eastAsia="Times New Roman" w:cs="Courier New"/>
      <w:lang w:val="en-GB"/>
    </w:rPr>
  </w:style>
  <w:style w:type="character" w:styleId="HTMLAcronym">
    <w:name w:val="HTML Acronym"/>
    <w:basedOn w:val="DefaultParagraphFont"/>
    <w:uiPriority w:val="99"/>
    <w:semiHidden/>
    <w:rsid w:val="00CF26C4"/>
  </w:style>
  <w:style w:type="paragraph" w:styleId="HTMLAddress">
    <w:name w:val="HTML Address"/>
    <w:basedOn w:val="Normal"/>
    <w:link w:val="HTMLAddressChar"/>
    <w:uiPriority w:val="99"/>
    <w:semiHidden/>
    <w:rsid w:val="00CF26C4"/>
    <w:rPr>
      <w:i/>
      <w:iCs/>
    </w:rPr>
  </w:style>
  <w:style w:type="character" w:customStyle="1" w:styleId="HTMLAddressChar">
    <w:name w:val="HTML Address Char"/>
    <w:basedOn w:val="DefaultParagraphFont"/>
    <w:link w:val="HTMLAddress"/>
    <w:uiPriority w:val="99"/>
    <w:semiHidden/>
    <w:rsid w:val="00CF26C4"/>
    <w:rPr>
      <w:i/>
      <w:iCs/>
      <w:lang w:val="en-GB"/>
    </w:rPr>
  </w:style>
  <w:style w:type="character" w:styleId="HTMLCite">
    <w:name w:val="HTML Cite"/>
    <w:basedOn w:val="DefaultParagraphFont"/>
    <w:uiPriority w:val="99"/>
    <w:semiHidden/>
    <w:rsid w:val="00CF26C4"/>
    <w:rPr>
      <w:i/>
      <w:iCs/>
    </w:rPr>
  </w:style>
  <w:style w:type="character" w:styleId="HTMLCode">
    <w:name w:val="HTML Code"/>
    <w:basedOn w:val="DefaultParagraphFont"/>
    <w:uiPriority w:val="99"/>
    <w:semiHidden/>
    <w:rsid w:val="00CF26C4"/>
    <w:rPr>
      <w:rFonts w:ascii="Arial" w:hAnsi="Arial" w:cs="Arial"/>
      <w:sz w:val="20"/>
      <w:szCs w:val="20"/>
    </w:rPr>
  </w:style>
  <w:style w:type="character" w:styleId="HTMLDefinition">
    <w:name w:val="HTML Definition"/>
    <w:basedOn w:val="DefaultParagraphFont"/>
    <w:uiPriority w:val="99"/>
    <w:semiHidden/>
    <w:rsid w:val="00CF26C4"/>
    <w:rPr>
      <w:i/>
      <w:iCs/>
    </w:rPr>
  </w:style>
  <w:style w:type="character" w:styleId="HTMLKeyboard">
    <w:name w:val="HTML Keyboard"/>
    <w:basedOn w:val="DefaultParagraphFont"/>
    <w:uiPriority w:val="99"/>
    <w:semiHidden/>
    <w:rsid w:val="00CF26C4"/>
    <w:rPr>
      <w:rFonts w:ascii="Arial" w:hAnsi="Arial" w:cs="Arial"/>
      <w:sz w:val="20"/>
      <w:szCs w:val="20"/>
    </w:rPr>
  </w:style>
  <w:style w:type="paragraph" w:styleId="HTMLPreformatted">
    <w:name w:val="HTML Preformatted"/>
    <w:basedOn w:val="Normal"/>
    <w:link w:val="HTMLPreformattedChar"/>
    <w:uiPriority w:val="99"/>
    <w:semiHidden/>
    <w:rsid w:val="00CF26C4"/>
    <w:rPr>
      <w:rFonts w:cs="Arial"/>
    </w:rPr>
  </w:style>
  <w:style w:type="character" w:customStyle="1" w:styleId="HTMLPreformattedChar">
    <w:name w:val="HTML Preformatted Char"/>
    <w:basedOn w:val="DefaultParagraphFont"/>
    <w:link w:val="HTMLPreformatted"/>
    <w:uiPriority w:val="99"/>
    <w:semiHidden/>
    <w:rsid w:val="00CF26C4"/>
    <w:rPr>
      <w:rFonts w:cs="Arial"/>
      <w:lang w:val="en-GB"/>
    </w:rPr>
  </w:style>
  <w:style w:type="character" w:styleId="HTMLSample">
    <w:name w:val="HTML Sample"/>
    <w:basedOn w:val="DefaultParagraphFont"/>
    <w:uiPriority w:val="99"/>
    <w:semiHidden/>
    <w:rsid w:val="00CF26C4"/>
    <w:rPr>
      <w:rFonts w:ascii="Arial" w:hAnsi="Arial" w:cs="Arial"/>
      <w:sz w:val="24"/>
      <w:szCs w:val="24"/>
    </w:rPr>
  </w:style>
  <w:style w:type="character" w:styleId="HTMLTypewriter">
    <w:name w:val="HTML Typewriter"/>
    <w:basedOn w:val="DefaultParagraphFont"/>
    <w:uiPriority w:val="99"/>
    <w:semiHidden/>
    <w:rsid w:val="00CF26C4"/>
    <w:rPr>
      <w:rFonts w:ascii="Arial" w:hAnsi="Arial" w:cs="Arial"/>
      <w:sz w:val="20"/>
      <w:szCs w:val="20"/>
    </w:rPr>
  </w:style>
  <w:style w:type="character" w:styleId="HTMLVariable">
    <w:name w:val="HTML Variable"/>
    <w:basedOn w:val="DefaultParagraphFont"/>
    <w:uiPriority w:val="99"/>
    <w:semiHidden/>
    <w:rsid w:val="00CF26C4"/>
    <w:rPr>
      <w:i/>
      <w:iCs/>
    </w:rPr>
  </w:style>
  <w:style w:type="character" w:styleId="Hyperlink">
    <w:name w:val="Hyperlink"/>
    <w:basedOn w:val="DefaultParagraphFont"/>
    <w:uiPriority w:val="99"/>
    <w:rsid w:val="00CF26C4"/>
    <w:rPr>
      <w:color w:val="69ACDF" w:themeColor="hyperlink"/>
      <w:u w:val="single"/>
    </w:rPr>
  </w:style>
  <w:style w:type="paragraph" w:styleId="Index1">
    <w:name w:val="index 1"/>
    <w:basedOn w:val="Normal"/>
    <w:next w:val="Normal"/>
    <w:autoRedefine/>
    <w:uiPriority w:val="99"/>
    <w:semiHidden/>
    <w:rsid w:val="00CF26C4"/>
    <w:pPr>
      <w:ind w:left="180" w:hanging="180"/>
    </w:pPr>
  </w:style>
  <w:style w:type="paragraph" w:styleId="Index2">
    <w:name w:val="index 2"/>
    <w:basedOn w:val="Normal"/>
    <w:next w:val="Normal"/>
    <w:autoRedefine/>
    <w:uiPriority w:val="99"/>
    <w:semiHidden/>
    <w:rsid w:val="00CF26C4"/>
    <w:pPr>
      <w:ind w:left="360" w:hanging="180"/>
    </w:pPr>
  </w:style>
  <w:style w:type="paragraph" w:styleId="Index3">
    <w:name w:val="index 3"/>
    <w:basedOn w:val="Normal"/>
    <w:next w:val="Normal"/>
    <w:autoRedefine/>
    <w:uiPriority w:val="99"/>
    <w:semiHidden/>
    <w:rsid w:val="00CF26C4"/>
    <w:pPr>
      <w:ind w:left="540" w:hanging="180"/>
    </w:pPr>
  </w:style>
  <w:style w:type="paragraph" w:styleId="Index4">
    <w:name w:val="index 4"/>
    <w:basedOn w:val="Normal"/>
    <w:next w:val="Normal"/>
    <w:autoRedefine/>
    <w:uiPriority w:val="99"/>
    <w:semiHidden/>
    <w:rsid w:val="00CF26C4"/>
    <w:pPr>
      <w:ind w:left="720" w:hanging="180"/>
    </w:pPr>
  </w:style>
  <w:style w:type="paragraph" w:styleId="Index5">
    <w:name w:val="index 5"/>
    <w:basedOn w:val="Normal"/>
    <w:next w:val="Normal"/>
    <w:autoRedefine/>
    <w:uiPriority w:val="99"/>
    <w:semiHidden/>
    <w:rsid w:val="00CF26C4"/>
    <w:pPr>
      <w:ind w:left="900" w:hanging="180"/>
    </w:pPr>
  </w:style>
  <w:style w:type="paragraph" w:styleId="Index6">
    <w:name w:val="index 6"/>
    <w:basedOn w:val="Normal"/>
    <w:next w:val="Normal"/>
    <w:autoRedefine/>
    <w:uiPriority w:val="99"/>
    <w:semiHidden/>
    <w:rsid w:val="00CF26C4"/>
    <w:pPr>
      <w:ind w:left="1080" w:hanging="180"/>
    </w:pPr>
  </w:style>
  <w:style w:type="paragraph" w:styleId="Index7">
    <w:name w:val="index 7"/>
    <w:basedOn w:val="Normal"/>
    <w:next w:val="Normal"/>
    <w:autoRedefine/>
    <w:uiPriority w:val="99"/>
    <w:semiHidden/>
    <w:rsid w:val="00CF26C4"/>
    <w:pPr>
      <w:ind w:left="1260" w:hanging="180"/>
    </w:pPr>
  </w:style>
  <w:style w:type="paragraph" w:styleId="Index8">
    <w:name w:val="index 8"/>
    <w:basedOn w:val="Normal"/>
    <w:next w:val="Normal"/>
    <w:autoRedefine/>
    <w:uiPriority w:val="99"/>
    <w:semiHidden/>
    <w:rsid w:val="00CF26C4"/>
    <w:pPr>
      <w:ind w:left="1440" w:hanging="180"/>
    </w:pPr>
  </w:style>
  <w:style w:type="paragraph" w:styleId="Index9">
    <w:name w:val="index 9"/>
    <w:basedOn w:val="Normal"/>
    <w:next w:val="Normal"/>
    <w:autoRedefine/>
    <w:uiPriority w:val="99"/>
    <w:semiHidden/>
    <w:rsid w:val="00CF26C4"/>
    <w:pPr>
      <w:ind w:left="1620" w:hanging="180"/>
    </w:pPr>
  </w:style>
  <w:style w:type="paragraph" w:styleId="IndexHeading">
    <w:name w:val="index heading"/>
    <w:basedOn w:val="Normal"/>
    <w:next w:val="Index1"/>
    <w:uiPriority w:val="99"/>
    <w:semiHidden/>
    <w:rsid w:val="00CF26C4"/>
    <w:rPr>
      <w:rFonts w:asciiTheme="majorHAnsi" w:eastAsiaTheme="majorEastAsia" w:hAnsiTheme="majorHAnsi" w:cstheme="majorBidi"/>
      <w:b/>
      <w:bCs/>
    </w:rPr>
  </w:style>
  <w:style w:type="character" w:styleId="IntenseEmphasis">
    <w:name w:val="Intense Emphasis"/>
    <w:basedOn w:val="DefaultParagraphFont"/>
    <w:uiPriority w:val="99"/>
    <w:semiHidden/>
    <w:rsid w:val="00CF26C4"/>
    <w:rPr>
      <w:b/>
      <w:bCs/>
      <w:i/>
      <w:iCs/>
      <w:color w:val="auto"/>
    </w:rPr>
  </w:style>
  <w:style w:type="paragraph" w:styleId="IntenseQuote">
    <w:name w:val="Intense Quote"/>
    <w:basedOn w:val="Normal"/>
    <w:next w:val="Normal"/>
    <w:link w:val="IntenseQuoteChar"/>
    <w:uiPriority w:val="99"/>
    <w:semiHidden/>
    <w:rsid w:val="00CF26C4"/>
    <w:pPr>
      <w:spacing w:before="260" w:after="260"/>
      <w:ind w:left="851" w:right="851"/>
    </w:pPr>
    <w:rPr>
      <w:b/>
      <w:bCs/>
      <w:i/>
      <w:iCs/>
    </w:rPr>
  </w:style>
  <w:style w:type="character" w:customStyle="1" w:styleId="IntenseQuoteChar">
    <w:name w:val="Intense Quote Char"/>
    <w:basedOn w:val="DefaultParagraphFont"/>
    <w:link w:val="IntenseQuote"/>
    <w:uiPriority w:val="99"/>
    <w:rsid w:val="00CF26C4"/>
    <w:rPr>
      <w:b/>
      <w:bCs/>
      <w:i/>
      <w:iCs/>
      <w:lang w:val="en-GB"/>
    </w:rPr>
  </w:style>
  <w:style w:type="character" w:styleId="IntenseReference">
    <w:name w:val="Intense Reference"/>
    <w:basedOn w:val="DefaultParagraphFont"/>
    <w:uiPriority w:val="99"/>
    <w:semiHidden/>
    <w:qFormat/>
    <w:rsid w:val="00CF26C4"/>
    <w:rPr>
      <w:b/>
      <w:bCs/>
      <w:caps w:val="0"/>
      <w:smallCaps w:val="0"/>
      <w:color w:val="auto"/>
      <w:spacing w:val="5"/>
      <w:u w:val="single"/>
    </w:rPr>
  </w:style>
  <w:style w:type="table" w:styleId="LightGrid">
    <w:name w:val="Light Grid"/>
    <w:basedOn w:val="TableNormal"/>
    <w:uiPriority w:val="62"/>
    <w:semiHidden/>
    <w:unhideWhenUsed/>
    <w:rsid w:val="00CF26C4"/>
    <w:pPr>
      <w:spacing w:after="0"/>
    </w:pPr>
    <w:rPr>
      <w:rFonts w:eastAsiaTheme="minorHAnsi" w:cs="Arial"/>
      <w:sz w:val="18"/>
      <w:szCs w:val="18"/>
    </w:rPr>
    <w:tblPr>
      <w:tblStyleRowBandSize w:val="1"/>
      <w:tblStyleColBandSize w:val="1"/>
      <w:tblBorders>
        <w:top w:val="single" w:sz="8" w:space="0" w:color="1A1919" w:themeColor="text1"/>
        <w:left w:val="single" w:sz="8" w:space="0" w:color="1A1919" w:themeColor="text1"/>
        <w:bottom w:val="single" w:sz="8" w:space="0" w:color="1A1919" w:themeColor="text1"/>
        <w:right w:val="single" w:sz="8" w:space="0" w:color="1A1919" w:themeColor="text1"/>
        <w:insideH w:val="single" w:sz="8" w:space="0" w:color="1A1919" w:themeColor="text1"/>
        <w:insideV w:val="single" w:sz="8" w:space="0" w:color="1A1919"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A1919" w:themeColor="text1"/>
          <w:left w:val="single" w:sz="8" w:space="0" w:color="1A1919" w:themeColor="text1"/>
          <w:bottom w:val="single" w:sz="18" w:space="0" w:color="1A1919" w:themeColor="text1"/>
          <w:right w:val="single" w:sz="8" w:space="0" w:color="1A1919" w:themeColor="text1"/>
          <w:insideH w:val="nil"/>
          <w:insideV w:val="single" w:sz="8" w:space="0" w:color="1A1919"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A1919" w:themeColor="text1"/>
          <w:left w:val="single" w:sz="8" w:space="0" w:color="1A1919" w:themeColor="text1"/>
          <w:bottom w:val="single" w:sz="8" w:space="0" w:color="1A1919" w:themeColor="text1"/>
          <w:right w:val="single" w:sz="8" w:space="0" w:color="1A1919" w:themeColor="text1"/>
          <w:insideH w:val="nil"/>
          <w:insideV w:val="single" w:sz="8" w:space="0" w:color="1A1919"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A1919" w:themeColor="text1"/>
          <w:left w:val="single" w:sz="8" w:space="0" w:color="1A1919" w:themeColor="text1"/>
          <w:bottom w:val="single" w:sz="8" w:space="0" w:color="1A1919" w:themeColor="text1"/>
          <w:right w:val="single" w:sz="8" w:space="0" w:color="1A1919" w:themeColor="text1"/>
        </w:tcBorders>
      </w:tcPr>
    </w:tblStylePr>
    <w:tblStylePr w:type="band1Vert">
      <w:tblPr/>
      <w:tcPr>
        <w:tcBorders>
          <w:top w:val="single" w:sz="8" w:space="0" w:color="1A1919" w:themeColor="text1"/>
          <w:left w:val="single" w:sz="8" w:space="0" w:color="1A1919" w:themeColor="text1"/>
          <w:bottom w:val="single" w:sz="8" w:space="0" w:color="1A1919" w:themeColor="text1"/>
          <w:right w:val="single" w:sz="8" w:space="0" w:color="1A1919" w:themeColor="text1"/>
        </w:tcBorders>
        <w:shd w:val="clear" w:color="auto" w:fill="C7C5C5" w:themeFill="text1" w:themeFillTint="3F"/>
      </w:tcPr>
    </w:tblStylePr>
    <w:tblStylePr w:type="band1Horz">
      <w:tblPr/>
      <w:tcPr>
        <w:tcBorders>
          <w:top w:val="single" w:sz="8" w:space="0" w:color="1A1919" w:themeColor="text1"/>
          <w:left w:val="single" w:sz="8" w:space="0" w:color="1A1919" w:themeColor="text1"/>
          <w:bottom w:val="single" w:sz="8" w:space="0" w:color="1A1919" w:themeColor="text1"/>
          <w:right w:val="single" w:sz="8" w:space="0" w:color="1A1919" w:themeColor="text1"/>
          <w:insideV w:val="single" w:sz="8" w:space="0" w:color="1A1919" w:themeColor="text1"/>
        </w:tcBorders>
        <w:shd w:val="clear" w:color="auto" w:fill="C7C5C5" w:themeFill="text1" w:themeFillTint="3F"/>
      </w:tcPr>
    </w:tblStylePr>
    <w:tblStylePr w:type="band2Horz">
      <w:tblPr/>
      <w:tcPr>
        <w:tcBorders>
          <w:top w:val="single" w:sz="8" w:space="0" w:color="1A1919" w:themeColor="text1"/>
          <w:left w:val="single" w:sz="8" w:space="0" w:color="1A1919" w:themeColor="text1"/>
          <w:bottom w:val="single" w:sz="8" w:space="0" w:color="1A1919" w:themeColor="text1"/>
          <w:right w:val="single" w:sz="8" w:space="0" w:color="1A1919" w:themeColor="text1"/>
          <w:insideV w:val="single" w:sz="8" w:space="0" w:color="1A1919" w:themeColor="text1"/>
        </w:tcBorders>
      </w:tcPr>
    </w:tblStylePr>
  </w:style>
  <w:style w:type="table" w:styleId="LightGrid-Accent1">
    <w:name w:val="Light Grid Accent 1"/>
    <w:basedOn w:val="TableNormal"/>
    <w:uiPriority w:val="62"/>
    <w:semiHidden/>
    <w:unhideWhenUsed/>
    <w:rsid w:val="00CF26C4"/>
    <w:pPr>
      <w:spacing w:after="0"/>
    </w:pPr>
    <w:rPr>
      <w:rFonts w:eastAsiaTheme="minorHAnsi" w:cs="Arial"/>
      <w:sz w:val="18"/>
      <w:szCs w:val="18"/>
    </w:rPr>
    <w:tblPr>
      <w:tblStyleRowBandSize w:val="1"/>
      <w:tblStyleColBandSize w:val="1"/>
      <w:tblBorders>
        <w:top w:val="single" w:sz="8" w:space="0" w:color="68C0B5" w:themeColor="accent1"/>
        <w:left w:val="single" w:sz="8" w:space="0" w:color="68C0B5" w:themeColor="accent1"/>
        <w:bottom w:val="single" w:sz="8" w:space="0" w:color="68C0B5" w:themeColor="accent1"/>
        <w:right w:val="single" w:sz="8" w:space="0" w:color="68C0B5" w:themeColor="accent1"/>
        <w:insideH w:val="single" w:sz="8" w:space="0" w:color="68C0B5" w:themeColor="accent1"/>
        <w:insideV w:val="single" w:sz="8" w:space="0" w:color="68C0B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8C0B5" w:themeColor="accent1"/>
          <w:left w:val="single" w:sz="8" w:space="0" w:color="68C0B5" w:themeColor="accent1"/>
          <w:bottom w:val="single" w:sz="18" w:space="0" w:color="68C0B5" w:themeColor="accent1"/>
          <w:right w:val="single" w:sz="8" w:space="0" w:color="68C0B5" w:themeColor="accent1"/>
          <w:insideH w:val="nil"/>
          <w:insideV w:val="single" w:sz="8" w:space="0" w:color="68C0B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8C0B5" w:themeColor="accent1"/>
          <w:left w:val="single" w:sz="8" w:space="0" w:color="68C0B5" w:themeColor="accent1"/>
          <w:bottom w:val="single" w:sz="8" w:space="0" w:color="68C0B5" w:themeColor="accent1"/>
          <w:right w:val="single" w:sz="8" w:space="0" w:color="68C0B5" w:themeColor="accent1"/>
          <w:insideH w:val="nil"/>
          <w:insideV w:val="single" w:sz="8" w:space="0" w:color="68C0B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8C0B5" w:themeColor="accent1"/>
          <w:left w:val="single" w:sz="8" w:space="0" w:color="68C0B5" w:themeColor="accent1"/>
          <w:bottom w:val="single" w:sz="8" w:space="0" w:color="68C0B5" w:themeColor="accent1"/>
          <w:right w:val="single" w:sz="8" w:space="0" w:color="68C0B5" w:themeColor="accent1"/>
        </w:tcBorders>
      </w:tcPr>
    </w:tblStylePr>
    <w:tblStylePr w:type="band1Vert">
      <w:tblPr/>
      <w:tcPr>
        <w:tcBorders>
          <w:top w:val="single" w:sz="8" w:space="0" w:color="68C0B5" w:themeColor="accent1"/>
          <w:left w:val="single" w:sz="8" w:space="0" w:color="68C0B5" w:themeColor="accent1"/>
          <w:bottom w:val="single" w:sz="8" w:space="0" w:color="68C0B5" w:themeColor="accent1"/>
          <w:right w:val="single" w:sz="8" w:space="0" w:color="68C0B5" w:themeColor="accent1"/>
        </w:tcBorders>
        <w:shd w:val="clear" w:color="auto" w:fill="D9EFEC" w:themeFill="accent1" w:themeFillTint="3F"/>
      </w:tcPr>
    </w:tblStylePr>
    <w:tblStylePr w:type="band1Horz">
      <w:tblPr/>
      <w:tcPr>
        <w:tcBorders>
          <w:top w:val="single" w:sz="8" w:space="0" w:color="68C0B5" w:themeColor="accent1"/>
          <w:left w:val="single" w:sz="8" w:space="0" w:color="68C0B5" w:themeColor="accent1"/>
          <w:bottom w:val="single" w:sz="8" w:space="0" w:color="68C0B5" w:themeColor="accent1"/>
          <w:right w:val="single" w:sz="8" w:space="0" w:color="68C0B5" w:themeColor="accent1"/>
          <w:insideV w:val="single" w:sz="8" w:space="0" w:color="68C0B5" w:themeColor="accent1"/>
        </w:tcBorders>
        <w:shd w:val="clear" w:color="auto" w:fill="D9EFEC" w:themeFill="accent1" w:themeFillTint="3F"/>
      </w:tcPr>
    </w:tblStylePr>
    <w:tblStylePr w:type="band2Horz">
      <w:tblPr/>
      <w:tcPr>
        <w:tcBorders>
          <w:top w:val="single" w:sz="8" w:space="0" w:color="68C0B5" w:themeColor="accent1"/>
          <w:left w:val="single" w:sz="8" w:space="0" w:color="68C0B5" w:themeColor="accent1"/>
          <w:bottom w:val="single" w:sz="8" w:space="0" w:color="68C0B5" w:themeColor="accent1"/>
          <w:right w:val="single" w:sz="8" w:space="0" w:color="68C0B5" w:themeColor="accent1"/>
          <w:insideV w:val="single" w:sz="8" w:space="0" w:color="68C0B5" w:themeColor="accent1"/>
        </w:tcBorders>
      </w:tcPr>
    </w:tblStylePr>
  </w:style>
  <w:style w:type="table" w:styleId="LightGrid-Accent2">
    <w:name w:val="Light Grid Accent 2"/>
    <w:basedOn w:val="TableNormal"/>
    <w:uiPriority w:val="62"/>
    <w:semiHidden/>
    <w:unhideWhenUsed/>
    <w:rsid w:val="00CF26C4"/>
    <w:pPr>
      <w:spacing w:after="0"/>
    </w:pPr>
    <w:rPr>
      <w:rFonts w:eastAsiaTheme="minorHAnsi" w:cs="Arial"/>
      <w:sz w:val="18"/>
      <w:szCs w:val="18"/>
    </w:rPr>
    <w:tblPr>
      <w:tblStyleRowBandSize w:val="1"/>
      <w:tblStyleColBandSize w:val="1"/>
      <w:tblBorders>
        <w:top w:val="single" w:sz="8" w:space="0" w:color="69ACDF" w:themeColor="accent2"/>
        <w:left w:val="single" w:sz="8" w:space="0" w:color="69ACDF" w:themeColor="accent2"/>
        <w:bottom w:val="single" w:sz="8" w:space="0" w:color="69ACDF" w:themeColor="accent2"/>
        <w:right w:val="single" w:sz="8" w:space="0" w:color="69ACDF" w:themeColor="accent2"/>
        <w:insideH w:val="single" w:sz="8" w:space="0" w:color="69ACDF" w:themeColor="accent2"/>
        <w:insideV w:val="single" w:sz="8" w:space="0" w:color="69ACD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9ACDF" w:themeColor="accent2"/>
          <w:left w:val="single" w:sz="8" w:space="0" w:color="69ACDF" w:themeColor="accent2"/>
          <w:bottom w:val="single" w:sz="18" w:space="0" w:color="69ACDF" w:themeColor="accent2"/>
          <w:right w:val="single" w:sz="8" w:space="0" w:color="69ACDF" w:themeColor="accent2"/>
          <w:insideH w:val="nil"/>
          <w:insideV w:val="single" w:sz="8" w:space="0" w:color="69ACD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9ACDF" w:themeColor="accent2"/>
          <w:left w:val="single" w:sz="8" w:space="0" w:color="69ACDF" w:themeColor="accent2"/>
          <w:bottom w:val="single" w:sz="8" w:space="0" w:color="69ACDF" w:themeColor="accent2"/>
          <w:right w:val="single" w:sz="8" w:space="0" w:color="69ACDF" w:themeColor="accent2"/>
          <w:insideH w:val="nil"/>
          <w:insideV w:val="single" w:sz="8" w:space="0" w:color="69ACD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9ACDF" w:themeColor="accent2"/>
          <w:left w:val="single" w:sz="8" w:space="0" w:color="69ACDF" w:themeColor="accent2"/>
          <w:bottom w:val="single" w:sz="8" w:space="0" w:color="69ACDF" w:themeColor="accent2"/>
          <w:right w:val="single" w:sz="8" w:space="0" w:color="69ACDF" w:themeColor="accent2"/>
        </w:tcBorders>
      </w:tcPr>
    </w:tblStylePr>
    <w:tblStylePr w:type="band1Vert">
      <w:tblPr/>
      <w:tcPr>
        <w:tcBorders>
          <w:top w:val="single" w:sz="8" w:space="0" w:color="69ACDF" w:themeColor="accent2"/>
          <w:left w:val="single" w:sz="8" w:space="0" w:color="69ACDF" w:themeColor="accent2"/>
          <w:bottom w:val="single" w:sz="8" w:space="0" w:color="69ACDF" w:themeColor="accent2"/>
          <w:right w:val="single" w:sz="8" w:space="0" w:color="69ACDF" w:themeColor="accent2"/>
        </w:tcBorders>
        <w:shd w:val="clear" w:color="auto" w:fill="D9EAF7" w:themeFill="accent2" w:themeFillTint="3F"/>
      </w:tcPr>
    </w:tblStylePr>
    <w:tblStylePr w:type="band1Horz">
      <w:tblPr/>
      <w:tcPr>
        <w:tcBorders>
          <w:top w:val="single" w:sz="8" w:space="0" w:color="69ACDF" w:themeColor="accent2"/>
          <w:left w:val="single" w:sz="8" w:space="0" w:color="69ACDF" w:themeColor="accent2"/>
          <w:bottom w:val="single" w:sz="8" w:space="0" w:color="69ACDF" w:themeColor="accent2"/>
          <w:right w:val="single" w:sz="8" w:space="0" w:color="69ACDF" w:themeColor="accent2"/>
          <w:insideV w:val="single" w:sz="8" w:space="0" w:color="69ACDF" w:themeColor="accent2"/>
        </w:tcBorders>
        <w:shd w:val="clear" w:color="auto" w:fill="D9EAF7" w:themeFill="accent2" w:themeFillTint="3F"/>
      </w:tcPr>
    </w:tblStylePr>
    <w:tblStylePr w:type="band2Horz">
      <w:tblPr/>
      <w:tcPr>
        <w:tcBorders>
          <w:top w:val="single" w:sz="8" w:space="0" w:color="69ACDF" w:themeColor="accent2"/>
          <w:left w:val="single" w:sz="8" w:space="0" w:color="69ACDF" w:themeColor="accent2"/>
          <w:bottom w:val="single" w:sz="8" w:space="0" w:color="69ACDF" w:themeColor="accent2"/>
          <w:right w:val="single" w:sz="8" w:space="0" w:color="69ACDF" w:themeColor="accent2"/>
          <w:insideV w:val="single" w:sz="8" w:space="0" w:color="69ACDF" w:themeColor="accent2"/>
        </w:tcBorders>
      </w:tcPr>
    </w:tblStylePr>
  </w:style>
  <w:style w:type="table" w:styleId="LightGrid-Accent3">
    <w:name w:val="Light Grid Accent 3"/>
    <w:basedOn w:val="TableNormal"/>
    <w:uiPriority w:val="62"/>
    <w:semiHidden/>
    <w:unhideWhenUsed/>
    <w:rsid w:val="00CF26C4"/>
    <w:pPr>
      <w:spacing w:after="0"/>
    </w:pPr>
    <w:rPr>
      <w:rFonts w:eastAsiaTheme="minorHAnsi" w:cs="Arial"/>
      <w:sz w:val="18"/>
      <w:szCs w:val="18"/>
    </w:rPr>
    <w:tblPr>
      <w:tblStyleRowBandSize w:val="1"/>
      <w:tblStyleColBandSize w:val="1"/>
      <w:tblBorders>
        <w:top w:val="single" w:sz="8" w:space="0" w:color="636AAF" w:themeColor="accent3"/>
        <w:left w:val="single" w:sz="8" w:space="0" w:color="636AAF" w:themeColor="accent3"/>
        <w:bottom w:val="single" w:sz="8" w:space="0" w:color="636AAF" w:themeColor="accent3"/>
        <w:right w:val="single" w:sz="8" w:space="0" w:color="636AAF" w:themeColor="accent3"/>
        <w:insideH w:val="single" w:sz="8" w:space="0" w:color="636AAF" w:themeColor="accent3"/>
        <w:insideV w:val="single" w:sz="8" w:space="0" w:color="636AA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36AAF" w:themeColor="accent3"/>
          <w:left w:val="single" w:sz="8" w:space="0" w:color="636AAF" w:themeColor="accent3"/>
          <w:bottom w:val="single" w:sz="18" w:space="0" w:color="636AAF" w:themeColor="accent3"/>
          <w:right w:val="single" w:sz="8" w:space="0" w:color="636AAF" w:themeColor="accent3"/>
          <w:insideH w:val="nil"/>
          <w:insideV w:val="single" w:sz="8" w:space="0" w:color="636AA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36AAF" w:themeColor="accent3"/>
          <w:left w:val="single" w:sz="8" w:space="0" w:color="636AAF" w:themeColor="accent3"/>
          <w:bottom w:val="single" w:sz="8" w:space="0" w:color="636AAF" w:themeColor="accent3"/>
          <w:right w:val="single" w:sz="8" w:space="0" w:color="636AAF" w:themeColor="accent3"/>
          <w:insideH w:val="nil"/>
          <w:insideV w:val="single" w:sz="8" w:space="0" w:color="636AA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36AAF" w:themeColor="accent3"/>
          <w:left w:val="single" w:sz="8" w:space="0" w:color="636AAF" w:themeColor="accent3"/>
          <w:bottom w:val="single" w:sz="8" w:space="0" w:color="636AAF" w:themeColor="accent3"/>
          <w:right w:val="single" w:sz="8" w:space="0" w:color="636AAF" w:themeColor="accent3"/>
        </w:tcBorders>
      </w:tcPr>
    </w:tblStylePr>
    <w:tblStylePr w:type="band1Vert">
      <w:tblPr/>
      <w:tcPr>
        <w:tcBorders>
          <w:top w:val="single" w:sz="8" w:space="0" w:color="636AAF" w:themeColor="accent3"/>
          <w:left w:val="single" w:sz="8" w:space="0" w:color="636AAF" w:themeColor="accent3"/>
          <w:bottom w:val="single" w:sz="8" w:space="0" w:color="636AAF" w:themeColor="accent3"/>
          <w:right w:val="single" w:sz="8" w:space="0" w:color="636AAF" w:themeColor="accent3"/>
        </w:tcBorders>
        <w:shd w:val="clear" w:color="auto" w:fill="D8DAEB" w:themeFill="accent3" w:themeFillTint="3F"/>
      </w:tcPr>
    </w:tblStylePr>
    <w:tblStylePr w:type="band1Horz">
      <w:tblPr/>
      <w:tcPr>
        <w:tcBorders>
          <w:top w:val="single" w:sz="8" w:space="0" w:color="636AAF" w:themeColor="accent3"/>
          <w:left w:val="single" w:sz="8" w:space="0" w:color="636AAF" w:themeColor="accent3"/>
          <w:bottom w:val="single" w:sz="8" w:space="0" w:color="636AAF" w:themeColor="accent3"/>
          <w:right w:val="single" w:sz="8" w:space="0" w:color="636AAF" w:themeColor="accent3"/>
          <w:insideV w:val="single" w:sz="8" w:space="0" w:color="636AAF" w:themeColor="accent3"/>
        </w:tcBorders>
        <w:shd w:val="clear" w:color="auto" w:fill="D8DAEB" w:themeFill="accent3" w:themeFillTint="3F"/>
      </w:tcPr>
    </w:tblStylePr>
    <w:tblStylePr w:type="band2Horz">
      <w:tblPr/>
      <w:tcPr>
        <w:tcBorders>
          <w:top w:val="single" w:sz="8" w:space="0" w:color="636AAF" w:themeColor="accent3"/>
          <w:left w:val="single" w:sz="8" w:space="0" w:color="636AAF" w:themeColor="accent3"/>
          <w:bottom w:val="single" w:sz="8" w:space="0" w:color="636AAF" w:themeColor="accent3"/>
          <w:right w:val="single" w:sz="8" w:space="0" w:color="636AAF" w:themeColor="accent3"/>
          <w:insideV w:val="single" w:sz="8" w:space="0" w:color="636AAF" w:themeColor="accent3"/>
        </w:tcBorders>
      </w:tcPr>
    </w:tblStylePr>
  </w:style>
  <w:style w:type="table" w:styleId="LightGrid-Accent4">
    <w:name w:val="Light Grid Accent 4"/>
    <w:basedOn w:val="TableNormal"/>
    <w:uiPriority w:val="62"/>
    <w:semiHidden/>
    <w:unhideWhenUsed/>
    <w:rsid w:val="00CF26C4"/>
    <w:pPr>
      <w:spacing w:after="0"/>
    </w:pPr>
    <w:rPr>
      <w:rFonts w:eastAsiaTheme="minorHAnsi" w:cs="Arial"/>
      <w:sz w:val="18"/>
      <w:szCs w:val="18"/>
    </w:rPr>
    <w:tblPr>
      <w:tblStyleRowBandSize w:val="1"/>
      <w:tblStyleColBandSize w:val="1"/>
      <w:tblBorders>
        <w:top w:val="single" w:sz="8" w:space="0" w:color="B26DAB" w:themeColor="accent4"/>
        <w:left w:val="single" w:sz="8" w:space="0" w:color="B26DAB" w:themeColor="accent4"/>
        <w:bottom w:val="single" w:sz="8" w:space="0" w:color="B26DAB" w:themeColor="accent4"/>
        <w:right w:val="single" w:sz="8" w:space="0" w:color="B26DAB" w:themeColor="accent4"/>
        <w:insideH w:val="single" w:sz="8" w:space="0" w:color="B26DAB" w:themeColor="accent4"/>
        <w:insideV w:val="single" w:sz="8" w:space="0" w:color="B26DAB"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6DAB" w:themeColor="accent4"/>
          <w:left w:val="single" w:sz="8" w:space="0" w:color="B26DAB" w:themeColor="accent4"/>
          <w:bottom w:val="single" w:sz="18" w:space="0" w:color="B26DAB" w:themeColor="accent4"/>
          <w:right w:val="single" w:sz="8" w:space="0" w:color="B26DAB" w:themeColor="accent4"/>
          <w:insideH w:val="nil"/>
          <w:insideV w:val="single" w:sz="8" w:space="0" w:color="B26DAB"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6DAB" w:themeColor="accent4"/>
          <w:left w:val="single" w:sz="8" w:space="0" w:color="B26DAB" w:themeColor="accent4"/>
          <w:bottom w:val="single" w:sz="8" w:space="0" w:color="B26DAB" w:themeColor="accent4"/>
          <w:right w:val="single" w:sz="8" w:space="0" w:color="B26DAB" w:themeColor="accent4"/>
          <w:insideH w:val="nil"/>
          <w:insideV w:val="single" w:sz="8" w:space="0" w:color="B26DAB"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6DAB" w:themeColor="accent4"/>
          <w:left w:val="single" w:sz="8" w:space="0" w:color="B26DAB" w:themeColor="accent4"/>
          <w:bottom w:val="single" w:sz="8" w:space="0" w:color="B26DAB" w:themeColor="accent4"/>
          <w:right w:val="single" w:sz="8" w:space="0" w:color="B26DAB" w:themeColor="accent4"/>
        </w:tcBorders>
      </w:tcPr>
    </w:tblStylePr>
    <w:tblStylePr w:type="band1Vert">
      <w:tblPr/>
      <w:tcPr>
        <w:tcBorders>
          <w:top w:val="single" w:sz="8" w:space="0" w:color="B26DAB" w:themeColor="accent4"/>
          <w:left w:val="single" w:sz="8" w:space="0" w:color="B26DAB" w:themeColor="accent4"/>
          <w:bottom w:val="single" w:sz="8" w:space="0" w:color="B26DAB" w:themeColor="accent4"/>
          <w:right w:val="single" w:sz="8" w:space="0" w:color="B26DAB" w:themeColor="accent4"/>
        </w:tcBorders>
        <w:shd w:val="clear" w:color="auto" w:fill="ECDAEA" w:themeFill="accent4" w:themeFillTint="3F"/>
      </w:tcPr>
    </w:tblStylePr>
    <w:tblStylePr w:type="band1Horz">
      <w:tblPr/>
      <w:tcPr>
        <w:tcBorders>
          <w:top w:val="single" w:sz="8" w:space="0" w:color="B26DAB" w:themeColor="accent4"/>
          <w:left w:val="single" w:sz="8" w:space="0" w:color="B26DAB" w:themeColor="accent4"/>
          <w:bottom w:val="single" w:sz="8" w:space="0" w:color="B26DAB" w:themeColor="accent4"/>
          <w:right w:val="single" w:sz="8" w:space="0" w:color="B26DAB" w:themeColor="accent4"/>
          <w:insideV w:val="single" w:sz="8" w:space="0" w:color="B26DAB" w:themeColor="accent4"/>
        </w:tcBorders>
        <w:shd w:val="clear" w:color="auto" w:fill="ECDAEA" w:themeFill="accent4" w:themeFillTint="3F"/>
      </w:tcPr>
    </w:tblStylePr>
    <w:tblStylePr w:type="band2Horz">
      <w:tblPr/>
      <w:tcPr>
        <w:tcBorders>
          <w:top w:val="single" w:sz="8" w:space="0" w:color="B26DAB" w:themeColor="accent4"/>
          <w:left w:val="single" w:sz="8" w:space="0" w:color="B26DAB" w:themeColor="accent4"/>
          <w:bottom w:val="single" w:sz="8" w:space="0" w:color="B26DAB" w:themeColor="accent4"/>
          <w:right w:val="single" w:sz="8" w:space="0" w:color="B26DAB" w:themeColor="accent4"/>
          <w:insideV w:val="single" w:sz="8" w:space="0" w:color="B26DAB" w:themeColor="accent4"/>
        </w:tcBorders>
      </w:tcPr>
    </w:tblStylePr>
  </w:style>
  <w:style w:type="table" w:styleId="LightGrid-Accent5">
    <w:name w:val="Light Grid Accent 5"/>
    <w:basedOn w:val="TableNormal"/>
    <w:uiPriority w:val="62"/>
    <w:semiHidden/>
    <w:unhideWhenUsed/>
    <w:rsid w:val="00CF26C4"/>
    <w:pPr>
      <w:spacing w:after="0"/>
    </w:pPr>
    <w:rPr>
      <w:rFonts w:eastAsiaTheme="minorHAnsi" w:cs="Arial"/>
      <w:sz w:val="18"/>
      <w:szCs w:val="18"/>
    </w:rPr>
    <w:tblPr>
      <w:tblStyleRowBandSize w:val="1"/>
      <w:tblStyleColBandSize w:val="1"/>
      <w:tblBorders>
        <w:top w:val="single" w:sz="8" w:space="0" w:color="E7A2C8" w:themeColor="accent5"/>
        <w:left w:val="single" w:sz="8" w:space="0" w:color="E7A2C8" w:themeColor="accent5"/>
        <w:bottom w:val="single" w:sz="8" w:space="0" w:color="E7A2C8" w:themeColor="accent5"/>
        <w:right w:val="single" w:sz="8" w:space="0" w:color="E7A2C8" w:themeColor="accent5"/>
        <w:insideH w:val="single" w:sz="8" w:space="0" w:color="E7A2C8" w:themeColor="accent5"/>
        <w:insideV w:val="single" w:sz="8" w:space="0" w:color="E7A2C8"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7A2C8" w:themeColor="accent5"/>
          <w:left w:val="single" w:sz="8" w:space="0" w:color="E7A2C8" w:themeColor="accent5"/>
          <w:bottom w:val="single" w:sz="18" w:space="0" w:color="E7A2C8" w:themeColor="accent5"/>
          <w:right w:val="single" w:sz="8" w:space="0" w:color="E7A2C8" w:themeColor="accent5"/>
          <w:insideH w:val="nil"/>
          <w:insideV w:val="single" w:sz="8" w:space="0" w:color="E7A2C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7A2C8" w:themeColor="accent5"/>
          <w:left w:val="single" w:sz="8" w:space="0" w:color="E7A2C8" w:themeColor="accent5"/>
          <w:bottom w:val="single" w:sz="8" w:space="0" w:color="E7A2C8" w:themeColor="accent5"/>
          <w:right w:val="single" w:sz="8" w:space="0" w:color="E7A2C8" w:themeColor="accent5"/>
          <w:insideH w:val="nil"/>
          <w:insideV w:val="single" w:sz="8" w:space="0" w:color="E7A2C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7A2C8" w:themeColor="accent5"/>
          <w:left w:val="single" w:sz="8" w:space="0" w:color="E7A2C8" w:themeColor="accent5"/>
          <w:bottom w:val="single" w:sz="8" w:space="0" w:color="E7A2C8" w:themeColor="accent5"/>
          <w:right w:val="single" w:sz="8" w:space="0" w:color="E7A2C8" w:themeColor="accent5"/>
        </w:tcBorders>
      </w:tcPr>
    </w:tblStylePr>
    <w:tblStylePr w:type="band1Vert">
      <w:tblPr/>
      <w:tcPr>
        <w:tcBorders>
          <w:top w:val="single" w:sz="8" w:space="0" w:color="E7A2C8" w:themeColor="accent5"/>
          <w:left w:val="single" w:sz="8" w:space="0" w:color="E7A2C8" w:themeColor="accent5"/>
          <w:bottom w:val="single" w:sz="8" w:space="0" w:color="E7A2C8" w:themeColor="accent5"/>
          <w:right w:val="single" w:sz="8" w:space="0" w:color="E7A2C8" w:themeColor="accent5"/>
        </w:tcBorders>
        <w:shd w:val="clear" w:color="auto" w:fill="F9E7F1" w:themeFill="accent5" w:themeFillTint="3F"/>
      </w:tcPr>
    </w:tblStylePr>
    <w:tblStylePr w:type="band1Horz">
      <w:tblPr/>
      <w:tcPr>
        <w:tcBorders>
          <w:top w:val="single" w:sz="8" w:space="0" w:color="E7A2C8" w:themeColor="accent5"/>
          <w:left w:val="single" w:sz="8" w:space="0" w:color="E7A2C8" w:themeColor="accent5"/>
          <w:bottom w:val="single" w:sz="8" w:space="0" w:color="E7A2C8" w:themeColor="accent5"/>
          <w:right w:val="single" w:sz="8" w:space="0" w:color="E7A2C8" w:themeColor="accent5"/>
          <w:insideV w:val="single" w:sz="8" w:space="0" w:color="E7A2C8" w:themeColor="accent5"/>
        </w:tcBorders>
        <w:shd w:val="clear" w:color="auto" w:fill="F9E7F1" w:themeFill="accent5" w:themeFillTint="3F"/>
      </w:tcPr>
    </w:tblStylePr>
    <w:tblStylePr w:type="band2Horz">
      <w:tblPr/>
      <w:tcPr>
        <w:tcBorders>
          <w:top w:val="single" w:sz="8" w:space="0" w:color="E7A2C8" w:themeColor="accent5"/>
          <w:left w:val="single" w:sz="8" w:space="0" w:color="E7A2C8" w:themeColor="accent5"/>
          <w:bottom w:val="single" w:sz="8" w:space="0" w:color="E7A2C8" w:themeColor="accent5"/>
          <w:right w:val="single" w:sz="8" w:space="0" w:color="E7A2C8" w:themeColor="accent5"/>
          <w:insideV w:val="single" w:sz="8" w:space="0" w:color="E7A2C8" w:themeColor="accent5"/>
        </w:tcBorders>
      </w:tcPr>
    </w:tblStylePr>
  </w:style>
  <w:style w:type="table" w:styleId="LightGrid-Accent6">
    <w:name w:val="Light Grid Accent 6"/>
    <w:basedOn w:val="TableNormal"/>
    <w:uiPriority w:val="62"/>
    <w:semiHidden/>
    <w:unhideWhenUsed/>
    <w:rsid w:val="00CF26C4"/>
    <w:pPr>
      <w:spacing w:after="0"/>
    </w:pPr>
    <w:rPr>
      <w:rFonts w:eastAsiaTheme="minorHAnsi" w:cs="Arial"/>
      <w:sz w:val="18"/>
      <w:szCs w:val="18"/>
    </w:rPr>
    <w:tblPr>
      <w:tblStyleRowBandSize w:val="1"/>
      <w:tblStyleColBandSize w:val="1"/>
      <w:tblBorders>
        <w:top w:val="single" w:sz="8" w:space="0" w:color="9CD2F4" w:themeColor="accent6"/>
        <w:left w:val="single" w:sz="8" w:space="0" w:color="9CD2F4" w:themeColor="accent6"/>
        <w:bottom w:val="single" w:sz="8" w:space="0" w:color="9CD2F4" w:themeColor="accent6"/>
        <w:right w:val="single" w:sz="8" w:space="0" w:color="9CD2F4" w:themeColor="accent6"/>
        <w:insideH w:val="single" w:sz="8" w:space="0" w:color="9CD2F4" w:themeColor="accent6"/>
        <w:insideV w:val="single" w:sz="8" w:space="0" w:color="9CD2F4"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CD2F4" w:themeColor="accent6"/>
          <w:left w:val="single" w:sz="8" w:space="0" w:color="9CD2F4" w:themeColor="accent6"/>
          <w:bottom w:val="single" w:sz="18" w:space="0" w:color="9CD2F4" w:themeColor="accent6"/>
          <w:right w:val="single" w:sz="8" w:space="0" w:color="9CD2F4" w:themeColor="accent6"/>
          <w:insideH w:val="nil"/>
          <w:insideV w:val="single" w:sz="8" w:space="0" w:color="9CD2F4"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CD2F4" w:themeColor="accent6"/>
          <w:left w:val="single" w:sz="8" w:space="0" w:color="9CD2F4" w:themeColor="accent6"/>
          <w:bottom w:val="single" w:sz="8" w:space="0" w:color="9CD2F4" w:themeColor="accent6"/>
          <w:right w:val="single" w:sz="8" w:space="0" w:color="9CD2F4" w:themeColor="accent6"/>
          <w:insideH w:val="nil"/>
          <w:insideV w:val="single" w:sz="8" w:space="0" w:color="9CD2F4"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CD2F4" w:themeColor="accent6"/>
          <w:left w:val="single" w:sz="8" w:space="0" w:color="9CD2F4" w:themeColor="accent6"/>
          <w:bottom w:val="single" w:sz="8" w:space="0" w:color="9CD2F4" w:themeColor="accent6"/>
          <w:right w:val="single" w:sz="8" w:space="0" w:color="9CD2F4" w:themeColor="accent6"/>
        </w:tcBorders>
      </w:tcPr>
    </w:tblStylePr>
    <w:tblStylePr w:type="band1Vert">
      <w:tblPr/>
      <w:tcPr>
        <w:tcBorders>
          <w:top w:val="single" w:sz="8" w:space="0" w:color="9CD2F4" w:themeColor="accent6"/>
          <w:left w:val="single" w:sz="8" w:space="0" w:color="9CD2F4" w:themeColor="accent6"/>
          <w:bottom w:val="single" w:sz="8" w:space="0" w:color="9CD2F4" w:themeColor="accent6"/>
          <w:right w:val="single" w:sz="8" w:space="0" w:color="9CD2F4" w:themeColor="accent6"/>
        </w:tcBorders>
        <w:shd w:val="clear" w:color="auto" w:fill="E6F3FC" w:themeFill="accent6" w:themeFillTint="3F"/>
      </w:tcPr>
    </w:tblStylePr>
    <w:tblStylePr w:type="band1Horz">
      <w:tblPr/>
      <w:tcPr>
        <w:tcBorders>
          <w:top w:val="single" w:sz="8" w:space="0" w:color="9CD2F4" w:themeColor="accent6"/>
          <w:left w:val="single" w:sz="8" w:space="0" w:color="9CD2F4" w:themeColor="accent6"/>
          <w:bottom w:val="single" w:sz="8" w:space="0" w:color="9CD2F4" w:themeColor="accent6"/>
          <w:right w:val="single" w:sz="8" w:space="0" w:color="9CD2F4" w:themeColor="accent6"/>
          <w:insideV w:val="single" w:sz="8" w:space="0" w:color="9CD2F4" w:themeColor="accent6"/>
        </w:tcBorders>
        <w:shd w:val="clear" w:color="auto" w:fill="E6F3FC" w:themeFill="accent6" w:themeFillTint="3F"/>
      </w:tcPr>
    </w:tblStylePr>
    <w:tblStylePr w:type="band2Horz">
      <w:tblPr/>
      <w:tcPr>
        <w:tcBorders>
          <w:top w:val="single" w:sz="8" w:space="0" w:color="9CD2F4" w:themeColor="accent6"/>
          <w:left w:val="single" w:sz="8" w:space="0" w:color="9CD2F4" w:themeColor="accent6"/>
          <w:bottom w:val="single" w:sz="8" w:space="0" w:color="9CD2F4" w:themeColor="accent6"/>
          <w:right w:val="single" w:sz="8" w:space="0" w:color="9CD2F4" w:themeColor="accent6"/>
          <w:insideV w:val="single" w:sz="8" w:space="0" w:color="9CD2F4" w:themeColor="accent6"/>
        </w:tcBorders>
      </w:tcPr>
    </w:tblStylePr>
  </w:style>
  <w:style w:type="table" w:styleId="LightList">
    <w:name w:val="Light List"/>
    <w:basedOn w:val="TableNormal"/>
    <w:uiPriority w:val="61"/>
    <w:semiHidden/>
    <w:unhideWhenUsed/>
    <w:rsid w:val="00CF26C4"/>
    <w:pPr>
      <w:spacing w:after="0"/>
    </w:pPr>
    <w:rPr>
      <w:rFonts w:eastAsiaTheme="minorHAnsi" w:cs="Arial"/>
      <w:sz w:val="18"/>
      <w:szCs w:val="18"/>
    </w:rPr>
    <w:tblPr>
      <w:tblStyleRowBandSize w:val="1"/>
      <w:tblStyleColBandSize w:val="1"/>
      <w:tblBorders>
        <w:top w:val="single" w:sz="8" w:space="0" w:color="1A1919" w:themeColor="text1"/>
        <w:left w:val="single" w:sz="8" w:space="0" w:color="1A1919" w:themeColor="text1"/>
        <w:bottom w:val="single" w:sz="8" w:space="0" w:color="1A1919" w:themeColor="text1"/>
        <w:right w:val="single" w:sz="8" w:space="0" w:color="1A1919" w:themeColor="text1"/>
      </w:tblBorders>
    </w:tblPr>
    <w:tblStylePr w:type="firstRow">
      <w:pPr>
        <w:spacing w:before="0" w:after="0" w:line="240" w:lineRule="auto"/>
      </w:pPr>
      <w:rPr>
        <w:b/>
        <w:bCs/>
        <w:color w:val="FFFFFF" w:themeColor="background1"/>
      </w:rPr>
      <w:tblPr/>
      <w:tcPr>
        <w:shd w:val="clear" w:color="auto" w:fill="1A1919" w:themeFill="text1"/>
      </w:tcPr>
    </w:tblStylePr>
    <w:tblStylePr w:type="lastRow">
      <w:pPr>
        <w:spacing w:before="0" w:after="0" w:line="240" w:lineRule="auto"/>
      </w:pPr>
      <w:rPr>
        <w:b/>
        <w:bCs/>
      </w:rPr>
      <w:tblPr/>
      <w:tcPr>
        <w:tcBorders>
          <w:top w:val="double" w:sz="6" w:space="0" w:color="1A1919" w:themeColor="text1"/>
          <w:left w:val="single" w:sz="8" w:space="0" w:color="1A1919" w:themeColor="text1"/>
          <w:bottom w:val="single" w:sz="8" w:space="0" w:color="1A1919" w:themeColor="text1"/>
          <w:right w:val="single" w:sz="8" w:space="0" w:color="1A1919" w:themeColor="text1"/>
        </w:tcBorders>
      </w:tcPr>
    </w:tblStylePr>
    <w:tblStylePr w:type="firstCol">
      <w:rPr>
        <w:b/>
        <w:bCs/>
      </w:rPr>
    </w:tblStylePr>
    <w:tblStylePr w:type="lastCol">
      <w:rPr>
        <w:b/>
        <w:bCs/>
      </w:rPr>
    </w:tblStylePr>
    <w:tblStylePr w:type="band1Vert">
      <w:tblPr/>
      <w:tcPr>
        <w:tcBorders>
          <w:top w:val="single" w:sz="8" w:space="0" w:color="1A1919" w:themeColor="text1"/>
          <w:left w:val="single" w:sz="8" w:space="0" w:color="1A1919" w:themeColor="text1"/>
          <w:bottom w:val="single" w:sz="8" w:space="0" w:color="1A1919" w:themeColor="text1"/>
          <w:right w:val="single" w:sz="8" w:space="0" w:color="1A1919" w:themeColor="text1"/>
        </w:tcBorders>
      </w:tcPr>
    </w:tblStylePr>
    <w:tblStylePr w:type="band1Horz">
      <w:tblPr/>
      <w:tcPr>
        <w:tcBorders>
          <w:top w:val="single" w:sz="8" w:space="0" w:color="1A1919" w:themeColor="text1"/>
          <w:left w:val="single" w:sz="8" w:space="0" w:color="1A1919" w:themeColor="text1"/>
          <w:bottom w:val="single" w:sz="8" w:space="0" w:color="1A1919" w:themeColor="text1"/>
          <w:right w:val="single" w:sz="8" w:space="0" w:color="1A1919" w:themeColor="text1"/>
        </w:tcBorders>
      </w:tcPr>
    </w:tblStylePr>
  </w:style>
  <w:style w:type="table" w:styleId="LightList-Accent1">
    <w:name w:val="Light List Accent 1"/>
    <w:basedOn w:val="TableNormal"/>
    <w:uiPriority w:val="61"/>
    <w:semiHidden/>
    <w:unhideWhenUsed/>
    <w:rsid w:val="00CF26C4"/>
    <w:pPr>
      <w:spacing w:after="0"/>
    </w:pPr>
    <w:rPr>
      <w:rFonts w:eastAsiaTheme="minorHAnsi" w:cs="Arial"/>
      <w:sz w:val="18"/>
      <w:szCs w:val="18"/>
    </w:rPr>
    <w:tblPr>
      <w:tblStyleRowBandSize w:val="1"/>
      <w:tblStyleColBandSize w:val="1"/>
      <w:tblBorders>
        <w:top w:val="single" w:sz="8" w:space="0" w:color="68C0B5" w:themeColor="accent1"/>
        <w:left w:val="single" w:sz="8" w:space="0" w:color="68C0B5" w:themeColor="accent1"/>
        <w:bottom w:val="single" w:sz="8" w:space="0" w:color="68C0B5" w:themeColor="accent1"/>
        <w:right w:val="single" w:sz="8" w:space="0" w:color="68C0B5" w:themeColor="accent1"/>
      </w:tblBorders>
    </w:tblPr>
    <w:tblStylePr w:type="firstRow">
      <w:pPr>
        <w:spacing w:before="0" w:after="0" w:line="240" w:lineRule="auto"/>
      </w:pPr>
      <w:rPr>
        <w:b/>
        <w:bCs/>
        <w:color w:val="FFFFFF" w:themeColor="background1"/>
      </w:rPr>
      <w:tblPr/>
      <w:tcPr>
        <w:shd w:val="clear" w:color="auto" w:fill="68C0B5" w:themeFill="accent1"/>
      </w:tcPr>
    </w:tblStylePr>
    <w:tblStylePr w:type="lastRow">
      <w:pPr>
        <w:spacing w:before="0" w:after="0" w:line="240" w:lineRule="auto"/>
      </w:pPr>
      <w:rPr>
        <w:b/>
        <w:bCs/>
      </w:rPr>
      <w:tblPr/>
      <w:tcPr>
        <w:tcBorders>
          <w:top w:val="double" w:sz="6" w:space="0" w:color="68C0B5" w:themeColor="accent1"/>
          <w:left w:val="single" w:sz="8" w:space="0" w:color="68C0B5" w:themeColor="accent1"/>
          <w:bottom w:val="single" w:sz="8" w:space="0" w:color="68C0B5" w:themeColor="accent1"/>
          <w:right w:val="single" w:sz="8" w:space="0" w:color="68C0B5" w:themeColor="accent1"/>
        </w:tcBorders>
      </w:tcPr>
    </w:tblStylePr>
    <w:tblStylePr w:type="firstCol">
      <w:rPr>
        <w:b/>
        <w:bCs/>
      </w:rPr>
    </w:tblStylePr>
    <w:tblStylePr w:type="lastCol">
      <w:rPr>
        <w:b/>
        <w:bCs/>
      </w:rPr>
    </w:tblStylePr>
    <w:tblStylePr w:type="band1Vert">
      <w:tblPr/>
      <w:tcPr>
        <w:tcBorders>
          <w:top w:val="single" w:sz="8" w:space="0" w:color="68C0B5" w:themeColor="accent1"/>
          <w:left w:val="single" w:sz="8" w:space="0" w:color="68C0B5" w:themeColor="accent1"/>
          <w:bottom w:val="single" w:sz="8" w:space="0" w:color="68C0B5" w:themeColor="accent1"/>
          <w:right w:val="single" w:sz="8" w:space="0" w:color="68C0B5" w:themeColor="accent1"/>
        </w:tcBorders>
      </w:tcPr>
    </w:tblStylePr>
    <w:tblStylePr w:type="band1Horz">
      <w:tblPr/>
      <w:tcPr>
        <w:tcBorders>
          <w:top w:val="single" w:sz="8" w:space="0" w:color="68C0B5" w:themeColor="accent1"/>
          <w:left w:val="single" w:sz="8" w:space="0" w:color="68C0B5" w:themeColor="accent1"/>
          <w:bottom w:val="single" w:sz="8" w:space="0" w:color="68C0B5" w:themeColor="accent1"/>
          <w:right w:val="single" w:sz="8" w:space="0" w:color="68C0B5" w:themeColor="accent1"/>
        </w:tcBorders>
      </w:tcPr>
    </w:tblStylePr>
  </w:style>
  <w:style w:type="table" w:styleId="LightList-Accent2">
    <w:name w:val="Light List Accent 2"/>
    <w:basedOn w:val="TableNormal"/>
    <w:uiPriority w:val="61"/>
    <w:semiHidden/>
    <w:unhideWhenUsed/>
    <w:rsid w:val="00CF26C4"/>
    <w:pPr>
      <w:spacing w:after="0"/>
    </w:pPr>
    <w:rPr>
      <w:rFonts w:eastAsiaTheme="minorHAnsi" w:cs="Arial"/>
      <w:sz w:val="18"/>
      <w:szCs w:val="18"/>
    </w:rPr>
    <w:tblPr>
      <w:tblStyleRowBandSize w:val="1"/>
      <w:tblStyleColBandSize w:val="1"/>
      <w:tblBorders>
        <w:top w:val="single" w:sz="8" w:space="0" w:color="69ACDF" w:themeColor="accent2"/>
        <w:left w:val="single" w:sz="8" w:space="0" w:color="69ACDF" w:themeColor="accent2"/>
        <w:bottom w:val="single" w:sz="8" w:space="0" w:color="69ACDF" w:themeColor="accent2"/>
        <w:right w:val="single" w:sz="8" w:space="0" w:color="69ACDF" w:themeColor="accent2"/>
      </w:tblBorders>
    </w:tblPr>
    <w:tblStylePr w:type="firstRow">
      <w:pPr>
        <w:spacing w:before="0" w:after="0" w:line="240" w:lineRule="auto"/>
      </w:pPr>
      <w:rPr>
        <w:b/>
        <w:bCs/>
        <w:color w:val="FFFFFF" w:themeColor="background1"/>
      </w:rPr>
      <w:tblPr/>
      <w:tcPr>
        <w:shd w:val="clear" w:color="auto" w:fill="69ACDF" w:themeFill="accent2"/>
      </w:tcPr>
    </w:tblStylePr>
    <w:tblStylePr w:type="lastRow">
      <w:pPr>
        <w:spacing w:before="0" w:after="0" w:line="240" w:lineRule="auto"/>
      </w:pPr>
      <w:rPr>
        <w:b/>
        <w:bCs/>
      </w:rPr>
      <w:tblPr/>
      <w:tcPr>
        <w:tcBorders>
          <w:top w:val="double" w:sz="6" w:space="0" w:color="69ACDF" w:themeColor="accent2"/>
          <w:left w:val="single" w:sz="8" w:space="0" w:color="69ACDF" w:themeColor="accent2"/>
          <w:bottom w:val="single" w:sz="8" w:space="0" w:color="69ACDF" w:themeColor="accent2"/>
          <w:right w:val="single" w:sz="8" w:space="0" w:color="69ACDF" w:themeColor="accent2"/>
        </w:tcBorders>
      </w:tcPr>
    </w:tblStylePr>
    <w:tblStylePr w:type="firstCol">
      <w:rPr>
        <w:b/>
        <w:bCs/>
      </w:rPr>
    </w:tblStylePr>
    <w:tblStylePr w:type="lastCol">
      <w:rPr>
        <w:b/>
        <w:bCs/>
      </w:rPr>
    </w:tblStylePr>
    <w:tblStylePr w:type="band1Vert">
      <w:tblPr/>
      <w:tcPr>
        <w:tcBorders>
          <w:top w:val="single" w:sz="8" w:space="0" w:color="69ACDF" w:themeColor="accent2"/>
          <w:left w:val="single" w:sz="8" w:space="0" w:color="69ACDF" w:themeColor="accent2"/>
          <w:bottom w:val="single" w:sz="8" w:space="0" w:color="69ACDF" w:themeColor="accent2"/>
          <w:right w:val="single" w:sz="8" w:space="0" w:color="69ACDF" w:themeColor="accent2"/>
        </w:tcBorders>
      </w:tcPr>
    </w:tblStylePr>
    <w:tblStylePr w:type="band1Horz">
      <w:tblPr/>
      <w:tcPr>
        <w:tcBorders>
          <w:top w:val="single" w:sz="8" w:space="0" w:color="69ACDF" w:themeColor="accent2"/>
          <w:left w:val="single" w:sz="8" w:space="0" w:color="69ACDF" w:themeColor="accent2"/>
          <w:bottom w:val="single" w:sz="8" w:space="0" w:color="69ACDF" w:themeColor="accent2"/>
          <w:right w:val="single" w:sz="8" w:space="0" w:color="69ACDF" w:themeColor="accent2"/>
        </w:tcBorders>
      </w:tcPr>
    </w:tblStylePr>
  </w:style>
  <w:style w:type="table" w:styleId="LightList-Accent3">
    <w:name w:val="Light List Accent 3"/>
    <w:basedOn w:val="TableNormal"/>
    <w:uiPriority w:val="61"/>
    <w:semiHidden/>
    <w:unhideWhenUsed/>
    <w:rsid w:val="00CF26C4"/>
    <w:pPr>
      <w:spacing w:after="0"/>
    </w:pPr>
    <w:rPr>
      <w:rFonts w:eastAsiaTheme="minorHAnsi" w:cs="Arial"/>
      <w:sz w:val="18"/>
      <w:szCs w:val="18"/>
    </w:rPr>
    <w:tblPr>
      <w:tblStyleRowBandSize w:val="1"/>
      <w:tblStyleColBandSize w:val="1"/>
      <w:tblBorders>
        <w:top w:val="single" w:sz="8" w:space="0" w:color="636AAF" w:themeColor="accent3"/>
        <w:left w:val="single" w:sz="8" w:space="0" w:color="636AAF" w:themeColor="accent3"/>
        <w:bottom w:val="single" w:sz="8" w:space="0" w:color="636AAF" w:themeColor="accent3"/>
        <w:right w:val="single" w:sz="8" w:space="0" w:color="636AAF" w:themeColor="accent3"/>
      </w:tblBorders>
    </w:tblPr>
    <w:tblStylePr w:type="firstRow">
      <w:pPr>
        <w:spacing w:before="0" w:after="0" w:line="240" w:lineRule="auto"/>
      </w:pPr>
      <w:rPr>
        <w:b/>
        <w:bCs/>
        <w:color w:val="FFFFFF" w:themeColor="background1"/>
      </w:rPr>
      <w:tblPr/>
      <w:tcPr>
        <w:shd w:val="clear" w:color="auto" w:fill="636AAF" w:themeFill="accent3"/>
      </w:tcPr>
    </w:tblStylePr>
    <w:tblStylePr w:type="lastRow">
      <w:pPr>
        <w:spacing w:before="0" w:after="0" w:line="240" w:lineRule="auto"/>
      </w:pPr>
      <w:rPr>
        <w:b/>
        <w:bCs/>
      </w:rPr>
      <w:tblPr/>
      <w:tcPr>
        <w:tcBorders>
          <w:top w:val="double" w:sz="6" w:space="0" w:color="636AAF" w:themeColor="accent3"/>
          <w:left w:val="single" w:sz="8" w:space="0" w:color="636AAF" w:themeColor="accent3"/>
          <w:bottom w:val="single" w:sz="8" w:space="0" w:color="636AAF" w:themeColor="accent3"/>
          <w:right w:val="single" w:sz="8" w:space="0" w:color="636AAF" w:themeColor="accent3"/>
        </w:tcBorders>
      </w:tcPr>
    </w:tblStylePr>
    <w:tblStylePr w:type="firstCol">
      <w:rPr>
        <w:b/>
        <w:bCs/>
      </w:rPr>
    </w:tblStylePr>
    <w:tblStylePr w:type="lastCol">
      <w:rPr>
        <w:b/>
        <w:bCs/>
      </w:rPr>
    </w:tblStylePr>
    <w:tblStylePr w:type="band1Vert">
      <w:tblPr/>
      <w:tcPr>
        <w:tcBorders>
          <w:top w:val="single" w:sz="8" w:space="0" w:color="636AAF" w:themeColor="accent3"/>
          <w:left w:val="single" w:sz="8" w:space="0" w:color="636AAF" w:themeColor="accent3"/>
          <w:bottom w:val="single" w:sz="8" w:space="0" w:color="636AAF" w:themeColor="accent3"/>
          <w:right w:val="single" w:sz="8" w:space="0" w:color="636AAF" w:themeColor="accent3"/>
        </w:tcBorders>
      </w:tcPr>
    </w:tblStylePr>
    <w:tblStylePr w:type="band1Horz">
      <w:tblPr/>
      <w:tcPr>
        <w:tcBorders>
          <w:top w:val="single" w:sz="8" w:space="0" w:color="636AAF" w:themeColor="accent3"/>
          <w:left w:val="single" w:sz="8" w:space="0" w:color="636AAF" w:themeColor="accent3"/>
          <w:bottom w:val="single" w:sz="8" w:space="0" w:color="636AAF" w:themeColor="accent3"/>
          <w:right w:val="single" w:sz="8" w:space="0" w:color="636AAF" w:themeColor="accent3"/>
        </w:tcBorders>
      </w:tcPr>
    </w:tblStylePr>
  </w:style>
  <w:style w:type="table" w:styleId="LightList-Accent4">
    <w:name w:val="Light List Accent 4"/>
    <w:basedOn w:val="TableNormal"/>
    <w:uiPriority w:val="61"/>
    <w:semiHidden/>
    <w:unhideWhenUsed/>
    <w:rsid w:val="00CF26C4"/>
    <w:pPr>
      <w:spacing w:after="0"/>
    </w:pPr>
    <w:rPr>
      <w:rFonts w:eastAsiaTheme="minorHAnsi" w:cs="Arial"/>
      <w:sz w:val="18"/>
      <w:szCs w:val="18"/>
    </w:rPr>
    <w:tblPr>
      <w:tblStyleRowBandSize w:val="1"/>
      <w:tblStyleColBandSize w:val="1"/>
      <w:tblBorders>
        <w:top w:val="single" w:sz="8" w:space="0" w:color="B26DAB" w:themeColor="accent4"/>
        <w:left w:val="single" w:sz="8" w:space="0" w:color="B26DAB" w:themeColor="accent4"/>
        <w:bottom w:val="single" w:sz="8" w:space="0" w:color="B26DAB" w:themeColor="accent4"/>
        <w:right w:val="single" w:sz="8" w:space="0" w:color="B26DAB" w:themeColor="accent4"/>
      </w:tblBorders>
    </w:tblPr>
    <w:tblStylePr w:type="firstRow">
      <w:pPr>
        <w:spacing w:before="0" w:after="0" w:line="240" w:lineRule="auto"/>
      </w:pPr>
      <w:rPr>
        <w:b/>
        <w:bCs/>
        <w:color w:val="FFFFFF" w:themeColor="background1"/>
      </w:rPr>
      <w:tblPr/>
      <w:tcPr>
        <w:shd w:val="clear" w:color="auto" w:fill="B26DAB" w:themeFill="accent4"/>
      </w:tcPr>
    </w:tblStylePr>
    <w:tblStylePr w:type="lastRow">
      <w:pPr>
        <w:spacing w:before="0" w:after="0" w:line="240" w:lineRule="auto"/>
      </w:pPr>
      <w:rPr>
        <w:b/>
        <w:bCs/>
      </w:rPr>
      <w:tblPr/>
      <w:tcPr>
        <w:tcBorders>
          <w:top w:val="double" w:sz="6" w:space="0" w:color="B26DAB" w:themeColor="accent4"/>
          <w:left w:val="single" w:sz="8" w:space="0" w:color="B26DAB" w:themeColor="accent4"/>
          <w:bottom w:val="single" w:sz="8" w:space="0" w:color="B26DAB" w:themeColor="accent4"/>
          <w:right w:val="single" w:sz="8" w:space="0" w:color="B26DAB" w:themeColor="accent4"/>
        </w:tcBorders>
      </w:tcPr>
    </w:tblStylePr>
    <w:tblStylePr w:type="firstCol">
      <w:rPr>
        <w:b/>
        <w:bCs/>
      </w:rPr>
    </w:tblStylePr>
    <w:tblStylePr w:type="lastCol">
      <w:rPr>
        <w:b/>
        <w:bCs/>
      </w:rPr>
    </w:tblStylePr>
    <w:tblStylePr w:type="band1Vert">
      <w:tblPr/>
      <w:tcPr>
        <w:tcBorders>
          <w:top w:val="single" w:sz="8" w:space="0" w:color="B26DAB" w:themeColor="accent4"/>
          <w:left w:val="single" w:sz="8" w:space="0" w:color="B26DAB" w:themeColor="accent4"/>
          <w:bottom w:val="single" w:sz="8" w:space="0" w:color="B26DAB" w:themeColor="accent4"/>
          <w:right w:val="single" w:sz="8" w:space="0" w:color="B26DAB" w:themeColor="accent4"/>
        </w:tcBorders>
      </w:tcPr>
    </w:tblStylePr>
    <w:tblStylePr w:type="band1Horz">
      <w:tblPr/>
      <w:tcPr>
        <w:tcBorders>
          <w:top w:val="single" w:sz="8" w:space="0" w:color="B26DAB" w:themeColor="accent4"/>
          <w:left w:val="single" w:sz="8" w:space="0" w:color="B26DAB" w:themeColor="accent4"/>
          <w:bottom w:val="single" w:sz="8" w:space="0" w:color="B26DAB" w:themeColor="accent4"/>
          <w:right w:val="single" w:sz="8" w:space="0" w:color="B26DAB" w:themeColor="accent4"/>
        </w:tcBorders>
      </w:tcPr>
    </w:tblStylePr>
  </w:style>
  <w:style w:type="table" w:styleId="LightList-Accent5">
    <w:name w:val="Light List Accent 5"/>
    <w:basedOn w:val="TableNormal"/>
    <w:uiPriority w:val="61"/>
    <w:semiHidden/>
    <w:unhideWhenUsed/>
    <w:rsid w:val="00CF26C4"/>
    <w:pPr>
      <w:spacing w:after="0"/>
    </w:pPr>
    <w:rPr>
      <w:rFonts w:eastAsiaTheme="minorHAnsi" w:cs="Arial"/>
      <w:sz w:val="18"/>
      <w:szCs w:val="18"/>
    </w:rPr>
    <w:tblPr>
      <w:tblStyleRowBandSize w:val="1"/>
      <w:tblStyleColBandSize w:val="1"/>
      <w:tblBorders>
        <w:top w:val="single" w:sz="8" w:space="0" w:color="E7A2C8" w:themeColor="accent5"/>
        <w:left w:val="single" w:sz="8" w:space="0" w:color="E7A2C8" w:themeColor="accent5"/>
        <w:bottom w:val="single" w:sz="8" w:space="0" w:color="E7A2C8" w:themeColor="accent5"/>
        <w:right w:val="single" w:sz="8" w:space="0" w:color="E7A2C8" w:themeColor="accent5"/>
      </w:tblBorders>
    </w:tblPr>
    <w:tblStylePr w:type="firstRow">
      <w:pPr>
        <w:spacing w:before="0" w:after="0" w:line="240" w:lineRule="auto"/>
      </w:pPr>
      <w:rPr>
        <w:b/>
        <w:bCs/>
        <w:color w:val="FFFFFF" w:themeColor="background1"/>
      </w:rPr>
      <w:tblPr/>
      <w:tcPr>
        <w:shd w:val="clear" w:color="auto" w:fill="E7A2C8" w:themeFill="accent5"/>
      </w:tcPr>
    </w:tblStylePr>
    <w:tblStylePr w:type="lastRow">
      <w:pPr>
        <w:spacing w:before="0" w:after="0" w:line="240" w:lineRule="auto"/>
      </w:pPr>
      <w:rPr>
        <w:b/>
        <w:bCs/>
      </w:rPr>
      <w:tblPr/>
      <w:tcPr>
        <w:tcBorders>
          <w:top w:val="double" w:sz="6" w:space="0" w:color="E7A2C8" w:themeColor="accent5"/>
          <w:left w:val="single" w:sz="8" w:space="0" w:color="E7A2C8" w:themeColor="accent5"/>
          <w:bottom w:val="single" w:sz="8" w:space="0" w:color="E7A2C8" w:themeColor="accent5"/>
          <w:right w:val="single" w:sz="8" w:space="0" w:color="E7A2C8" w:themeColor="accent5"/>
        </w:tcBorders>
      </w:tcPr>
    </w:tblStylePr>
    <w:tblStylePr w:type="firstCol">
      <w:rPr>
        <w:b/>
        <w:bCs/>
      </w:rPr>
    </w:tblStylePr>
    <w:tblStylePr w:type="lastCol">
      <w:rPr>
        <w:b/>
        <w:bCs/>
      </w:rPr>
    </w:tblStylePr>
    <w:tblStylePr w:type="band1Vert">
      <w:tblPr/>
      <w:tcPr>
        <w:tcBorders>
          <w:top w:val="single" w:sz="8" w:space="0" w:color="E7A2C8" w:themeColor="accent5"/>
          <w:left w:val="single" w:sz="8" w:space="0" w:color="E7A2C8" w:themeColor="accent5"/>
          <w:bottom w:val="single" w:sz="8" w:space="0" w:color="E7A2C8" w:themeColor="accent5"/>
          <w:right w:val="single" w:sz="8" w:space="0" w:color="E7A2C8" w:themeColor="accent5"/>
        </w:tcBorders>
      </w:tcPr>
    </w:tblStylePr>
    <w:tblStylePr w:type="band1Horz">
      <w:tblPr/>
      <w:tcPr>
        <w:tcBorders>
          <w:top w:val="single" w:sz="8" w:space="0" w:color="E7A2C8" w:themeColor="accent5"/>
          <w:left w:val="single" w:sz="8" w:space="0" w:color="E7A2C8" w:themeColor="accent5"/>
          <w:bottom w:val="single" w:sz="8" w:space="0" w:color="E7A2C8" w:themeColor="accent5"/>
          <w:right w:val="single" w:sz="8" w:space="0" w:color="E7A2C8" w:themeColor="accent5"/>
        </w:tcBorders>
      </w:tcPr>
    </w:tblStylePr>
  </w:style>
  <w:style w:type="table" w:styleId="LightList-Accent6">
    <w:name w:val="Light List Accent 6"/>
    <w:basedOn w:val="TableNormal"/>
    <w:uiPriority w:val="61"/>
    <w:semiHidden/>
    <w:unhideWhenUsed/>
    <w:rsid w:val="00CF26C4"/>
    <w:pPr>
      <w:spacing w:after="0"/>
    </w:pPr>
    <w:rPr>
      <w:rFonts w:eastAsiaTheme="minorHAnsi" w:cs="Arial"/>
      <w:sz w:val="18"/>
      <w:szCs w:val="18"/>
    </w:rPr>
    <w:tblPr>
      <w:tblStyleRowBandSize w:val="1"/>
      <w:tblStyleColBandSize w:val="1"/>
      <w:tblBorders>
        <w:top w:val="single" w:sz="8" w:space="0" w:color="9CD2F4" w:themeColor="accent6"/>
        <w:left w:val="single" w:sz="8" w:space="0" w:color="9CD2F4" w:themeColor="accent6"/>
        <w:bottom w:val="single" w:sz="8" w:space="0" w:color="9CD2F4" w:themeColor="accent6"/>
        <w:right w:val="single" w:sz="8" w:space="0" w:color="9CD2F4" w:themeColor="accent6"/>
      </w:tblBorders>
    </w:tblPr>
    <w:tblStylePr w:type="firstRow">
      <w:pPr>
        <w:spacing w:before="0" w:after="0" w:line="240" w:lineRule="auto"/>
      </w:pPr>
      <w:rPr>
        <w:b/>
        <w:bCs/>
        <w:color w:val="FFFFFF" w:themeColor="background1"/>
      </w:rPr>
      <w:tblPr/>
      <w:tcPr>
        <w:shd w:val="clear" w:color="auto" w:fill="9CD2F4" w:themeFill="accent6"/>
      </w:tcPr>
    </w:tblStylePr>
    <w:tblStylePr w:type="lastRow">
      <w:pPr>
        <w:spacing w:before="0" w:after="0" w:line="240" w:lineRule="auto"/>
      </w:pPr>
      <w:rPr>
        <w:b/>
        <w:bCs/>
      </w:rPr>
      <w:tblPr/>
      <w:tcPr>
        <w:tcBorders>
          <w:top w:val="double" w:sz="6" w:space="0" w:color="9CD2F4" w:themeColor="accent6"/>
          <w:left w:val="single" w:sz="8" w:space="0" w:color="9CD2F4" w:themeColor="accent6"/>
          <w:bottom w:val="single" w:sz="8" w:space="0" w:color="9CD2F4" w:themeColor="accent6"/>
          <w:right w:val="single" w:sz="8" w:space="0" w:color="9CD2F4" w:themeColor="accent6"/>
        </w:tcBorders>
      </w:tcPr>
    </w:tblStylePr>
    <w:tblStylePr w:type="firstCol">
      <w:rPr>
        <w:b/>
        <w:bCs/>
      </w:rPr>
    </w:tblStylePr>
    <w:tblStylePr w:type="lastCol">
      <w:rPr>
        <w:b/>
        <w:bCs/>
      </w:rPr>
    </w:tblStylePr>
    <w:tblStylePr w:type="band1Vert">
      <w:tblPr/>
      <w:tcPr>
        <w:tcBorders>
          <w:top w:val="single" w:sz="8" w:space="0" w:color="9CD2F4" w:themeColor="accent6"/>
          <w:left w:val="single" w:sz="8" w:space="0" w:color="9CD2F4" w:themeColor="accent6"/>
          <w:bottom w:val="single" w:sz="8" w:space="0" w:color="9CD2F4" w:themeColor="accent6"/>
          <w:right w:val="single" w:sz="8" w:space="0" w:color="9CD2F4" w:themeColor="accent6"/>
        </w:tcBorders>
      </w:tcPr>
    </w:tblStylePr>
    <w:tblStylePr w:type="band1Horz">
      <w:tblPr/>
      <w:tcPr>
        <w:tcBorders>
          <w:top w:val="single" w:sz="8" w:space="0" w:color="9CD2F4" w:themeColor="accent6"/>
          <w:left w:val="single" w:sz="8" w:space="0" w:color="9CD2F4" w:themeColor="accent6"/>
          <w:bottom w:val="single" w:sz="8" w:space="0" w:color="9CD2F4" w:themeColor="accent6"/>
          <w:right w:val="single" w:sz="8" w:space="0" w:color="9CD2F4" w:themeColor="accent6"/>
        </w:tcBorders>
      </w:tcPr>
    </w:tblStylePr>
  </w:style>
  <w:style w:type="table" w:styleId="LightShading">
    <w:name w:val="Light Shading"/>
    <w:basedOn w:val="TableNormal"/>
    <w:uiPriority w:val="60"/>
    <w:semiHidden/>
    <w:unhideWhenUsed/>
    <w:rsid w:val="00CF26C4"/>
    <w:pPr>
      <w:spacing w:after="0"/>
    </w:pPr>
    <w:rPr>
      <w:rFonts w:eastAsiaTheme="minorHAnsi" w:cs="Arial"/>
      <w:color w:val="131212" w:themeColor="text1" w:themeShade="BF"/>
      <w:sz w:val="18"/>
      <w:szCs w:val="18"/>
    </w:rPr>
    <w:tblPr>
      <w:tblStyleRowBandSize w:val="1"/>
      <w:tblStyleColBandSize w:val="1"/>
      <w:tblBorders>
        <w:top w:val="single" w:sz="8" w:space="0" w:color="1A1919" w:themeColor="text1"/>
        <w:bottom w:val="single" w:sz="8" w:space="0" w:color="1A1919" w:themeColor="text1"/>
      </w:tblBorders>
    </w:tblPr>
    <w:tblStylePr w:type="firstRow">
      <w:pPr>
        <w:spacing w:before="0" w:after="0" w:line="240" w:lineRule="auto"/>
      </w:pPr>
      <w:rPr>
        <w:b/>
        <w:bCs/>
      </w:rPr>
      <w:tblPr/>
      <w:tcPr>
        <w:tcBorders>
          <w:top w:val="single" w:sz="8" w:space="0" w:color="1A1919" w:themeColor="text1"/>
          <w:left w:val="nil"/>
          <w:bottom w:val="single" w:sz="8" w:space="0" w:color="1A1919" w:themeColor="text1"/>
          <w:right w:val="nil"/>
          <w:insideH w:val="nil"/>
          <w:insideV w:val="nil"/>
        </w:tcBorders>
      </w:tcPr>
    </w:tblStylePr>
    <w:tblStylePr w:type="lastRow">
      <w:pPr>
        <w:spacing w:before="0" w:after="0" w:line="240" w:lineRule="auto"/>
      </w:pPr>
      <w:rPr>
        <w:b/>
        <w:bCs/>
      </w:rPr>
      <w:tblPr/>
      <w:tcPr>
        <w:tcBorders>
          <w:top w:val="single" w:sz="8" w:space="0" w:color="1A1919" w:themeColor="text1"/>
          <w:left w:val="nil"/>
          <w:bottom w:val="single" w:sz="8" w:space="0" w:color="1A1919"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7C5C5" w:themeFill="text1" w:themeFillTint="3F"/>
      </w:tcPr>
    </w:tblStylePr>
    <w:tblStylePr w:type="band1Horz">
      <w:tblPr/>
      <w:tcPr>
        <w:tcBorders>
          <w:left w:val="nil"/>
          <w:right w:val="nil"/>
          <w:insideH w:val="nil"/>
          <w:insideV w:val="nil"/>
        </w:tcBorders>
        <w:shd w:val="clear" w:color="auto" w:fill="C7C5C5" w:themeFill="text1" w:themeFillTint="3F"/>
      </w:tcPr>
    </w:tblStylePr>
  </w:style>
  <w:style w:type="table" w:styleId="LightShading-Accent1">
    <w:name w:val="Light Shading Accent 1"/>
    <w:basedOn w:val="TableNormal"/>
    <w:uiPriority w:val="60"/>
    <w:semiHidden/>
    <w:unhideWhenUsed/>
    <w:rsid w:val="00CF26C4"/>
    <w:pPr>
      <w:spacing w:after="0"/>
    </w:pPr>
    <w:rPr>
      <w:rFonts w:eastAsiaTheme="minorHAnsi" w:cs="Arial"/>
      <w:color w:val="419C90" w:themeColor="accent1" w:themeShade="BF"/>
      <w:sz w:val="18"/>
      <w:szCs w:val="18"/>
    </w:rPr>
    <w:tblPr>
      <w:tblStyleRowBandSize w:val="1"/>
      <w:tblStyleColBandSize w:val="1"/>
      <w:tblBorders>
        <w:top w:val="single" w:sz="8" w:space="0" w:color="68C0B5" w:themeColor="accent1"/>
        <w:bottom w:val="single" w:sz="8" w:space="0" w:color="68C0B5" w:themeColor="accent1"/>
      </w:tblBorders>
    </w:tblPr>
    <w:tblStylePr w:type="firstRow">
      <w:pPr>
        <w:spacing w:before="0" w:after="0" w:line="240" w:lineRule="auto"/>
      </w:pPr>
      <w:rPr>
        <w:b/>
        <w:bCs/>
      </w:rPr>
      <w:tblPr/>
      <w:tcPr>
        <w:tcBorders>
          <w:top w:val="single" w:sz="8" w:space="0" w:color="68C0B5" w:themeColor="accent1"/>
          <w:left w:val="nil"/>
          <w:bottom w:val="single" w:sz="8" w:space="0" w:color="68C0B5" w:themeColor="accent1"/>
          <w:right w:val="nil"/>
          <w:insideH w:val="nil"/>
          <w:insideV w:val="nil"/>
        </w:tcBorders>
      </w:tcPr>
    </w:tblStylePr>
    <w:tblStylePr w:type="lastRow">
      <w:pPr>
        <w:spacing w:before="0" w:after="0" w:line="240" w:lineRule="auto"/>
      </w:pPr>
      <w:rPr>
        <w:b/>
        <w:bCs/>
      </w:rPr>
      <w:tblPr/>
      <w:tcPr>
        <w:tcBorders>
          <w:top w:val="single" w:sz="8" w:space="0" w:color="68C0B5" w:themeColor="accent1"/>
          <w:left w:val="nil"/>
          <w:bottom w:val="single" w:sz="8" w:space="0" w:color="68C0B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EFEC" w:themeFill="accent1" w:themeFillTint="3F"/>
      </w:tcPr>
    </w:tblStylePr>
    <w:tblStylePr w:type="band1Horz">
      <w:tblPr/>
      <w:tcPr>
        <w:tcBorders>
          <w:left w:val="nil"/>
          <w:right w:val="nil"/>
          <w:insideH w:val="nil"/>
          <w:insideV w:val="nil"/>
        </w:tcBorders>
        <w:shd w:val="clear" w:color="auto" w:fill="D9EFEC" w:themeFill="accent1" w:themeFillTint="3F"/>
      </w:tcPr>
    </w:tblStylePr>
  </w:style>
  <w:style w:type="table" w:styleId="LightShading-Accent2">
    <w:name w:val="Light Shading Accent 2"/>
    <w:basedOn w:val="TableNormal"/>
    <w:uiPriority w:val="60"/>
    <w:semiHidden/>
    <w:unhideWhenUsed/>
    <w:rsid w:val="00CF26C4"/>
    <w:pPr>
      <w:spacing w:after="0"/>
    </w:pPr>
    <w:rPr>
      <w:rFonts w:eastAsiaTheme="minorHAnsi" w:cs="Arial"/>
      <w:color w:val="2B85CA" w:themeColor="accent2" w:themeShade="BF"/>
      <w:sz w:val="18"/>
      <w:szCs w:val="18"/>
    </w:rPr>
    <w:tblPr>
      <w:tblStyleRowBandSize w:val="1"/>
      <w:tblStyleColBandSize w:val="1"/>
      <w:tblBorders>
        <w:top w:val="single" w:sz="8" w:space="0" w:color="69ACDF" w:themeColor="accent2"/>
        <w:bottom w:val="single" w:sz="8" w:space="0" w:color="69ACDF" w:themeColor="accent2"/>
      </w:tblBorders>
    </w:tblPr>
    <w:tblStylePr w:type="firstRow">
      <w:pPr>
        <w:spacing w:before="0" w:after="0" w:line="240" w:lineRule="auto"/>
      </w:pPr>
      <w:rPr>
        <w:b/>
        <w:bCs/>
      </w:rPr>
      <w:tblPr/>
      <w:tcPr>
        <w:tcBorders>
          <w:top w:val="single" w:sz="8" w:space="0" w:color="69ACDF" w:themeColor="accent2"/>
          <w:left w:val="nil"/>
          <w:bottom w:val="single" w:sz="8" w:space="0" w:color="69ACDF" w:themeColor="accent2"/>
          <w:right w:val="nil"/>
          <w:insideH w:val="nil"/>
          <w:insideV w:val="nil"/>
        </w:tcBorders>
      </w:tcPr>
    </w:tblStylePr>
    <w:tblStylePr w:type="lastRow">
      <w:pPr>
        <w:spacing w:before="0" w:after="0" w:line="240" w:lineRule="auto"/>
      </w:pPr>
      <w:rPr>
        <w:b/>
        <w:bCs/>
      </w:rPr>
      <w:tblPr/>
      <w:tcPr>
        <w:tcBorders>
          <w:top w:val="single" w:sz="8" w:space="0" w:color="69ACDF" w:themeColor="accent2"/>
          <w:left w:val="nil"/>
          <w:bottom w:val="single" w:sz="8" w:space="0" w:color="69ACD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EAF7" w:themeFill="accent2" w:themeFillTint="3F"/>
      </w:tcPr>
    </w:tblStylePr>
    <w:tblStylePr w:type="band1Horz">
      <w:tblPr/>
      <w:tcPr>
        <w:tcBorders>
          <w:left w:val="nil"/>
          <w:right w:val="nil"/>
          <w:insideH w:val="nil"/>
          <w:insideV w:val="nil"/>
        </w:tcBorders>
        <w:shd w:val="clear" w:color="auto" w:fill="D9EAF7" w:themeFill="accent2" w:themeFillTint="3F"/>
      </w:tcPr>
    </w:tblStylePr>
  </w:style>
  <w:style w:type="table" w:styleId="LightShading-Accent3">
    <w:name w:val="Light Shading Accent 3"/>
    <w:basedOn w:val="TableNormal"/>
    <w:uiPriority w:val="60"/>
    <w:semiHidden/>
    <w:unhideWhenUsed/>
    <w:rsid w:val="00CF26C4"/>
    <w:pPr>
      <w:spacing w:after="0"/>
    </w:pPr>
    <w:rPr>
      <w:rFonts w:eastAsiaTheme="minorHAnsi" w:cs="Arial"/>
      <w:color w:val="454B87" w:themeColor="accent3" w:themeShade="BF"/>
      <w:sz w:val="18"/>
      <w:szCs w:val="18"/>
    </w:rPr>
    <w:tblPr>
      <w:tblStyleRowBandSize w:val="1"/>
      <w:tblStyleColBandSize w:val="1"/>
      <w:tblBorders>
        <w:top w:val="single" w:sz="8" w:space="0" w:color="636AAF" w:themeColor="accent3"/>
        <w:bottom w:val="single" w:sz="8" w:space="0" w:color="636AAF" w:themeColor="accent3"/>
      </w:tblBorders>
    </w:tblPr>
    <w:tblStylePr w:type="firstRow">
      <w:pPr>
        <w:spacing w:before="0" w:after="0" w:line="240" w:lineRule="auto"/>
      </w:pPr>
      <w:rPr>
        <w:b/>
        <w:bCs/>
      </w:rPr>
      <w:tblPr/>
      <w:tcPr>
        <w:tcBorders>
          <w:top w:val="single" w:sz="8" w:space="0" w:color="636AAF" w:themeColor="accent3"/>
          <w:left w:val="nil"/>
          <w:bottom w:val="single" w:sz="8" w:space="0" w:color="636AAF" w:themeColor="accent3"/>
          <w:right w:val="nil"/>
          <w:insideH w:val="nil"/>
          <w:insideV w:val="nil"/>
        </w:tcBorders>
      </w:tcPr>
    </w:tblStylePr>
    <w:tblStylePr w:type="lastRow">
      <w:pPr>
        <w:spacing w:before="0" w:after="0" w:line="240" w:lineRule="auto"/>
      </w:pPr>
      <w:rPr>
        <w:b/>
        <w:bCs/>
      </w:rPr>
      <w:tblPr/>
      <w:tcPr>
        <w:tcBorders>
          <w:top w:val="single" w:sz="8" w:space="0" w:color="636AAF" w:themeColor="accent3"/>
          <w:left w:val="nil"/>
          <w:bottom w:val="single" w:sz="8" w:space="0" w:color="636AA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DAEB" w:themeFill="accent3" w:themeFillTint="3F"/>
      </w:tcPr>
    </w:tblStylePr>
    <w:tblStylePr w:type="band1Horz">
      <w:tblPr/>
      <w:tcPr>
        <w:tcBorders>
          <w:left w:val="nil"/>
          <w:right w:val="nil"/>
          <w:insideH w:val="nil"/>
          <w:insideV w:val="nil"/>
        </w:tcBorders>
        <w:shd w:val="clear" w:color="auto" w:fill="D8DAEB" w:themeFill="accent3" w:themeFillTint="3F"/>
      </w:tcPr>
    </w:tblStylePr>
  </w:style>
  <w:style w:type="table" w:styleId="LightShading-Accent4">
    <w:name w:val="Light Shading Accent 4"/>
    <w:basedOn w:val="TableNormal"/>
    <w:uiPriority w:val="60"/>
    <w:semiHidden/>
    <w:unhideWhenUsed/>
    <w:rsid w:val="00CF26C4"/>
    <w:pPr>
      <w:spacing w:after="0"/>
    </w:pPr>
    <w:rPr>
      <w:rFonts w:eastAsiaTheme="minorHAnsi" w:cs="Arial"/>
      <w:color w:val="8C4A85" w:themeColor="accent4" w:themeShade="BF"/>
      <w:sz w:val="18"/>
      <w:szCs w:val="18"/>
    </w:rPr>
    <w:tblPr>
      <w:tblStyleRowBandSize w:val="1"/>
      <w:tblStyleColBandSize w:val="1"/>
      <w:tblBorders>
        <w:top w:val="single" w:sz="8" w:space="0" w:color="B26DAB" w:themeColor="accent4"/>
        <w:bottom w:val="single" w:sz="8" w:space="0" w:color="B26DAB" w:themeColor="accent4"/>
      </w:tblBorders>
    </w:tblPr>
    <w:tblStylePr w:type="firstRow">
      <w:pPr>
        <w:spacing w:before="0" w:after="0" w:line="240" w:lineRule="auto"/>
      </w:pPr>
      <w:rPr>
        <w:b/>
        <w:bCs/>
      </w:rPr>
      <w:tblPr/>
      <w:tcPr>
        <w:tcBorders>
          <w:top w:val="single" w:sz="8" w:space="0" w:color="B26DAB" w:themeColor="accent4"/>
          <w:left w:val="nil"/>
          <w:bottom w:val="single" w:sz="8" w:space="0" w:color="B26DAB" w:themeColor="accent4"/>
          <w:right w:val="nil"/>
          <w:insideH w:val="nil"/>
          <w:insideV w:val="nil"/>
        </w:tcBorders>
      </w:tcPr>
    </w:tblStylePr>
    <w:tblStylePr w:type="lastRow">
      <w:pPr>
        <w:spacing w:before="0" w:after="0" w:line="240" w:lineRule="auto"/>
      </w:pPr>
      <w:rPr>
        <w:b/>
        <w:bCs/>
      </w:rPr>
      <w:tblPr/>
      <w:tcPr>
        <w:tcBorders>
          <w:top w:val="single" w:sz="8" w:space="0" w:color="B26DAB" w:themeColor="accent4"/>
          <w:left w:val="nil"/>
          <w:bottom w:val="single" w:sz="8" w:space="0" w:color="B26DAB"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DAEA" w:themeFill="accent4" w:themeFillTint="3F"/>
      </w:tcPr>
    </w:tblStylePr>
    <w:tblStylePr w:type="band1Horz">
      <w:tblPr/>
      <w:tcPr>
        <w:tcBorders>
          <w:left w:val="nil"/>
          <w:right w:val="nil"/>
          <w:insideH w:val="nil"/>
          <w:insideV w:val="nil"/>
        </w:tcBorders>
        <w:shd w:val="clear" w:color="auto" w:fill="ECDAEA" w:themeFill="accent4" w:themeFillTint="3F"/>
      </w:tcPr>
    </w:tblStylePr>
  </w:style>
  <w:style w:type="table" w:styleId="LightShading-Accent5">
    <w:name w:val="Light Shading Accent 5"/>
    <w:basedOn w:val="TableNormal"/>
    <w:uiPriority w:val="60"/>
    <w:semiHidden/>
    <w:unhideWhenUsed/>
    <w:rsid w:val="00CF26C4"/>
    <w:pPr>
      <w:spacing w:after="0"/>
    </w:pPr>
    <w:rPr>
      <w:rFonts w:eastAsiaTheme="minorHAnsi" w:cs="Arial"/>
      <w:color w:val="D25399" w:themeColor="accent5" w:themeShade="BF"/>
      <w:sz w:val="18"/>
      <w:szCs w:val="18"/>
    </w:rPr>
    <w:tblPr>
      <w:tblStyleRowBandSize w:val="1"/>
      <w:tblStyleColBandSize w:val="1"/>
      <w:tblBorders>
        <w:top w:val="single" w:sz="8" w:space="0" w:color="E7A2C8" w:themeColor="accent5"/>
        <w:bottom w:val="single" w:sz="8" w:space="0" w:color="E7A2C8" w:themeColor="accent5"/>
      </w:tblBorders>
    </w:tblPr>
    <w:tblStylePr w:type="firstRow">
      <w:pPr>
        <w:spacing w:before="0" w:after="0" w:line="240" w:lineRule="auto"/>
      </w:pPr>
      <w:rPr>
        <w:b/>
        <w:bCs/>
      </w:rPr>
      <w:tblPr/>
      <w:tcPr>
        <w:tcBorders>
          <w:top w:val="single" w:sz="8" w:space="0" w:color="E7A2C8" w:themeColor="accent5"/>
          <w:left w:val="nil"/>
          <w:bottom w:val="single" w:sz="8" w:space="0" w:color="E7A2C8" w:themeColor="accent5"/>
          <w:right w:val="nil"/>
          <w:insideH w:val="nil"/>
          <w:insideV w:val="nil"/>
        </w:tcBorders>
      </w:tcPr>
    </w:tblStylePr>
    <w:tblStylePr w:type="lastRow">
      <w:pPr>
        <w:spacing w:before="0" w:after="0" w:line="240" w:lineRule="auto"/>
      </w:pPr>
      <w:rPr>
        <w:b/>
        <w:bCs/>
      </w:rPr>
      <w:tblPr/>
      <w:tcPr>
        <w:tcBorders>
          <w:top w:val="single" w:sz="8" w:space="0" w:color="E7A2C8" w:themeColor="accent5"/>
          <w:left w:val="nil"/>
          <w:bottom w:val="single" w:sz="8" w:space="0" w:color="E7A2C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E7F1" w:themeFill="accent5" w:themeFillTint="3F"/>
      </w:tcPr>
    </w:tblStylePr>
    <w:tblStylePr w:type="band1Horz">
      <w:tblPr/>
      <w:tcPr>
        <w:tcBorders>
          <w:left w:val="nil"/>
          <w:right w:val="nil"/>
          <w:insideH w:val="nil"/>
          <w:insideV w:val="nil"/>
        </w:tcBorders>
        <w:shd w:val="clear" w:color="auto" w:fill="F9E7F1" w:themeFill="accent5" w:themeFillTint="3F"/>
      </w:tcPr>
    </w:tblStylePr>
  </w:style>
  <w:style w:type="table" w:styleId="LightShading-Accent6">
    <w:name w:val="Light Shading Accent 6"/>
    <w:basedOn w:val="TableNormal"/>
    <w:uiPriority w:val="60"/>
    <w:semiHidden/>
    <w:unhideWhenUsed/>
    <w:rsid w:val="00CF26C4"/>
    <w:pPr>
      <w:spacing w:after="0"/>
    </w:pPr>
    <w:rPr>
      <w:rFonts w:eastAsiaTheme="minorHAnsi" w:cs="Arial"/>
      <w:color w:val="41A8EA" w:themeColor="accent6" w:themeShade="BF"/>
      <w:sz w:val="18"/>
      <w:szCs w:val="18"/>
    </w:rPr>
    <w:tblPr>
      <w:tblStyleRowBandSize w:val="1"/>
      <w:tblStyleColBandSize w:val="1"/>
      <w:tblBorders>
        <w:top w:val="single" w:sz="8" w:space="0" w:color="9CD2F4" w:themeColor="accent6"/>
        <w:bottom w:val="single" w:sz="8" w:space="0" w:color="9CD2F4" w:themeColor="accent6"/>
      </w:tblBorders>
    </w:tblPr>
    <w:tblStylePr w:type="firstRow">
      <w:pPr>
        <w:spacing w:before="0" w:after="0" w:line="240" w:lineRule="auto"/>
      </w:pPr>
      <w:rPr>
        <w:b/>
        <w:bCs/>
      </w:rPr>
      <w:tblPr/>
      <w:tcPr>
        <w:tcBorders>
          <w:top w:val="single" w:sz="8" w:space="0" w:color="9CD2F4" w:themeColor="accent6"/>
          <w:left w:val="nil"/>
          <w:bottom w:val="single" w:sz="8" w:space="0" w:color="9CD2F4" w:themeColor="accent6"/>
          <w:right w:val="nil"/>
          <w:insideH w:val="nil"/>
          <w:insideV w:val="nil"/>
        </w:tcBorders>
      </w:tcPr>
    </w:tblStylePr>
    <w:tblStylePr w:type="lastRow">
      <w:pPr>
        <w:spacing w:before="0" w:after="0" w:line="240" w:lineRule="auto"/>
      </w:pPr>
      <w:rPr>
        <w:b/>
        <w:bCs/>
      </w:rPr>
      <w:tblPr/>
      <w:tcPr>
        <w:tcBorders>
          <w:top w:val="single" w:sz="8" w:space="0" w:color="9CD2F4" w:themeColor="accent6"/>
          <w:left w:val="nil"/>
          <w:bottom w:val="single" w:sz="8" w:space="0" w:color="9CD2F4"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F3FC" w:themeFill="accent6" w:themeFillTint="3F"/>
      </w:tcPr>
    </w:tblStylePr>
    <w:tblStylePr w:type="band1Horz">
      <w:tblPr/>
      <w:tcPr>
        <w:tcBorders>
          <w:left w:val="nil"/>
          <w:right w:val="nil"/>
          <w:insideH w:val="nil"/>
          <w:insideV w:val="nil"/>
        </w:tcBorders>
        <w:shd w:val="clear" w:color="auto" w:fill="E6F3FC" w:themeFill="accent6" w:themeFillTint="3F"/>
      </w:tcPr>
    </w:tblStylePr>
  </w:style>
  <w:style w:type="character" w:styleId="LineNumber">
    <w:name w:val="line number"/>
    <w:basedOn w:val="DefaultParagraphFont"/>
    <w:uiPriority w:val="99"/>
    <w:semiHidden/>
    <w:rsid w:val="00CF26C4"/>
  </w:style>
  <w:style w:type="paragraph" w:styleId="List">
    <w:name w:val="List"/>
    <w:basedOn w:val="Normal"/>
    <w:uiPriority w:val="99"/>
    <w:semiHidden/>
    <w:rsid w:val="00CF26C4"/>
    <w:pPr>
      <w:ind w:left="283" w:hanging="283"/>
      <w:contextualSpacing/>
    </w:pPr>
  </w:style>
  <w:style w:type="paragraph" w:styleId="List2">
    <w:name w:val="List 2"/>
    <w:basedOn w:val="Normal"/>
    <w:uiPriority w:val="99"/>
    <w:semiHidden/>
    <w:rsid w:val="00CF26C4"/>
    <w:pPr>
      <w:ind w:left="566" w:hanging="283"/>
      <w:contextualSpacing/>
    </w:pPr>
  </w:style>
  <w:style w:type="paragraph" w:styleId="List3">
    <w:name w:val="List 3"/>
    <w:basedOn w:val="Normal"/>
    <w:uiPriority w:val="99"/>
    <w:semiHidden/>
    <w:rsid w:val="00CF26C4"/>
    <w:pPr>
      <w:ind w:left="849" w:hanging="283"/>
      <w:contextualSpacing/>
    </w:pPr>
  </w:style>
  <w:style w:type="paragraph" w:styleId="List4">
    <w:name w:val="List 4"/>
    <w:basedOn w:val="Normal"/>
    <w:uiPriority w:val="99"/>
    <w:semiHidden/>
    <w:rsid w:val="00CF26C4"/>
    <w:pPr>
      <w:ind w:left="1132" w:hanging="283"/>
      <w:contextualSpacing/>
    </w:pPr>
  </w:style>
  <w:style w:type="paragraph" w:styleId="List5">
    <w:name w:val="List 5"/>
    <w:basedOn w:val="Normal"/>
    <w:uiPriority w:val="99"/>
    <w:semiHidden/>
    <w:rsid w:val="00CF26C4"/>
    <w:pPr>
      <w:ind w:left="1415" w:hanging="283"/>
      <w:contextualSpacing/>
    </w:pPr>
  </w:style>
  <w:style w:type="paragraph" w:styleId="ListBullet">
    <w:name w:val="List Bullet"/>
    <w:basedOn w:val="Normal"/>
    <w:uiPriority w:val="3"/>
    <w:qFormat/>
    <w:rsid w:val="00CF26C4"/>
    <w:pPr>
      <w:numPr>
        <w:numId w:val="1"/>
      </w:numPr>
    </w:pPr>
    <w:rPr>
      <w:rFonts w:eastAsia="Times New Roman" w:cs="Times New Roman"/>
    </w:rPr>
  </w:style>
  <w:style w:type="paragraph" w:styleId="ListBullet2">
    <w:name w:val="List Bullet 2"/>
    <w:basedOn w:val="Normal"/>
    <w:uiPriority w:val="3"/>
    <w:qFormat/>
    <w:rsid w:val="00CF26C4"/>
    <w:pPr>
      <w:numPr>
        <w:ilvl w:val="1"/>
        <w:numId w:val="1"/>
      </w:numPr>
    </w:pPr>
    <w:rPr>
      <w:rFonts w:eastAsia="Times New Roman" w:cs="Times New Roman"/>
    </w:rPr>
  </w:style>
  <w:style w:type="paragraph" w:styleId="ListBullet3">
    <w:name w:val="List Bullet 3"/>
    <w:basedOn w:val="Normal"/>
    <w:uiPriority w:val="3"/>
    <w:qFormat/>
    <w:rsid w:val="00CF26C4"/>
    <w:pPr>
      <w:numPr>
        <w:ilvl w:val="2"/>
        <w:numId w:val="1"/>
      </w:numPr>
    </w:pPr>
    <w:rPr>
      <w:rFonts w:eastAsia="Times New Roman" w:cs="Times New Roman"/>
    </w:rPr>
  </w:style>
  <w:style w:type="paragraph" w:styleId="ListBullet4">
    <w:name w:val="List Bullet 4"/>
    <w:basedOn w:val="Normal"/>
    <w:uiPriority w:val="3"/>
    <w:rsid w:val="00CF26C4"/>
    <w:pPr>
      <w:numPr>
        <w:ilvl w:val="3"/>
        <w:numId w:val="1"/>
      </w:numPr>
    </w:pPr>
    <w:rPr>
      <w:rFonts w:eastAsia="Times New Roman" w:cs="Times New Roman"/>
    </w:rPr>
  </w:style>
  <w:style w:type="paragraph" w:styleId="ListBullet5">
    <w:name w:val="List Bullet 5"/>
    <w:basedOn w:val="Normal"/>
    <w:next w:val="Normal"/>
    <w:uiPriority w:val="3"/>
    <w:semiHidden/>
    <w:rsid w:val="00CF26C4"/>
    <w:pPr>
      <w:numPr>
        <w:numId w:val="2"/>
      </w:numPr>
      <w:contextualSpacing/>
    </w:pPr>
    <w:rPr>
      <w:rFonts w:eastAsia="Times New Roman" w:cs="Courier New"/>
    </w:rPr>
  </w:style>
  <w:style w:type="paragraph" w:styleId="ListContinue">
    <w:name w:val="List Continue"/>
    <w:basedOn w:val="Normal"/>
    <w:uiPriority w:val="99"/>
    <w:semiHidden/>
    <w:rsid w:val="00CF26C4"/>
    <w:pPr>
      <w:spacing w:after="120"/>
      <w:ind w:left="283"/>
      <w:contextualSpacing/>
    </w:pPr>
  </w:style>
  <w:style w:type="paragraph" w:styleId="ListContinue2">
    <w:name w:val="List Continue 2"/>
    <w:basedOn w:val="Normal"/>
    <w:uiPriority w:val="99"/>
    <w:semiHidden/>
    <w:rsid w:val="00CF26C4"/>
    <w:pPr>
      <w:spacing w:after="120"/>
      <w:ind w:left="566"/>
      <w:contextualSpacing/>
    </w:pPr>
  </w:style>
  <w:style w:type="paragraph" w:styleId="ListContinue3">
    <w:name w:val="List Continue 3"/>
    <w:basedOn w:val="Normal"/>
    <w:uiPriority w:val="99"/>
    <w:semiHidden/>
    <w:rsid w:val="00CF26C4"/>
    <w:pPr>
      <w:spacing w:after="120"/>
      <w:ind w:left="849"/>
      <w:contextualSpacing/>
    </w:pPr>
  </w:style>
  <w:style w:type="paragraph" w:styleId="ListContinue4">
    <w:name w:val="List Continue 4"/>
    <w:basedOn w:val="Normal"/>
    <w:uiPriority w:val="99"/>
    <w:semiHidden/>
    <w:rsid w:val="00CF26C4"/>
    <w:pPr>
      <w:spacing w:after="120"/>
      <w:ind w:left="1132"/>
      <w:contextualSpacing/>
    </w:pPr>
  </w:style>
  <w:style w:type="paragraph" w:styleId="ListContinue5">
    <w:name w:val="List Continue 5"/>
    <w:basedOn w:val="Normal"/>
    <w:uiPriority w:val="99"/>
    <w:semiHidden/>
    <w:rsid w:val="00CF26C4"/>
    <w:pPr>
      <w:spacing w:after="120"/>
      <w:ind w:left="1415"/>
      <w:contextualSpacing/>
    </w:pPr>
  </w:style>
  <w:style w:type="paragraph" w:styleId="ListNumber">
    <w:name w:val="List Number"/>
    <w:basedOn w:val="Normal"/>
    <w:uiPriority w:val="3"/>
    <w:qFormat/>
    <w:rsid w:val="00CF26C4"/>
    <w:pPr>
      <w:numPr>
        <w:numId w:val="12"/>
      </w:numPr>
    </w:pPr>
  </w:style>
  <w:style w:type="paragraph" w:styleId="ListNumber2">
    <w:name w:val="List Number 2"/>
    <w:basedOn w:val="Normal"/>
    <w:uiPriority w:val="3"/>
    <w:rsid w:val="00CF26C4"/>
    <w:pPr>
      <w:numPr>
        <w:ilvl w:val="1"/>
        <w:numId w:val="12"/>
      </w:numPr>
    </w:pPr>
  </w:style>
  <w:style w:type="paragraph" w:styleId="ListNumber3">
    <w:name w:val="List Number 3"/>
    <w:basedOn w:val="Normal"/>
    <w:uiPriority w:val="3"/>
    <w:rsid w:val="00CF26C4"/>
    <w:pPr>
      <w:numPr>
        <w:ilvl w:val="2"/>
        <w:numId w:val="12"/>
      </w:numPr>
    </w:pPr>
  </w:style>
  <w:style w:type="paragraph" w:styleId="ListNumber4">
    <w:name w:val="List Number 4"/>
    <w:basedOn w:val="Normal"/>
    <w:uiPriority w:val="3"/>
    <w:rsid w:val="00CF26C4"/>
    <w:pPr>
      <w:numPr>
        <w:ilvl w:val="3"/>
        <w:numId w:val="12"/>
      </w:numPr>
    </w:pPr>
  </w:style>
  <w:style w:type="paragraph" w:styleId="ListNumber5">
    <w:name w:val="List Number 5"/>
    <w:basedOn w:val="Normal"/>
    <w:uiPriority w:val="99"/>
    <w:semiHidden/>
    <w:rsid w:val="00CF26C4"/>
    <w:pPr>
      <w:numPr>
        <w:numId w:val="48"/>
      </w:numPr>
      <w:contextualSpacing/>
    </w:pPr>
  </w:style>
  <w:style w:type="paragraph" w:styleId="ListParagraph">
    <w:name w:val="List Paragraph"/>
    <w:aliases w:val="List Paragraph1,List Paragraph11,L,Recommendation,Bullets,#List Paragraph,Bullet point,DDM Gen Text,List Paragraph - bullets,NFP GP Bulleted List,bullet point list,Bullet points,Content descriptions,Bullet Point,Dot Points"/>
    <w:basedOn w:val="Normal"/>
    <w:link w:val="ListParagraphChar"/>
    <w:uiPriority w:val="99"/>
    <w:semiHidden/>
    <w:rsid w:val="00CF26C4"/>
    <w:pPr>
      <w:ind w:left="720"/>
      <w:contextualSpacing/>
    </w:pPr>
  </w:style>
  <w:style w:type="table" w:styleId="ListTable1Light">
    <w:name w:val="List Table 1 Light"/>
    <w:basedOn w:val="TableNormal"/>
    <w:uiPriority w:val="46"/>
    <w:rsid w:val="00CF26C4"/>
    <w:pPr>
      <w:spacing w:after="0"/>
    </w:pPr>
    <w:rPr>
      <w:rFonts w:eastAsiaTheme="minorHAnsi" w:cs="Arial"/>
      <w:sz w:val="18"/>
      <w:szCs w:val="18"/>
    </w:rPr>
    <w:tblPr>
      <w:tblStyleRowBandSize w:val="1"/>
      <w:tblStyleColBandSize w:val="1"/>
    </w:tblPr>
    <w:tblStylePr w:type="firstRow">
      <w:rPr>
        <w:b/>
        <w:bCs/>
      </w:rPr>
      <w:tblPr/>
      <w:tcPr>
        <w:tcBorders>
          <w:bottom w:val="single" w:sz="4" w:space="0" w:color="777373" w:themeColor="text1" w:themeTint="99"/>
        </w:tcBorders>
      </w:tcPr>
    </w:tblStylePr>
    <w:tblStylePr w:type="lastRow">
      <w:rPr>
        <w:b/>
        <w:bCs/>
      </w:rPr>
      <w:tblPr/>
      <w:tcPr>
        <w:tcBorders>
          <w:top w:val="single" w:sz="4" w:space="0" w:color="777373" w:themeColor="text1" w:themeTint="99"/>
        </w:tcBorders>
      </w:tcPr>
    </w:tblStylePr>
    <w:tblStylePr w:type="firstCol">
      <w:rPr>
        <w:b/>
        <w:bCs/>
      </w:rPr>
    </w:tblStylePr>
    <w:tblStylePr w:type="lastCol">
      <w:rPr>
        <w:b/>
        <w:bCs/>
      </w:rPr>
    </w:tblStylePr>
    <w:tblStylePr w:type="band1Vert">
      <w:tblPr/>
      <w:tcPr>
        <w:shd w:val="clear" w:color="auto" w:fill="D2D0D0" w:themeFill="text1" w:themeFillTint="33"/>
      </w:tcPr>
    </w:tblStylePr>
    <w:tblStylePr w:type="band1Horz">
      <w:tblPr/>
      <w:tcPr>
        <w:shd w:val="clear" w:color="auto" w:fill="D2D0D0" w:themeFill="text1" w:themeFillTint="33"/>
      </w:tcPr>
    </w:tblStylePr>
  </w:style>
  <w:style w:type="table" w:styleId="ListTable1Light-Accent1">
    <w:name w:val="List Table 1 Light Accent 1"/>
    <w:basedOn w:val="TableNormal"/>
    <w:uiPriority w:val="46"/>
    <w:rsid w:val="00CF26C4"/>
    <w:pPr>
      <w:spacing w:after="0"/>
    </w:pPr>
    <w:rPr>
      <w:rFonts w:eastAsiaTheme="minorHAnsi" w:cs="Arial"/>
      <w:sz w:val="18"/>
      <w:szCs w:val="18"/>
    </w:rPr>
    <w:tblPr>
      <w:tblStyleRowBandSize w:val="1"/>
      <w:tblStyleColBandSize w:val="1"/>
    </w:tblPr>
    <w:tblStylePr w:type="firstRow">
      <w:rPr>
        <w:b/>
        <w:bCs/>
      </w:rPr>
      <w:tblPr/>
      <w:tcPr>
        <w:tcBorders>
          <w:bottom w:val="single" w:sz="4" w:space="0" w:color="A4D9D2" w:themeColor="accent1" w:themeTint="99"/>
        </w:tcBorders>
      </w:tcPr>
    </w:tblStylePr>
    <w:tblStylePr w:type="lastRow">
      <w:rPr>
        <w:b/>
        <w:bCs/>
      </w:rPr>
      <w:tblPr/>
      <w:tcPr>
        <w:tcBorders>
          <w:top w:val="single" w:sz="4" w:space="0" w:color="A4D9D2" w:themeColor="accent1" w:themeTint="99"/>
        </w:tcBorders>
      </w:tcPr>
    </w:tblStylePr>
    <w:tblStylePr w:type="firstCol">
      <w:rPr>
        <w:b/>
        <w:bCs/>
      </w:rPr>
    </w:tblStylePr>
    <w:tblStylePr w:type="lastCol">
      <w:rPr>
        <w:b/>
        <w:bCs/>
      </w:rPr>
    </w:tblStylePr>
    <w:tblStylePr w:type="band1Vert">
      <w:tblPr/>
      <w:tcPr>
        <w:shd w:val="clear" w:color="auto" w:fill="E0F2F0" w:themeFill="accent1" w:themeFillTint="33"/>
      </w:tcPr>
    </w:tblStylePr>
    <w:tblStylePr w:type="band1Horz">
      <w:tblPr/>
      <w:tcPr>
        <w:shd w:val="clear" w:color="auto" w:fill="E0F2F0" w:themeFill="accent1" w:themeFillTint="33"/>
      </w:tcPr>
    </w:tblStylePr>
  </w:style>
  <w:style w:type="table" w:styleId="ListTable1Light-Accent2">
    <w:name w:val="List Table 1 Light Accent 2"/>
    <w:basedOn w:val="TableNormal"/>
    <w:uiPriority w:val="46"/>
    <w:rsid w:val="00CF26C4"/>
    <w:pPr>
      <w:spacing w:after="0"/>
    </w:pPr>
    <w:rPr>
      <w:rFonts w:eastAsiaTheme="minorHAnsi" w:cs="Arial"/>
      <w:sz w:val="18"/>
      <w:szCs w:val="18"/>
    </w:rPr>
    <w:tblPr>
      <w:tblStyleRowBandSize w:val="1"/>
      <w:tblStyleColBandSize w:val="1"/>
    </w:tblPr>
    <w:tblStylePr w:type="firstRow">
      <w:rPr>
        <w:b/>
        <w:bCs/>
      </w:rPr>
      <w:tblPr/>
      <w:tcPr>
        <w:tcBorders>
          <w:bottom w:val="single" w:sz="4" w:space="0" w:color="A4CCEB" w:themeColor="accent2" w:themeTint="99"/>
        </w:tcBorders>
      </w:tcPr>
    </w:tblStylePr>
    <w:tblStylePr w:type="lastRow">
      <w:rPr>
        <w:b/>
        <w:bCs/>
      </w:rPr>
      <w:tblPr/>
      <w:tcPr>
        <w:tcBorders>
          <w:top w:val="single" w:sz="4" w:space="0" w:color="A4CCEB" w:themeColor="accent2" w:themeTint="99"/>
        </w:tcBorders>
      </w:tcPr>
    </w:tblStylePr>
    <w:tblStylePr w:type="firstCol">
      <w:rPr>
        <w:b/>
        <w:bCs/>
      </w:rPr>
    </w:tblStylePr>
    <w:tblStylePr w:type="lastCol">
      <w:rPr>
        <w:b/>
        <w:bCs/>
      </w:rPr>
    </w:tblStylePr>
    <w:tblStylePr w:type="band1Vert">
      <w:tblPr/>
      <w:tcPr>
        <w:shd w:val="clear" w:color="auto" w:fill="E0EEF8" w:themeFill="accent2" w:themeFillTint="33"/>
      </w:tcPr>
    </w:tblStylePr>
    <w:tblStylePr w:type="band1Horz">
      <w:tblPr/>
      <w:tcPr>
        <w:shd w:val="clear" w:color="auto" w:fill="E0EEF8" w:themeFill="accent2" w:themeFillTint="33"/>
      </w:tcPr>
    </w:tblStylePr>
  </w:style>
  <w:style w:type="table" w:styleId="ListTable1Light-Accent3">
    <w:name w:val="List Table 1 Light Accent 3"/>
    <w:basedOn w:val="TableNormal"/>
    <w:uiPriority w:val="46"/>
    <w:rsid w:val="00CF26C4"/>
    <w:pPr>
      <w:spacing w:after="0"/>
    </w:pPr>
    <w:rPr>
      <w:rFonts w:eastAsiaTheme="minorHAnsi" w:cs="Arial"/>
      <w:sz w:val="18"/>
      <w:szCs w:val="18"/>
    </w:rPr>
    <w:tblPr>
      <w:tblStyleRowBandSize w:val="1"/>
      <w:tblStyleColBandSize w:val="1"/>
    </w:tblPr>
    <w:tblStylePr w:type="firstRow">
      <w:rPr>
        <w:b/>
        <w:bCs/>
      </w:rPr>
      <w:tblPr/>
      <w:tcPr>
        <w:tcBorders>
          <w:bottom w:val="single" w:sz="4" w:space="0" w:color="A1A5CF" w:themeColor="accent3" w:themeTint="99"/>
        </w:tcBorders>
      </w:tcPr>
    </w:tblStylePr>
    <w:tblStylePr w:type="lastRow">
      <w:rPr>
        <w:b/>
        <w:bCs/>
      </w:rPr>
      <w:tblPr/>
      <w:tcPr>
        <w:tcBorders>
          <w:top w:val="single" w:sz="4" w:space="0" w:color="A1A5CF" w:themeColor="accent3" w:themeTint="99"/>
        </w:tcBorders>
      </w:tcPr>
    </w:tblStylePr>
    <w:tblStylePr w:type="firstCol">
      <w:rPr>
        <w:b/>
        <w:bCs/>
      </w:rPr>
    </w:tblStylePr>
    <w:tblStylePr w:type="lastCol">
      <w:rPr>
        <w:b/>
        <w:bCs/>
      </w:rPr>
    </w:tblStylePr>
    <w:tblStylePr w:type="band1Vert">
      <w:tblPr/>
      <w:tcPr>
        <w:shd w:val="clear" w:color="auto" w:fill="DFE1EF" w:themeFill="accent3" w:themeFillTint="33"/>
      </w:tcPr>
    </w:tblStylePr>
    <w:tblStylePr w:type="band1Horz">
      <w:tblPr/>
      <w:tcPr>
        <w:shd w:val="clear" w:color="auto" w:fill="DFE1EF" w:themeFill="accent3" w:themeFillTint="33"/>
      </w:tcPr>
    </w:tblStylePr>
  </w:style>
  <w:style w:type="table" w:styleId="ListTable1Light-Accent4">
    <w:name w:val="List Table 1 Light Accent 4"/>
    <w:basedOn w:val="TableNormal"/>
    <w:uiPriority w:val="46"/>
    <w:rsid w:val="00CF26C4"/>
    <w:pPr>
      <w:spacing w:after="0"/>
    </w:pPr>
    <w:rPr>
      <w:rFonts w:eastAsiaTheme="minorHAnsi" w:cs="Arial"/>
      <w:sz w:val="18"/>
      <w:szCs w:val="18"/>
    </w:rPr>
    <w:tblPr>
      <w:tblStyleRowBandSize w:val="1"/>
      <w:tblStyleColBandSize w:val="1"/>
    </w:tblPr>
    <w:tblStylePr w:type="firstRow">
      <w:rPr>
        <w:b/>
        <w:bCs/>
      </w:rPr>
      <w:tblPr/>
      <w:tcPr>
        <w:tcBorders>
          <w:bottom w:val="single" w:sz="4" w:space="0" w:color="D0A7CC" w:themeColor="accent4" w:themeTint="99"/>
        </w:tcBorders>
      </w:tcPr>
    </w:tblStylePr>
    <w:tblStylePr w:type="lastRow">
      <w:rPr>
        <w:b/>
        <w:bCs/>
      </w:rPr>
      <w:tblPr/>
      <w:tcPr>
        <w:tcBorders>
          <w:top w:val="single" w:sz="4" w:space="0" w:color="D0A7CC" w:themeColor="accent4" w:themeTint="99"/>
        </w:tcBorders>
      </w:tcPr>
    </w:tblStylePr>
    <w:tblStylePr w:type="firstCol">
      <w:rPr>
        <w:b/>
        <w:bCs/>
      </w:rPr>
    </w:tblStylePr>
    <w:tblStylePr w:type="lastCol">
      <w:rPr>
        <w:b/>
        <w:bCs/>
      </w:rPr>
    </w:tblStylePr>
    <w:tblStylePr w:type="band1Vert">
      <w:tblPr/>
      <w:tcPr>
        <w:shd w:val="clear" w:color="auto" w:fill="EFE1EE" w:themeFill="accent4" w:themeFillTint="33"/>
      </w:tcPr>
    </w:tblStylePr>
    <w:tblStylePr w:type="band1Horz">
      <w:tblPr/>
      <w:tcPr>
        <w:shd w:val="clear" w:color="auto" w:fill="EFE1EE" w:themeFill="accent4" w:themeFillTint="33"/>
      </w:tcPr>
    </w:tblStylePr>
  </w:style>
  <w:style w:type="table" w:styleId="ListTable1Light-Accent5">
    <w:name w:val="List Table 1 Light Accent 5"/>
    <w:basedOn w:val="TableNormal"/>
    <w:uiPriority w:val="46"/>
    <w:rsid w:val="00CF26C4"/>
    <w:pPr>
      <w:spacing w:after="0"/>
    </w:pPr>
    <w:rPr>
      <w:rFonts w:eastAsiaTheme="minorHAnsi" w:cs="Arial"/>
      <w:sz w:val="18"/>
      <w:szCs w:val="18"/>
    </w:rPr>
    <w:tblPr>
      <w:tblStyleRowBandSize w:val="1"/>
      <w:tblStyleColBandSize w:val="1"/>
    </w:tblPr>
    <w:tblStylePr w:type="firstRow">
      <w:rPr>
        <w:b/>
        <w:bCs/>
      </w:rPr>
      <w:tblPr/>
      <w:tcPr>
        <w:tcBorders>
          <w:bottom w:val="single" w:sz="4" w:space="0" w:color="F0C7DD" w:themeColor="accent5" w:themeTint="99"/>
        </w:tcBorders>
      </w:tcPr>
    </w:tblStylePr>
    <w:tblStylePr w:type="lastRow">
      <w:rPr>
        <w:b/>
        <w:bCs/>
      </w:rPr>
      <w:tblPr/>
      <w:tcPr>
        <w:tcBorders>
          <w:top w:val="single" w:sz="4" w:space="0" w:color="F0C7DD" w:themeColor="accent5" w:themeTint="99"/>
        </w:tcBorders>
      </w:tcPr>
    </w:tblStylePr>
    <w:tblStylePr w:type="firstCol">
      <w:rPr>
        <w:b/>
        <w:bCs/>
      </w:rPr>
    </w:tblStylePr>
    <w:tblStylePr w:type="lastCol">
      <w:rPr>
        <w:b/>
        <w:bCs/>
      </w:rPr>
    </w:tblStylePr>
    <w:tblStylePr w:type="band1Vert">
      <w:tblPr/>
      <w:tcPr>
        <w:shd w:val="clear" w:color="auto" w:fill="FAECF3" w:themeFill="accent5" w:themeFillTint="33"/>
      </w:tcPr>
    </w:tblStylePr>
    <w:tblStylePr w:type="band1Horz">
      <w:tblPr/>
      <w:tcPr>
        <w:shd w:val="clear" w:color="auto" w:fill="FAECF3" w:themeFill="accent5" w:themeFillTint="33"/>
      </w:tcPr>
    </w:tblStylePr>
  </w:style>
  <w:style w:type="table" w:styleId="ListTable1Light-Accent6">
    <w:name w:val="List Table 1 Light Accent 6"/>
    <w:basedOn w:val="TableNormal"/>
    <w:uiPriority w:val="46"/>
    <w:rsid w:val="00CF26C4"/>
    <w:pPr>
      <w:spacing w:after="0"/>
    </w:pPr>
    <w:rPr>
      <w:rFonts w:eastAsiaTheme="minorHAnsi" w:cs="Arial"/>
      <w:sz w:val="18"/>
      <w:szCs w:val="18"/>
    </w:rPr>
    <w:tblPr>
      <w:tblStyleRowBandSize w:val="1"/>
      <w:tblStyleColBandSize w:val="1"/>
    </w:tblPr>
    <w:tblStylePr w:type="firstRow">
      <w:rPr>
        <w:b/>
        <w:bCs/>
      </w:rPr>
      <w:tblPr/>
      <w:tcPr>
        <w:tcBorders>
          <w:bottom w:val="single" w:sz="4" w:space="0" w:color="C3E3F8" w:themeColor="accent6" w:themeTint="99"/>
        </w:tcBorders>
      </w:tcPr>
    </w:tblStylePr>
    <w:tblStylePr w:type="lastRow">
      <w:rPr>
        <w:b/>
        <w:bCs/>
      </w:rPr>
      <w:tblPr/>
      <w:tcPr>
        <w:tcBorders>
          <w:top w:val="single" w:sz="4" w:space="0" w:color="C3E3F8" w:themeColor="accent6" w:themeTint="99"/>
        </w:tcBorders>
      </w:tcPr>
    </w:tblStylePr>
    <w:tblStylePr w:type="firstCol">
      <w:rPr>
        <w:b/>
        <w:bCs/>
      </w:rPr>
    </w:tblStylePr>
    <w:tblStylePr w:type="lastCol">
      <w:rPr>
        <w:b/>
        <w:bCs/>
      </w:rPr>
    </w:tblStylePr>
    <w:tblStylePr w:type="band1Vert">
      <w:tblPr/>
      <w:tcPr>
        <w:shd w:val="clear" w:color="auto" w:fill="EBF5FC" w:themeFill="accent6" w:themeFillTint="33"/>
      </w:tcPr>
    </w:tblStylePr>
    <w:tblStylePr w:type="band1Horz">
      <w:tblPr/>
      <w:tcPr>
        <w:shd w:val="clear" w:color="auto" w:fill="EBF5FC" w:themeFill="accent6" w:themeFillTint="33"/>
      </w:tcPr>
    </w:tblStylePr>
  </w:style>
  <w:style w:type="table" w:styleId="ListTable2">
    <w:name w:val="List Table 2"/>
    <w:basedOn w:val="TableNormal"/>
    <w:uiPriority w:val="47"/>
    <w:rsid w:val="00CF26C4"/>
    <w:pPr>
      <w:spacing w:after="0"/>
    </w:pPr>
    <w:rPr>
      <w:rFonts w:eastAsiaTheme="minorHAnsi" w:cs="Arial"/>
      <w:sz w:val="18"/>
      <w:szCs w:val="18"/>
    </w:rPr>
    <w:tblPr>
      <w:tblStyleRowBandSize w:val="1"/>
      <w:tblStyleColBandSize w:val="1"/>
      <w:tblBorders>
        <w:top w:val="single" w:sz="4" w:space="0" w:color="777373" w:themeColor="text1" w:themeTint="99"/>
        <w:bottom w:val="single" w:sz="4" w:space="0" w:color="777373" w:themeColor="text1" w:themeTint="99"/>
        <w:insideH w:val="single" w:sz="4" w:space="0" w:color="777373"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2D0D0" w:themeFill="text1" w:themeFillTint="33"/>
      </w:tcPr>
    </w:tblStylePr>
    <w:tblStylePr w:type="band1Horz">
      <w:tblPr/>
      <w:tcPr>
        <w:shd w:val="clear" w:color="auto" w:fill="D2D0D0" w:themeFill="text1" w:themeFillTint="33"/>
      </w:tcPr>
    </w:tblStylePr>
  </w:style>
  <w:style w:type="table" w:styleId="ListTable2-Accent1">
    <w:name w:val="List Table 2 Accent 1"/>
    <w:basedOn w:val="TableNormal"/>
    <w:uiPriority w:val="47"/>
    <w:rsid w:val="00CF26C4"/>
    <w:pPr>
      <w:spacing w:after="0"/>
    </w:pPr>
    <w:rPr>
      <w:rFonts w:eastAsiaTheme="minorHAnsi" w:cs="Arial"/>
      <w:sz w:val="18"/>
      <w:szCs w:val="18"/>
    </w:rPr>
    <w:tblPr>
      <w:tblStyleRowBandSize w:val="1"/>
      <w:tblStyleColBandSize w:val="1"/>
      <w:tblBorders>
        <w:top w:val="single" w:sz="4" w:space="0" w:color="A4D9D2" w:themeColor="accent1" w:themeTint="99"/>
        <w:bottom w:val="single" w:sz="4" w:space="0" w:color="A4D9D2" w:themeColor="accent1" w:themeTint="99"/>
        <w:insideH w:val="single" w:sz="4" w:space="0" w:color="A4D9D2"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F2F0" w:themeFill="accent1" w:themeFillTint="33"/>
      </w:tcPr>
    </w:tblStylePr>
    <w:tblStylePr w:type="band1Horz">
      <w:tblPr/>
      <w:tcPr>
        <w:shd w:val="clear" w:color="auto" w:fill="E0F2F0" w:themeFill="accent1" w:themeFillTint="33"/>
      </w:tcPr>
    </w:tblStylePr>
  </w:style>
  <w:style w:type="table" w:styleId="ListTable2-Accent2">
    <w:name w:val="List Table 2 Accent 2"/>
    <w:basedOn w:val="TableNormal"/>
    <w:uiPriority w:val="47"/>
    <w:rsid w:val="00CF26C4"/>
    <w:pPr>
      <w:spacing w:after="0"/>
    </w:pPr>
    <w:rPr>
      <w:rFonts w:eastAsiaTheme="minorHAnsi" w:cs="Arial"/>
      <w:sz w:val="18"/>
      <w:szCs w:val="18"/>
    </w:rPr>
    <w:tblPr>
      <w:tblStyleRowBandSize w:val="1"/>
      <w:tblStyleColBandSize w:val="1"/>
      <w:tblBorders>
        <w:top w:val="single" w:sz="4" w:space="0" w:color="A4CCEB" w:themeColor="accent2" w:themeTint="99"/>
        <w:bottom w:val="single" w:sz="4" w:space="0" w:color="A4CCEB" w:themeColor="accent2" w:themeTint="99"/>
        <w:insideH w:val="single" w:sz="4" w:space="0" w:color="A4CCEB"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EEF8" w:themeFill="accent2" w:themeFillTint="33"/>
      </w:tcPr>
    </w:tblStylePr>
    <w:tblStylePr w:type="band1Horz">
      <w:tblPr/>
      <w:tcPr>
        <w:shd w:val="clear" w:color="auto" w:fill="E0EEF8" w:themeFill="accent2" w:themeFillTint="33"/>
      </w:tcPr>
    </w:tblStylePr>
  </w:style>
  <w:style w:type="table" w:styleId="ListTable2-Accent3">
    <w:name w:val="List Table 2 Accent 3"/>
    <w:basedOn w:val="TableNormal"/>
    <w:uiPriority w:val="47"/>
    <w:rsid w:val="00CF26C4"/>
    <w:pPr>
      <w:spacing w:after="0"/>
    </w:pPr>
    <w:rPr>
      <w:rFonts w:eastAsiaTheme="minorHAnsi" w:cs="Arial"/>
      <w:sz w:val="18"/>
      <w:szCs w:val="18"/>
    </w:rPr>
    <w:tblPr>
      <w:tblStyleRowBandSize w:val="1"/>
      <w:tblStyleColBandSize w:val="1"/>
      <w:tblBorders>
        <w:top w:val="single" w:sz="4" w:space="0" w:color="A1A5CF" w:themeColor="accent3" w:themeTint="99"/>
        <w:bottom w:val="single" w:sz="4" w:space="0" w:color="A1A5CF" w:themeColor="accent3" w:themeTint="99"/>
        <w:insideH w:val="single" w:sz="4" w:space="0" w:color="A1A5C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E1EF" w:themeFill="accent3" w:themeFillTint="33"/>
      </w:tcPr>
    </w:tblStylePr>
    <w:tblStylePr w:type="band1Horz">
      <w:tblPr/>
      <w:tcPr>
        <w:shd w:val="clear" w:color="auto" w:fill="DFE1EF" w:themeFill="accent3" w:themeFillTint="33"/>
      </w:tcPr>
    </w:tblStylePr>
  </w:style>
  <w:style w:type="table" w:styleId="ListTable2-Accent4">
    <w:name w:val="List Table 2 Accent 4"/>
    <w:basedOn w:val="TableNormal"/>
    <w:uiPriority w:val="47"/>
    <w:rsid w:val="00CF26C4"/>
    <w:pPr>
      <w:spacing w:after="0"/>
    </w:pPr>
    <w:rPr>
      <w:rFonts w:eastAsiaTheme="minorHAnsi" w:cs="Arial"/>
      <w:sz w:val="18"/>
      <w:szCs w:val="18"/>
    </w:rPr>
    <w:tblPr>
      <w:tblStyleRowBandSize w:val="1"/>
      <w:tblStyleColBandSize w:val="1"/>
      <w:tblBorders>
        <w:top w:val="single" w:sz="4" w:space="0" w:color="D0A7CC" w:themeColor="accent4" w:themeTint="99"/>
        <w:bottom w:val="single" w:sz="4" w:space="0" w:color="D0A7CC" w:themeColor="accent4" w:themeTint="99"/>
        <w:insideH w:val="single" w:sz="4" w:space="0" w:color="D0A7CC"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FE1EE" w:themeFill="accent4" w:themeFillTint="33"/>
      </w:tcPr>
    </w:tblStylePr>
    <w:tblStylePr w:type="band1Horz">
      <w:tblPr/>
      <w:tcPr>
        <w:shd w:val="clear" w:color="auto" w:fill="EFE1EE" w:themeFill="accent4" w:themeFillTint="33"/>
      </w:tcPr>
    </w:tblStylePr>
  </w:style>
  <w:style w:type="table" w:styleId="ListTable2-Accent5">
    <w:name w:val="List Table 2 Accent 5"/>
    <w:basedOn w:val="TableNormal"/>
    <w:uiPriority w:val="47"/>
    <w:rsid w:val="00CF26C4"/>
    <w:pPr>
      <w:spacing w:after="0"/>
    </w:pPr>
    <w:rPr>
      <w:rFonts w:eastAsiaTheme="minorHAnsi" w:cs="Arial"/>
      <w:sz w:val="18"/>
      <w:szCs w:val="18"/>
    </w:rPr>
    <w:tblPr>
      <w:tblStyleRowBandSize w:val="1"/>
      <w:tblStyleColBandSize w:val="1"/>
      <w:tblBorders>
        <w:top w:val="single" w:sz="4" w:space="0" w:color="F0C7DD" w:themeColor="accent5" w:themeTint="99"/>
        <w:bottom w:val="single" w:sz="4" w:space="0" w:color="F0C7DD" w:themeColor="accent5" w:themeTint="99"/>
        <w:insideH w:val="single" w:sz="4" w:space="0" w:color="F0C7DD"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ECF3" w:themeFill="accent5" w:themeFillTint="33"/>
      </w:tcPr>
    </w:tblStylePr>
    <w:tblStylePr w:type="band1Horz">
      <w:tblPr/>
      <w:tcPr>
        <w:shd w:val="clear" w:color="auto" w:fill="FAECF3" w:themeFill="accent5" w:themeFillTint="33"/>
      </w:tcPr>
    </w:tblStylePr>
  </w:style>
  <w:style w:type="table" w:styleId="ListTable2-Accent6">
    <w:name w:val="List Table 2 Accent 6"/>
    <w:basedOn w:val="TableNormal"/>
    <w:uiPriority w:val="47"/>
    <w:rsid w:val="00CF26C4"/>
    <w:pPr>
      <w:spacing w:after="0"/>
    </w:pPr>
    <w:rPr>
      <w:rFonts w:eastAsiaTheme="minorHAnsi" w:cs="Arial"/>
      <w:sz w:val="18"/>
      <w:szCs w:val="18"/>
    </w:rPr>
    <w:tblPr>
      <w:tblStyleRowBandSize w:val="1"/>
      <w:tblStyleColBandSize w:val="1"/>
      <w:tblBorders>
        <w:top w:val="single" w:sz="4" w:space="0" w:color="C3E3F8" w:themeColor="accent6" w:themeTint="99"/>
        <w:bottom w:val="single" w:sz="4" w:space="0" w:color="C3E3F8" w:themeColor="accent6" w:themeTint="99"/>
        <w:insideH w:val="single" w:sz="4" w:space="0" w:color="C3E3F8"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BF5FC" w:themeFill="accent6" w:themeFillTint="33"/>
      </w:tcPr>
    </w:tblStylePr>
    <w:tblStylePr w:type="band1Horz">
      <w:tblPr/>
      <w:tcPr>
        <w:shd w:val="clear" w:color="auto" w:fill="EBF5FC" w:themeFill="accent6" w:themeFillTint="33"/>
      </w:tcPr>
    </w:tblStylePr>
  </w:style>
  <w:style w:type="table" w:styleId="ListTable3">
    <w:name w:val="List Table 3"/>
    <w:basedOn w:val="TableNormal"/>
    <w:uiPriority w:val="48"/>
    <w:rsid w:val="00CF26C4"/>
    <w:pPr>
      <w:spacing w:after="0"/>
    </w:pPr>
    <w:rPr>
      <w:rFonts w:eastAsiaTheme="minorHAnsi" w:cs="Arial"/>
      <w:sz w:val="18"/>
      <w:szCs w:val="18"/>
    </w:rPr>
    <w:tblPr>
      <w:tblStyleRowBandSize w:val="1"/>
      <w:tblStyleColBandSize w:val="1"/>
      <w:tblBorders>
        <w:top w:val="single" w:sz="4" w:space="0" w:color="1A1919" w:themeColor="text1"/>
        <w:left w:val="single" w:sz="4" w:space="0" w:color="1A1919" w:themeColor="text1"/>
        <w:bottom w:val="single" w:sz="4" w:space="0" w:color="1A1919" w:themeColor="text1"/>
        <w:right w:val="single" w:sz="4" w:space="0" w:color="1A1919" w:themeColor="text1"/>
      </w:tblBorders>
    </w:tblPr>
    <w:tblStylePr w:type="firstRow">
      <w:rPr>
        <w:b/>
        <w:bCs/>
        <w:color w:val="FFFFFF" w:themeColor="background1"/>
      </w:rPr>
      <w:tblPr/>
      <w:tcPr>
        <w:shd w:val="clear" w:color="auto" w:fill="1A1919" w:themeFill="text1"/>
      </w:tcPr>
    </w:tblStylePr>
    <w:tblStylePr w:type="lastRow">
      <w:rPr>
        <w:b/>
        <w:bCs/>
      </w:rPr>
      <w:tblPr/>
      <w:tcPr>
        <w:tcBorders>
          <w:top w:val="double" w:sz="4" w:space="0" w:color="1A1919"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A1919" w:themeColor="text1"/>
          <w:right w:val="single" w:sz="4" w:space="0" w:color="1A1919" w:themeColor="text1"/>
        </w:tcBorders>
      </w:tcPr>
    </w:tblStylePr>
    <w:tblStylePr w:type="band1Horz">
      <w:tblPr/>
      <w:tcPr>
        <w:tcBorders>
          <w:top w:val="single" w:sz="4" w:space="0" w:color="1A1919" w:themeColor="text1"/>
          <w:bottom w:val="single" w:sz="4" w:space="0" w:color="1A1919"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A1919" w:themeColor="text1"/>
          <w:left w:val="nil"/>
        </w:tcBorders>
      </w:tcPr>
    </w:tblStylePr>
    <w:tblStylePr w:type="swCell">
      <w:tblPr/>
      <w:tcPr>
        <w:tcBorders>
          <w:top w:val="double" w:sz="4" w:space="0" w:color="1A1919" w:themeColor="text1"/>
          <w:right w:val="nil"/>
        </w:tcBorders>
      </w:tcPr>
    </w:tblStylePr>
  </w:style>
  <w:style w:type="table" w:styleId="ListTable3-Accent1">
    <w:name w:val="List Table 3 Accent 1"/>
    <w:basedOn w:val="TableNormal"/>
    <w:uiPriority w:val="48"/>
    <w:rsid w:val="00CF26C4"/>
    <w:pPr>
      <w:spacing w:after="0"/>
    </w:pPr>
    <w:rPr>
      <w:rFonts w:eastAsiaTheme="minorHAnsi" w:cs="Arial"/>
      <w:sz w:val="18"/>
      <w:szCs w:val="18"/>
    </w:rPr>
    <w:tblPr>
      <w:tblStyleRowBandSize w:val="1"/>
      <w:tblStyleColBandSize w:val="1"/>
      <w:tblBorders>
        <w:top w:val="single" w:sz="4" w:space="0" w:color="68C0B5" w:themeColor="accent1"/>
        <w:left w:val="single" w:sz="4" w:space="0" w:color="68C0B5" w:themeColor="accent1"/>
        <w:bottom w:val="single" w:sz="4" w:space="0" w:color="68C0B5" w:themeColor="accent1"/>
        <w:right w:val="single" w:sz="4" w:space="0" w:color="68C0B5" w:themeColor="accent1"/>
      </w:tblBorders>
    </w:tblPr>
    <w:tblStylePr w:type="firstRow">
      <w:rPr>
        <w:b/>
        <w:bCs/>
        <w:color w:val="FFFFFF" w:themeColor="background1"/>
      </w:rPr>
      <w:tblPr/>
      <w:tcPr>
        <w:shd w:val="clear" w:color="auto" w:fill="68C0B5" w:themeFill="accent1"/>
      </w:tcPr>
    </w:tblStylePr>
    <w:tblStylePr w:type="lastRow">
      <w:rPr>
        <w:b/>
        <w:bCs/>
      </w:rPr>
      <w:tblPr/>
      <w:tcPr>
        <w:tcBorders>
          <w:top w:val="double" w:sz="4" w:space="0" w:color="68C0B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8C0B5" w:themeColor="accent1"/>
          <w:right w:val="single" w:sz="4" w:space="0" w:color="68C0B5" w:themeColor="accent1"/>
        </w:tcBorders>
      </w:tcPr>
    </w:tblStylePr>
    <w:tblStylePr w:type="band1Horz">
      <w:tblPr/>
      <w:tcPr>
        <w:tcBorders>
          <w:top w:val="single" w:sz="4" w:space="0" w:color="68C0B5" w:themeColor="accent1"/>
          <w:bottom w:val="single" w:sz="4" w:space="0" w:color="68C0B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8C0B5" w:themeColor="accent1"/>
          <w:left w:val="nil"/>
        </w:tcBorders>
      </w:tcPr>
    </w:tblStylePr>
    <w:tblStylePr w:type="swCell">
      <w:tblPr/>
      <w:tcPr>
        <w:tcBorders>
          <w:top w:val="double" w:sz="4" w:space="0" w:color="68C0B5" w:themeColor="accent1"/>
          <w:right w:val="nil"/>
        </w:tcBorders>
      </w:tcPr>
    </w:tblStylePr>
  </w:style>
  <w:style w:type="table" w:styleId="ListTable3-Accent2">
    <w:name w:val="List Table 3 Accent 2"/>
    <w:basedOn w:val="TableNormal"/>
    <w:uiPriority w:val="48"/>
    <w:rsid w:val="00CF26C4"/>
    <w:pPr>
      <w:spacing w:after="0"/>
    </w:pPr>
    <w:rPr>
      <w:rFonts w:eastAsiaTheme="minorHAnsi" w:cs="Arial"/>
      <w:sz w:val="18"/>
      <w:szCs w:val="18"/>
    </w:rPr>
    <w:tblPr>
      <w:tblStyleRowBandSize w:val="1"/>
      <w:tblStyleColBandSize w:val="1"/>
      <w:tblBorders>
        <w:top w:val="single" w:sz="4" w:space="0" w:color="69ACDF" w:themeColor="accent2"/>
        <w:left w:val="single" w:sz="4" w:space="0" w:color="69ACDF" w:themeColor="accent2"/>
        <w:bottom w:val="single" w:sz="4" w:space="0" w:color="69ACDF" w:themeColor="accent2"/>
        <w:right w:val="single" w:sz="4" w:space="0" w:color="69ACDF" w:themeColor="accent2"/>
      </w:tblBorders>
    </w:tblPr>
    <w:tblStylePr w:type="firstRow">
      <w:rPr>
        <w:b/>
        <w:bCs/>
        <w:color w:val="FFFFFF" w:themeColor="background1"/>
      </w:rPr>
      <w:tblPr/>
      <w:tcPr>
        <w:shd w:val="clear" w:color="auto" w:fill="69ACDF" w:themeFill="accent2"/>
      </w:tcPr>
    </w:tblStylePr>
    <w:tblStylePr w:type="lastRow">
      <w:rPr>
        <w:b/>
        <w:bCs/>
      </w:rPr>
      <w:tblPr/>
      <w:tcPr>
        <w:tcBorders>
          <w:top w:val="double" w:sz="4" w:space="0" w:color="69ACD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9ACDF" w:themeColor="accent2"/>
          <w:right w:val="single" w:sz="4" w:space="0" w:color="69ACDF" w:themeColor="accent2"/>
        </w:tcBorders>
      </w:tcPr>
    </w:tblStylePr>
    <w:tblStylePr w:type="band1Horz">
      <w:tblPr/>
      <w:tcPr>
        <w:tcBorders>
          <w:top w:val="single" w:sz="4" w:space="0" w:color="69ACDF" w:themeColor="accent2"/>
          <w:bottom w:val="single" w:sz="4" w:space="0" w:color="69ACD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9ACDF" w:themeColor="accent2"/>
          <w:left w:val="nil"/>
        </w:tcBorders>
      </w:tcPr>
    </w:tblStylePr>
    <w:tblStylePr w:type="swCell">
      <w:tblPr/>
      <w:tcPr>
        <w:tcBorders>
          <w:top w:val="double" w:sz="4" w:space="0" w:color="69ACDF" w:themeColor="accent2"/>
          <w:right w:val="nil"/>
        </w:tcBorders>
      </w:tcPr>
    </w:tblStylePr>
  </w:style>
  <w:style w:type="table" w:styleId="ListTable3-Accent3">
    <w:name w:val="List Table 3 Accent 3"/>
    <w:basedOn w:val="TableNormal"/>
    <w:uiPriority w:val="48"/>
    <w:rsid w:val="00CF26C4"/>
    <w:pPr>
      <w:spacing w:after="0"/>
    </w:pPr>
    <w:rPr>
      <w:rFonts w:eastAsiaTheme="minorHAnsi" w:cs="Arial"/>
      <w:sz w:val="18"/>
      <w:szCs w:val="18"/>
    </w:rPr>
    <w:tblPr>
      <w:tblStyleRowBandSize w:val="1"/>
      <w:tblStyleColBandSize w:val="1"/>
      <w:tblBorders>
        <w:top w:val="single" w:sz="4" w:space="0" w:color="636AAF" w:themeColor="accent3"/>
        <w:left w:val="single" w:sz="4" w:space="0" w:color="636AAF" w:themeColor="accent3"/>
        <w:bottom w:val="single" w:sz="4" w:space="0" w:color="636AAF" w:themeColor="accent3"/>
        <w:right w:val="single" w:sz="4" w:space="0" w:color="636AAF" w:themeColor="accent3"/>
      </w:tblBorders>
    </w:tblPr>
    <w:tblStylePr w:type="firstRow">
      <w:rPr>
        <w:b/>
        <w:bCs/>
        <w:color w:val="FFFFFF" w:themeColor="background1"/>
      </w:rPr>
      <w:tblPr/>
      <w:tcPr>
        <w:shd w:val="clear" w:color="auto" w:fill="636AAF" w:themeFill="accent3"/>
      </w:tcPr>
    </w:tblStylePr>
    <w:tblStylePr w:type="lastRow">
      <w:rPr>
        <w:b/>
        <w:bCs/>
      </w:rPr>
      <w:tblPr/>
      <w:tcPr>
        <w:tcBorders>
          <w:top w:val="double" w:sz="4" w:space="0" w:color="636AA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36AAF" w:themeColor="accent3"/>
          <w:right w:val="single" w:sz="4" w:space="0" w:color="636AAF" w:themeColor="accent3"/>
        </w:tcBorders>
      </w:tcPr>
    </w:tblStylePr>
    <w:tblStylePr w:type="band1Horz">
      <w:tblPr/>
      <w:tcPr>
        <w:tcBorders>
          <w:top w:val="single" w:sz="4" w:space="0" w:color="636AAF" w:themeColor="accent3"/>
          <w:bottom w:val="single" w:sz="4" w:space="0" w:color="636AA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36AAF" w:themeColor="accent3"/>
          <w:left w:val="nil"/>
        </w:tcBorders>
      </w:tcPr>
    </w:tblStylePr>
    <w:tblStylePr w:type="swCell">
      <w:tblPr/>
      <w:tcPr>
        <w:tcBorders>
          <w:top w:val="double" w:sz="4" w:space="0" w:color="636AAF" w:themeColor="accent3"/>
          <w:right w:val="nil"/>
        </w:tcBorders>
      </w:tcPr>
    </w:tblStylePr>
  </w:style>
  <w:style w:type="table" w:styleId="ListTable3-Accent4">
    <w:name w:val="List Table 3 Accent 4"/>
    <w:basedOn w:val="TableNormal"/>
    <w:uiPriority w:val="48"/>
    <w:rsid w:val="00CF26C4"/>
    <w:pPr>
      <w:spacing w:after="0"/>
    </w:pPr>
    <w:rPr>
      <w:rFonts w:eastAsiaTheme="minorHAnsi" w:cs="Arial"/>
      <w:sz w:val="18"/>
      <w:szCs w:val="18"/>
    </w:rPr>
    <w:tblPr>
      <w:tblStyleRowBandSize w:val="1"/>
      <w:tblStyleColBandSize w:val="1"/>
      <w:tblBorders>
        <w:top w:val="single" w:sz="4" w:space="0" w:color="B26DAB" w:themeColor="accent4"/>
        <w:left w:val="single" w:sz="4" w:space="0" w:color="B26DAB" w:themeColor="accent4"/>
        <w:bottom w:val="single" w:sz="4" w:space="0" w:color="B26DAB" w:themeColor="accent4"/>
        <w:right w:val="single" w:sz="4" w:space="0" w:color="B26DAB" w:themeColor="accent4"/>
      </w:tblBorders>
    </w:tblPr>
    <w:tblStylePr w:type="firstRow">
      <w:rPr>
        <w:b/>
        <w:bCs/>
        <w:color w:val="FFFFFF" w:themeColor="background1"/>
      </w:rPr>
      <w:tblPr/>
      <w:tcPr>
        <w:shd w:val="clear" w:color="auto" w:fill="B26DAB" w:themeFill="accent4"/>
      </w:tcPr>
    </w:tblStylePr>
    <w:tblStylePr w:type="lastRow">
      <w:rPr>
        <w:b/>
        <w:bCs/>
      </w:rPr>
      <w:tblPr/>
      <w:tcPr>
        <w:tcBorders>
          <w:top w:val="double" w:sz="4" w:space="0" w:color="B26DAB"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26DAB" w:themeColor="accent4"/>
          <w:right w:val="single" w:sz="4" w:space="0" w:color="B26DAB" w:themeColor="accent4"/>
        </w:tcBorders>
      </w:tcPr>
    </w:tblStylePr>
    <w:tblStylePr w:type="band1Horz">
      <w:tblPr/>
      <w:tcPr>
        <w:tcBorders>
          <w:top w:val="single" w:sz="4" w:space="0" w:color="B26DAB" w:themeColor="accent4"/>
          <w:bottom w:val="single" w:sz="4" w:space="0" w:color="B26DAB"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26DAB" w:themeColor="accent4"/>
          <w:left w:val="nil"/>
        </w:tcBorders>
      </w:tcPr>
    </w:tblStylePr>
    <w:tblStylePr w:type="swCell">
      <w:tblPr/>
      <w:tcPr>
        <w:tcBorders>
          <w:top w:val="double" w:sz="4" w:space="0" w:color="B26DAB" w:themeColor="accent4"/>
          <w:right w:val="nil"/>
        </w:tcBorders>
      </w:tcPr>
    </w:tblStylePr>
  </w:style>
  <w:style w:type="table" w:styleId="ListTable3-Accent5">
    <w:name w:val="List Table 3 Accent 5"/>
    <w:basedOn w:val="TableNormal"/>
    <w:uiPriority w:val="48"/>
    <w:rsid w:val="00CF26C4"/>
    <w:pPr>
      <w:spacing w:after="0"/>
    </w:pPr>
    <w:rPr>
      <w:rFonts w:eastAsiaTheme="minorHAnsi" w:cs="Arial"/>
      <w:sz w:val="18"/>
      <w:szCs w:val="18"/>
    </w:rPr>
    <w:tblPr>
      <w:tblStyleRowBandSize w:val="1"/>
      <w:tblStyleColBandSize w:val="1"/>
      <w:tblBorders>
        <w:top w:val="single" w:sz="4" w:space="0" w:color="E7A2C8" w:themeColor="accent5"/>
        <w:left w:val="single" w:sz="4" w:space="0" w:color="E7A2C8" w:themeColor="accent5"/>
        <w:bottom w:val="single" w:sz="4" w:space="0" w:color="E7A2C8" w:themeColor="accent5"/>
        <w:right w:val="single" w:sz="4" w:space="0" w:color="E7A2C8" w:themeColor="accent5"/>
      </w:tblBorders>
    </w:tblPr>
    <w:tblStylePr w:type="firstRow">
      <w:rPr>
        <w:b/>
        <w:bCs/>
        <w:color w:val="FFFFFF" w:themeColor="background1"/>
      </w:rPr>
      <w:tblPr/>
      <w:tcPr>
        <w:shd w:val="clear" w:color="auto" w:fill="E7A2C8" w:themeFill="accent5"/>
      </w:tcPr>
    </w:tblStylePr>
    <w:tblStylePr w:type="lastRow">
      <w:rPr>
        <w:b/>
        <w:bCs/>
      </w:rPr>
      <w:tblPr/>
      <w:tcPr>
        <w:tcBorders>
          <w:top w:val="double" w:sz="4" w:space="0" w:color="E7A2C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7A2C8" w:themeColor="accent5"/>
          <w:right w:val="single" w:sz="4" w:space="0" w:color="E7A2C8" w:themeColor="accent5"/>
        </w:tcBorders>
      </w:tcPr>
    </w:tblStylePr>
    <w:tblStylePr w:type="band1Horz">
      <w:tblPr/>
      <w:tcPr>
        <w:tcBorders>
          <w:top w:val="single" w:sz="4" w:space="0" w:color="E7A2C8" w:themeColor="accent5"/>
          <w:bottom w:val="single" w:sz="4" w:space="0" w:color="E7A2C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7A2C8" w:themeColor="accent5"/>
          <w:left w:val="nil"/>
        </w:tcBorders>
      </w:tcPr>
    </w:tblStylePr>
    <w:tblStylePr w:type="swCell">
      <w:tblPr/>
      <w:tcPr>
        <w:tcBorders>
          <w:top w:val="double" w:sz="4" w:space="0" w:color="E7A2C8" w:themeColor="accent5"/>
          <w:right w:val="nil"/>
        </w:tcBorders>
      </w:tcPr>
    </w:tblStylePr>
  </w:style>
  <w:style w:type="table" w:styleId="ListTable3-Accent6">
    <w:name w:val="List Table 3 Accent 6"/>
    <w:basedOn w:val="TableNormal"/>
    <w:uiPriority w:val="48"/>
    <w:rsid w:val="00CF26C4"/>
    <w:pPr>
      <w:spacing w:after="0"/>
    </w:pPr>
    <w:rPr>
      <w:rFonts w:eastAsiaTheme="minorHAnsi" w:cs="Arial"/>
      <w:sz w:val="18"/>
      <w:szCs w:val="18"/>
    </w:rPr>
    <w:tblPr>
      <w:tblStyleRowBandSize w:val="1"/>
      <w:tblStyleColBandSize w:val="1"/>
      <w:tblBorders>
        <w:top w:val="single" w:sz="4" w:space="0" w:color="9CD2F4" w:themeColor="accent6"/>
        <w:left w:val="single" w:sz="4" w:space="0" w:color="9CD2F4" w:themeColor="accent6"/>
        <w:bottom w:val="single" w:sz="4" w:space="0" w:color="9CD2F4" w:themeColor="accent6"/>
        <w:right w:val="single" w:sz="4" w:space="0" w:color="9CD2F4" w:themeColor="accent6"/>
      </w:tblBorders>
    </w:tblPr>
    <w:tblStylePr w:type="firstRow">
      <w:rPr>
        <w:b/>
        <w:bCs/>
        <w:color w:val="FFFFFF" w:themeColor="background1"/>
      </w:rPr>
      <w:tblPr/>
      <w:tcPr>
        <w:shd w:val="clear" w:color="auto" w:fill="9CD2F4" w:themeFill="accent6"/>
      </w:tcPr>
    </w:tblStylePr>
    <w:tblStylePr w:type="lastRow">
      <w:rPr>
        <w:b/>
        <w:bCs/>
      </w:rPr>
      <w:tblPr/>
      <w:tcPr>
        <w:tcBorders>
          <w:top w:val="double" w:sz="4" w:space="0" w:color="9CD2F4"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CD2F4" w:themeColor="accent6"/>
          <w:right w:val="single" w:sz="4" w:space="0" w:color="9CD2F4" w:themeColor="accent6"/>
        </w:tcBorders>
      </w:tcPr>
    </w:tblStylePr>
    <w:tblStylePr w:type="band1Horz">
      <w:tblPr/>
      <w:tcPr>
        <w:tcBorders>
          <w:top w:val="single" w:sz="4" w:space="0" w:color="9CD2F4" w:themeColor="accent6"/>
          <w:bottom w:val="single" w:sz="4" w:space="0" w:color="9CD2F4"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CD2F4" w:themeColor="accent6"/>
          <w:left w:val="nil"/>
        </w:tcBorders>
      </w:tcPr>
    </w:tblStylePr>
    <w:tblStylePr w:type="swCell">
      <w:tblPr/>
      <w:tcPr>
        <w:tcBorders>
          <w:top w:val="double" w:sz="4" w:space="0" w:color="9CD2F4" w:themeColor="accent6"/>
          <w:right w:val="nil"/>
        </w:tcBorders>
      </w:tcPr>
    </w:tblStylePr>
  </w:style>
  <w:style w:type="table" w:styleId="ListTable4">
    <w:name w:val="List Table 4"/>
    <w:basedOn w:val="TableNormal"/>
    <w:uiPriority w:val="49"/>
    <w:rsid w:val="00CF26C4"/>
    <w:pPr>
      <w:spacing w:after="0"/>
    </w:pPr>
    <w:rPr>
      <w:rFonts w:eastAsiaTheme="minorHAnsi" w:cs="Arial"/>
      <w:sz w:val="18"/>
      <w:szCs w:val="18"/>
    </w:rPr>
    <w:tblPr>
      <w:tblStyleRowBandSize w:val="1"/>
      <w:tblStyleColBandSize w:val="1"/>
      <w:tblBorders>
        <w:top w:val="single" w:sz="4" w:space="0" w:color="777373" w:themeColor="text1" w:themeTint="99"/>
        <w:left w:val="single" w:sz="4" w:space="0" w:color="777373" w:themeColor="text1" w:themeTint="99"/>
        <w:bottom w:val="single" w:sz="4" w:space="0" w:color="777373" w:themeColor="text1" w:themeTint="99"/>
        <w:right w:val="single" w:sz="4" w:space="0" w:color="777373" w:themeColor="text1" w:themeTint="99"/>
        <w:insideH w:val="single" w:sz="4" w:space="0" w:color="777373" w:themeColor="text1" w:themeTint="99"/>
      </w:tblBorders>
    </w:tblPr>
    <w:tblStylePr w:type="firstRow">
      <w:rPr>
        <w:b/>
        <w:bCs/>
        <w:color w:val="FFFFFF" w:themeColor="background1"/>
      </w:rPr>
      <w:tblPr/>
      <w:tcPr>
        <w:tcBorders>
          <w:top w:val="single" w:sz="4" w:space="0" w:color="1A1919" w:themeColor="text1"/>
          <w:left w:val="single" w:sz="4" w:space="0" w:color="1A1919" w:themeColor="text1"/>
          <w:bottom w:val="single" w:sz="4" w:space="0" w:color="1A1919" w:themeColor="text1"/>
          <w:right w:val="single" w:sz="4" w:space="0" w:color="1A1919" w:themeColor="text1"/>
          <w:insideH w:val="nil"/>
        </w:tcBorders>
        <w:shd w:val="clear" w:color="auto" w:fill="1A1919" w:themeFill="text1"/>
      </w:tcPr>
    </w:tblStylePr>
    <w:tblStylePr w:type="lastRow">
      <w:rPr>
        <w:b/>
        <w:bCs/>
      </w:rPr>
      <w:tblPr/>
      <w:tcPr>
        <w:tcBorders>
          <w:top w:val="double" w:sz="4" w:space="0" w:color="777373" w:themeColor="text1" w:themeTint="99"/>
        </w:tcBorders>
      </w:tcPr>
    </w:tblStylePr>
    <w:tblStylePr w:type="firstCol">
      <w:rPr>
        <w:b/>
        <w:bCs/>
      </w:rPr>
    </w:tblStylePr>
    <w:tblStylePr w:type="lastCol">
      <w:rPr>
        <w:b/>
        <w:bCs/>
      </w:rPr>
    </w:tblStylePr>
    <w:tblStylePr w:type="band1Vert">
      <w:tblPr/>
      <w:tcPr>
        <w:shd w:val="clear" w:color="auto" w:fill="D2D0D0" w:themeFill="text1" w:themeFillTint="33"/>
      </w:tcPr>
    </w:tblStylePr>
    <w:tblStylePr w:type="band1Horz">
      <w:tblPr/>
      <w:tcPr>
        <w:shd w:val="clear" w:color="auto" w:fill="D2D0D0" w:themeFill="text1" w:themeFillTint="33"/>
      </w:tcPr>
    </w:tblStylePr>
  </w:style>
  <w:style w:type="table" w:styleId="ListTable4-Accent1">
    <w:name w:val="List Table 4 Accent 1"/>
    <w:basedOn w:val="TableNormal"/>
    <w:uiPriority w:val="49"/>
    <w:rsid w:val="00CF26C4"/>
    <w:pPr>
      <w:spacing w:after="0"/>
    </w:pPr>
    <w:rPr>
      <w:rFonts w:eastAsiaTheme="minorHAnsi" w:cs="Arial"/>
      <w:sz w:val="18"/>
      <w:szCs w:val="18"/>
    </w:rPr>
    <w:tblPr>
      <w:tblStyleRowBandSize w:val="1"/>
      <w:tblStyleColBandSize w:val="1"/>
      <w:tblBorders>
        <w:top w:val="single" w:sz="4" w:space="0" w:color="A4D9D2" w:themeColor="accent1" w:themeTint="99"/>
        <w:left w:val="single" w:sz="4" w:space="0" w:color="A4D9D2" w:themeColor="accent1" w:themeTint="99"/>
        <w:bottom w:val="single" w:sz="4" w:space="0" w:color="A4D9D2" w:themeColor="accent1" w:themeTint="99"/>
        <w:right w:val="single" w:sz="4" w:space="0" w:color="A4D9D2" w:themeColor="accent1" w:themeTint="99"/>
        <w:insideH w:val="single" w:sz="4" w:space="0" w:color="A4D9D2" w:themeColor="accent1" w:themeTint="99"/>
      </w:tblBorders>
    </w:tblPr>
    <w:tblStylePr w:type="firstRow">
      <w:rPr>
        <w:b/>
        <w:bCs/>
        <w:color w:val="FFFFFF" w:themeColor="background1"/>
      </w:rPr>
      <w:tblPr/>
      <w:tcPr>
        <w:tcBorders>
          <w:top w:val="single" w:sz="4" w:space="0" w:color="68C0B5" w:themeColor="accent1"/>
          <w:left w:val="single" w:sz="4" w:space="0" w:color="68C0B5" w:themeColor="accent1"/>
          <w:bottom w:val="single" w:sz="4" w:space="0" w:color="68C0B5" w:themeColor="accent1"/>
          <w:right w:val="single" w:sz="4" w:space="0" w:color="68C0B5" w:themeColor="accent1"/>
          <w:insideH w:val="nil"/>
        </w:tcBorders>
        <w:shd w:val="clear" w:color="auto" w:fill="68C0B5" w:themeFill="accent1"/>
      </w:tcPr>
    </w:tblStylePr>
    <w:tblStylePr w:type="lastRow">
      <w:rPr>
        <w:b/>
        <w:bCs/>
      </w:rPr>
      <w:tblPr/>
      <w:tcPr>
        <w:tcBorders>
          <w:top w:val="double" w:sz="4" w:space="0" w:color="A4D9D2" w:themeColor="accent1" w:themeTint="99"/>
        </w:tcBorders>
      </w:tcPr>
    </w:tblStylePr>
    <w:tblStylePr w:type="firstCol">
      <w:rPr>
        <w:b/>
        <w:bCs/>
      </w:rPr>
    </w:tblStylePr>
    <w:tblStylePr w:type="lastCol">
      <w:rPr>
        <w:b/>
        <w:bCs/>
      </w:rPr>
    </w:tblStylePr>
    <w:tblStylePr w:type="band1Vert">
      <w:tblPr/>
      <w:tcPr>
        <w:shd w:val="clear" w:color="auto" w:fill="E0F2F0" w:themeFill="accent1" w:themeFillTint="33"/>
      </w:tcPr>
    </w:tblStylePr>
    <w:tblStylePr w:type="band1Horz">
      <w:tblPr/>
      <w:tcPr>
        <w:shd w:val="clear" w:color="auto" w:fill="E0F2F0" w:themeFill="accent1" w:themeFillTint="33"/>
      </w:tcPr>
    </w:tblStylePr>
  </w:style>
  <w:style w:type="table" w:styleId="ListTable4-Accent2">
    <w:name w:val="List Table 4 Accent 2"/>
    <w:basedOn w:val="TableNormal"/>
    <w:uiPriority w:val="49"/>
    <w:rsid w:val="00CF26C4"/>
    <w:pPr>
      <w:spacing w:after="0"/>
    </w:pPr>
    <w:rPr>
      <w:rFonts w:eastAsiaTheme="minorHAnsi" w:cs="Arial"/>
      <w:sz w:val="18"/>
      <w:szCs w:val="18"/>
    </w:rPr>
    <w:tblPr>
      <w:tblStyleRowBandSize w:val="1"/>
      <w:tblStyleColBandSize w:val="1"/>
      <w:tblBorders>
        <w:top w:val="single" w:sz="4" w:space="0" w:color="A4CCEB" w:themeColor="accent2" w:themeTint="99"/>
        <w:left w:val="single" w:sz="4" w:space="0" w:color="A4CCEB" w:themeColor="accent2" w:themeTint="99"/>
        <w:bottom w:val="single" w:sz="4" w:space="0" w:color="A4CCEB" w:themeColor="accent2" w:themeTint="99"/>
        <w:right w:val="single" w:sz="4" w:space="0" w:color="A4CCEB" w:themeColor="accent2" w:themeTint="99"/>
        <w:insideH w:val="single" w:sz="4" w:space="0" w:color="A4CCEB" w:themeColor="accent2" w:themeTint="99"/>
      </w:tblBorders>
    </w:tblPr>
    <w:tblStylePr w:type="firstRow">
      <w:rPr>
        <w:b/>
        <w:bCs/>
        <w:color w:val="FFFFFF" w:themeColor="background1"/>
      </w:rPr>
      <w:tblPr/>
      <w:tcPr>
        <w:tcBorders>
          <w:top w:val="single" w:sz="4" w:space="0" w:color="69ACDF" w:themeColor="accent2"/>
          <w:left w:val="single" w:sz="4" w:space="0" w:color="69ACDF" w:themeColor="accent2"/>
          <w:bottom w:val="single" w:sz="4" w:space="0" w:color="69ACDF" w:themeColor="accent2"/>
          <w:right w:val="single" w:sz="4" w:space="0" w:color="69ACDF" w:themeColor="accent2"/>
          <w:insideH w:val="nil"/>
        </w:tcBorders>
        <w:shd w:val="clear" w:color="auto" w:fill="69ACDF" w:themeFill="accent2"/>
      </w:tcPr>
    </w:tblStylePr>
    <w:tblStylePr w:type="lastRow">
      <w:rPr>
        <w:b/>
        <w:bCs/>
      </w:rPr>
      <w:tblPr/>
      <w:tcPr>
        <w:tcBorders>
          <w:top w:val="double" w:sz="4" w:space="0" w:color="A4CCEB" w:themeColor="accent2" w:themeTint="99"/>
        </w:tcBorders>
      </w:tcPr>
    </w:tblStylePr>
    <w:tblStylePr w:type="firstCol">
      <w:rPr>
        <w:b/>
        <w:bCs/>
      </w:rPr>
    </w:tblStylePr>
    <w:tblStylePr w:type="lastCol">
      <w:rPr>
        <w:b/>
        <w:bCs/>
      </w:rPr>
    </w:tblStylePr>
    <w:tblStylePr w:type="band1Vert">
      <w:tblPr/>
      <w:tcPr>
        <w:shd w:val="clear" w:color="auto" w:fill="E0EEF8" w:themeFill="accent2" w:themeFillTint="33"/>
      </w:tcPr>
    </w:tblStylePr>
    <w:tblStylePr w:type="band1Horz">
      <w:tblPr/>
      <w:tcPr>
        <w:shd w:val="clear" w:color="auto" w:fill="E0EEF8" w:themeFill="accent2" w:themeFillTint="33"/>
      </w:tcPr>
    </w:tblStylePr>
  </w:style>
  <w:style w:type="table" w:styleId="ListTable4-Accent3">
    <w:name w:val="List Table 4 Accent 3"/>
    <w:basedOn w:val="TableNormal"/>
    <w:uiPriority w:val="49"/>
    <w:rsid w:val="00CF26C4"/>
    <w:pPr>
      <w:spacing w:after="0"/>
    </w:pPr>
    <w:rPr>
      <w:rFonts w:eastAsiaTheme="minorHAnsi" w:cs="Arial"/>
      <w:sz w:val="18"/>
      <w:szCs w:val="18"/>
    </w:rPr>
    <w:tblPr>
      <w:tblStyleRowBandSize w:val="1"/>
      <w:tblStyleColBandSize w:val="1"/>
      <w:tblBorders>
        <w:top w:val="single" w:sz="4" w:space="0" w:color="A1A5CF" w:themeColor="accent3" w:themeTint="99"/>
        <w:left w:val="single" w:sz="4" w:space="0" w:color="A1A5CF" w:themeColor="accent3" w:themeTint="99"/>
        <w:bottom w:val="single" w:sz="4" w:space="0" w:color="A1A5CF" w:themeColor="accent3" w:themeTint="99"/>
        <w:right w:val="single" w:sz="4" w:space="0" w:color="A1A5CF" w:themeColor="accent3" w:themeTint="99"/>
        <w:insideH w:val="single" w:sz="4" w:space="0" w:color="A1A5CF" w:themeColor="accent3" w:themeTint="99"/>
      </w:tblBorders>
    </w:tblPr>
    <w:tblStylePr w:type="firstRow">
      <w:rPr>
        <w:b/>
        <w:bCs/>
        <w:color w:val="FFFFFF" w:themeColor="background1"/>
      </w:rPr>
      <w:tblPr/>
      <w:tcPr>
        <w:tcBorders>
          <w:top w:val="single" w:sz="4" w:space="0" w:color="636AAF" w:themeColor="accent3"/>
          <w:left w:val="single" w:sz="4" w:space="0" w:color="636AAF" w:themeColor="accent3"/>
          <w:bottom w:val="single" w:sz="4" w:space="0" w:color="636AAF" w:themeColor="accent3"/>
          <w:right w:val="single" w:sz="4" w:space="0" w:color="636AAF" w:themeColor="accent3"/>
          <w:insideH w:val="nil"/>
        </w:tcBorders>
        <w:shd w:val="clear" w:color="auto" w:fill="636AAF" w:themeFill="accent3"/>
      </w:tcPr>
    </w:tblStylePr>
    <w:tblStylePr w:type="lastRow">
      <w:rPr>
        <w:b/>
        <w:bCs/>
      </w:rPr>
      <w:tblPr/>
      <w:tcPr>
        <w:tcBorders>
          <w:top w:val="double" w:sz="4" w:space="0" w:color="A1A5CF" w:themeColor="accent3" w:themeTint="99"/>
        </w:tcBorders>
      </w:tcPr>
    </w:tblStylePr>
    <w:tblStylePr w:type="firstCol">
      <w:rPr>
        <w:b/>
        <w:bCs/>
      </w:rPr>
    </w:tblStylePr>
    <w:tblStylePr w:type="lastCol">
      <w:rPr>
        <w:b/>
        <w:bCs/>
      </w:rPr>
    </w:tblStylePr>
    <w:tblStylePr w:type="band1Vert">
      <w:tblPr/>
      <w:tcPr>
        <w:shd w:val="clear" w:color="auto" w:fill="DFE1EF" w:themeFill="accent3" w:themeFillTint="33"/>
      </w:tcPr>
    </w:tblStylePr>
    <w:tblStylePr w:type="band1Horz">
      <w:tblPr/>
      <w:tcPr>
        <w:shd w:val="clear" w:color="auto" w:fill="DFE1EF" w:themeFill="accent3" w:themeFillTint="33"/>
      </w:tcPr>
    </w:tblStylePr>
  </w:style>
  <w:style w:type="table" w:styleId="ListTable4-Accent4">
    <w:name w:val="List Table 4 Accent 4"/>
    <w:basedOn w:val="TableNormal"/>
    <w:uiPriority w:val="49"/>
    <w:rsid w:val="00CF26C4"/>
    <w:pPr>
      <w:spacing w:after="0"/>
    </w:pPr>
    <w:rPr>
      <w:rFonts w:eastAsiaTheme="minorHAnsi" w:cs="Arial"/>
      <w:sz w:val="18"/>
      <w:szCs w:val="18"/>
    </w:rPr>
    <w:tblPr>
      <w:tblStyleRowBandSize w:val="1"/>
      <w:tblStyleColBandSize w:val="1"/>
      <w:tblBorders>
        <w:top w:val="single" w:sz="4" w:space="0" w:color="D0A7CC" w:themeColor="accent4" w:themeTint="99"/>
        <w:left w:val="single" w:sz="4" w:space="0" w:color="D0A7CC" w:themeColor="accent4" w:themeTint="99"/>
        <w:bottom w:val="single" w:sz="4" w:space="0" w:color="D0A7CC" w:themeColor="accent4" w:themeTint="99"/>
        <w:right w:val="single" w:sz="4" w:space="0" w:color="D0A7CC" w:themeColor="accent4" w:themeTint="99"/>
        <w:insideH w:val="single" w:sz="4" w:space="0" w:color="D0A7CC" w:themeColor="accent4" w:themeTint="99"/>
      </w:tblBorders>
    </w:tblPr>
    <w:tblStylePr w:type="firstRow">
      <w:rPr>
        <w:b/>
        <w:bCs/>
        <w:color w:val="FFFFFF" w:themeColor="background1"/>
      </w:rPr>
      <w:tblPr/>
      <w:tcPr>
        <w:tcBorders>
          <w:top w:val="single" w:sz="4" w:space="0" w:color="B26DAB" w:themeColor="accent4"/>
          <w:left w:val="single" w:sz="4" w:space="0" w:color="B26DAB" w:themeColor="accent4"/>
          <w:bottom w:val="single" w:sz="4" w:space="0" w:color="B26DAB" w:themeColor="accent4"/>
          <w:right w:val="single" w:sz="4" w:space="0" w:color="B26DAB" w:themeColor="accent4"/>
          <w:insideH w:val="nil"/>
        </w:tcBorders>
        <w:shd w:val="clear" w:color="auto" w:fill="B26DAB" w:themeFill="accent4"/>
      </w:tcPr>
    </w:tblStylePr>
    <w:tblStylePr w:type="lastRow">
      <w:rPr>
        <w:b/>
        <w:bCs/>
      </w:rPr>
      <w:tblPr/>
      <w:tcPr>
        <w:tcBorders>
          <w:top w:val="double" w:sz="4" w:space="0" w:color="D0A7CC" w:themeColor="accent4" w:themeTint="99"/>
        </w:tcBorders>
      </w:tcPr>
    </w:tblStylePr>
    <w:tblStylePr w:type="firstCol">
      <w:rPr>
        <w:b/>
        <w:bCs/>
      </w:rPr>
    </w:tblStylePr>
    <w:tblStylePr w:type="lastCol">
      <w:rPr>
        <w:b/>
        <w:bCs/>
      </w:rPr>
    </w:tblStylePr>
    <w:tblStylePr w:type="band1Vert">
      <w:tblPr/>
      <w:tcPr>
        <w:shd w:val="clear" w:color="auto" w:fill="EFE1EE" w:themeFill="accent4" w:themeFillTint="33"/>
      </w:tcPr>
    </w:tblStylePr>
    <w:tblStylePr w:type="band1Horz">
      <w:tblPr/>
      <w:tcPr>
        <w:shd w:val="clear" w:color="auto" w:fill="EFE1EE" w:themeFill="accent4" w:themeFillTint="33"/>
      </w:tcPr>
    </w:tblStylePr>
  </w:style>
  <w:style w:type="table" w:styleId="ListTable4-Accent5">
    <w:name w:val="List Table 4 Accent 5"/>
    <w:basedOn w:val="TableNormal"/>
    <w:uiPriority w:val="49"/>
    <w:rsid w:val="00CF26C4"/>
    <w:pPr>
      <w:spacing w:after="0"/>
    </w:pPr>
    <w:rPr>
      <w:rFonts w:eastAsiaTheme="minorHAnsi" w:cs="Arial"/>
      <w:sz w:val="18"/>
      <w:szCs w:val="18"/>
    </w:rPr>
    <w:tblPr>
      <w:tblStyleRowBandSize w:val="1"/>
      <w:tblStyleColBandSize w:val="1"/>
      <w:tblBorders>
        <w:top w:val="single" w:sz="4" w:space="0" w:color="F0C7DD" w:themeColor="accent5" w:themeTint="99"/>
        <w:left w:val="single" w:sz="4" w:space="0" w:color="F0C7DD" w:themeColor="accent5" w:themeTint="99"/>
        <w:bottom w:val="single" w:sz="4" w:space="0" w:color="F0C7DD" w:themeColor="accent5" w:themeTint="99"/>
        <w:right w:val="single" w:sz="4" w:space="0" w:color="F0C7DD" w:themeColor="accent5" w:themeTint="99"/>
        <w:insideH w:val="single" w:sz="4" w:space="0" w:color="F0C7DD" w:themeColor="accent5" w:themeTint="99"/>
      </w:tblBorders>
    </w:tblPr>
    <w:tblStylePr w:type="firstRow">
      <w:rPr>
        <w:b/>
        <w:bCs/>
        <w:color w:val="FFFFFF" w:themeColor="background1"/>
      </w:rPr>
      <w:tblPr/>
      <w:tcPr>
        <w:tcBorders>
          <w:top w:val="single" w:sz="4" w:space="0" w:color="E7A2C8" w:themeColor="accent5"/>
          <w:left w:val="single" w:sz="4" w:space="0" w:color="E7A2C8" w:themeColor="accent5"/>
          <w:bottom w:val="single" w:sz="4" w:space="0" w:color="E7A2C8" w:themeColor="accent5"/>
          <w:right w:val="single" w:sz="4" w:space="0" w:color="E7A2C8" w:themeColor="accent5"/>
          <w:insideH w:val="nil"/>
        </w:tcBorders>
        <w:shd w:val="clear" w:color="auto" w:fill="E7A2C8" w:themeFill="accent5"/>
      </w:tcPr>
    </w:tblStylePr>
    <w:tblStylePr w:type="lastRow">
      <w:rPr>
        <w:b/>
        <w:bCs/>
      </w:rPr>
      <w:tblPr/>
      <w:tcPr>
        <w:tcBorders>
          <w:top w:val="double" w:sz="4" w:space="0" w:color="F0C7DD" w:themeColor="accent5" w:themeTint="99"/>
        </w:tcBorders>
      </w:tcPr>
    </w:tblStylePr>
    <w:tblStylePr w:type="firstCol">
      <w:rPr>
        <w:b/>
        <w:bCs/>
      </w:rPr>
    </w:tblStylePr>
    <w:tblStylePr w:type="lastCol">
      <w:rPr>
        <w:b/>
        <w:bCs/>
      </w:rPr>
    </w:tblStylePr>
    <w:tblStylePr w:type="band1Vert">
      <w:tblPr/>
      <w:tcPr>
        <w:shd w:val="clear" w:color="auto" w:fill="FAECF3" w:themeFill="accent5" w:themeFillTint="33"/>
      </w:tcPr>
    </w:tblStylePr>
    <w:tblStylePr w:type="band1Horz">
      <w:tblPr/>
      <w:tcPr>
        <w:shd w:val="clear" w:color="auto" w:fill="FAECF3" w:themeFill="accent5" w:themeFillTint="33"/>
      </w:tcPr>
    </w:tblStylePr>
  </w:style>
  <w:style w:type="table" w:styleId="ListTable4-Accent6">
    <w:name w:val="List Table 4 Accent 6"/>
    <w:basedOn w:val="TableNormal"/>
    <w:uiPriority w:val="49"/>
    <w:rsid w:val="00CF26C4"/>
    <w:pPr>
      <w:spacing w:after="0"/>
    </w:pPr>
    <w:rPr>
      <w:rFonts w:eastAsiaTheme="minorHAnsi" w:cs="Arial"/>
      <w:sz w:val="18"/>
      <w:szCs w:val="18"/>
    </w:rPr>
    <w:tblPr>
      <w:tblStyleRowBandSize w:val="1"/>
      <w:tblStyleColBandSize w:val="1"/>
      <w:tblBorders>
        <w:top w:val="single" w:sz="4" w:space="0" w:color="C3E3F8" w:themeColor="accent6" w:themeTint="99"/>
        <w:left w:val="single" w:sz="4" w:space="0" w:color="C3E3F8" w:themeColor="accent6" w:themeTint="99"/>
        <w:bottom w:val="single" w:sz="4" w:space="0" w:color="C3E3F8" w:themeColor="accent6" w:themeTint="99"/>
        <w:right w:val="single" w:sz="4" w:space="0" w:color="C3E3F8" w:themeColor="accent6" w:themeTint="99"/>
        <w:insideH w:val="single" w:sz="4" w:space="0" w:color="C3E3F8" w:themeColor="accent6" w:themeTint="99"/>
      </w:tblBorders>
    </w:tblPr>
    <w:tblStylePr w:type="firstRow">
      <w:rPr>
        <w:b/>
        <w:bCs/>
        <w:color w:val="FFFFFF" w:themeColor="background1"/>
      </w:rPr>
      <w:tblPr/>
      <w:tcPr>
        <w:tcBorders>
          <w:top w:val="single" w:sz="4" w:space="0" w:color="9CD2F4" w:themeColor="accent6"/>
          <w:left w:val="single" w:sz="4" w:space="0" w:color="9CD2F4" w:themeColor="accent6"/>
          <w:bottom w:val="single" w:sz="4" w:space="0" w:color="9CD2F4" w:themeColor="accent6"/>
          <w:right w:val="single" w:sz="4" w:space="0" w:color="9CD2F4" w:themeColor="accent6"/>
          <w:insideH w:val="nil"/>
        </w:tcBorders>
        <w:shd w:val="clear" w:color="auto" w:fill="9CD2F4" w:themeFill="accent6"/>
      </w:tcPr>
    </w:tblStylePr>
    <w:tblStylePr w:type="lastRow">
      <w:rPr>
        <w:b/>
        <w:bCs/>
      </w:rPr>
      <w:tblPr/>
      <w:tcPr>
        <w:tcBorders>
          <w:top w:val="double" w:sz="4" w:space="0" w:color="C3E3F8" w:themeColor="accent6" w:themeTint="99"/>
        </w:tcBorders>
      </w:tcPr>
    </w:tblStylePr>
    <w:tblStylePr w:type="firstCol">
      <w:rPr>
        <w:b/>
        <w:bCs/>
      </w:rPr>
    </w:tblStylePr>
    <w:tblStylePr w:type="lastCol">
      <w:rPr>
        <w:b/>
        <w:bCs/>
      </w:rPr>
    </w:tblStylePr>
    <w:tblStylePr w:type="band1Vert">
      <w:tblPr/>
      <w:tcPr>
        <w:shd w:val="clear" w:color="auto" w:fill="EBF5FC" w:themeFill="accent6" w:themeFillTint="33"/>
      </w:tcPr>
    </w:tblStylePr>
    <w:tblStylePr w:type="band1Horz">
      <w:tblPr/>
      <w:tcPr>
        <w:shd w:val="clear" w:color="auto" w:fill="EBF5FC" w:themeFill="accent6" w:themeFillTint="33"/>
      </w:tcPr>
    </w:tblStylePr>
  </w:style>
  <w:style w:type="table" w:styleId="ListTable5Dark">
    <w:name w:val="List Table 5 Dark"/>
    <w:basedOn w:val="TableNormal"/>
    <w:uiPriority w:val="50"/>
    <w:rsid w:val="00CF26C4"/>
    <w:pPr>
      <w:spacing w:after="0"/>
    </w:pPr>
    <w:rPr>
      <w:rFonts w:eastAsiaTheme="minorHAnsi" w:cs="Arial"/>
      <w:color w:val="FFFFFF" w:themeColor="background1"/>
      <w:sz w:val="18"/>
      <w:szCs w:val="18"/>
    </w:rPr>
    <w:tblPr>
      <w:tblStyleRowBandSize w:val="1"/>
      <w:tblStyleColBandSize w:val="1"/>
      <w:tblBorders>
        <w:top w:val="single" w:sz="24" w:space="0" w:color="1A1919" w:themeColor="text1"/>
        <w:left w:val="single" w:sz="24" w:space="0" w:color="1A1919" w:themeColor="text1"/>
        <w:bottom w:val="single" w:sz="24" w:space="0" w:color="1A1919" w:themeColor="text1"/>
        <w:right w:val="single" w:sz="24" w:space="0" w:color="1A1919" w:themeColor="text1"/>
      </w:tblBorders>
    </w:tblPr>
    <w:tcPr>
      <w:shd w:val="clear" w:color="auto" w:fill="1A1919"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CF26C4"/>
    <w:pPr>
      <w:spacing w:after="0"/>
    </w:pPr>
    <w:rPr>
      <w:rFonts w:eastAsiaTheme="minorHAnsi" w:cs="Arial"/>
      <w:color w:val="FFFFFF" w:themeColor="background1"/>
      <w:sz w:val="18"/>
      <w:szCs w:val="18"/>
    </w:rPr>
    <w:tblPr>
      <w:tblStyleRowBandSize w:val="1"/>
      <w:tblStyleColBandSize w:val="1"/>
      <w:tblBorders>
        <w:top w:val="single" w:sz="24" w:space="0" w:color="68C0B5" w:themeColor="accent1"/>
        <w:left w:val="single" w:sz="24" w:space="0" w:color="68C0B5" w:themeColor="accent1"/>
        <w:bottom w:val="single" w:sz="24" w:space="0" w:color="68C0B5" w:themeColor="accent1"/>
        <w:right w:val="single" w:sz="24" w:space="0" w:color="68C0B5" w:themeColor="accent1"/>
      </w:tblBorders>
    </w:tblPr>
    <w:tcPr>
      <w:shd w:val="clear" w:color="auto" w:fill="68C0B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CF26C4"/>
    <w:pPr>
      <w:spacing w:after="0"/>
    </w:pPr>
    <w:rPr>
      <w:rFonts w:eastAsiaTheme="minorHAnsi" w:cs="Arial"/>
      <w:color w:val="FFFFFF" w:themeColor="background1"/>
      <w:sz w:val="18"/>
      <w:szCs w:val="18"/>
    </w:rPr>
    <w:tblPr>
      <w:tblStyleRowBandSize w:val="1"/>
      <w:tblStyleColBandSize w:val="1"/>
      <w:tblBorders>
        <w:top w:val="single" w:sz="24" w:space="0" w:color="69ACDF" w:themeColor="accent2"/>
        <w:left w:val="single" w:sz="24" w:space="0" w:color="69ACDF" w:themeColor="accent2"/>
        <w:bottom w:val="single" w:sz="24" w:space="0" w:color="69ACDF" w:themeColor="accent2"/>
        <w:right w:val="single" w:sz="24" w:space="0" w:color="69ACDF" w:themeColor="accent2"/>
      </w:tblBorders>
    </w:tblPr>
    <w:tcPr>
      <w:shd w:val="clear" w:color="auto" w:fill="69ACD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CF26C4"/>
    <w:pPr>
      <w:spacing w:after="0"/>
    </w:pPr>
    <w:rPr>
      <w:rFonts w:eastAsiaTheme="minorHAnsi" w:cs="Arial"/>
      <w:color w:val="FFFFFF" w:themeColor="background1"/>
      <w:sz w:val="18"/>
      <w:szCs w:val="18"/>
    </w:rPr>
    <w:tblPr>
      <w:tblStyleRowBandSize w:val="1"/>
      <w:tblStyleColBandSize w:val="1"/>
      <w:tblBorders>
        <w:top w:val="single" w:sz="24" w:space="0" w:color="636AAF" w:themeColor="accent3"/>
        <w:left w:val="single" w:sz="24" w:space="0" w:color="636AAF" w:themeColor="accent3"/>
        <w:bottom w:val="single" w:sz="24" w:space="0" w:color="636AAF" w:themeColor="accent3"/>
        <w:right w:val="single" w:sz="24" w:space="0" w:color="636AAF" w:themeColor="accent3"/>
      </w:tblBorders>
    </w:tblPr>
    <w:tcPr>
      <w:shd w:val="clear" w:color="auto" w:fill="636AA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CF26C4"/>
    <w:pPr>
      <w:spacing w:after="0"/>
    </w:pPr>
    <w:rPr>
      <w:rFonts w:eastAsiaTheme="minorHAnsi" w:cs="Arial"/>
      <w:color w:val="FFFFFF" w:themeColor="background1"/>
      <w:sz w:val="18"/>
      <w:szCs w:val="18"/>
    </w:rPr>
    <w:tblPr>
      <w:tblStyleRowBandSize w:val="1"/>
      <w:tblStyleColBandSize w:val="1"/>
      <w:tblBorders>
        <w:top w:val="single" w:sz="24" w:space="0" w:color="B26DAB" w:themeColor="accent4"/>
        <w:left w:val="single" w:sz="24" w:space="0" w:color="B26DAB" w:themeColor="accent4"/>
        <w:bottom w:val="single" w:sz="24" w:space="0" w:color="B26DAB" w:themeColor="accent4"/>
        <w:right w:val="single" w:sz="24" w:space="0" w:color="B26DAB" w:themeColor="accent4"/>
      </w:tblBorders>
    </w:tblPr>
    <w:tcPr>
      <w:shd w:val="clear" w:color="auto" w:fill="B26DAB"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CF26C4"/>
    <w:pPr>
      <w:spacing w:after="0"/>
    </w:pPr>
    <w:rPr>
      <w:rFonts w:eastAsiaTheme="minorHAnsi" w:cs="Arial"/>
      <w:color w:val="FFFFFF" w:themeColor="background1"/>
      <w:sz w:val="18"/>
      <w:szCs w:val="18"/>
    </w:rPr>
    <w:tblPr>
      <w:tblStyleRowBandSize w:val="1"/>
      <w:tblStyleColBandSize w:val="1"/>
      <w:tblBorders>
        <w:top w:val="single" w:sz="24" w:space="0" w:color="E7A2C8" w:themeColor="accent5"/>
        <w:left w:val="single" w:sz="24" w:space="0" w:color="E7A2C8" w:themeColor="accent5"/>
        <w:bottom w:val="single" w:sz="24" w:space="0" w:color="E7A2C8" w:themeColor="accent5"/>
        <w:right w:val="single" w:sz="24" w:space="0" w:color="E7A2C8" w:themeColor="accent5"/>
      </w:tblBorders>
    </w:tblPr>
    <w:tcPr>
      <w:shd w:val="clear" w:color="auto" w:fill="E7A2C8"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CF26C4"/>
    <w:pPr>
      <w:spacing w:after="0"/>
    </w:pPr>
    <w:rPr>
      <w:rFonts w:eastAsiaTheme="minorHAnsi" w:cs="Arial"/>
      <w:color w:val="FFFFFF" w:themeColor="background1"/>
      <w:sz w:val="18"/>
      <w:szCs w:val="18"/>
    </w:rPr>
    <w:tblPr>
      <w:tblStyleRowBandSize w:val="1"/>
      <w:tblStyleColBandSize w:val="1"/>
      <w:tblBorders>
        <w:top w:val="single" w:sz="24" w:space="0" w:color="9CD2F4" w:themeColor="accent6"/>
        <w:left w:val="single" w:sz="24" w:space="0" w:color="9CD2F4" w:themeColor="accent6"/>
        <w:bottom w:val="single" w:sz="24" w:space="0" w:color="9CD2F4" w:themeColor="accent6"/>
        <w:right w:val="single" w:sz="24" w:space="0" w:color="9CD2F4" w:themeColor="accent6"/>
      </w:tblBorders>
    </w:tblPr>
    <w:tcPr>
      <w:shd w:val="clear" w:color="auto" w:fill="9CD2F4"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CF26C4"/>
    <w:pPr>
      <w:spacing w:after="0"/>
    </w:pPr>
    <w:rPr>
      <w:rFonts w:eastAsiaTheme="minorHAnsi" w:cs="Arial"/>
      <w:color w:val="1A1919" w:themeColor="text1"/>
      <w:sz w:val="18"/>
      <w:szCs w:val="18"/>
    </w:rPr>
    <w:tblPr>
      <w:tblStyleRowBandSize w:val="1"/>
      <w:tblStyleColBandSize w:val="1"/>
      <w:tblBorders>
        <w:top w:val="single" w:sz="4" w:space="0" w:color="1A1919" w:themeColor="text1"/>
        <w:bottom w:val="single" w:sz="4" w:space="0" w:color="1A1919" w:themeColor="text1"/>
      </w:tblBorders>
    </w:tblPr>
    <w:tblStylePr w:type="firstRow">
      <w:rPr>
        <w:b/>
        <w:bCs/>
      </w:rPr>
      <w:tblPr/>
      <w:tcPr>
        <w:tcBorders>
          <w:bottom w:val="single" w:sz="4" w:space="0" w:color="1A1919" w:themeColor="text1"/>
        </w:tcBorders>
      </w:tcPr>
    </w:tblStylePr>
    <w:tblStylePr w:type="lastRow">
      <w:rPr>
        <w:b/>
        <w:bCs/>
      </w:rPr>
      <w:tblPr/>
      <w:tcPr>
        <w:tcBorders>
          <w:top w:val="double" w:sz="4" w:space="0" w:color="1A1919" w:themeColor="text1"/>
        </w:tcBorders>
      </w:tcPr>
    </w:tblStylePr>
    <w:tblStylePr w:type="firstCol">
      <w:rPr>
        <w:b/>
        <w:bCs/>
      </w:rPr>
    </w:tblStylePr>
    <w:tblStylePr w:type="lastCol">
      <w:rPr>
        <w:b/>
        <w:bCs/>
      </w:rPr>
    </w:tblStylePr>
    <w:tblStylePr w:type="band1Vert">
      <w:tblPr/>
      <w:tcPr>
        <w:shd w:val="clear" w:color="auto" w:fill="D2D0D0" w:themeFill="text1" w:themeFillTint="33"/>
      </w:tcPr>
    </w:tblStylePr>
    <w:tblStylePr w:type="band1Horz">
      <w:tblPr/>
      <w:tcPr>
        <w:shd w:val="clear" w:color="auto" w:fill="D2D0D0" w:themeFill="text1" w:themeFillTint="33"/>
      </w:tcPr>
    </w:tblStylePr>
  </w:style>
  <w:style w:type="table" w:styleId="ListTable6Colorful-Accent1">
    <w:name w:val="List Table 6 Colorful Accent 1"/>
    <w:basedOn w:val="TableNormal"/>
    <w:uiPriority w:val="51"/>
    <w:rsid w:val="00CF26C4"/>
    <w:pPr>
      <w:spacing w:after="0"/>
    </w:pPr>
    <w:rPr>
      <w:rFonts w:eastAsiaTheme="minorHAnsi" w:cs="Arial"/>
      <w:color w:val="419C90" w:themeColor="accent1" w:themeShade="BF"/>
      <w:sz w:val="18"/>
      <w:szCs w:val="18"/>
    </w:rPr>
    <w:tblPr>
      <w:tblStyleRowBandSize w:val="1"/>
      <w:tblStyleColBandSize w:val="1"/>
      <w:tblBorders>
        <w:top w:val="single" w:sz="4" w:space="0" w:color="68C0B5" w:themeColor="accent1"/>
        <w:bottom w:val="single" w:sz="4" w:space="0" w:color="68C0B5" w:themeColor="accent1"/>
      </w:tblBorders>
    </w:tblPr>
    <w:tblStylePr w:type="firstRow">
      <w:rPr>
        <w:b/>
        <w:bCs/>
      </w:rPr>
      <w:tblPr/>
      <w:tcPr>
        <w:tcBorders>
          <w:bottom w:val="single" w:sz="4" w:space="0" w:color="68C0B5" w:themeColor="accent1"/>
        </w:tcBorders>
      </w:tcPr>
    </w:tblStylePr>
    <w:tblStylePr w:type="lastRow">
      <w:rPr>
        <w:b/>
        <w:bCs/>
      </w:rPr>
      <w:tblPr/>
      <w:tcPr>
        <w:tcBorders>
          <w:top w:val="double" w:sz="4" w:space="0" w:color="68C0B5" w:themeColor="accent1"/>
        </w:tcBorders>
      </w:tcPr>
    </w:tblStylePr>
    <w:tblStylePr w:type="firstCol">
      <w:rPr>
        <w:b/>
        <w:bCs/>
      </w:rPr>
    </w:tblStylePr>
    <w:tblStylePr w:type="lastCol">
      <w:rPr>
        <w:b/>
        <w:bCs/>
      </w:rPr>
    </w:tblStylePr>
    <w:tblStylePr w:type="band1Vert">
      <w:tblPr/>
      <w:tcPr>
        <w:shd w:val="clear" w:color="auto" w:fill="E0F2F0" w:themeFill="accent1" w:themeFillTint="33"/>
      </w:tcPr>
    </w:tblStylePr>
    <w:tblStylePr w:type="band1Horz">
      <w:tblPr/>
      <w:tcPr>
        <w:shd w:val="clear" w:color="auto" w:fill="E0F2F0" w:themeFill="accent1" w:themeFillTint="33"/>
      </w:tcPr>
    </w:tblStylePr>
  </w:style>
  <w:style w:type="table" w:styleId="ListTable6Colorful-Accent2">
    <w:name w:val="List Table 6 Colorful Accent 2"/>
    <w:basedOn w:val="TableNormal"/>
    <w:uiPriority w:val="51"/>
    <w:rsid w:val="00CF26C4"/>
    <w:pPr>
      <w:spacing w:after="0"/>
    </w:pPr>
    <w:rPr>
      <w:rFonts w:eastAsiaTheme="minorHAnsi" w:cs="Arial"/>
      <w:color w:val="2B85CA" w:themeColor="accent2" w:themeShade="BF"/>
      <w:sz w:val="18"/>
      <w:szCs w:val="18"/>
    </w:rPr>
    <w:tblPr>
      <w:tblStyleRowBandSize w:val="1"/>
      <w:tblStyleColBandSize w:val="1"/>
      <w:tblBorders>
        <w:top w:val="single" w:sz="4" w:space="0" w:color="69ACDF" w:themeColor="accent2"/>
        <w:bottom w:val="single" w:sz="4" w:space="0" w:color="69ACDF" w:themeColor="accent2"/>
      </w:tblBorders>
    </w:tblPr>
    <w:tblStylePr w:type="firstRow">
      <w:rPr>
        <w:b/>
        <w:bCs/>
      </w:rPr>
      <w:tblPr/>
      <w:tcPr>
        <w:tcBorders>
          <w:bottom w:val="single" w:sz="4" w:space="0" w:color="69ACDF" w:themeColor="accent2"/>
        </w:tcBorders>
      </w:tcPr>
    </w:tblStylePr>
    <w:tblStylePr w:type="lastRow">
      <w:rPr>
        <w:b/>
        <w:bCs/>
      </w:rPr>
      <w:tblPr/>
      <w:tcPr>
        <w:tcBorders>
          <w:top w:val="double" w:sz="4" w:space="0" w:color="69ACDF" w:themeColor="accent2"/>
        </w:tcBorders>
      </w:tcPr>
    </w:tblStylePr>
    <w:tblStylePr w:type="firstCol">
      <w:rPr>
        <w:b/>
        <w:bCs/>
      </w:rPr>
    </w:tblStylePr>
    <w:tblStylePr w:type="lastCol">
      <w:rPr>
        <w:b/>
        <w:bCs/>
      </w:rPr>
    </w:tblStylePr>
    <w:tblStylePr w:type="band1Vert">
      <w:tblPr/>
      <w:tcPr>
        <w:shd w:val="clear" w:color="auto" w:fill="E0EEF8" w:themeFill="accent2" w:themeFillTint="33"/>
      </w:tcPr>
    </w:tblStylePr>
    <w:tblStylePr w:type="band1Horz">
      <w:tblPr/>
      <w:tcPr>
        <w:shd w:val="clear" w:color="auto" w:fill="E0EEF8" w:themeFill="accent2" w:themeFillTint="33"/>
      </w:tcPr>
    </w:tblStylePr>
  </w:style>
  <w:style w:type="table" w:styleId="ListTable6Colorful-Accent3">
    <w:name w:val="List Table 6 Colorful Accent 3"/>
    <w:basedOn w:val="TableNormal"/>
    <w:uiPriority w:val="51"/>
    <w:rsid w:val="00CF26C4"/>
    <w:pPr>
      <w:spacing w:after="0"/>
    </w:pPr>
    <w:rPr>
      <w:rFonts w:eastAsiaTheme="minorHAnsi" w:cs="Arial"/>
      <w:color w:val="454B87" w:themeColor="accent3" w:themeShade="BF"/>
      <w:sz w:val="18"/>
      <w:szCs w:val="18"/>
    </w:rPr>
    <w:tblPr>
      <w:tblStyleRowBandSize w:val="1"/>
      <w:tblStyleColBandSize w:val="1"/>
      <w:tblBorders>
        <w:top w:val="single" w:sz="4" w:space="0" w:color="636AAF" w:themeColor="accent3"/>
        <w:bottom w:val="single" w:sz="4" w:space="0" w:color="636AAF" w:themeColor="accent3"/>
      </w:tblBorders>
    </w:tblPr>
    <w:tblStylePr w:type="firstRow">
      <w:rPr>
        <w:b/>
        <w:bCs/>
      </w:rPr>
      <w:tblPr/>
      <w:tcPr>
        <w:tcBorders>
          <w:bottom w:val="single" w:sz="4" w:space="0" w:color="636AAF" w:themeColor="accent3"/>
        </w:tcBorders>
      </w:tcPr>
    </w:tblStylePr>
    <w:tblStylePr w:type="lastRow">
      <w:rPr>
        <w:b/>
        <w:bCs/>
      </w:rPr>
      <w:tblPr/>
      <w:tcPr>
        <w:tcBorders>
          <w:top w:val="double" w:sz="4" w:space="0" w:color="636AAF" w:themeColor="accent3"/>
        </w:tcBorders>
      </w:tcPr>
    </w:tblStylePr>
    <w:tblStylePr w:type="firstCol">
      <w:rPr>
        <w:b/>
        <w:bCs/>
      </w:rPr>
    </w:tblStylePr>
    <w:tblStylePr w:type="lastCol">
      <w:rPr>
        <w:b/>
        <w:bCs/>
      </w:rPr>
    </w:tblStylePr>
    <w:tblStylePr w:type="band1Vert">
      <w:tblPr/>
      <w:tcPr>
        <w:shd w:val="clear" w:color="auto" w:fill="DFE1EF" w:themeFill="accent3" w:themeFillTint="33"/>
      </w:tcPr>
    </w:tblStylePr>
    <w:tblStylePr w:type="band1Horz">
      <w:tblPr/>
      <w:tcPr>
        <w:shd w:val="clear" w:color="auto" w:fill="DFE1EF" w:themeFill="accent3" w:themeFillTint="33"/>
      </w:tcPr>
    </w:tblStylePr>
  </w:style>
  <w:style w:type="table" w:styleId="ListTable6Colorful-Accent4">
    <w:name w:val="List Table 6 Colorful Accent 4"/>
    <w:basedOn w:val="TableNormal"/>
    <w:uiPriority w:val="51"/>
    <w:rsid w:val="00CF26C4"/>
    <w:pPr>
      <w:spacing w:after="0"/>
    </w:pPr>
    <w:rPr>
      <w:rFonts w:eastAsiaTheme="minorHAnsi" w:cs="Arial"/>
      <w:color w:val="8C4A85" w:themeColor="accent4" w:themeShade="BF"/>
      <w:sz w:val="18"/>
      <w:szCs w:val="18"/>
    </w:rPr>
    <w:tblPr>
      <w:tblStyleRowBandSize w:val="1"/>
      <w:tblStyleColBandSize w:val="1"/>
      <w:tblBorders>
        <w:top w:val="single" w:sz="4" w:space="0" w:color="B26DAB" w:themeColor="accent4"/>
        <w:bottom w:val="single" w:sz="4" w:space="0" w:color="B26DAB" w:themeColor="accent4"/>
      </w:tblBorders>
    </w:tblPr>
    <w:tblStylePr w:type="firstRow">
      <w:rPr>
        <w:b/>
        <w:bCs/>
      </w:rPr>
      <w:tblPr/>
      <w:tcPr>
        <w:tcBorders>
          <w:bottom w:val="single" w:sz="4" w:space="0" w:color="B26DAB" w:themeColor="accent4"/>
        </w:tcBorders>
      </w:tcPr>
    </w:tblStylePr>
    <w:tblStylePr w:type="lastRow">
      <w:rPr>
        <w:b/>
        <w:bCs/>
      </w:rPr>
      <w:tblPr/>
      <w:tcPr>
        <w:tcBorders>
          <w:top w:val="double" w:sz="4" w:space="0" w:color="B26DAB" w:themeColor="accent4"/>
        </w:tcBorders>
      </w:tcPr>
    </w:tblStylePr>
    <w:tblStylePr w:type="firstCol">
      <w:rPr>
        <w:b/>
        <w:bCs/>
      </w:rPr>
    </w:tblStylePr>
    <w:tblStylePr w:type="lastCol">
      <w:rPr>
        <w:b/>
        <w:bCs/>
      </w:rPr>
    </w:tblStylePr>
    <w:tblStylePr w:type="band1Vert">
      <w:tblPr/>
      <w:tcPr>
        <w:shd w:val="clear" w:color="auto" w:fill="EFE1EE" w:themeFill="accent4" w:themeFillTint="33"/>
      </w:tcPr>
    </w:tblStylePr>
    <w:tblStylePr w:type="band1Horz">
      <w:tblPr/>
      <w:tcPr>
        <w:shd w:val="clear" w:color="auto" w:fill="EFE1EE" w:themeFill="accent4" w:themeFillTint="33"/>
      </w:tcPr>
    </w:tblStylePr>
  </w:style>
  <w:style w:type="table" w:styleId="ListTable6Colorful-Accent5">
    <w:name w:val="List Table 6 Colorful Accent 5"/>
    <w:basedOn w:val="TableNormal"/>
    <w:uiPriority w:val="51"/>
    <w:rsid w:val="00CF26C4"/>
    <w:pPr>
      <w:spacing w:after="0"/>
    </w:pPr>
    <w:rPr>
      <w:rFonts w:eastAsiaTheme="minorHAnsi" w:cs="Arial"/>
      <w:color w:val="D25399" w:themeColor="accent5" w:themeShade="BF"/>
      <w:sz w:val="18"/>
      <w:szCs w:val="18"/>
    </w:rPr>
    <w:tblPr>
      <w:tblStyleRowBandSize w:val="1"/>
      <w:tblStyleColBandSize w:val="1"/>
      <w:tblBorders>
        <w:top w:val="single" w:sz="4" w:space="0" w:color="E7A2C8" w:themeColor="accent5"/>
        <w:bottom w:val="single" w:sz="4" w:space="0" w:color="E7A2C8" w:themeColor="accent5"/>
      </w:tblBorders>
    </w:tblPr>
    <w:tblStylePr w:type="firstRow">
      <w:rPr>
        <w:b/>
        <w:bCs/>
      </w:rPr>
      <w:tblPr/>
      <w:tcPr>
        <w:tcBorders>
          <w:bottom w:val="single" w:sz="4" w:space="0" w:color="E7A2C8" w:themeColor="accent5"/>
        </w:tcBorders>
      </w:tcPr>
    </w:tblStylePr>
    <w:tblStylePr w:type="lastRow">
      <w:rPr>
        <w:b/>
        <w:bCs/>
      </w:rPr>
      <w:tblPr/>
      <w:tcPr>
        <w:tcBorders>
          <w:top w:val="double" w:sz="4" w:space="0" w:color="E7A2C8" w:themeColor="accent5"/>
        </w:tcBorders>
      </w:tcPr>
    </w:tblStylePr>
    <w:tblStylePr w:type="firstCol">
      <w:rPr>
        <w:b/>
        <w:bCs/>
      </w:rPr>
    </w:tblStylePr>
    <w:tblStylePr w:type="lastCol">
      <w:rPr>
        <w:b/>
        <w:bCs/>
      </w:rPr>
    </w:tblStylePr>
    <w:tblStylePr w:type="band1Vert">
      <w:tblPr/>
      <w:tcPr>
        <w:shd w:val="clear" w:color="auto" w:fill="FAECF3" w:themeFill="accent5" w:themeFillTint="33"/>
      </w:tcPr>
    </w:tblStylePr>
    <w:tblStylePr w:type="band1Horz">
      <w:tblPr/>
      <w:tcPr>
        <w:shd w:val="clear" w:color="auto" w:fill="FAECF3" w:themeFill="accent5" w:themeFillTint="33"/>
      </w:tcPr>
    </w:tblStylePr>
  </w:style>
  <w:style w:type="table" w:styleId="ListTable6Colorful-Accent6">
    <w:name w:val="List Table 6 Colorful Accent 6"/>
    <w:basedOn w:val="TableNormal"/>
    <w:uiPriority w:val="51"/>
    <w:rsid w:val="00CF26C4"/>
    <w:pPr>
      <w:spacing w:after="0"/>
    </w:pPr>
    <w:rPr>
      <w:rFonts w:eastAsiaTheme="minorHAnsi" w:cs="Arial"/>
      <w:color w:val="41A8EA" w:themeColor="accent6" w:themeShade="BF"/>
      <w:sz w:val="18"/>
      <w:szCs w:val="18"/>
    </w:rPr>
    <w:tblPr>
      <w:tblStyleRowBandSize w:val="1"/>
      <w:tblStyleColBandSize w:val="1"/>
      <w:tblBorders>
        <w:top w:val="single" w:sz="4" w:space="0" w:color="9CD2F4" w:themeColor="accent6"/>
        <w:bottom w:val="single" w:sz="4" w:space="0" w:color="9CD2F4" w:themeColor="accent6"/>
      </w:tblBorders>
    </w:tblPr>
    <w:tblStylePr w:type="firstRow">
      <w:rPr>
        <w:b/>
        <w:bCs/>
      </w:rPr>
      <w:tblPr/>
      <w:tcPr>
        <w:tcBorders>
          <w:bottom w:val="single" w:sz="4" w:space="0" w:color="9CD2F4" w:themeColor="accent6"/>
        </w:tcBorders>
      </w:tcPr>
    </w:tblStylePr>
    <w:tblStylePr w:type="lastRow">
      <w:rPr>
        <w:b/>
        <w:bCs/>
      </w:rPr>
      <w:tblPr/>
      <w:tcPr>
        <w:tcBorders>
          <w:top w:val="double" w:sz="4" w:space="0" w:color="9CD2F4" w:themeColor="accent6"/>
        </w:tcBorders>
      </w:tcPr>
    </w:tblStylePr>
    <w:tblStylePr w:type="firstCol">
      <w:rPr>
        <w:b/>
        <w:bCs/>
      </w:rPr>
    </w:tblStylePr>
    <w:tblStylePr w:type="lastCol">
      <w:rPr>
        <w:b/>
        <w:bCs/>
      </w:rPr>
    </w:tblStylePr>
    <w:tblStylePr w:type="band1Vert">
      <w:tblPr/>
      <w:tcPr>
        <w:shd w:val="clear" w:color="auto" w:fill="EBF5FC" w:themeFill="accent6" w:themeFillTint="33"/>
      </w:tcPr>
    </w:tblStylePr>
    <w:tblStylePr w:type="band1Horz">
      <w:tblPr/>
      <w:tcPr>
        <w:shd w:val="clear" w:color="auto" w:fill="EBF5FC" w:themeFill="accent6" w:themeFillTint="33"/>
      </w:tcPr>
    </w:tblStylePr>
  </w:style>
  <w:style w:type="table" w:styleId="ListTable7Colorful">
    <w:name w:val="List Table 7 Colorful"/>
    <w:basedOn w:val="TableNormal"/>
    <w:uiPriority w:val="52"/>
    <w:rsid w:val="00CF26C4"/>
    <w:pPr>
      <w:spacing w:after="0"/>
    </w:pPr>
    <w:rPr>
      <w:rFonts w:eastAsiaTheme="minorHAnsi" w:cs="Arial"/>
      <w:color w:val="1A1919" w:themeColor="text1"/>
      <w:sz w:val="18"/>
      <w:szCs w:val="18"/>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A1919"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A1919"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A1919"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A1919" w:themeColor="text1"/>
        </w:tcBorders>
        <w:shd w:val="clear" w:color="auto" w:fill="FFFFFF" w:themeFill="background1"/>
      </w:tcPr>
    </w:tblStylePr>
    <w:tblStylePr w:type="band1Vert">
      <w:tblPr/>
      <w:tcPr>
        <w:shd w:val="clear" w:color="auto" w:fill="D2D0D0" w:themeFill="text1" w:themeFillTint="33"/>
      </w:tcPr>
    </w:tblStylePr>
    <w:tblStylePr w:type="band1Horz">
      <w:tblPr/>
      <w:tcPr>
        <w:shd w:val="clear" w:color="auto" w:fill="D2D0D0"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CF26C4"/>
    <w:pPr>
      <w:spacing w:after="0"/>
    </w:pPr>
    <w:rPr>
      <w:rFonts w:eastAsiaTheme="minorHAnsi" w:cs="Arial"/>
      <w:color w:val="419C90" w:themeColor="accent1" w:themeShade="BF"/>
      <w:sz w:val="18"/>
      <w:szCs w:val="18"/>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8C0B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8C0B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8C0B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8C0B5" w:themeColor="accent1"/>
        </w:tcBorders>
        <w:shd w:val="clear" w:color="auto" w:fill="FFFFFF" w:themeFill="background1"/>
      </w:tcPr>
    </w:tblStylePr>
    <w:tblStylePr w:type="band1Vert">
      <w:tblPr/>
      <w:tcPr>
        <w:shd w:val="clear" w:color="auto" w:fill="E0F2F0" w:themeFill="accent1" w:themeFillTint="33"/>
      </w:tcPr>
    </w:tblStylePr>
    <w:tblStylePr w:type="band1Horz">
      <w:tblPr/>
      <w:tcPr>
        <w:shd w:val="clear" w:color="auto" w:fill="E0F2F0"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CF26C4"/>
    <w:pPr>
      <w:spacing w:after="0"/>
    </w:pPr>
    <w:rPr>
      <w:rFonts w:eastAsiaTheme="minorHAnsi" w:cs="Arial"/>
      <w:color w:val="2B85CA" w:themeColor="accent2" w:themeShade="BF"/>
      <w:sz w:val="18"/>
      <w:szCs w:val="18"/>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9ACD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9ACD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9ACD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9ACDF" w:themeColor="accent2"/>
        </w:tcBorders>
        <w:shd w:val="clear" w:color="auto" w:fill="FFFFFF" w:themeFill="background1"/>
      </w:tcPr>
    </w:tblStylePr>
    <w:tblStylePr w:type="band1Vert">
      <w:tblPr/>
      <w:tcPr>
        <w:shd w:val="clear" w:color="auto" w:fill="E0EEF8" w:themeFill="accent2" w:themeFillTint="33"/>
      </w:tcPr>
    </w:tblStylePr>
    <w:tblStylePr w:type="band1Horz">
      <w:tblPr/>
      <w:tcPr>
        <w:shd w:val="clear" w:color="auto" w:fill="E0EE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CF26C4"/>
    <w:pPr>
      <w:spacing w:after="0"/>
    </w:pPr>
    <w:rPr>
      <w:rFonts w:eastAsiaTheme="minorHAnsi" w:cs="Arial"/>
      <w:color w:val="454B87" w:themeColor="accent3" w:themeShade="BF"/>
      <w:sz w:val="18"/>
      <w:szCs w:val="18"/>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36AA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36AA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36AA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36AAF" w:themeColor="accent3"/>
        </w:tcBorders>
        <w:shd w:val="clear" w:color="auto" w:fill="FFFFFF" w:themeFill="background1"/>
      </w:tcPr>
    </w:tblStylePr>
    <w:tblStylePr w:type="band1Vert">
      <w:tblPr/>
      <w:tcPr>
        <w:shd w:val="clear" w:color="auto" w:fill="DFE1EF" w:themeFill="accent3" w:themeFillTint="33"/>
      </w:tcPr>
    </w:tblStylePr>
    <w:tblStylePr w:type="band1Horz">
      <w:tblPr/>
      <w:tcPr>
        <w:shd w:val="clear" w:color="auto" w:fill="DFE1E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CF26C4"/>
    <w:pPr>
      <w:spacing w:after="0"/>
    </w:pPr>
    <w:rPr>
      <w:rFonts w:eastAsiaTheme="minorHAnsi" w:cs="Arial"/>
      <w:color w:val="8C4A85" w:themeColor="accent4" w:themeShade="BF"/>
      <w:sz w:val="18"/>
      <w:szCs w:val="18"/>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26DAB"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26DAB"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26DAB"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26DAB" w:themeColor="accent4"/>
        </w:tcBorders>
        <w:shd w:val="clear" w:color="auto" w:fill="FFFFFF" w:themeFill="background1"/>
      </w:tcPr>
    </w:tblStylePr>
    <w:tblStylePr w:type="band1Vert">
      <w:tblPr/>
      <w:tcPr>
        <w:shd w:val="clear" w:color="auto" w:fill="EFE1EE" w:themeFill="accent4" w:themeFillTint="33"/>
      </w:tcPr>
    </w:tblStylePr>
    <w:tblStylePr w:type="band1Horz">
      <w:tblPr/>
      <w:tcPr>
        <w:shd w:val="clear" w:color="auto" w:fill="EFE1EE"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CF26C4"/>
    <w:pPr>
      <w:spacing w:after="0"/>
    </w:pPr>
    <w:rPr>
      <w:rFonts w:eastAsiaTheme="minorHAnsi" w:cs="Arial"/>
      <w:color w:val="D25399" w:themeColor="accent5" w:themeShade="BF"/>
      <w:sz w:val="18"/>
      <w:szCs w:val="18"/>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7A2C8"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7A2C8"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7A2C8"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7A2C8" w:themeColor="accent5"/>
        </w:tcBorders>
        <w:shd w:val="clear" w:color="auto" w:fill="FFFFFF" w:themeFill="background1"/>
      </w:tcPr>
    </w:tblStylePr>
    <w:tblStylePr w:type="band1Vert">
      <w:tblPr/>
      <w:tcPr>
        <w:shd w:val="clear" w:color="auto" w:fill="FAECF3" w:themeFill="accent5" w:themeFillTint="33"/>
      </w:tcPr>
    </w:tblStylePr>
    <w:tblStylePr w:type="band1Horz">
      <w:tblPr/>
      <w:tcPr>
        <w:shd w:val="clear" w:color="auto" w:fill="FAEC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CF26C4"/>
    <w:pPr>
      <w:spacing w:after="0"/>
    </w:pPr>
    <w:rPr>
      <w:rFonts w:eastAsiaTheme="minorHAnsi" w:cs="Arial"/>
      <w:color w:val="41A8EA" w:themeColor="accent6" w:themeShade="BF"/>
      <w:sz w:val="18"/>
      <w:szCs w:val="18"/>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CD2F4"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CD2F4"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CD2F4"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CD2F4" w:themeColor="accent6"/>
        </w:tcBorders>
        <w:shd w:val="clear" w:color="auto" w:fill="FFFFFF" w:themeFill="background1"/>
      </w:tcPr>
    </w:tblStylePr>
    <w:tblStylePr w:type="band1Vert">
      <w:tblPr/>
      <w:tcPr>
        <w:shd w:val="clear" w:color="auto" w:fill="EBF5FC" w:themeFill="accent6" w:themeFillTint="33"/>
      </w:tcPr>
    </w:tblStylePr>
    <w:tblStylePr w:type="band1Horz">
      <w:tblPr/>
      <w:tcPr>
        <w:shd w:val="clear" w:color="auto" w:fill="EBF5FC"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rsid w:val="00CF26C4"/>
    <w:pPr>
      <w:tabs>
        <w:tab w:val="left" w:pos="480"/>
        <w:tab w:val="left" w:pos="960"/>
        <w:tab w:val="left" w:pos="1440"/>
        <w:tab w:val="left" w:pos="1920"/>
        <w:tab w:val="left" w:pos="2400"/>
        <w:tab w:val="left" w:pos="2880"/>
        <w:tab w:val="left" w:pos="3360"/>
        <w:tab w:val="left" w:pos="3840"/>
        <w:tab w:val="left" w:pos="4320"/>
      </w:tabs>
      <w:spacing w:after="0" w:line="260" w:lineRule="atLeast"/>
    </w:pPr>
    <w:rPr>
      <w:rFonts w:eastAsiaTheme="minorHAnsi" w:cs="Arial"/>
      <w:lang w:val="en-GB"/>
    </w:rPr>
  </w:style>
  <w:style w:type="character" w:customStyle="1" w:styleId="MacroTextChar">
    <w:name w:val="Macro Text Char"/>
    <w:basedOn w:val="DefaultParagraphFont"/>
    <w:link w:val="MacroText"/>
    <w:uiPriority w:val="99"/>
    <w:semiHidden/>
    <w:rsid w:val="00CF26C4"/>
    <w:rPr>
      <w:rFonts w:eastAsiaTheme="minorHAnsi" w:cs="Arial"/>
      <w:lang w:val="en-GB"/>
    </w:rPr>
  </w:style>
  <w:style w:type="table" w:styleId="MediumGrid1">
    <w:name w:val="Medium Grid 1"/>
    <w:basedOn w:val="TableNormal"/>
    <w:uiPriority w:val="67"/>
    <w:semiHidden/>
    <w:unhideWhenUsed/>
    <w:rsid w:val="00CF26C4"/>
    <w:pPr>
      <w:spacing w:after="0"/>
    </w:pPr>
    <w:rPr>
      <w:rFonts w:eastAsiaTheme="minorHAnsi" w:cs="Arial"/>
      <w:sz w:val="18"/>
      <w:szCs w:val="18"/>
    </w:rPr>
    <w:tblPr>
      <w:tblStyleRowBandSize w:val="1"/>
      <w:tblStyleColBandSize w:val="1"/>
      <w:tblBorders>
        <w:top w:val="single" w:sz="8" w:space="0" w:color="545151" w:themeColor="text1" w:themeTint="BF"/>
        <w:left w:val="single" w:sz="8" w:space="0" w:color="545151" w:themeColor="text1" w:themeTint="BF"/>
        <w:bottom w:val="single" w:sz="8" w:space="0" w:color="545151" w:themeColor="text1" w:themeTint="BF"/>
        <w:right w:val="single" w:sz="8" w:space="0" w:color="545151" w:themeColor="text1" w:themeTint="BF"/>
        <w:insideH w:val="single" w:sz="8" w:space="0" w:color="545151" w:themeColor="text1" w:themeTint="BF"/>
        <w:insideV w:val="single" w:sz="8" w:space="0" w:color="545151" w:themeColor="text1" w:themeTint="BF"/>
      </w:tblBorders>
    </w:tblPr>
    <w:tcPr>
      <w:shd w:val="clear" w:color="auto" w:fill="C7C5C5" w:themeFill="text1" w:themeFillTint="3F"/>
    </w:tcPr>
    <w:tblStylePr w:type="firstRow">
      <w:rPr>
        <w:b/>
        <w:bCs/>
      </w:rPr>
    </w:tblStylePr>
    <w:tblStylePr w:type="lastRow">
      <w:rPr>
        <w:b/>
        <w:bCs/>
      </w:rPr>
      <w:tblPr/>
      <w:tcPr>
        <w:tcBorders>
          <w:top w:val="single" w:sz="18" w:space="0" w:color="545151" w:themeColor="text1" w:themeTint="BF"/>
        </w:tcBorders>
      </w:tcPr>
    </w:tblStylePr>
    <w:tblStylePr w:type="firstCol">
      <w:rPr>
        <w:b/>
        <w:bCs/>
      </w:rPr>
    </w:tblStylePr>
    <w:tblStylePr w:type="lastCol">
      <w:rPr>
        <w:b/>
        <w:bCs/>
      </w:rPr>
    </w:tblStylePr>
    <w:tblStylePr w:type="band1Vert">
      <w:tblPr/>
      <w:tcPr>
        <w:shd w:val="clear" w:color="auto" w:fill="8F8A8A" w:themeFill="text1" w:themeFillTint="7F"/>
      </w:tcPr>
    </w:tblStylePr>
    <w:tblStylePr w:type="band1Horz">
      <w:tblPr/>
      <w:tcPr>
        <w:shd w:val="clear" w:color="auto" w:fill="8F8A8A" w:themeFill="text1" w:themeFillTint="7F"/>
      </w:tcPr>
    </w:tblStylePr>
  </w:style>
  <w:style w:type="table" w:styleId="MediumGrid1-Accent1">
    <w:name w:val="Medium Grid 1 Accent 1"/>
    <w:basedOn w:val="TableNormal"/>
    <w:uiPriority w:val="67"/>
    <w:semiHidden/>
    <w:unhideWhenUsed/>
    <w:rsid w:val="00CF26C4"/>
    <w:pPr>
      <w:spacing w:after="0"/>
    </w:pPr>
    <w:rPr>
      <w:rFonts w:eastAsiaTheme="minorHAnsi" w:cs="Arial"/>
      <w:sz w:val="18"/>
      <w:szCs w:val="18"/>
    </w:rPr>
    <w:tblPr>
      <w:tblStyleRowBandSize w:val="1"/>
      <w:tblStyleColBandSize w:val="1"/>
      <w:tblBorders>
        <w:top w:val="single" w:sz="8" w:space="0" w:color="8DCFC7" w:themeColor="accent1" w:themeTint="BF"/>
        <w:left w:val="single" w:sz="8" w:space="0" w:color="8DCFC7" w:themeColor="accent1" w:themeTint="BF"/>
        <w:bottom w:val="single" w:sz="8" w:space="0" w:color="8DCFC7" w:themeColor="accent1" w:themeTint="BF"/>
        <w:right w:val="single" w:sz="8" w:space="0" w:color="8DCFC7" w:themeColor="accent1" w:themeTint="BF"/>
        <w:insideH w:val="single" w:sz="8" w:space="0" w:color="8DCFC7" w:themeColor="accent1" w:themeTint="BF"/>
        <w:insideV w:val="single" w:sz="8" w:space="0" w:color="8DCFC7" w:themeColor="accent1" w:themeTint="BF"/>
      </w:tblBorders>
    </w:tblPr>
    <w:tcPr>
      <w:shd w:val="clear" w:color="auto" w:fill="D9EFEC" w:themeFill="accent1" w:themeFillTint="3F"/>
    </w:tcPr>
    <w:tblStylePr w:type="firstRow">
      <w:rPr>
        <w:b/>
        <w:bCs/>
      </w:rPr>
    </w:tblStylePr>
    <w:tblStylePr w:type="lastRow">
      <w:rPr>
        <w:b/>
        <w:bCs/>
      </w:rPr>
      <w:tblPr/>
      <w:tcPr>
        <w:tcBorders>
          <w:top w:val="single" w:sz="18" w:space="0" w:color="8DCFC7" w:themeColor="accent1" w:themeTint="BF"/>
        </w:tcBorders>
      </w:tcPr>
    </w:tblStylePr>
    <w:tblStylePr w:type="firstCol">
      <w:rPr>
        <w:b/>
        <w:bCs/>
      </w:rPr>
    </w:tblStylePr>
    <w:tblStylePr w:type="lastCol">
      <w:rPr>
        <w:b/>
        <w:bCs/>
      </w:rPr>
    </w:tblStylePr>
    <w:tblStylePr w:type="band1Vert">
      <w:tblPr/>
      <w:tcPr>
        <w:shd w:val="clear" w:color="auto" w:fill="B3DFDA" w:themeFill="accent1" w:themeFillTint="7F"/>
      </w:tcPr>
    </w:tblStylePr>
    <w:tblStylePr w:type="band1Horz">
      <w:tblPr/>
      <w:tcPr>
        <w:shd w:val="clear" w:color="auto" w:fill="B3DFDA" w:themeFill="accent1" w:themeFillTint="7F"/>
      </w:tcPr>
    </w:tblStylePr>
  </w:style>
  <w:style w:type="table" w:styleId="MediumGrid1-Accent2">
    <w:name w:val="Medium Grid 1 Accent 2"/>
    <w:basedOn w:val="TableNormal"/>
    <w:uiPriority w:val="67"/>
    <w:semiHidden/>
    <w:unhideWhenUsed/>
    <w:rsid w:val="00CF26C4"/>
    <w:pPr>
      <w:spacing w:after="0"/>
    </w:pPr>
    <w:rPr>
      <w:rFonts w:eastAsiaTheme="minorHAnsi" w:cs="Arial"/>
      <w:sz w:val="18"/>
      <w:szCs w:val="18"/>
    </w:rPr>
    <w:tblPr>
      <w:tblStyleRowBandSize w:val="1"/>
      <w:tblStyleColBandSize w:val="1"/>
      <w:tblBorders>
        <w:top w:val="single" w:sz="8" w:space="0" w:color="8EC0E7" w:themeColor="accent2" w:themeTint="BF"/>
        <w:left w:val="single" w:sz="8" w:space="0" w:color="8EC0E7" w:themeColor="accent2" w:themeTint="BF"/>
        <w:bottom w:val="single" w:sz="8" w:space="0" w:color="8EC0E7" w:themeColor="accent2" w:themeTint="BF"/>
        <w:right w:val="single" w:sz="8" w:space="0" w:color="8EC0E7" w:themeColor="accent2" w:themeTint="BF"/>
        <w:insideH w:val="single" w:sz="8" w:space="0" w:color="8EC0E7" w:themeColor="accent2" w:themeTint="BF"/>
        <w:insideV w:val="single" w:sz="8" w:space="0" w:color="8EC0E7" w:themeColor="accent2" w:themeTint="BF"/>
      </w:tblBorders>
    </w:tblPr>
    <w:tcPr>
      <w:shd w:val="clear" w:color="auto" w:fill="D9EAF7" w:themeFill="accent2" w:themeFillTint="3F"/>
    </w:tcPr>
    <w:tblStylePr w:type="firstRow">
      <w:rPr>
        <w:b/>
        <w:bCs/>
      </w:rPr>
    </w:tblStylePr>
    <w:tblStylePr w:type="lastRow">
      <w:rPr>
        <w:b/>
        <w:bCs/>
      </w:rPr>
      <w:tblPr/>
      <w:tcPr>
        <w:tcBorders>
          <w:top w:val="single" w:sz="18" w:space="0" w:color="8EC0E7" w:themeColor="accent2" w:themeTint="BF"/>
        </w:tcBorders>
      </w:tcPr>
    </w:tblStylePr>
    <w:tblStylePr w:type="firstCol">
      <w:rPr>
        <w:b/>
        <w:bCs/>
      </w:rPr>
    </w:tblStylePr>
    <w:tblStylePr w:type="lastCol">
      <w:rPr>
        <w:b/>
        <w:bCs/>
      </w:rPr>
    </w:tblStylePr>
    <w:tblStylePr w:type="band1Vert">
      <w:tblPr/>
      <w:tcPr>
        <w:shd w:val="clear" w:color="auto" w:fill="B4D5EF" w:themeFill="accent2" w:themeFillTint="7F"/>
      </w:tcPr>
    </w:tblStylePr>
    <w:tblStylePr w:type="band1Horz">
      <w:tblPr/>
      <w:tcPr>
        <w:shd w:val="clear" w:color="auto" w:fill="B4D5EF" w:themeFill="accent2" w:themeFillTint="7F"/>
      </w:tcPr>
    </w:tblStylePr>
  </w:style>
  <w:style w:type="table" w:styleId="MediumGrid1-Accent3">
    <w:name w:val="Medium Grid 1 Accent 3"/>
    <w:basedOn w:val="TableNormal"/>
    <w:uiPriority w:val="67"/>
    <w:semiHidden/>
    <w:unhideWhenUsed/>
    <w:rsid w:val="00CF26C4"/>
    <w:pPr>
      <w:spacing w:after="0"/>
    </w:pPr>
    <w:rPr>
      <w:rFonts w:eastAsiaTheme="minorHAnsi" w:cs="Arial"/>
      <w:sz w:val="18"/>
      <w:szCs w:val="18"/>
    </w:rPr>
    <w:tblPr>
      <w:tblStyleRowBandSize w:val="1"/>
      <w:tblStyleColBandSize w:val="1"/>
      <w:tblBorders>
        <w:top w:val="single" w:sz="8" w:space="0" w:color="8A8FC3" w:themeColor="accent3" w:themeTint="BF"/>
        <w:left w:val="single" w:sz="8" w:space="0" w:color="8A8FC3" w:themeColor="accent3" w:themeTint="BF"/>
        <w:bottom w:val="single" w:sz="8" w:space="0" w:color="8A8FC3" w:themeColor="accent3" w:themeTint="BF"/>
        <w:right w:val="single" w:sz="8" w:space="0" w:color="8A8FC3" w:themeColor="accent3" w:themeTint="BF"/>
        <w:insideH w:val="single" w:sz="8" w:space="0" w:color="8A8FC3" w:themeColor="accent3" w:themeTint="BF"/>
        <w:insideV w:val="single" w:sz="8" w:space="0" w:color="8A8FC3" w:themeColor="accent3" w:themeTint="BF"/>
      </w:tblBorders>
    </w:tblPr>
    <w:tcPr>
      <w:shd w:val="clear" w:color="auto" w:fill="D8DAEB" w:themeFill="accent3" w:themeFillTint="3F"/>
    </w:tcPr>
    <w:tblStylePr w:type="firstRow">
      <w:rPr>
        <w:b/>
        <w:bCs/>
      </w:rPr>
    </w:tblStylePr>
    <w:tblStylePr w:type="lastRow">
      <w:rPr>
        <w:b/>
        <w:bCs/>
      </w:rPr>
      <w:tblPr/>
      <w:tcPr>
        <w:tcBorders>
          <w:top w:val="single" w:sz="18" w:space="0" w:color="8A8FC3" w:themeColor="accent3" w:themeTint="BF"/>
        </w:tcBorders>
      </w:tcPr>
    </w:tblStylePr>
    <w:tblStylePr w:type="firstCol">
      <w:rPr>
        <w:b/>
        <w:bCs/>
      </w:rPr>
    </w:tblStylePr>
    <w:tblStylePr w:type="lastCol">
      <w:rPr>
        <w:b/>
        <w:bCs/>
      </w:rPr>
    </w:tblStylePr>
    <w:tblStylePr w:type="band1Vert">
      <w:tblPr/>
      <w:tcPr>
        <w:shd w:val="clear" w:color="auto" w:fill="B1B4D7" w:themeFill="accent3" w:themeFillTint="7F"/>
      </w:tcPr>
    </w:tblStylePr>
    <w:tblStylePr w:type="band1Horz">
      <w:tblPr/>
      <w:tcPr>
        <w:shd w:val="clear" w:color="auto" w:fill="B1B4D7" w:themeFill="accent3" w:themeFillTint="7F"/>
      </w:tcPr>
    </w:tblStylePr>
  </w:style>
  <w:style w:type="table" w:styleId="MediumGrid1-Accent4">
    <w:name w:val="Medium Grid 1 Accent 4"/>
    <w:basedOn w:val="TableNormal"/>
    <w:uiPriority w:val="67"/>
    <w:semiHidden/>
    <w:unhideWhenUsed/>
    <w:rsid w:val="00CF26C4"/>
    <w:pPr>
      <w:spacing w:after="0"/>
    </w:pPr>
    <w:rPr>
      <w:rFonts w:eastAsiaTheme="minorHAnsi" w:cs="Arial"/>
      <w:sz w:val="18"/>
      <w:szCs w:val="18"/>
    </w:rPr>
    <w:tblPr>
      <w:tblStyleRowBandSize w:val="1"/>
      <w:tblStyleColBandSize w:val="1"/>
      <w:tblBorders>
        <w:top w:val="single" w:sz="8" w:space="0" w:color="C591C0" w:themeColor="accent4" w:themeTint="BF"/>
        <w:left w:val="single" w:sz="8" w:space="0" w:color="C591C0" w:themeColor="accent4" w:themeTint="BF"/>
        <w:bottom w:val="single" w:sz="8" w:space="0" w:color="C591C0" w:themeColor="accent4" w:themeTint="BF"/>
        <w:right w:val="single" w:sz="8" w:space="0" w:color="C591C0" w:themeColor="accent4" w:themeTint="BF"/>
        <w:insideH w:val="single" w:sz="8" w:space="0" w:color="C591C0" w:themeColor="accent4" w:themeTint="BF"/>
        <w:insideV w:val="single" w:sz="8" w:space="0" w:color="C591C0" w:themeColor="accent4" w:themeTint="BF"/>
      </w:tblBorders>
    </w:tblPr>
    <w:tcPr>
      <w:shd w:val="clear" w:color="auto" w:fill="ECDAEA" w:themeFill="accent4" w:themeFillTint="3F"/>
    </w:tcPr>
    <w:tblStylePr w:type="firstRow">
      <w:rPr>
        <w:b/>
        <w:bCs/>
      </w:rPr>
    </w:tblStylePr>
    <w:tblStylePr w:type="lastRow">
      <w:rPr>
        <w:b/>
        <w:bCs/>
      </w:rPr>
      <w:tblPr/>
      <w:tcPr>
        <w:tcBorders>
          <w:top w:val="single" w:sz="18" w:space="0" w:color="C591C0" w:themeColor="accent4" w:themeTint="BF"/>
        </w:tcBorders>
      </w:tcPr>
    </w:tblStylePr>
    <w:tblStylePr w:type="firstCol">
      <w:rPr>
        <w:b/>
        <w:bCs/>
      </w:rPr>
    </w:tblStylePr>
    <w:tblStylePr w:type="lastCol">
      <w:rPr>
        <w:b/>
        <w:bCs/>
      </w:rPr>
    </w:tblStylePr>
    <w:tblStylePr w:type="band1Vert">
      <w:tblPr/>
      <w:tcPr>
        <w:shd w:val="clear" w:color="auto" w:fill="D8B6D5" w:themeFill="accent4" w:themeFillTint="7F"/>
      </w:tcPr>
    </w:tblStylePr>
    <w:tblStylePr w:type="band1Horz">
      <w:tblPr/>
      <w:tcPr>
        <w:shd w:val="clear" w:color="auto" w:fill="D8B6D5" w:themeFill="accent4" w:themeFillTint="7F"/>
      </w:tcPr>
    </w:tblStylePr>
  </w:style>
  <w:style w:type="table" w:styleId="MediumGrid1-Accent5">
    <w:name w:val="Medium Grid 1 Accent 5"/>
    <w:basedOn w:val="TableNormal"/>
    <w:uiPriority w:val="67"/>
    <w:semiHidden/>
    <w:unhideWhenUsed/>
    <w:rsid w:val="00CF26C4"/>
    <w:pPr>
      <w:spacing w:after="0"/>
    </w:pPr>
    <w:rPr>
      <w:rFonts w:eastAsiaTheme="minorHAnsi" w:cs="Arial"/>
      <w:sz w:val="18"/>
      <w:szCs w:val="18"/>
    </w:rPr>
    <w:tblPr>
      <w:tblStyleRowBandSize w:val="1"/>
      <w:tblStyleColBandSize w:val="1"/>
      <w:tblBorders>
        <w:top w:val="single" w:sz="8" w:space="0" w:color="EDB9D5" w:themeColor="accent5" w:themeTint="BF"/>
        <w:left w:val="single" w:sz="8" w:space="0" w:color="EDB9D5" w:themeColor="accent5" w:themeTint="BF"/>
        <w:bottom w:val="single" w:sz="8" w:space="0" w:color="EDB9D5" w:themeColor="accent5" w:themeTint="BF"/>
        <w:right w:val="single" w:sz="8" w:space="0" w:color="EDB9D5" w:themeColor="accent5" w:themeTint="BF"/>
        <w:insideH w:val="single" w:sz="8" w:space="0" w:color="EDB9D5" w:themeColor="accent5" w:themeTint="BF"/>
        <w:insideV w:val="single" w:sz="8" w:space="0" w:color="EDB9D5" w:themeColor="accent5" w:themeTint="BF"/>
      </w:tblBorders>
    </w:tblPr>
    <w:tcPr>
      <w:shd w:val="clear" w:color="auto" w:fill="F9E7F1" w:themeFill="accent5" w:themeFillTint="3F"/>
    </w:tcPr>
    <w:tblStylePr w:type="firstRow">
      <w:rPr>
        <w:b/>
        <w:bCs/>
      </w:rPr>
    </w:tblStylePr>
    <w:tblStylePr w:type="lastRow">
      <w:rPr>
        <w:b/>
        <w:bCs/>
      </w:rPr>
      <w:tblPr/>
      <w:tcPr>
        <w:tcBorders>
          <w:top w:val="single" w:sz="18" w:space="0" w:color="EDB9D5" w:themeColor="accent5" w:themeTint="BF"/>
        </w:tcBorders>
      </w:tcPr>
    </w:tblStylePr>
    <w:tblStylePr w:type="firstCol">
      <w:rPr>
        <w:b/>
        <w:bCs/>
      </w:rPr>
    </w:tblStylePr>
    <w:tblStylePr w:type="lastCol">
      <w:rPr>
        <w:b/>
        <w:bCs/>
      </w:rPr>
    </w:tblStylePr>
    <w:tblStylePr w:type="band1Vert">
      <w:tblPr/>
      <w:tcPr>
        <w:shd w:val="clear" w:color="auto" w:fill="F3D0E3" w:themeFill="accent5" w:themeFillTint="7F"/>
      </w:tcPr>
    </w:tblStylePr>
    <w:tblStylePr w:type="band1Horz">
      <w:tblPr/>
      <w:tcPr>
        <w:shd w:val="clear" w:color="auto" w:fill="F3D0E3" w:themeFill="accent5" w:themeFillTint="7F"/>
      </w:tcPr>
    </w:tblStylePr>
  </w:style>
  <w:style w:type="table" w:styleId="MediumGrid1-Accent6">
    <w:name w:val="Medium Grid 1 Accent 6"/>
    <w:basedOn w:val="TableNormal"/>
    <w:uiPriority w:val="67"/>
    <w:semiHidden/>
    <w:unhideWhenUsed/>
    <w:rsid w:val="00CF26C4"/>
    <w:pPr>
      <w:spacing w:after="0"/>
    </w:pPr>
    <w:rPr>
      <w:rFonts w:eastAsiaTheme="minorHAnsi" w:cs="Arial"/>
      <w:sz w:val="18"/>
      <w:szCs w:val="18"/>
    </w:rPr>
    <w:tblPr>
      <w:tblStyleRowBandSize w:val="1"/>
      <w:tblStyleColBandSize w:val="1"/>
      <w:tblBorders>
        <w:top w:val="single" w:sz="8" w:space="0" w:color="B4DDF6" w:themeColor="accent6" w:themeTint="BF"/>
        <w:left w:val="single" w:sz="8" w:space="0" w:color="B4DDF6" w:themeColor="accent6" w:themeTint="BF"/>
        <w:bottom w:val="single" w:sz="8" w:space="0" w:color="B4DDF6" w:themeColor="accent6" w:themeTint="BF"/>
        <w:right w:val="single" w:sz="8" w:space="0" w:color="B4DDF6" w:themeColor="accent6" w:themeTint="BF"/>
        <w:insideH w:val="single" w:sz="8" w:space="0" w:color="B4DDF6" w:themeColor="accent6" w:themeTint="BF"/>
        <w:insideV w:val="single" w:sz="8" w:space="0" w:color="B4DDF6" w:themeColor="accent6" w:themeTint="BF"/>
      </w:tblBorders>
    </w:tblPr>
    <w:tcPr>
      <w:shd w:val="clear" w:color="auto" w:fill="E6F3FC" w:themeFill="accent6" w:themeFillTint="3F"/>
    </w:tcPr>
    <w:tblStylePr w:type="firstRow">
      <w:rPr>
        <w:b/>
        <w:bCs/>
      </w:rPr>
    </w:tblStylePr>
    <w:tblStylePr w:type="lastRow">
      <w:rPr>
        <w:b/>
        <w:bCs/>
      </w:rPr>
      <w:tblPr/>
      <w:tcPr>
        <w:tcBorders>
          <w:top w:val="single" w:sz="18" w:space="0" w:color="B4DDF6" w:themeColor="accent6" w:themeTint="BF"/>
        </w:tcBorders>
      </w:tcPr>
    </w:tblStylePr>
    <w:tblStylePr w:type="firstCol">
      <w:rPr>
        <w:b/>
        <w:bCs/>
      </w:rPr>
    </w:tblStylePr>
    <w:tblStylePr w:type="lastCol">
      <w:rPr>
        <w:b/>
        <w:bCs/>
      </w:rPr>
    </w:tblStylePr>
    <w:tblStylePr w:type="band1Vert">
      <w:tblPr/>
      <w:tcPr>
        <w:shd w:val="clear" w:color="auto" w:fill="CDE8F9" w:themeFill="accent6" w:themeFillTint="7F"/>
      </w:tcPr>
    </w:tblStylePr>
    <w:tblStylePr w:type="band1Horz">
      <w:tblPr/>
      <w:tcPr>
        <w:shd w:val="clear" w:color="auto" w:fill="CDE8F9" w:themeFill="accent6" w:themeFillTint="7F"/>
      </w:tcPr>
    </w:tblStylePr>
  </w:style>
  <w:style w:type="table" w:styleId="MediumGrid2">
    <w:name w:val="Medium Grid 2"/>
    <w:basedOn w:val="TableNormal"/>
    <w:uiPriority w:val="68"/>
    <w:semiHidden/>
    <w:unhideWhenUsed/>
    <w:rsid w:val="00CF26C4"/>
    <w:pPr>
      <w:spacing w:after="0"/>
    </w:pPr>
    <w:rPr>
      <w:rFonts w:asciiTheme="majorHAnsi" w:eastAsiaTheme="majorEastAsia" w:hAnsiTheme="majorHAnsi" w:cstheme="majorBidi"/>
      <w:color w:val="1A1919" w:themeColor="text1"/>
      <w:sz w:val="18"/>
      <w:szCs w:val="18"/>
    </w:rPr>
    <w:tblPr>
      <w:tblStyleRowBandSize w:val="1"/>
      <w:tblStyleColBandSize w:val="1"/>
      <w:tblBorders>
        <w:top w:val="single" w:sz="8" w:space="0" w:color="1A1919" w:themeColor="text1"/>
        <w:left w:val="single" w:sz="8" w:space="0" w:color="1A1919" w:themeColor="text1"/>
        <w:bottom w:val="single" w:sz="8" w:space="0" w:color="1A1919" w:themeColor="text1"/>
        <w:right w:val="single" w:sz="8" w:space="0" w:color="1A1919" w:themeColor="text1"/>
        <w:insideH w:val="single" w:sz="8" w:space="0" w:color="1A1919" w:themeColor="text1"/>
        <w:insideV w:val="single" w:sz="8" w:space="0" w:color="1A1919" w:themeColor="text1"/>
      </w:tblBorders>
    </w:tblPr>
    <w:tcPr>
      <w:shd w:val="clear" w:color="auto" w:fill="C7C5C5" w:themeFill="text1" w:themeFillTint="3F"/>
    </w:tcPr>
    <w:tblStylePr w:type="firstRow">
      <w:rPr>
        <w:b/>
        <w:bCs/>
        <w:color w:val="1A1919" w:themeColor="text1"/>
      </w:rPr>
      <w:tblPr/>
      <w:tcPr>
        <w:shd w:val="clear" w:color="auto" w:fill="E9E8E8" w:themeFill="text1" w:themeFillTint="19"/>
      </w:tcPr>
    </w:tblStylePr>
    <w:tblStylePr w:type="lastRow">
      <w:rPr>
        <w:b/>
        <w:bCs/>
        <w:color w:val="1A1919" w:themeColor="text1"/>
      </w:rPr>
      <w:tblPr/>
      <w:tcPr>
        <w:tcBorders>
          <w:top w:val="single" w:sz="12" w:space="0" w:color="1A1919" w:themeColor="text1"/>
          <w:left w:val="nil"/>
          <w:bottom w:val="nil"/>
          <w:right w:val="nil"/>
          <w:insideH w:val="nil"/>
          <w:insideV w:val="nil"/>
        </w:tcBorders>
        <w:shd w:val="clear" w:color="auto" w:fill="FFFFFF" w:themeFill="background1"/>
      </w:tcPr>
    </w:tblStylePr>
    <w:tblStylePr w:type="firstCol">
      <w:rPr>
        <w:b/>
        <w:bCs/>
        <w:color w:val="1A191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A1919" w:themeColor="text1"/>
      </w:rPr>
      <w:tblPr/>
      <w:tcPr>
        <w:tcBorders>
          <w:top w:val="nil"/>
          <w:left w:val="nil"/>
          <w:bottom w:val="nil"/>
          <w:right w:val="nil"/>
          <w:insideH w:val="nil"/>
          <w:insideV w:val="nil"/>
        </w:tcBorders>
        <w:shd w:val="clear" w:color="auto" w:fill="D2D0D0" w:themeFill="text1" w:themeFillTint="33"/>
      </w:tcPr>
    </w:tblStylePr>
    <w:tblStylePr w:type="band1Vert">
      <w:tblPr/>
      <w:tcPr>
        <w:shd w:val="clear" w:color="auto" w:fill="8F8A8A" w:themeFill="text1" w:themeFillTint="7F"/>
      </w:tcPr>
    </w:tblStylePr>
    <w:tblStylePr w:type="band1Horz">
      <w:tblPr/>
      <w:tcPr>
        <w:tcBorders>
          <w:insideH w:val="single" w:sz="6" w:space="0" w:color="1A1919" w:themeColor="text1"/>
          <w:insideV w:val="single" w:sz="6" w:space="0" w:color="1A1919" w:themeColor="text1"/>
        </w:tcBorders>
        <w:shd w:val="clear" w:color="auto" w:fill="8F8A8A"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CF26C4"/>
    <w:pPr>
      <w:spacing w:after="0"/>
    </w:pPr>
    <w:rPr>
      <w:rFonts w:asciiTheme="majorHAnsi" w:eastAsiaTheme="majorEastAsia" w:hAnsiTheme="majorHAnsi" w:cstheme="majorBidi"/>
      <w:color w:val="1A1919" w:themeColor="text1"/>
      <w:sz w:val="18"/>
      <w:szCs w:val="18"/>
    </w:rPr>
    <w:tblPr>
      <w:tblStyleRowBandSize w:val="1"/>
      <w:tblStyleColBandSize w:val="1"/>
      <w:tblBorders>
        <w:top w:val="single" w:sz="8" w:space="0" w:color="68C0B5" w:themeColor="accent1"/>
        <w:left w:val="single" w:sz="8" w:space="0" w:color="68C0B5" w:themeColor="accent1"/>
        <w:bottom w:val="single" w:sz="8" w:space="0" w:color="68C0B5" w:themeColor="accent1"/>
        <w:right w:val="single" w:sz="8" w:space="0" w:color="68C0B5" w:themeColor="accent1"/>
        <w:insideH w:val="single" w:sz="8" w:space="0" w:color="68C0B5" w:themeColor="accent1"/>
        <w:insideV w:val="single" w:sz="8" w:space="0" w:color="68C0B5" w:themeColor="accent1"/>
      </w:tblBorders>
    </w:tblPr>
    <w:tcPr>
      <w:shd w:val="clear" w:color="auto" w:fill="D9EFEC" w:themeFill="accent1" w:themeFillTint="3F"/>
    </w:tcPr>
    <w:tblStylePr w:type="firstRow">
      <w:rPr>
        <w:b/>
        <w:bCs/>
        <w:color w:val="1A1919" w:themeColor="text1"/>
      </w:rPr>
      <w:tblPr/>
      <w:tcPr>
        <w:shd w:val="clear" w:color="auto" w:fill="F0F8F7" w:themeFill="accent1" w:themeFillTint="19"/>
      </w:tcPr>
    </w:tblStylePr>
    <w:tblStylePr w:type="lastRow">
      <w:rPr>
        <w:b/>
        <w:bCs/>
        <w:color w:val="1A1919" w:themeColor="text1"/>
      </w:rPr>
      <w:tblPr/>
      <w:tcPr>
        <w:tcBorders>
          <w:top w:val="single" w:sz="12" w:space="0" w:color="1A1919" w:themeColor="text1"/>
          <w:left w:val="nil"/>
          <w:bottom w:val="nil"/>
          <w:right w:val="nil"/>
          <w:insideH w:val="nil"/>
          <w:insideV w:val="nil"/>
        </w:tcBorders>
        <w:shd w:val="clear" w:color="auto" w:fill="FFFFFF" w:themeFill="background1"/>
      </w:tcPr>
    </w:tblStylePr>
    <w:tblStylePr w:type="firstCol">
      <w:rPr>
        <w:b/>
        <w:bCs/>
        <w:color w:val="1A191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A1919" w:themeColor="text1"/>
      </w:rPr>
      <w:tblPr/>
      <w:tcPr>
        <w:tcBorders>
          <w:top w:val="nil"/>
          <w:left w:val="nil"/>
          <w:bottom w:val="nil"/>
          <w:right w:val="nil"/>
          <w:insideH w:val="nil"/>
          <w:insideV w:val="nil"/>
        </w:tcBorders>
        <w:shd w:val="clear" w:color="auto" w:fill="E0F2F0" w:themeFill="accent1" w:themeFillTint="33"/>
      </w:tcPr>
    </w:tblStylePr>
    <w:tblStylePr w:type="band1Vert">
      <w:tblPr/>
      <w:tcPr>
        <w:shd w:val="clear" w:color="auto" w:fill="B3DFDA" w:themeFill="accent1" w:themeFillTint="7F"/>
      </w:tcPr>
    </w:tblStylePr>
    <w:tblStylePr w:type="band1Horz">
      <w:tblPr/>
      <w:tcPr>
        <w:tcBorders>
          <w:insideH w:val="single" w:sz="6" w:space="0" w:color="68C0B5" w:themeColor="accent1"/>
          <w:insideV w:val="single" w:sz="6" w:space="0" w:color="68C0B5" w:themeColor="accent1"/>
        </w:tcBorders>
        <w:shd w:val="clear" w:color="auto" w:fill="B3DFD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CF26C4"/>
    <w:pPr>
      <w:spacing w:after="0"/>
    </w:pPr>
    <w:rPr>
      <w:rFonts w:asciiTheme="majorHAnsi" w:eastAsiaTheme="majorEastAsia" w:hAnsiTheme="majorHAnsi" w:cstheme="majorBidi"/>
      <w:color w:val="1A1919" w:themeColor="text1"/>
      <w:sz w:val="18"/>
      <w:szCs w:val="18"/>
    </w:rPr>
    <w:tblPr>
      <w:tblStyleRowBandSize w:val="1"/>
      <w:tblStyleColBandSize w:val="1"/>
      <w:tblBorders>
        <w:top w:val="single" w:sz="8" w:space="0" w:color="69ACDF" w:themeColor="accent2"/>
        <w:left w:val="single" w:sz="8" w:space="0" w:color="69ACDF" w:themeColor="accent2"/>
        <w:bottom w:val="single" w:sz="8" w:space="0" w:color="69ACDF" w:themeColor="accent2"/>
        <w:right w:val="single" w:sz="8" w:space="0" w:color="69ACDF" w:themeColor="accent2"/>
        <w:insideH w:val="single" w:sz="8" w:space="0" w:color="69ACDF" w:themeColor="accent2"/>
        <w:insideV w:val="single" w:sz="8" w:space="0" w:color="69ACDF" w:themeColor="accent2"/>
      </w:tblBorders>
    </w:tblPr>
    <w:tcPr>
      <w:shd w:val="clear" w:color="auto" w:fill="D9EAF7" w:themeFill="accent2" w:themeFillTint="3F"/>
    </w:tcPr>
    <w:tblStylePr w:type="firstRow">
      <w:rPr>
        <w:b/>
        <w:bCs/>
        <w:color w:val="1A1919" w:themeColor="text1"/>
      </w:rPr>
      <w:tblPr/>
      <w:tcPr>
        <w:shd w:val="clear" w:color="auto" w:fill="F0F6FB" w:themeFill="accent2" w:themeFillTint="19"/>
      </w:tcPr>
    </w:tblStylePr>
    <w:tblStylePr w:type="lastRow">
      <w:rPr>
        <w:b/>
        <w:bCs/>
        <w:color w:val="1A1919" w:themeColor="text1"/>
      </w:rPr>
      <w:tblPr/>
      <w:tcPr>
        <w:tcBorders>
          <w:top w:val="single" w:sz="12" w:space="0" w:color="1A1919" w:themeColor="text1"/>
          <w:left w:val="nil"/>
          <w:bottom w:val="nil"/>
          <w:right w:val="nil"/>
          <w:insideH w:val="nil"/>
          <w:insideV w:val="nil"/>
        </w:tcBorders>
        <w:shd w:val="clear" w:color="auto" w:fill="FFFFFF" w:themeFill="background1"/>
      </w:tcPr>
    </w:tblStylePr>
    <w:tblStylePr w:type="firstCol">
      <w:rPr>
        <w:b/>
        <w:bCs/>
        <w:color w:val="1A191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A1919" w:themeColor="text1"/>
      </w:rPr>
      <w:tblPr/>
      <w:tcPr>
        <w:tcBorders>
          <w:top w:val="nil"/>
          <w:left w:val="nil"/>
          <w:bottom w:val="nil"/>
          <w:right w:val="nil"/>
          <w:insideH w:val="nil"/>
          <w:insideV w:val="nil"/>
        </w:tcBorders>
        <w:shd w:val="clear" w:color="auto" w:fill="E0EEF8" w:themeFill="accent2" w:themeFillTint="33"/>
      </w:tcPr>
    </w:tblStylePr>
    <w:tblStylePr w:type="band1Vert">
      <w:tblPr/>
      <w:tcPr>
        <w:shd w:val="clear" w:color="auto" w:fill="B4D5EF" w:themeFill="accent2" w:themeFillTint="7F"/>
      </w:tcPr>
    </w:tblStylePr>
    <w:tblStylePr w:type="band1Horz">
      <w:tblPr/>
      <w:tcPr>
        <w:tcBorders>
          <w:insideH w:val="single" w:sz="6" w:space="0" w:color="69ACDF" w:themeColor="accent2"/>
          <w:insideV w:val="single" w:sz="6" w:space="0" w:color="69ACDF" w:themeColor="accent2"/>
        </w:tcBorders>
        <w:shd w:val="clear" w:color="auto" w:fill="B4D5E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CF26C4"/>
    <w:pPr>
      <w:spacing w:after="0"/>
    </w:pPr>
    <w:rPr>
      <w:rFonts w:asciiTheme="majorHAnsi" w:eastAsiaTheme="majorEastAsia" w:hAnsiTheme="majorHAnsi" w:cstheme="majorBidi"/>
      <w:color w:val="1A1919" w:themeColor="text1"/>
      <w:sz w:val="18"/>
      <w:szCs w:val="18"/>
    </w:rPr>
    <w:tblPr>
      <w:tblStyleRowBandSize w:val="1"/>
      <w:tblStyleColBandSize w:val="1"/>
      <w:tblBorders>
        <w:top w:val="single" w:sz="8" w:space="0" w:color="636AAF" w:themeColor="accent3"/>
        <w:left w:val="single" w:sz="8" w:space="0" w:color="636AAF" w:themeColor="accent3"/>
        <w:bottom w:val="single" w:sz="8" w:space="0" w:color="636AAF" w:themeColor="accent3"/>
        <w:right w:val="single" w:sz="8" w:space="0" w:color="636AAF" w:themeColor="accent3"/>
        <w:insideH w:val="single" w:sz="8" w:space="0" w:color="636AAF" w:themeColor="accent3"/>
        <w:insideV w:val="single" w:sz="8" w:space="0" w:color="636AAF" w:themeColor="accent3"/>
      </w:tblBorders>
    </w:tblPr>
    <w:tcPr>
      <w:shd w:val="clear" w:color="auto" w:fill="D8DAEB" w:themeFill="accent3" w:themeFillTint="3F"/>
    </w:tcPr>
    <w:tblStylePr w:type="firstRow">
      <w:rPr>
        <w:b/>
        <w:bCs/>
        <w:color w:val="1A1919" w:themeColor="text1"/>
      </w:rPr>
      <w:tblPr/>
      <w:tcPr>
        <w:shd w:val="clear" w:color="auto" w:fill="EFF0F7" w:themeFill="accent3" w:themeFillTint="19"/>
      </w:tcPr>
    </w:tblStylePr>
    <w:tblStylePr w:type="lastRow">
      <w:rPr>
        <w:b/>
        <w:bCs/>
        <w:color w:val="1A1919" w:themeColor="text1"/>
      </w:rPr>
      <w:tblPr/>
      <w:tcPr>
        <w:tcBorders>
          <w:top w:val="single" w:sz="12" w:space="0" w:color="1A1919" w:themeColor="text1"/>
          <w:left w:val="nil"/>
          <w:bottom w:val="nil"/>
          <w:right w:val="nil"/>
          <w:insideH w:val="nil"/>
          <w:insideV w:val="nil"/>
        </w:tcBorders>
        <w:shd w:val="clear" w:color="auto" w:fill="FFFFFF" w:themeFill="background1"/>
      </w:tcPr>
    </w:tblStylePr>
    <w:tblStylePr w:type="firstCol">
      <w:rPr>
        <w:b/>
        <w:bCs/>
        <w:color w:val="1A191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A1919" w:themeColor="text1"/>
      </w:rPr>
      <w:tblPr/>
      <w:tcPr>
        <w:tcBorders>
          <w:top w:val="nil"/>
          <w:left w:val="nil"/>
          <w:bottom w:val="nil"/>
          <w:right w:val="nil"/>
          <w:insideH w:val="nil"/>
          <w:insideV w:val="nil"/>
        </w:tcBorders>
        <w:shd w:val="clear" w:color="auto" w:fill="DFE1EF" w:themeFill="accent3" w:themeFillTint="33"/>
      </w:tcPr>
    </w:tblStylePr>
    <w:tblStylePr w:type="band1Vert">
      <w:tblPr/>
      <w:tcPr>
        <w:shd w:val="clear" w:color="auto" w:fill="B1B4D7" w:themeFill="accent3" w:themeFillTint="7F"/>
      </w:tcPr>
    </w:tblStylePr>
    <w:tblStylePr w:type="band1Horz">
      <w:tblPr/>
      <w:tcPr>
        <w:tcBorders>
          <w:insideH w:val="single" w:sz="6" w:space="0" w:color="636AAF" w:themeColor="accent3"/>
          <w:insideV w:val="single" w:sz="6" w:space="0" w:color="636AAF" w:themeColor="accent3"/>
        </w:tcBorders>
        <w:shd w:val="clear" w:color="auto" w:fill="B1B4D7"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CF26C4"/>
    <w:pPr>
      <w:spacing w:after="0"/>
    </w:pPr>
    <w:rPr>
      <w:rFonts w:asciiTheme="majorHAnsi" w:eastAsiaTheme="majorEastAsia" w:hAnsiTheme="majorHAnsi" w:cstheme="majorBidi"/>
      <w:color w:val="1A1919" w:themeColor="text1"/>
      <w:sz w:val="18"/>
      <w:szCs w:val="18"/>
    </w:rPr>
    <w:tblPr>
      <w:tblStyleRowBandSize w:val="1"/>
      <w:tblStyleColBandSize w:val="1"/>
      <w:tblBorders>
        <w:top w:val="single" w:sz="8" w:space="0" w:color="B26DAB" w:themeColor="accent4"/>
        <w:left w:val="single" w:sz="8" w:space="0" w:color="B26DAB" w:themeColor="accent4"/>
        <w:bottom w:val="single" w:sz="8" w:space="0" w:color="B26DAB" w:themeColor="accent4"/>
        <w:right w:val="single" w:sz="8" w:space="0" w:color="B26DAB" w:themeColor="accent4"/>
        <w:insideH w:val="single" w:sz="8" w:space="0" w:color="B26DAB" w:themeColor="accent4"/>
        <w:insideV w:val="single" w:sz="8" w:space="0" w:color="B26DAB" w:themeColor="accent4"/>
      </w:tblBorders>
    </w:tblPr>
    <w:tcPr>
      <w:shd w:val="clear" w:color="auto" w:fill="ECDAEA" w:themeFill="accent4" w:themeFillTint="3F"/>
    </w:tcPr>
    <w:tblStylePr w:type="firstRow">
      <w:rPr>
        <w:b/>
        <w:bCs/>
        <w:color w:val="1A1919" w:themeColor="text1"/>
      </w:rPr>
      <w:tblPr/>
      <w:tcPr>
        <w:shd w:val="clear" w:color="auto" w:fill="F7F0F6" w:themeFill="accent4" w:themeFillTint="19"/>
      </w:tcPr>
    </w:tblStylePr>
    <w:tblStylePr w:type="lastRow">
      <w:rPr>
        <w:b/>
        <w:bCs/>
        <w:color w:val="1A1919" w:themeColor="text1"/>
      </w:rPr>
      <w:tblPr/>
      <w:tcPr>
        <w:tcBorders>
          <w:top w:val="single" w:sz="12" w:space="0" w:color="1A1919" w:themeColor="text1"/>
          <w:left w:val="nil"/>
          <w:bottom w:val="nil"/>
          <w:right w:val="nil"/>
          <w:insideH w:val="nil"/>
          <w:insideV w:val="nil"/>
        </w:tcBorders>
        <w:shd w:val="clear" w:color="auto" w:fill="FFFFFF" w:themeFill="background1"/>
      </w:tcPr>
    </w:tblStylePr>
    <w:tblStylePr w:type="firstCol">
      <w:rPr>
        <w:b/>
        <w:bCs/>
        <w:color w:val="1A191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A1919" w:themeColor="text1"/>
      </w:rPr>
      <w:tblPr/>
      <w:tcPr>
        <w:tcBorders>
          <w:top w:val="nil"/>
          <w:left w:val="nil"/>
          <w:bottom w:val="nil"/>
          <w:right w:val="nil"/>
          <w:insideH w:val="nil"/>
          <w:insideV w:val="nil"/>
        </w:tcBorders>
        <w:shd w:val="clear" w:color="auto" w:fill="EFE1EE" w:themeFill="accent4" w:themeFillTint="33"/>
      </w:tcPr>
    </w:tblStylePr>
    <w:tblStylePr w:type="band1Vert">
      <w:tblPr/>
      <w:tcPr>
        <w:shd w:val="clear" w:color="auto" w:fill="D8B6D5" w:themeFill="accent4" w:themeFillTint="7F"/>
      </w:tcPr>
    </w:tblStylePr>
    <w:tblStylePr w:type="band1Horz">
      <w:tblPr/>
      <w:tcPr>
        <w:tcBorders>
          <w:insideH w:val="single" w:sz="6" w:space="0" w:color="B26DAB" w:themeColor="accent4"/>
          <w:insideV w:val="single" w:sz="6" w:space="0" w:color="B26DAB" w:themeColor="accent4"/>
        </w:tcBorders>
        <w:shd w:val="clear" w:color="auto" w:fill="D8B6D5"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CF26C4"/>
    <w:pPr>
      <w:spacing w:after="0"/>
    </w:pPr>
    <w:rPr>
      <w:rFonts w:asciiTheme="majorHAnsi" w:eastAsiaTheme="majorEastAsia" w:hAnsiTheme="majorHAnsi" w:cstheme="majorBidi"/>
      <w:color w:val="1A1919" w:themeColor="text1"/>
      <w:sz w:val="18"/>
      <w:szCs w:val="18"/>
    </w:rPr>
    <w:tblPr>
      <w:tblStyleRowBandSize w:val="1"/>
      <w:tblStyleColBandSize w:val="1"/>
      <w:tblBorders>
        <w:top w:val="single" w:sz="8" w:space="0" w:color="E7A2C8" w:themeColor="accent5"/>
        <w:left w:val="single" w:sz="8" w:space="0" w:color="E7A2C8" w:themeColor="accent5"/>
        <w:bottom w:val="single" w:sz="8" w:space="0" w:color="E7A2C8" w:themeColor="accent5"/>
        <w:right w:val="single" w:sz="8" w:space="0" w:color="E7A2C8" w:themeColor="accent5"/>
        <w:insideH w:val="single" w:sz="8" w:space="0" w:color="E7A2C8" w:themeColor="accent5"/>
        <w:insideV w:val="single" w:sz="8" w:space="0" w:color="E7A2C8" w:themeColor="accent5"/>
      </w:tblBorders>
    </w:tblPr>
    <w:tcPr>
      <w:shd w:val="clear" w:color="auto" w:fill="F9E7F1" w:themeFill="accent5" w:themeFillTint="3F"/>
    </w:tcPr>
    <w:tblStylePr w:type="firstRow">
      <w:rPr>
        <w:b/>
        <w:bCs/>
        <w:color w:val="1A1919" w:themeColor="text1"/>
      </w:rPr>
      <w:tblPr/>
      <w:tcPr>
        <w:shd w:val="clear" w:color="auto" w:fill="FCF5F9" w:themeFill="accent5" w:themeFillTint="19"/>
      </w:tcPr>
    </w:tblStylePr>
    <w:tblStylePr w:type="lastRow">
      <w:rPr>
        <w:b/>
        <w:bCs/>
        <w:color w:val="1A1919" w:themeColor="text1"/>
      </w:rPr>
      <w:tblPr/>
      <w:tcPr>
        <w:tcBorders>
          <w:top w:val="single" w:sz="12" w:space="0" w:color="1A1919" w:themeColor="text1"/>
          <w:left w:val="nil"/>
          <w:bottom w:val="nil"/>
          <w:right w:val="nil"/>
          <w:insideH w:val="nil"/>
          <w:insideV w:val="nil"/>
        </w:tcBorders>
        <w:shd w:val="clear" w:color="auto" w:fill="FFFFFF" w:themeFill="background1"/>
      </w:tcPr>
    </w:tblStylePr>
    <w:tblStylePr w:type="firstCol">
      <w:rPr>
        <w:b/>
        <w:bCs/>
        <w:color w:val="1A191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A1919" w:themeColor="text1"/>
      </w:rPr>
      <w:tblPr/>
      <w:tcPr>
        <w:tcBorders>
          <w:top w:val="nil"/>
          <w:left w:val="nil"/>
          <w:bottom w:val="nil"/>
          <w:right w:val="nil"/>
          <w:insideH w:val="nil"/>
          <w:insideV w:val="nil"/>
        </w:tcBorders>
        <w:shd w:val="clear" w:color="auto" w:fill="FAECF3" w:themeFill="accent5" w:themeFillTint="33"/>
      </w:tcPr>
    </w:tblStylePr>
    <w:tblStylePr w:type="band1Vert">
      <w:tblPr/>
      <w:tcPr>
        <w:shd w:val="clear" w:color="auto" w:fill="F3D0E3" w:themeFill="accent5" w:themeFillTint="7F"/>
      </w:tcPr>
    </w:tblStylePr>
    <w:tblStylePr w:type="band1Horz">
      <w:tblPr/>
      <w:tcPr>
        <w:tcBorders>
          <w:insideH w:val="single" w:sz="6" w:space="0" w:color="E7A2C8" w:themeColor="accent5"/>
          <w:insideV w:val="single" w:sz="6" w:space="0" w:color="E7A2C8" w:themeColor="accent5"/>
        </w:tcBorders>
        <w:shd w:val="clear" w:color="auto" w:fill="F3D0E3"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CF26C4"/>
    <w:pPr>
      <w:spacing w:after="0"/>
    </w:pPr>
    <w:rPr>
      <w:rFonts w:asciiTheme="majorHAnsi" w:eastAsiaTheme="majorEastAsia" w:hAnsiTheme="majorHAnsi" w:cstheme="majorBidi"/>
      <w:color w:val="1A1919" w:themeColor="text1"/>
      <w:sz w:val="18"/>
      <w:szCs w:val="18"/>
    </w:rPr>
    <w:tblPr>
      <w:tblStyleRowBandSize w:val="1"/>
      <w:tblStyleColBandSize w:val="1"/>
      <w:tblBorders>
        <w:top w:val="single" w:sz="8" w:space="0" w:color="9CD2F4" w:themeColor="accent6"/>
        <w:left w:val="single" w:sz="8" w:space="0" w:color="9CD2F4" w:themeColor="accent6"/>
        <w:bottom w:val="single" w:sz="8" w:space="0" w:color="9CD2F4" w:themeColor="accent6"/>
        <w:right w:val="single" w:sz="8" w:space="0" w:color="9CD2F4" w:themeColor="accent6"/>
        <w:insideH w:val="single" w:sz="8" w:space="0" w:color="9CD2F4" w:themeColor="accent6"/>
        <w:insideV w:val="single" w:sz="8" w:space="0" w:color="9CD2F4" w:themeColor="accent6"/>
      </w:tblBorders>
    </w:tblPr>
    <w:tcPr>
      <w:shd w:val="clear" w:color="auto" w:fill="E6F3FC" w:themeFill="accent6" w:themeFillTint="3F"/>
    </w:tcPr>
    <w:tblStylePr w:type="firstRow">
      <w:rPr>
        <w:b/>
        <w:bCs/>
        <w:color w:val="1A1919" w:themeColor="text1"/>
      </w:rPr>
      <w:tblPr/>
      <w:tcPr>
        <w:shd w:val="clear" w:color="auto" w:fill="F5FAFE" w:themeFill="accent6" w:themeFillTint="19"/>
      </w:tcPr>
    </w:tblStylePr>
    <w:tblStylePr w:type="lastRow">
      <w:rPr>
        <w:b/>
        <w:bCs/>
        <w:color w:val="1A1919" w:themeColor="text1"/>
      </w:rPr>
      <w:tblPr/>
      <w:tcPr>
        <w:tcBorders>
          <w:top w:val="single" w:sz="12" w:space="0" w:color="1A1919" w:themeColor="text1"/>
          <w:left w:val="nil"/>
          <w:bottom w:val="nil"/>
          <w:right w:val="nil"/>
          <w:insideH w:val="nil"/>
          <w:insideV w:val="nil"/>
        </w:tcBorders>
        <w:shd w:val="clear" w:color="auto" w:fill="FFFFFF" w:themeFill="background1"/>
      </w:tcPr>
    </w:tblStylePr>
    <w:tblStylePr w:type="firstCol">
      <w:rPr>
        <w:b/>
        <w:bCs/>
        <w:color w:val="1A191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A1919" w:themeColor="text1"/>
      </w:rPr>
      <w:tblPr/>
      <w:tcPr>
        <w:tcBorders>
          <w:top w:val="nil"/>
          <w:left w:val="nil"/>
          <w:bottom w:val="nil"/>
          <w:right w:val="nil"/>
          <w:insideH w:val="nil"/>
          <w:insideV w:val="nil"/>
        </w:tcBorders>
        <w:shd w:val="clear" w:color="auto" w:fill="EBF5FC" w:themeFill="accent6" w:themeFillTint="33"/>
      </w:tcPr>
    </w:tblStylePr>
    <w:tblStylePr w:type="band1Vert">
      <w:tblPr/>
      <w:tcPr>
        <w:shd w:val="clear" w:color="auto" w:fill="CDE8F9" w:themeFill="accent6" w:themeFillTint="7F"/>
      </w:tcPr>
    </w:tblStylePr>
    <w:tblStylePr w:type="band1Horz">
      <w:tblPr/>
      <w:tcPr>
        <w:tcBorders>
          <w:insideH w:val="single" w:sz="6" w:space="0" w:color="9CD2F4" w:themeColor="accent6"/>
          <w:insideV w:val="single" w:sz="6" w:space="0" w:color="9CD2F4" w:themeColor="accent6"/>
        </w:tcBorders>
        <w:shd w:val="clear" w:color="auto" w:fill="CDE8F9"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CF26C4"/>
    <w:pPr>
      <w:spacing w:after="0"/>
    </w:pPr>
    <w:rPr>
      <w:rFonts w:eastAsiaTheme="minorHAnsi" w:cs="Arial"/>
      <w:sz w:val="18"/>
      <w:szCs w:val="18"/>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7C5C5"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A1919"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A1919"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A1919"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A1919"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F8A8A"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F8A8A" w:themeFill="text1" w:themeFillTint="7F"/>
      </w:tcPr>
    </w:tblStylePr>
  </w:style>
  <w:style w:type="table" w:styleId="MediumGrid3-Accent1">
    <w:name w:val="Medium Grid 3 Accent 1"/>
    <w:basedOn w:val="TableNormal"/>
    <w:uiPriority w:val="69"/>
    <w:semiHidden/>
    <w:unhideWhenUsed/>
    <w:rsid w:val="00CF26C4"/>
    <w:pPr>
      <w:spacing w:after="0"/>
    </w:pPr>
    <w:rPr>
      <w:rFonts w:eastAsiaTheme="minorHAnsi" w:cs="Arial"/>
      <w:sz w:val="18"/>
      <w:szCs w:val="18"/>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EFEC"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8C0B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8C0B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8C0B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8C0B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3DFD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3DFDA" w:themeFill="accent1" w:themeFillTint="7F"/>
      </w:tcPr>
    </w:tblStylePr>
  </w:style>
  <w:style w:type="table" w:styleId="MediumGrid3-Accent2">
    <w:name w:val="Medium Grid 3 Accent 2"/>
    <w:basedOn w:val="TableNormal"/>
    <w:uiPriority w:val="69"/>
    <w:semiHidden/>
    <w:unhideWhenUsed/>
    <w:rsid w:val="00CF26C4"/>
    <w:pPr>
      <w:spacing w:after="0"/>
    </w:pPr>
    <w:rPr>
      <w:rFonts w:eastAsiaTheme="minorHAnsi" w:cs="Arial"/>
      <w:sz w:val="18"/>
      <w:szCs w:val="18"/>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EAF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9ACD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9ACD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9ACD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9ACD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4D5E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4D5EF" w:themeFill="accent2" w:themeFillTint="7F"/>
      </w:tcPr>
    </w:tblStylePr>
  </w:style>
  <w:style w:type="table" w:styleId="MediumGrid3-Accent3">
    <w:name w:val="Medium Grid 3 Accent 3"/>
    <w:basedOn w:val="TableNormal"/>
    <w:uiPriority w:val="69"/>
    <w:semiHidden/>
    <w:unhideWhenUsed/>
    <w:rsid w:val="00CF26C4"/>
    <w:pPr>
      <w:spacing w:after="0"/>
    </w:pPr>
    <w:rPr>
      <w:rFonts w:eastAsiaTheme="minorHAnsi" w:cs="Arial"/>
      <w:sz w:val="18"/>
      <w:szCs w:val="18"/>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8DAE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36AA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36AA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36AA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36AA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B4D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B4D7" w:themeFill="accent3" w:themeFillTint="7F"/>
      </w:tcPr>
    </w:tblStylePr>
  </w:style>
  <w:style w:type="table" w:styleId="MediumGrid3-Accent4">
    <w:name w:val="Medium Grid 3 Accent 4"/>
    <w:basedOn w:val="TableNormal"/>
    <w:uiPriority w:val="69"/>
    <w:semiHidden/>
    <w:unhideWhenUsed/>
    <w:rsid w:val="00CF26C4"/>
    <w:pPr>
      <w:spacing w:after="0"/>
    </w:pPr>
    <w:rPr>
      <w:rFonts w:eastAsiaTheme="minorHAnsi" w:cs="Arial"/>
      <w:sz w:val="18"/>
      <w:szCs w:val="18"/>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CDAE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26DAB"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26DAB"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26DAB"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26DAB"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8B6D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8B6D5" w:themeFill="accent4" w:themeFillTint="7F"/>
      </w:tcPr>
    </w:tblStylePr>
  </w:style>
  <w:style w:type="table" w:styleId="MediumGrid3-Accent5">
    <w:name w:val="Medium Grid 3 Accent 5"/>
    <w:basedOn w:val="TableNormal"/>
    <w:uiPriority w:val="69"/>
    <w:semiHidden/>
    <w:unhideWhenUsed/>
    <w:rsid w:val="00CF26C4"/>
    <w:pPr>
      <w:spacing w:after="0"/>
    </w:pPr>
    <w:rPr>
      <w:rFonts w:eastAsiaTheme="minorHAnsi" w:cs="Arial"/>
      <w:sz w:val="18"/>
      <w:szCs w:val="18"/>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E7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7A2C8"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7A2C8"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7A2C8"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7A2C8"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3D0E3"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3D0E3" w:themeFill="accent5" w:themeFillTint="7F"/>
      </w:tcPr>
    </w:tblStylePr>
  </w:style>
  <w:style w:type="table" w:styleId="MediumGrid3-Accent6">
    <w:name w:val="Medium Grid 3 Accent 6"/>
    <w:basedOn w:val="TableNormal"/>
    <w:uiPriority w:val="69"/>
    <w:semiHidden/>
    <w:unhideWhenUsed/>
    <w:rsid w:val="00CF26C4"/>
    <w:pPr>
      <w:spacing w:after="0"/>
    </w:pPr>
    <w:rPr>
      <w:rFonts w:eastAsiaTheme="minorHAnsi" w:cs="Arial"/>
      <w:sz w:val="18"/>
      <w:szCs w:val="18"/>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F3FC"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CD2F4"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CD2F4"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CD2F4"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CD2F4"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E8F9"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E8F9" w:themeFill="accent6" w:themeFillTint="7F"/>
      </w:tcPr>
    </w:tblStylePr>
  </w:style>
  <w:style w:type="table" w:styleId="MediumList1">
    <w:name w:val="Medium List 1"/>
    <w:basedOn w:val="TableNormal"/>
    <w:uiPriority w:val="65"/>
    <w:semiHidden/>
    <w:unhideWhenUsed/>
    <w:rsid w:val="00CF26C4"/>
    <w:pPr>
      <w:spacing w:after="0"/>
    </w:pPr>
    <w:rPr>
      <w:rFonts w:eastAsiaTheme="minorHAnsi" w:cs="Arial"/>
      <w:color w:val="1A1919" w:themeColor="text1"/>
      <w:sz w:val="18"/>
      <w:szCs w:val="18"/>
    </w:rPr>
    <w:tblPr>
      <w:tblStyleRowBandSize w:val="1"/>
      <w:tblStyleColBandSize w:val="1"/>
      <w:tblBorders>
        <w:top w:val="single" w:sz="8" w:space="0" w:color="1A1919" w:themeColor="text1"/>
        <w:bottom w:val="single" w:sz="8" w:space="0" w:color="1A1919" w:themeColor="text1"/>
      </w:tblBorders>
    </w:tblPr>
    <w:tblStylePr w:type="firstRow">
      <w:rPr>
        <w:rFonts w:asciiTheme="majorHAnsi" w:eastAsiaTheme="majorEastAsia" w:hAnsiTheme="majorHAnsi" w:cstheme="majorBidi"/>
      </w:rPr>
      <w:tblPr/>
      <w:tcPr>
        <w:tcBorders>
          <w:top w:val="nil"/>
          <w:bottom w:val="single" w:sz="8" w:space="0" w:color="1A1919" w:themeColor="text1"/>
        </w:tcBorders>
      </w:tcPr>
    </w:tblStylePr>
    <w:tblStylePr w:type="lastRow">
      <w:rPr>
        <w:b/>
        <w:bCs/>
        <w:color w:val="666666" w:themeColor="text2"/>
      </w:rPr>
      <w:tblPr/>
      <w:tcPr>
        <w:tcBorders>
          <w:top w:val="single" w:sz="8" w:space="0" w:color="1A1919" w:themeColor="text1"/>
          <w:bottom w:val="single" w:sz="8" w:space="0" w:color="1A1919" w:themeColor="text1"/>
        </w:tcBorders>
      </w:tcPr>
    </w:tblStylePr>
    <w:tblStylePr w:type="firstCol">
      <w:rPr>
        <w:b/>
        <w:bCs/>
      </w:rPr>
    </w:tblStylePr>
    <w:tblStylePr w:type="lastCol">
      <w:rPr>
        <w:b/>
        <w:bCs/>
      </w:rPr>
      <w:tblPr/>
      <w:tcPr>
        <w:tcBorders>
          <w:top w:val="single" w:sz="8" w:space="0" w:color="1A1919" w:themeColor="text1"/>
          <w:bottom w:val="single" w:sz="8" w:space="0" w:color="1A1919" w:themeColor="text1"/>
        </w:tcBorders>
      </w:tcPr>
    </w:tblStylePr>
    <w:tblStylePr w:type="band1Vert">
      <w:tblPr/>
      <w:tcPr>
        <w:shd w:val="clear" w:color="auto" w:fill="C7C5C5" w:themeFill="text1" w:themeFillTint="3F"/>
      </w:tcPr>
    </w:tblStylePr>
    <w:tblStylePr w:type="band1Horz">
      <w:tblPr/>
      <w:tcPr>
        <w:shd w:val="clear" w:color="auto" w:fill="C7C5C5" w:themeFill="text1" w:themeFillTint="3F"/>
      </w:tcPr>
    </w:tblStylePr>
  </w:style>
  <w:style w:type="table" w:styleId="MediumList1-Accent1">
    <w:name w:val="Medium List 1 Accent 1"/>
    <w:basedOn w:val="TableNormal"/>
    <w:uiPriority w:val="65"/>
    <w:semiHidden/>
    <w:unhideWhenUsed/>
    <w:rsid w:val="00CF26C4"/>
    <w:pPr>
      <w:spacing w:after="0"/>
    </w:pPr>
    <w:rPr>
      <w:rFonts w:eastAsiaTheme="minorHAnsi" w:cs="Arial"/>
      <w:color w:val="1A1919" w:themeColor="text1"/>
      <w:sz w:val="18"/>
      <w:szCs w:val="18"/>
    </w:rPr>
    <w:tblPr>
      <w:tblStyleRowBandSize w:val="1"/>
      <w:tblStyleColBandSize w:val="1"/>
      <w:tblBorders>
        <w:top w:val="single" w:sz="8" w:space="0" w:color="68C0B5" w:themeColor="accent1"/>
        <w:bottom w:val="single" w:sz="8" w:space="0" w:color="68C0B5" w:themeColor="accent1"/>
      </w:tblBorders>
    </w:tblPr>
    <w:tblStylePr w:type="firstRow">
      <w:rPr>
        <w:rFonts w:asciiTheme="majorHAnsi" w:eastAsiaTheme="majorEastAsia" w:hAnsiTheme="majorHAnsi" w:cstheme="majorBidi"/>
      </w:rPr>
      <w:tblPr/>
      <w:tcPr>
        <w:tcBorders>
          <w:top w:val="nil"/>
          <w:bottom w:val="single" w:sz="8" w:space="0" w:color="68C0B5" w:themeColor="accent1"/>
        </w:tcBorders>
      </w:tcPr>
    </w:tblStylePr>
    <w:tblStylePr w:type="lastRow">
      <w:rPr>
        <w:b/>
        <w:bCs/>
        <w:color w:val="666666" w:themeColor="text2"/>
      </w:rPr>
      <w:tblPr/>
      <w:tcPr>
        <w:tcBorders>
          <w:top w:val="single" w:sz="8" w:space="0" w:color="68C0B5" w:themeColor="accent1"/>
          <w:bottom w:val="single" w:sz="8" w:space="0" w:color="68C0B5" w:themeColor="accent1"/>
        </w:tcBorders>
      </w:tcPr>
    </w:tblStylePr>
    <w:tblStylePr w:type="firstCol">
      <w:rPr>
        <w:b/>
        <w:bCs/>
      </w:rPr>
    </w:tblStylePr>
    <w:tblStylePr w:type="lastCol">
      <w:rPr>
        <w:b/>
        <w:bCs/>
      </w:rPr>
      <w:tblPr/>
      <w:tcPr>
        <w:tcBorders>
          <w:top w:val="single" w:sz="8" w:space="0" w:color="68C0B5" w:themeColor="accent1"/>
          <w:bottom w:val="single" w:sz="8" w:space="0" w:color="68C0B5" w:themeColor="accent1"/>
        </w:tcBorders>
      </w:tcPr>
    </w:tblStylePr>
    <w:tblStylePr w:type="band1Vert">
      <w:tblPr/>
      <w:tcPr>
        <w:shd w:val="clear" w:color="auto" w:fill="D9EFEC" w:themeFill="accent1" w:themeFillTint="3F"/>
      </w:tcPr>
    </w:tblStylePr>
    <w:tblStylePr w:type="band1Horz">
      <w:tblPr/>
      <w:tcPr>
        <w:shd w:val="clear" w:color="auto" w:fill="D9EFEC" w:themeFill="accent1" w:themeFillTint="3F"/>
      </w:tcPr>
    </w:tblStylePr>
  </w:style>
  <w:style w:type="table" w:styleId="MediumList1-Accent2">
    <w:name w:val="Medium List 1 Accent 2"/>
    <w:basedOn w:val="TableNormal"/>
    <w:uiPriority w:val="65"/>
    <w:semiHidden/>
    <w:unhideWhenUsed/>
    <w:rsid w:val="00CF26C4"/>
    <w:pPr>
      <w:spacing w:after="0"/>
    </w:pPr>
    <w:rPr>
      <w:rFonts w:eastAsiaTheme="minorHAnsi" w:cs="Arial"/>
      <w:color w:val="1A1919" w:themeColor="text1"/>
      <w:sz w:val="18"/>
      <w:szCs w:val="18"/>
    </w:rPr>
    <w:tblPr>
      <w:tblStyleRowBandSize w:val="1"/>
      <w:tblStyleColBandSize w:val="1"/>
      <w:tblBorders>
        <w:top w:val="single" w:sz="8" w:space="0" w:color="69ACDF" w:themeColor="accent2"/>
        <w:bottom w:val="single" w:sz="8" w:space="0" w:color="69ACDF" w:themeColor="accent2"/>
      </w:tblBorders>
    </w:tblPr>
    <w:tblStylePr w:type="firstRow">
      <w:rPr>
        <w:rFonts w:asciiTheme="majorHAnsi" w:eastAsiaTheme="majorEastAsia" w:hAnsiTheme="majorHAnsi" w:cstheme="majorBidi"/>
      </w:rPr>
      <w:tblPr/>
      <w:tcPr>
        <w:tcBorders>
          <w:top w:val="nil"/>
          <w:bottom w:val="single" w:sz="8" w:space="0" w:color="69ACDF" w:themeColor="accent2"/>
        </w:tcBorders>
      </w:tcPr>
    </w:tblStylePr>
    <w:tblStylePr w:type="lastRow">
      <w:rPr>
        <w:b/>
        <w:bCs/>
        <w:color w:val="666666" w:themeColor="text2"/>
      </w:rPr>
      <w:tblPr/>
      <w:tcPr>
        <w:tcBorders>
          <w:top w:val="single" w:sz="8" w:space="0" w:color="69ACDF" w:themeColor="accent2"/>
          <w:bottom w:val="single" w:sz="8" w:space="0" w:color="69ACDF" w:themeColor="accent2"/>
        </w:tcBorders>
      </w:tcPr>
    </w:tblStylePr>
    <w:tblStylePr w:type="firstCol">
      <w:rPr>
        <w:b/>
        <w:bCs/>
      </w:rPr>
    </w:tblStylePr>
    <w:tblStylePr w:type="lastCol">
      <w:rPr>
        <w:b/>
        <w:bCs/>
      </w:rPr>
      <w:tblPr/>
      <w:tcPr>
        <w:tcBorders>
          <w:top w:val="single" w:sz="8" w:space="0" w:color="69ACDF" w:themeColor="accent2"/>
          <w:bottom w:val="single" w:sz="8" w:space="0" w:color="69ACDF" w:themeColor="accent2"/>
        </w:tcBorders>
      </w:tcPr>
    </w:tblStylePr>
    <w:tblStylePr w:type="band1Vert">
      <w:tblPr/>
      <w:tcPr>
        <w:shd w:val="clear" w:color="auto" w:fill="D9EAF7" w:themeFill="accent2" w:themeFillTint="3F"/>
      </w:tcPr>
    </w:tblStylePr>
    <w:tblStylePr w:type="band1Horz">
      <w:tblPr/>
      <w:tcPr>
        <w:shd w:val="clear" w:color="auto" w:fill="D9EAF7" w:themeFill="accent2" w:themeFillTint="3F"/>
      </w:tcPr>
    </w:tblStylePr>
  </w:style>
  <w:style w:type="table" w:styleId="MediumList1-Accent3">
    <w:name w:val="Medium List 1 Accent 3"/>
    <w:basedOn w:val="TableNormal"/>
    <w:uiPriority w:val="65"/>
    <w:semiHidden/>
    <w:unhideWhenUsed/>
    <w:rsid w:val="00CF26C4"/>
    <w:pPr>
      <w:spacing w:after="0"/>
    </w:pPr>
    <w:rPr>
      <w:rFonts w:eastAsiaTheme="minorHAnsi" w:cs="Arial"/>
      <w:color w:val="1A1919" w:themeColor="text1"/>
      <w:sz w:val="18"/>
      <w:szCs w:val="18"/>
    </w:rPr>
    <w:tblPr>
      <w:tblStyleRowBandSize w:val="1"/>
      <w:tblStyleColBandSize w:val="1"/>
      <w:tblBorders>
        <w:top w:val="single" w:sz="8" w:space="0" w:color="636AAF" w:themeColor="accent3"/>
        <w:bottom w:val="single" w:sz="8" w:space="0" w:color="636AAF" w:themeColor="accent3"/>
      </w:tblBorders>
    </w:tblPr>
    <w:tblStylePr w:type="firstRow">
      <w:rPr>
        <w:rFonts w:asciiTheme="majorHAnsi" w:eastAsiaTheme="majorEastAsia" w:hAnsiTheme="majorHAnsi" w:cstheme="majorBidi"/>
      </w:rPr>
      <w:tblPr/>
      <w:tcPr>
        <w:tcBorders>
          <w:top w:val="nil"/>
          <w:bottom w:val="single" w:sz="8" w:space="0" w:color="636AAF" w:themeColor="accent3"/>
        </w:tcBorders>
      </w:tcPr>
    </w:tblStylePr>
    <w:tblStylePr w:type="lastRow">
      <w:rPr>
        <w:b/>
        <w:bCs/>
        <w:color w:val="666666" w:themeColor="text2"/>
      </w:rPr>
      <w:tblPr/>
      <w:tcPr>
        <w:tcBorders>
          <w:top w:val="single" w:sz="8" w:space="0" w:color="636AAF" w:themeColor="accent3"/>
          <w:bottom w:val="single" w:sz="8" w:space="0" w:color="636AAF" w:themeColor="accent3"/>
        </w:tcBorders>
      </w:tcPr>
    </w:tblStylePr>
    <w:tblStylePr w:type="firstCol">
      <w:rPr>
        <w:b/>
        <w:bCs/>
      </w:rPr>
    </w:tblStylePr>
    <w:tblStylePr w:type="lastCol">
      <w:rPr>
        <w:b/>
        <w:bCs/>
      </w:rPr>
      <w:tblPr/>
      <w:tcPr>
        <w:tcBorders>
          <w:top w:val="single" w:sz="8" w:space="0" w:color="636AAF" w:themeColor="accent3"/>
          <w:bottom w:val="single" w:sz="8" w:space="0" w:color="636AAF" w:themeColor="accent3"/>
        </w:tcBorders>
      </w:tcPr>
    </w:tblStylePr>
    <w:tblStylePr w:type="band1Vert">
      <w:tblPr/>
      <w:tcPr>
        <w:shd w:val="clear" w:color="auto" w:fill="D8DAEB" w:themeFill="accent3" w:themeFillTint="3F"/>
      </w:tcPr>
    </w:tblStylePr>
    <w:tblStylePr w:type="band1Horz">
      <w:tblPr/>
      <w:tcPr>
        <w:shd w:val="clear" w:color="auto" w:fill="D8DAEB" w:themeFill="accent3" w:themeFillTint="3F"/>
      </w:tcPr>
    </w:tblStylePr>
  </w:style>
  <w:style w:type="table" w:styleId="MediumList1-Accent4">
    <w:name w:val="Medium List 1 Accent 4"/>
    <w:basedOn w:val="TableNormal"/>
    <w:uiPriority w:val="65"/>
    <w:semiHidden/>
    <w:unhideWhenUsed/>
    <w:rsid w:val="00CF26C4"/>
    <w:pPr>
      <w:spacing w:after="0"/>
    </w:pPr>
    <w:rPr>
      <w:rFonts w:eastAsiaTheme="minorHAnsi" w:cs="Arial"/>
      <w:color w:val="1A1919" w:themeColor="text1"/>
      <w:sz w:val="18"/>
      <w:szCs w:val="18"/>
    </w:rPr>
    <w:tblPr>
      <w:tblStyleRowBandSize w:val="1"/>
      <w:tblStyleColBandSize w:val="1"/>
      <w:tblBorders>
        <w:top w:val="single" w:sz="8" w:space="0" w:color="B26DAB" w:themeColor="accent4"/>
        <w:bottom w:val="single" w:sz="8" w:space="0" w:color="B26DAB" w:themeColor="accent4"/>
      </w:tblBorders>
    </w:tblPr>
    <w:tblStylePr w:type="firstRow">
      <w:rPr>
        <w:rFonts w:asciiTheme="majorHAnsi" w:eastAsiaTheme="majorEastAsia" w:hAnsiTheme="majorHAnsi" w:cstheme="majorBidi"/>
      </w:rPr>
      <w:tblPr/>
      <w:tcPr>
        <w:tcBorders>
          <w:top w:val="nil"/>
          <w:bottom w:val="single" w:sz="8" w:space="0" w:color="B26DAB" w:themeColor="accent4"/>
        </w:tcBorders>
      </w:tcPr>
    </w:tblStylePr>
    <w:tblStylePr w:type="lastRow">
      <w:rPr>
        <w:b/>
        <w:bCs/>
        <w:color w:val="666666" w:themeColor="text2"/>
      </w:rPr>
      <w:tblPr/>
      <w:tcPr>
        <w:tcBorders>
          <w:top w:val="single" w:sz="8" w:space="0" w:color="B26DAB" w:themeColor="accent4"/>
          <w:bottom w:val="single" w:sz="8" w:space="0" w:color="B26DAB" w:themeColor="accent4"/>
        </w:tcBorders>
      </w:tcPr>
    </w:tblStylePr>
    <w:tblStylePr w:type="firstCol">
      <w:rPr>
        <w:b/>
        <w:bCs/>
      </w:rPr>
    </w:tblStylePr>
    <w:tblStylePr w:type="lastCol">
      <w:rPr>
        <w:b/>
        <w:bCs/>
      </w:rPr>
      <w:tblPr/>
      <w:tcPr>
        <w:tcBorders>
          <w:top w:val="single" w:sz="8" w:space="0" w:color="B26DAB" w:themeColor="accent4"/>
          <w:bottom w:val="single" w:sz="8" w:space="0" w:color="B26DAB" w:themeColor="accent4"/>
        </w:tcBorders>
      </w:tcPr>
    </w:tblStylePr>
    <w:tblStylePr w:type="band1Vert">
      <w:tblPr/>
      <w:tcPr>
        <w:shd w:val="clear" w:color="auto" w:fill="ECDAEA" w:themeFill="accent4" w:themeFillTint="3F"/>
      </w:tcPr>
    </w:tblStylePr>
    <w:tblStylePr w:type="band1Horz">
      <w:tblPr/>
      <w:tcPr>
        <w:shd w:val="clear" w:color="auto" w:fill="ECDAEA" w:themeFill="accent4" w:themeFillTint="3F"/>
      </w:tcPr>
    </w:tblStylePr>
  </w:style>
  <w:style w:type="table" w:styleId="MediumList1-Accent5">
    <w:name w:val="Medium List 1 Accent 5"/>
    <w:basedOn w:val="TableNormal"/>
    <w:uiPriority w:val="65"/>
    <w:semiHidden/>
    <w:unhideWhenUsed/>
    <w:rsid w:val="00CF26C4"/>
    <w:pPr>
      <w:spacing w:after="0"/>
    </w:pPr>
    <w:rPr>
      <w:rFonts w:eastAsiaTheme="minorHAnsi" w:cs="Arial"/>
      <w:color w:val="1A1919" w:themeColor="text1"/>
      <w:sz w:val="18"/>
      <w:szCs w:val="18"/>
    </w:rPr>
    <w:tblPr>
      <w:tblStyleRowBandSize w:val="1"/>
      <w:tblStyleColBandSize w:val="1"/>
      <w:tblBorders>
        <w:top w:val="single" w:sz="8" w:space="0" w:color="E7A2C8" w:themeColor="accent5"/>
        <w:bottom w:val="single" w:sz="8" w:space="0" w:color="E7A2C8" w:themeColor="accent5"/>
      </w:tblBorders>
    </w:tblPr>
    <w:tblStylePr w:type="firstRow">
      <w:rPr>
        <w:rFonts w:asciiTheme="majorHAnsi" w:eastAsiaTheme="majorEastAsia" w:hAnsiTheme="majorHAnsi" w:cstheme="majorBidi"/>
      </w:rPr>
      <w:tblPr/>
      <w:tcPr>
        <w:tcBorders>
          <w:top w:val="nil"/>
          <w:bottom w:val="single" w:sz="8" w:space="0" w:color="E7A2C8" w:themeColor="accent5"/>
        </w:tcBorders>
      </w:tcPr>
    </w:tblStylePr>
    <w:tblStylePr w:type="lastRow">
      <w:rPr>
        <w:b/>
        <w:bCs/>
        <w:color w:val="666666" w:themeColor="text2"/>
      </w:rPr>
      <w:tblPr/>
      <w:tcPr>
        <w:tcBorders>
          <w:top w:val="single" w:sz="8" w:space="0" w:color="E7A2C8" w:themeColor="accent5"/>
          <w:bottom w:val="single" w:sz="8" w:space="0" w:color="E7A2C8" w:themeColor="accent5"/>
        </w:tcBorders>
      </w:tcPr>
    </w:tblStylePr>
    <w:tblStylePr w:type="firstCol">
      <w:rPr>
        <w:b/>
        <w:bCs/>
      </w:rPr>
    </w:tblStylePr>
    <w:tblStylePr w:type="lastCol">
      <w:rPr>
        <w:b/>
        <w:bCs/>
      </w:rPr>
      <w:tblPr/>
      <w:tcPr>
        <w:tcBorders>
          <w:top w:val="single" w:sz="8" w:space="0" w:color="E7A2C8" w:themeColor="accent5"/>
          <w:bottom w:val="single" w:sz="8" w:space="0" w:color="E7A2C8" w:themeColor="accent5"/>
        </w:tcBorders>
      </w:tcPr>
    </w:tblStylePr>
    <w:tblStylePr w:type="band1Vert">
      <w:tblPr/>
      <w:tcPr>
        <w:shd w:val="clear" w:color="auto" w:fill="F9E7F1" w:themeFill="accent5" w:themeFillTint="3F"/>
      </w:tcPr>
    </w:tblStylePr>
    <w:tblStylePr w:type="band1Horz">
      <w:tblPr/>
      <w:tcPr>
        <w:shd w:val="clear" w:color="auto" w:fill="F9E7F1" w:themeFill="accent5" w:themeFillTint="3F"/>
      </w:tcPr>
    </w:tblStylePr>
  </w:style>
  <w:style w:type="table" w:styleId="MediumList1-Accent6">
    <w:name w:val="Medium List 1 Accent 6"/>
    <w:basedOn w:val="TableNormal"/>
    <w:uiPriority w:val="65"/>
    <w:semiHidden/>
    <w:unhideWhenUsed/>
    <w:rsid w:val="00CF26C4"/>
    <w:pPr>
      <w:spacing w:after="0"/>
    </w:pPr>
    <w:rPr>
      <w:rFonts w:eastAsiaTheme="minorHAnsi" w:cs="Arial"/>
      <w:color w:val="1A1919" w:themeColor="text1"/>
      <w:sz w:val="18"/>
      <w:szCs w:val="18"/>
    </w:rPr>
    <w:tblPr>
      <w:tblStyleRowBandSize w:val="1"/>
      <w:tblStyleColBandSize w:val="1"/>
      <w:tblBorders>
        <w:top w:val="single" w:sz="8" w:space="0" w:color="9CD2F4" w:themeColor="accent6"/>
        <w:bottom w:val="single" w:sz="8" w:space="0" w:color="9CD2F4" w:themeColor="accent6"/>
      </w:tblBorders>
    </w:tblPr>
    <w:tblStylePr w:type="firstRow">
      <w:rPr>
        <w:rFonts w:asciiTheme="majorHAnsi" w:eastAsiaTheme="majorEastAsia" w:hAnsiTheme="majorHAnsi" w:cstheme="majorBidi"/>
      </w:rPr>
      <w:tblPr/>
      <w:tcPr>
        <w:tcBorders>
          <w:top w:val="nil"/>
          <w:bottom w:val="single" w:sz="8" w:space="0" w:color="9CD2F4" w:themeColor="accent6"/>
        </w:tcBorders>
      </w:tcPr>
    </w:tblStylePr>
    <w:tblStylePr w:type="lastRow">
      <w:rPr>
        <w:b/>
        <w:bCs/>
        <w:color w:val="666666" w:themeColor="text2"/>
      </w:rPr>
      <w:tblPr/>
      <w:tcPr>
        <w:tcBorders>
          <w:top w:val="single" w:sz="8" w:space="0" w:color="9CD2F4" w:themeColor="accent6"/>
          <w:bottom w:val="single" w:sz="8" w:space="0" w:color="9CD2F4" w:themeColor="accent6"/>
        </w:tcBorders>
      </w:tcPr>
    </w:tblStylePr>
    <w:tblStylePr w:type="firstCol">
      <w:rPr>
        <w:b/>
        <w:bCs/>
      </w:rPr>
    </w:tblStylePr>
    <w:tblStylePr w:type="lastCol">
      <w:rPr>
        <w:b/>
        <w:bCs/>
      </w:rPr>
      <w:tblPr/>
      <w:tcPr>
        <w:tcBorders>
          <w:top w:val="single" w:sz="8" w:space="0" w:color="9CD2F4" w:themeColor="accent6"/>
          <w:bottom w:val="single" w:sz="8" w:space="0" w:color="9CD2F4" w:themeColor="accent6"/>
        </w:tcBorders>
      </w:tcPr>
    </w:tblStylePr>
    <w:tblStylePr w:type="band1Vert">
      <w:tblPr/>
      <w:tcPr>
        <w:shd w:val="clear" w:color="auto" w:fill="E6F3FC" w:themeFill="accent6" w:themeFillTint="3F"/>
      </w:tcPr>
    </w:tblStylePr>
    <w:tblStylePr w:type="band1Horz">
      <w:tblPr/>
      <w:tcPr>
        <w:shd w:val="clear" w:color="auto" w:fill="E6F3FC" w:themeFill="accent6" w:themeFillTint="3F"/>
      </w:tcPr>
    </w:tblStylePr>
  </w:style>
  <w:style w:type="table" w:styleId="MediumList2">
    <w:name w:val="Medium List 2"/>
    <w:basedOn w:val="TableNormal"/>
    <w:uiPriority w:val="66"/>
    <w:semiHidden/>
    <w:unhideWhenUsed/>
    <w:rsid w:val="00CF26C4"/>
    <w:pPr>
      <w:spacing w:after="0"/>
    </w:pPr>
    <w:rPr>
      <w:rFonts w:asciiTheme="majorHAnsi" w:eastAsiaTheme="majorEastAsia" w:hAnsiTheme="majorHAnsi" w:cstheme="majorBidi"/>
      <w:color w:val="1A1919" w:themeColor="text1"/>
      <w:sz w:val="18"/>
      <w:szCs w:val="18"/>
    </w:rPr>
    <w:tblPr>
      <w:tblStyleRowBandSize w:val="1"/>
      <w:tblStyleColBandSize w:val="1"/>
      <w:tblBorders>
        <w:top w:val="single" w:sz="8" w:space="0" w:color="1A1919" w:themeColor="text1"/>
        <w:left w:val="single" w:sz="8" w:space="0" w:color="1A1919" w:themeColor="text1"/>
        <w:bottom w:val="single" w:sz="8" w:space="0" w:color="1A1919" w:themeColor="text1"/>
        <w:right w:val="single" w:sz="8" w:space="0" w:color="1A1919" w:themeColor="text1"/>
      </w:tblBorders>
    </w:tblPr>
    <w:tblStylePr w:type="firstRow">
      <w:rPr>
        <w:sz w:val="24"/>
        <w:szCs w:val="24"/>
      </w:rPr>
      <w:tblPr/>
      <w:tcPr>
        <w:tcBorders>
          <w:top w:val="nil"/>
          <w:left w:val="nil"/>
          <w:bottom w:val="single" w:sz="24" w:space="0" w:color="1A1919"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A1919" w:themeColor="text1"/>
          <w:insideH w:val="nil"/>
          <w:insideV w:val="nil"/>
        </w:tcBorders>
        <w:shd w:val="clear" w:color="auto" w:fill="FFFFFF" w:themeFill="background1"/>
      </w:tcPr>
    </w:tblStylePr>
    <w:tblStylePr w:type="lastCol">
      <w:tblPr/>
      <w:tcPr>
        <w:tcBorders>
          <w:top w:val="nil"/>
          <w:left w:val="single" w:sz="8" w:space="0" w:color="1A1919"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7C5C5" w:themeFill="text1" w:themeFillTint="3F"/>
      </w:tcPr>
    </w:tblStylePr>
    <w:tblStylePr w:type="band1Horz">
      <w:tblPr/>
      <w:tcPr>
        <w:tcBorders>
          <w:top w:val="nil"/>
          <w:bottom w:val="nil"/>
          <w:insideH w:val="nil"/>
          <w:insideV w:val="nil"/>
        </w:tcBorders>
        <w:shd w:val="clear" w:color="auto" w:fill="C7C5C5"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CF26C4"/>
    <w:pPr>
      <w:spacing w:after="0"/>
    </w:pPr>
    <w:rPr>
      <w:rFonts w:asciiTheme="majorHAnsi" w:eastAsiaTheme="majorEastAsia" w:hAnsiTheme="majorHAnsi" w:cstheme="majorBidi"/>
      <w:color w:val="1A1919" w:themeColor="text1"/>
      <w:sz w:val="18"/>
      <w:szCs w:val="18"/>
    </w:rPr>
    <w:tblPr>
      <w:tblStyleRowBandSize w:val="1"/>
      <w:tblStyleColBandSize w:val="1"/>
      <w:tblBorders>
        <w:top w:val="single" w:sz="8" w:space="0" w:color="68C0B5" w:themeColor="accent1"/>
        <w:left w:val="single" w:sz="8" w:space="0" w:color="68C0B5" w:themeColor="accent1"/>
        <w:bottom w:val="single" w:sz="8" w:space="0" w:color="68C0B5" w:themeColor="accent1"/>
        <w:right w:val="single" w:sz="8" w:space="0" w:color="68C0B5" w:themeColor="accent1"/>
      </w:tblBorders>
    </w:tblPr>
    <w:tblStylePr w:type="firstRow">
      <w:rPr>
        <w:sz w:val="24"/>
        <w:szCs w:val="24"/>
      </w:rPr>
      <w:tblPr/>
      <w:tcPr>
        <w:tcBorders>
          <w:top w:val="nil"/>
          <w:left w:val="nil"/>
          <w:bottom w:val="single" w:sz="24" w:space="0" w:color="68C0B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8C0B5" w:themeColor="accent1"/>
          <w:insideH w:val="nil"/>
          <w:insideV w:val="nil"/>
        </w:tcBorders>
        <w:shd w:val="clear" w:color="auto" w:fill="FFFFFF" w:themeFill="background1"/>
      </w:tcPr>
    </w:tblStylePr>
    <w:tblStylePr w:type="lastCol">
      <w:tblPr/>
      <w:tcPr>
        <w:tcBorders>
          <w:top w:val="nil"/>
          <w:left w:val="single" w:sz="8" w:space="0" w:color="68C0B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EFEC" w:themeFill="accent1" w:themeFillTint="3F"/>
      </w:tcPr>
    </w:tblStylePr>
    <w:tblStylePr w:type="band1Horz">
      <w:tblPr/>
      <w:tcPr>
        <w:tcBorders>
          <w:top w:val="nil"/>
          <w:bottom w:val="nil"/>
          <w:insideH w:val="nil"/>
          <w:insideV w:val="nil"/>
        </w:tcBorders>
        <w:shd w:val="clear" w:color="auto" w:fill="D9EFEC"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CF26C4"/>
    <w:pPr>
      <w:spacing w:after="0"/>
    </w:pPr>
    <w:rPr>
      <w:rFonts w:asciiTheme="majorHAnsi" w:eastAsiaTheme="majorEastAsia" w:hAnsiTheme="majorHAnsi" w:cstheme="majorBidi"/>
      <w:color w:val="1A1919" w:themeColor="text1"/>
      <w:sz w:val="18"/>
      <w:szCs w:val="18"/>
    </w:rPr>
    <w:tblPr>
      <w:tblStyleRowBandSize w:val="1"/>
      <w:tblStyleColBandSize w:val="1"/>
      <w:tblBorders>
        <w:top w:val="single" w:sz="8" w:space="0" w:color="69ACDF" w:themeColor="accent2"/>
        <w:left w:val="single" w:sz="8" w:space="0" w:color="69ACDF" w:themeColor="accent2"/>
        <w:bottom w:val="single" w:sz="8" w:space="0" w:color="69ACDF" w:themeColor="accent2"/>
        <w:right w:val="single" w:sz="8" w:space="0" w:color="69ACDF" w:themeColor="accent2"/>
      </w:tblBorders>
    </w:tblPr>
    <w:tblStylePr w:type="firstRow">
      <w:rPr>
        <w:sz w:val="24"/>
        <w:szCs w:val="24"/>
      </w:rPr>
      <w:tblPr/>
      <w:tcPr>
        <w:tcBorders>
          <w:top w:val="nil"/>
          <w:left w:val="nil"/>
          <w:bottom w:val="single" w:sz="24" w:space="0" w:color="69ACDF"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9ACDF" w:themeColor="accent2"/>
          <w:insideH w:val="nil"/>
          <w:insideV w:val="nil"/>
        </w:tcBorders>
        <w:shd w:val="clear" w:color="auto" w:fill="FFFFFF" w:themeFill="background1"/>
      </w:tcPr>
    </w:tblStylePr>
    <w:tblStylePr w:type="lastCol">
      <w:tblPr/>
      <w:tcPr>
        <w:tcBorders>
          <w:top w:val="nil"/>
          <w:left w:val="single" w:sz="8" w:space="0" w:color="69ACD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EAF7" w:themeFill="accent2" w:themeFillTint="3F"/>
      </w:tcPr>
    </w:tblStylePr>
    <w:tblStylePr w:type="band1Horz">
      <w:tblPr/>
      <w:tcPr>
        <w:tcBorders>
          <w:top w:val="nil"/>
          <w:bottom w:val="nil"/>
          <w:insideH w:val="nil"/>
          <w:insideV w:val="nil"/>
        </w:tcBorders>
        <w:shd w:val="clear" w:color="auto" w:fill="D9EAF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CF26C4"/>
    <w:pPr>
      <w:spacing w:after="0"/>
    </w:pPr>
    <w:rPr>
      <w:rFonts w:asciiTheme="majorHAnsi" w:eastAsiaTheme="majorEastAsia" w:hAnsiTheme="majorHAnsi" w:cstheme="majorBidi"/>
      <w:color w:val="1A1919" w:themeColor="text1"/>
      <w:sz w:val="18"/>
      <w:szCs w:val="18"/>
    </w:rPr>
    <w:tblPr>
      <w:tblStyleRowBandSize w:val="1"/>
      <w:tblStyleColBandSize w:val="1"/>
      <w:tblBorders>
        <w:top w:val="single" w:sz="8" w:space="0" w:color="636AAF" w:themeColor="accent3"/>
        <w:left w:val="single" w:sz="8" w:space="0" w:color="636AAF" w:themeColor="accent3"/>
        <w:bottom w:val="single" w:sz="8" w:space="0" w:color="636AAF" w:themeColor="accent3"/>
        <w:right w:val="single" w:sz="8" w:space="0" w:color="636AAF" w:themeColor="accent3"/>
      </w:tblBorders>
    </w:tblPr>
    <w:tblStylePr w:type="firstRow">
      <w:rPr>
        <w:sz w:val="24"/>
        <w:szCs w:val="24"/>
      </w:rPr>
      <w:tblPr/>
      <w:tcPr>
        <w:tcBorders>
          <w:top w:val="nil"/>
          <w:left w:val="nil"/>
          <w:bottom w:val="single" w:sz="24" w:space="0" w:color="636AAF"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36AAF" w:themeColor="accent3"/>
          <w:insideH w:val="nil"/>
          <w:insideV w:val="nil"/>
        </w:tcBorders>
        <w:shd w:val="clear" w:color="auto" w:fill="FFFFFF" w:themeFill="background1"/>
      </w:tcPr>
    </w:tblStylePr>
    <w:tblStylePr w:type="lastCol">
      <w:tblPr/>
      <w:tcPr>
        <w:tcBorders>
          <w:top w:val="nil"/>
          <w:left w:val="single" w:sz="8" w:space="0" w:color="636AA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DAEB" w:themeFill="accent3" w:themeFillTint="3F"/>
      </w:tcPr>
    </w:tblStylePr>
    <w:tblStylePr w:type="band1Horz">
      <w:tblPr/>
      <w:tcPr>
        <w:tcBorders>
          <w:top w:val="nil"/>
          <w:bottom w:val="nil"/>
          <w:insideH w:val="nil"/>
          <w:insideV w:val="nil"/>
        </w:tcBorders>
        <w:shd w:val="clear" w:color="auto" w:fill="D8DAE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CF26C4"/>
    <w:pPr>
      <w:spacing w:after="0"/>
    </w:pPr>
    <w:rPr>
      <w:rFonts w:asciiTheme="majorHAnsi" w:eastAsiaTheme="majorEastAsia" w:hAnsiTheme="majorHAnsi" w:cstheme="majorBidi"/>
      <w:color w:val="1A1919" w:themeColor="text1"/>
      <w:sz w:val="18"/>
      <w:szCs w:val="18"/>
    </w:rPr>
    <w:tblPr>
      <w:tblStyleRowBandSize w:val="1"/>
      <w:tblStyleColBandSize w:val="1"/>
      <w:tblBorders>
        <w:top w:val="single" w:sz="8" w:space="0" w:color="B26DAB" w:themeColor="accent4"/>
        <w:left w:val="single" w:sz="8" w:space="0" w:color="B26DAB" w:themeColor="accent4"/>
        <w:bottom w:val="single" w:sz="8" w:space="0" w:color="B26DAB" w:themeColor="accent4"/>
        <w:right w:val="single" w:sz="8" w:space="0" w:color="B26DAB" w:themeColor="accent4"/>
      </w:tblBorders>
    </w:tblPr>
    <w:tblStylePr w:type="firstRow">
      <w:rPr>
        <w:sz w:val="24"/>
        <w:szCs w:val="24"/>
      </w:rPr>
      <w:tblPr/>
      <w:tcPr>
        <w:tcBorders>
          <w:top w:val="nil"/>
          <w:left w:val="nil"/>
          <w:bottom w:val="single" w:sz="24" w:space="0" w:color="B26DAB"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26DAB" w:themeColor="accent4"/>
          <w:insideH w:val="nil"/>
          <w:insideV w:val="nil"/>
        </w:tcBorders>
        <w:shd w:val="clear" w:color="auto" w:fill="FFFFFF" w:themeFill="background1"/>
      </w:tcPr>
    </w:tblStylePr>
    <w:tblStylePr w:type="lastCol">
      <w:tblPr/>
      <w:tcPr>
        <w:tcBorders>
          <w:top w:val="nil"/>
          <w:left w:val="single" w:sz="8" w:space="0" w:color="B26DAB"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CDAEA" w:themeFill="accent4" w:themeFillTint="3F"/>
      </w:tcPr>
    </w:tblStylePr>
    <w:tblStylePr w:type="band1Horz">
      <w:tblPr/>
      <w:tcPr>
        <w:tcBorders>
          <w:top w:val="nil"/>
          <w:bottom w:val="nil"/>
          <w:insideH w:val="nil"/>
          <w:insideV w:val="nil"/>
        </w:tcBorders>
        <w:shd w:val="clear" w:color="auto" w:fill="ECDAE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CF26C4"/>
    <w:pPr>
      <w:spacing w:after="0"/>
    </w:pPr>
    <w:rPr>
      <w:rFonts w:asciiTheme="majorHAnsi" w:eastAsiaTheme="majorEastAsia" w:hAnsiTheme="majorHAnsi" w:cstheme="majorBidi"/>
      <w:color w:val="1A1919" w:themeColor="text1"/>
      <w:sz w:val="18"/>
      <w:szCs w:val="18"/>
    </w:rPr>
    <w:tblPr>
      <w:tblStyleRowBandSize w:val="1"/>
      <w:tblStyleColBandSize w:val="1"/>
      <w:tblBorders>
        <w:top w:val="single" w:sz="8" w:space="0" w:color="E7A2C8" w:themeColor="accent5"/>
        <w:left w:val="single" w:sz="8" w:space="0" w:color="E7A2C8" w:themeColor="accent5"/>
        <w:bottom w:val="single" w:sz="8" w:space="0" w:color="E7A2C8" w:themeColor="accent5"/>
        <w:right w:val="single" w:sz="8" w:space="0" w:color="E7A2C8" w:themeColor="accent5"/>
      </w:tblBorders>
    </w:tblPr>
    <w:tblStylePr w:type="firstRow">
      <w:rPr>
        <w:sz w:val="24"/>
        <w:szCs w:val="24"/>
      </w:rPr>
      <w:tblPr/>
      <w:tcPr>
        <w:tcBorders>
          <w:top w:val="nil"/>
          <w:left w:val="nil"/>
          <w:bottom w:val="single" w:sz="24" w:space="0" w:color="E7A2C8"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7A2C8" w:themeColor="accent5"/>
          <w:insideH w:val="nil"/>
          <w:insideV w:val="nil"/>
        </w:tcBorders>
        <w:shd w:val="clear" w:color="auto" w:fill="FFFFFF" w:themeFill="background1"/>
      </w:tcPr>
    </w:tblStylePr>
    <w:tblStylePr w:type="lastCol">
      <w:tblPr/>
      <w:tcPr>
        <w:tcBorders>
          <w:top w:val="nil"/>
          <w:left w:val="single" w:sz="8" w:space="0" w:color="E7A2C8"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E7F1" w:themeFill="accent5" w:themeFillTint="3F"/>
      </w:tcPr>
    </w:tblStylePr>
    <w:tblStylePr w:type="band1Horz">
      <w:tblPr/>
      <w:tcPr>
        <w:tcBorders>
          <w:top w:val="nil"/>
          <w:bottom w:val="nil"/>
          <w:insideH w:val="nil"/>
          <w:insideV w:val="nil"/>
        </w:tcBorders>
        <w:shd w:val="clear" w:color="auto" w:fill="F9E7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CF26C4"/>
    <w:pPr>
      <w:spacing w:after="0"/>
    </w:pPr>
    <w:rPr>
      <w:rFonts w:asciiTheme="majorHAnsi" w:eastAsiaTheme="majorEastAsia" w:hAnsiTheme="majorHAnsi" w:cstheme="majorBidi"/>
      <w:color w:val="1A1919" w:themeColor="text1"/>
      <w:sz w:val="18"/>
      <w:szCs w:val="18"/>
    </w:rPr>
    <w:tblPr>
      <w:tblStyleRowBandSize w:val="1"/>
      <w:tblStyleColBandSize w:val="1"/>
      <w:tblBorders>
        <w:top w:val="single" w:sz="8" w:space="0" w:color="9CD2F4" w:themeColor="accent6"/>
        <w:left w:val="single" w:sz="8" w:space="0" w:color="9CD2F4" w:themeColor="accent6"/>
        <w:bottom w:val="single" w:sz="8" w:space="0" w:color="9CD2F4" w:themeColor="accent6"/>
        <w:right w:val="single" w:sz="8" w:space="0" w:color="9CD2F4" w:themeColor="accent6"/>
      </w:tblBorders>
    </w:tblPr>
    <w:tblStylePr w:type="firstRow">
      <w:rPr>
        <w:sz w:val="24"/>
        <w:szCs w:val="24"/>
      </w:rPr>
      <w:tblPr/>
      <w:tcPr>
        <w:tcBorders>
          <w:top w:val="nil"/>
          <w:left w:val="nil"/>
          <w:bottom w:val="single" w:sz="24" w:space="0" w:color="9CD2F4"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CD2F4" w:themeColor="accent6"/>
          <w:insideH w:val="nil"/>
          <w:insideV w:val="nil"/>
        </w:tcBorders>
        <w:shd w:val="clear" w:color="auto" w:fill="FFFFFF" w:themeFill="background1"/>
      </w:tcPr>
    </w:tblStylePr>
    <w:tblStylePr w:type="lastCol">
      <w:tblPr/>
      <w:tcPr>
        <w:tcBorders>
          <w:top w:val="nil"/>
          <w:left w:val="single" w:sz="8" w:space="0" w:color="9CD2F4"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F3FC" w:themeFill="accent6" w:themeFillTint="3F"/>
      </w:tcPr>
    </w:tblStylePr>
    <w:tblStylePr w:type="band1Horz">
      <w:tblPr/>
      <w:tcPr>
        <w:tcBorders>
          <w:top w:val="nil"/>
          <w:bottom w:val="nil"/>
          <w:insideH w:val="nil"/>
          <w:insideV w:val="nil"/>
        </w:tcBorders>
        <w:shd w:val="clear" w:color="auto" w:fill="E6F3FC"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CF26C4"/>
    <w:pPr>
      <w:spacing w:after="0"/>
    </w:pPr>
    <w:rPr>
      <w:rFonts w:eastAsiaTheme="minorHAnsi" w:cs="Arial"/>
      <w:sz w:val="18"/>
      <w:szCs w:val="18"/>
    </w:rPr>
    <w:tblPr>
      <w:tblStyleRowBandSize w:val="1"/>
      <w:tblStyleColBandSize w:val="1"/>
      <w:tblBorders>
        <w:top w:val="single" w:sz="8" w:space="0" w:color="545151" w:themeColor="text1" w:themeTint="BF"/>
        <w:left w:val="single" w:sz="8" w:space="0" w:color="545151" w:themeColor="text1" w:themeTint="BF"/>
        <w:bottom w:val="single" w:sz="8" w:space="0" w:color="545151" w:themeColor="text1" w:themeTint="BF"/>
        <w:right w:val="single" w:sz="8" w:space="0" w:color="545151" w:themeColor="text1" w:themeTint="BF"/>
        <w:insideH w:val="single" w:sz="8" w:space="0" w:color="545151" w:themeColor="text1" w:themeTint="BF"/>
      </w:tblBorders>
    </w:tblPr>
    <w:tblStylePr w:type="firstRow">
      <w:pPr>
        <w:spacing w:before="0" w:after="0" w:line="240" w:lineRule="auto"/>
      </w:pPr>
      <w:rPr>
        <w:b/>
        <w:bCs/>
        <w:color w:val="FFFFFF" w:themeColor="background1"/>
      </w:rPr>
      <w:tblPr/>
      <w:tcPr>
        <w:tcBorders>
          <w:top w:val="single" w:sz="8" w:space="0" w:color="545151" w:themeColor="text1" w:themeTint="BF"/>
          <w:left w:val="single" w:sz="8" w:space="0" w:color="545151" w:themeColor="text1" w:themeTint="BF"/>
          <w:bottom w:val="single" w:sz="8" w:space="0" w:color="545151" w:themeColor="text1" w:themeTint="BF"/>
          <w:right w:val="single" w:sz="8" w:space="0" w:color="545151" w:themeColor="text1" w:themeTint="BF"/>
          <w:insideH w:val="nil"/>
          <w:insideV w:val="nil"/>
        </w:tcBorders>
        <w:shd w:val="clear" w:color="auto" w:fill="1A1919" w:themeFill="text1"/>
      </w:tcPr>
    </w:tblStylePr>
    <w:tblStylePr w:type="lastRow">
      <w:pPr>
        <w:spacing w:before="0" w:after="0" w:line="240" w:lineRule="auto"/>
      </w:pPr>
      <w:rPr>
        <w:b/>
        <w:bCs/>
      </w:rPr>
      <w:tblPr/>
      <w:tcPr>
        <w:tcBorders>
          <w:top w:val="double" w:sz="6" w:space="0" w:color="545151" w:themeColor="text1" w:themeTint="BF"/>
          <w:left w:val="single" w:sz="8" w:space="0" w:color="545151" w:themeColor="text1" w:themeTint="BF"/>
          <w:bottom w:val="single" w:sz="8" w:space="0" w:color="545151" w:themeColor="text1" w:themeTint="BF"/>
          <w:right w:val="single" w:sz="8" w:space="0" w:color="545151" w:themeColor="text1" w:themeTint="BF"/>
          <w:insideH w:val="nil"/>
          <w:insideV w:val="nil"/>
        </w:tcBorders>
      </w:tcPr>
    </w:tblStylePr>
    <w:tblStylePr w:type="firstCol">
      <w:rPr>
        <w:b/>
        <w:bCs/>
      </w:rPr>
    </w:tblStylePr>
    <w:tblStylePr w:type="lastCol">
      <w:rPr>
        <w:b/>
        <w:bCs/>
      </w:rPr>
    </w:tblStylePr>
    <w:tblStylePr w:type="band1Vert">
      <w:tblPr/>
      <w:tcPr>
        <w:shd w:val="clear" w:color="auto" w:fill="C7C5C5" w:themeFill="text1" w:themeFillTint="3F"/>
      </w:tcPr>
    </w:tblStylePr>
    <w:tblStylePr w:type="band1Horz">
      <w:tblPr/>
      <w:tcPr>
        <w:tcBorders>
          <w:insideH w:val="nil"/>
          <w:insideV w:val="nil"/>
        </w:tcBorders>
        <w:shd w:val="clear" w:color="auto" w:fill="C7C5C5"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CF26C4"/>
    <w:pPr>
      <w:spacing w:after="0"/>
    </w:pPr>
    <w:rPr>
      <w:rFonts w:eastAsiaTheme="minorHAnsi" w:cs="Arial"/>
      <w:sz w:val="18"/>
      <w:szCs w:val="18"/>
    </w:rPr>
    <w:tblPr>
      <w:tblStyleRowBandSize w:val="1"/>
      <w:tblStyleColBandSize w:val="1"/>
      <w:tblBorders>
        <w:top w:val="single" w:sz="8" w:space="0" w:color="8DCFC7" w:themeColor="accent1" w:themeTint="BF"/>
        <w:left w:val="single" w:sz="8" w:space="0" w:color="8DCFC7" w:themeColor="accent1" w:themeTint="BF"/>
        <w:bottom w:val="single" w:sz="8" w:space="0" w:color="8DCFC7" w:themeColor="accent1" w:themeTint="BF"/>
        <w:right w:val="single" w:sz="8" w:space="0" w:color="8DCFC7" w:themeColor="accent1" w:themeTint="BF"/>
        <w:insideH w:val="single" w:sz="8" w:space="0" w:color="8DCFC7" w:themeColor="accent1" w:themeTint="BF"/>
      </w:tblBorders>
    </w:tblPr>
    <w:tblStylePr w:type="firstRow">
      <w:pPr>
        <w:spacing w:before="0" w:after="0" w:line="240" w:lineRule="auto"/>
      </w:pPr>
      <w:rPr>
        <w:b/>
        <w:bCs/>
        <w:color w:val="FFFFFF" w:themeColor="background1"/>
      </w:rPr>
      <w:tblPr/>
      <w:tcPr>
        <w:tcBorders>
          <w:top w:val="single" w:sz="8" w:space="0" w:color="8DCFC7" w:themeColor="accent1" w:themeTint="BF"/>
          <w:left w:val="single" w:sz="8" w:space="0" w:color="8DCFC7" w:themeColor="accent1" w:themeTint="BF"/>
          <w:bottom w:val="single" w:sz="8" w:space="0" w:color="8DCFC7" w:themeColor="accent1" w:themeTint="BF"/>
          <w:right w:val="single" w:sz="8" w:space="0" w:color="8DCFC7" w:themeColor="accent1" w:themeTint="BF"/>
          <w:insideH w:val="nil"/>
          <w:insideV w:val="nil"/>
        </w:tcBorders>
        <w:shd w:val="clear" w:color="auto" w:fill="68C0B5" w:themeFill="accent1"/>
      </w:tcPr>
    </w:tblStylePr>
    <w:tblStylePr w:type="lastRow">
      <w:pPr>
        <w:spacing w:before="0" w:after="0" w:line="240" w:lineRule="auto"/>
      </w:pPr>
      <w:rPr>
        <w:b/>
        <w:bCs/>
      </w:rPr>
      <w:tblPr/>
      <w:tcPr>
        <w:tcBorders>
          <w:top w:val="double" w:sz="6" w:space="0" w:color="8DCFC7" w:themeColor="accent1" w:themeTint="BF"/>
          <w:left w:val="single" w:sz="8" w:space="0" w:color="8DCFC7" w:themeColor="accent1" w:themeTint="BF"/>
          <w:bottom w:val="single" w:sz="8" w:space="0" w:color="8DCFC7" w:themeColor="accent1" w:themeTint="BF"/>
          <w:right w:val="single" w:sz="8" w:space="0" w:color="8DCFC7" w:themeColor="accent1" w:themeTint="BF"/>
          <w:insideH w:val="nil"/>
          <w:insideV w:val="nil"/>
        </w:tcBorders>
      </w:tcPr>
    </w:tblStylePr>
    <w:tblStylePr w:type="firstCol">
      <w:rPr>
        <w:b/>
        <w:bCs/>
      </w:rPr>
    </w:tblStylePr>
    <w:tblStylePr w:type="lastCol">
      <w:rPr>
        <w:b/>
        <w:bCs/>
      </w:rPr>
    </w:tblStylePr>
    <w:tblStylePr w:type="band1Vert">
      <w:tblPr/>
      <w:tcPr>
        <w:shd w:val="clear" w:color="auto" w:fill="D9EFEC" w:themeFill="accent1" w:themeFillTint="3F"/>
      </w:tcPr>
    </w:tblStylePr>
    <w:tblStylePr w:type="band1Horz">
      <w:tblPr/>
      <w:tcPr>
        <w:tcBorders>
          <w:insideH w:val="nil"/>
          <w:insideV w:val="nil"/>
        </w:tcBorders>
        <w:shd w:val="clear" w:color="auto" w:fill="D9EFEC"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CF26C4"/>
    <w:pPr>
      <w:spacing w:after="0"/>
    </w:pPr>
    <w:rPr>
      <w:rFonts w:eastAsiaTheme="minorHAnsi" w:cs="Arial"/>
      <w:sz w:val="18"/>
      <w:szCs w:val="18"/>
    </w:rPr>
    <w:tblPr>
      <w:tblStyleRowBandSize w:val="1"/>
      <w:tblStyleColBandSize w:val="1"/>
      <w:tblBorders>
        <w:top w:val="single" w:sz="8" w:space="0" w:color="8EC0E7" w:themeColor="accent2" w:themeTint="BF"/>
        <w:left w:val="single" w:sz="8" w:space="0" w:color="8EC0E7" w:themeColor="accent2" w:themeTint="BF"/>
        <w:bottom w:val="single" w:sz="8" w:space="0" w:color="8EC0E7" w:themeColor="accent2" w:themeTint="BF"/>
        <w:right w:val="single" w:sz="8" w:space="0" w:color="8EC0E7" w:themeColor="accent2" w:themeTint="BF"/>
        <w:insideH w:val="single" w:sz="8" w:space="0" w:color="8EC0E7" w:themeColor="accent2" w:themeTint="BF"/>
      </w:tblBorders>
    </w:tblPr>
    <w:tblStylePr w:type="firstRow">
      <w:pPr>
        <w:spacing w:before="0" w:after="0" w:line="240" w:lineRule="auto"/>
      </w:pPr>
      <w:rPr>
        <w:b/>
        <w:bCs/>
        <w:color w:val="FFFFFF" w:themeColor="background1"/>
      </w:rPr>
      <w:tblPr/>
      <w:tcPr>
        <w:tcBorders>
          <w:top w:val="single" w:sz="8" w:space="0" w:color="8EC0E7" w:themeColor="accent2" w:themeTint="BF"/>
          <w:left w:val="single" w:sz="8" w:space="0" w:color="8EC0E7" w:themeColor="accent2" w:themeTint="BF"/>
          <w:bottom w:val="single" w:sz="8" w:space="0" w:color="8EC0E7" w:themeColor="accent2" w:themeTint="BF"/>
          <w:right w:val="single" w:sz="8" w:space="0" w:color="8EC0E7" w:themeColor="accent2" w:themeTint="BF"/>
          <w:insideH w:val="nil"/>
          <w:insideV w:val="nil"/>
        </w:tcBorders>
        <w:shd w:val="clear" w:color="auto" w:fill="69ACDF" w:themeFill="accent2"/>
      </w:tcPr>
    </w:tblStylePr>
    <w:tblStylePr w:type="lastRow">
      <w:pPr>
        <w:spacing w:before="0" w:after="0" w:line="240" w:lineRule="auto"/>
      </w:pPr>
      <w:rPr>
        <w:b/>
        <w:bCs/>
      </w:rPr>
      <w:tblPr/>
      <w:tcPr>
        <w:tcBorders>
          <w:top w:val="double" w:sz="6" w:space="0" w:color="8EC0E7" w:themeColor="accent2" w:themeTint="BF"/>
          <w:left w:val="single" w:sz="8" w:space="0" w:color="8EC0E7" w:themeColor="accent2" w:themeTint="BF"/>
          <w:bottom w:val="single" w:sz="8" w:space="0" w:color="8EC0E7" w:themeColor="accent2" w:themeTint="BF"/>
          <w:right w:val="single" w:sz="8" w:space="0" w:color="8EC0E7" w:themeColor="accent2" w:themeTint="BF"/>
          <w:insideH w:val="nil"/>
          <w:insideV w:val="nil"/>
        </w:tcBorders>
      </w:tcPr>
    </w:tblStylePr>
    <w:tblStylePr w:type="firstCol">
      <w:rPr>
        <w:b/>
        <w:bCs/>
      </w:rPr>
    </w:tblStylePr>
    <w:tblStylePr w:type="lastCol">
      <w:rPr>
        <w:b/>
        <w:bCs/>
      </w:rPr>
    </w:tblStylePr>
    <w:tblStylePr w:type="band1Vert">
      <w:tblPr/>
      <w:tcPr>
        <w:shd w:val="clear" w:color="auto" w:fill="D9EAF7" w:themeFill="accent2" w:themeFillTint="3F"/>
      </w:tcPr>
    </w:tblStylePr>
    <w:tblStylePr w:type="band1Horz">
      <w:tblPr/>
      <w:tcPr>
        <w:tcBorders>
          <w:insideH w:val="nil"/>
          <w:insideV w:val="nil"/>
        </w:tcBorders>
        <w:shd w:val="clear" w:color="auto" w:fill="D9EAF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CF26C4"/>
    <w:pPr>
      <w:spacing w:after="0"/>
    </w:pPr>
    <w:rPr>
      <w:rFonts w:eastAsiaTheme="minorHAnsi" w:cs="Arial"/>
      <w:sz w:val="18"/>
      <w:szCs w:val="18"/>
    </w:rPr>
    <w:tblPr>
      <w:tblStyleRowBandSize w:val="1"/>
      <w:tblStyleColBandSize w:val="1"/>
      <w:tblBorders>
        <w:top w:val="single" w:sz="8" w:space="0" w:color="8A8FC3" w:themeColor="accent3" w:themeTint="BF"/>
        <w:left w:val="single" w:sz="8" w:space="0" w:color="8A8FC3" w:themeColor="accent3" w:themeTint="BF"/>
        <w:bottom w:val="single" w:sz="8" w:space="0" w:color="8A8FC3" w:themeColor="accent3" w:themeTint="BF"/>
        <w:right w:val="single" w:sz="8" w:space="0" w:color="8A8FC3" w:themeColor="accent3" w:themeTint="BF"/>
        <w:insideH w:val="single" w:sz="8" w:space="0" w:color="8A8FC3" w:themeColor="accent3" w:themeTint="BF"/>
      </w:tblBorders>
    </w:tblPr>
    <w:tblStylePr w:type="firstRow">
      <w:pPr>
        <w:spacing w:before="0" w:after="0" w:line="240" w:lineRule="auto"/>
      </w:pPr>
      <w:rPr>
        <w:b/>
        <w:bCs/>
        <w:color w:val="FFFFFF" w:themeColor="background1"/>
      </w:rPr>
      <w:tblPr/>
      <w:tcPr>
        <w:tcBorders>
          <w:top w:val="single" w:sz="8" w:space="0" w:color="8A8FC3" w:themeColor="accent3" w:themeTint="BF"/>
          <w:left w:val="single" w:sz="8" w:space="0" w:color="8A8FC3" w:themeColor="accent3" w:themeTint="BF"/>
          <w:bottom w:val="single" w:sz="8" w:space="0" w:color="8A8FC3" w:themeColor="accent3" w:themeTint="BF"/>
          <w:right w:val="single" w:sz="8" w:space="0" w:color="8A8FC3" w:themeColor="accent3" w:themeTint="BF"/>
          <w:insideH w:val="nil"/>
          <w:insideV w:val="nil"/>
        </w:tcBorders>
        <w:shd w:val="clear" w:color="auto" w:fill="636AAF" w:themeFill="accent3"/>
      </w:tcPr>
    </w:tblStylePr>
    <w:tblStylePr w:type="lastRow">
      <w:pPr>
        <w:spacing w:before="0" w:after="0" w:line="240" w:lineRule="auto"/>
      </w:pPr>
      <w:rPr>
        <w:b/>
        <w:bCs/>
      </w:rPr>
      <w:tblPr/>
      <w:tcPr>
        <w:tcBorders>
          <w:top w:val="double" w:sz="6" w:space="0" w:color="8A8FC3" w:themeColor="accent3" w:themeTint="BF"/>
          <w:left w:val="single" w:sz="8" w:space="0" w:color="8A8FC3" w:themeColor="accent3" w:themeTint="BF"/>
          <w:bottom w:val="single" w:sz="8" w:space="0" w:color="8A8FC3" w:themeColor="accent3" w:themeTint="BF"/>
          <w:right w:val="single" w:sz="8" w:space="0" w:color="8A8FC3" w:themeColor="accent3" w:themeTint="BF"/>
          <w:insideH w:val="nil"/>
          <w:insideV w:val="nil"/>
        </w:tcBorders>
      </w:tcPr>
    </w:tblStylePr>
    <w:tblStylePr w:type="firstCol">
      <w:rPr>
        <w:b/>
        <w:bCs/>
      </w:rPr>
    </w:tblStylePr>
    <w:tblStylePr w:type="lastCol">
      <w:rPr>
        <w:b/>
        <w:bCs/>
      </w:rPr>
    </w:tblStylePr>
    <w:tblStylePr w:type="band1Vert">
      <w:tblPr/>
      <w:tcPr>
        <w:shd w:val="clear" w:color="auto" w:fill="D8DAEB" w:themeFill="accent3" w:themeFillTint="3F"/>
      </w:tcPr>
    </w:tblStylePr>
    <w:tblStylePr w:type="band1Horz">
      <w:tblPr/>
      <w:tcPr>
        <w:tcBorders>
          <w:insideH w:val="nil"/>
          <w:insideV w:val="nil"/>
        </w:tcBorders>
        <w:shd w:val="clear" w:color="auto" w:fill="D8DAEB"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CF26C4"/>
    <w:pPr>
      <w:spacing w:after="0"/>
    </w:pPr>
    <w:rPr>
      <w:rFonts w:eastAsiaTheme="minorHAnsi" w:cs="Arial"/>
      <w:sz w:val="18"/>
      <w:szCs w:val="18"/>
    </w:rPr>
    <w:tblPr>
      <w:tblStyleRowBandSize w:val="1"/>
      <w:tblStyleColBandSize w:val="1"/>
      <w:tblBorders>
        <w:top w:val="single" w:sz="8" w:space="0" w:color="C591C0" w:themeColor="accent4" w:themeTint="BF"/>
        <w:left w:val="single" w:sz="8" w:space="0" w:color="C591C0" w:themeColor="accent4" w:themeTint="BF"/>
        <w:bottom w:val="single" w:sz="8" w:space="0" w:color="C591C0" w:themeColor="accent4" w:themeTint="BF"/>
        <w:right w:val="single" w:sz="8" w:space="0" w:color="C591C0" w:themeColor="accent4" w:themeTint="BF"/>
        <w:insideH w:val="single" w:sz="8" w:space="0" w:color="C591C0" w:themeColor="accent4" w:themeTint="BF"/>
      </w:tblBorders>
    </w:tblPr>
    <w:tblStylePr w:type="firstRow">
      <w:pPr>
        <w:spacing w:before="0" w:after="0" w:line="240" w:lineRule="auto"/>
      </w:pPr>
      <w:rPr>
        <w:b/>
        <w:bCs/>
        <w:color w:val="FFFFFF" w:themeColor="background1"/>
      </w:rPr>
      <w:tblPr/>
      <w:tcPr>
        <w:tcBorders>
          <w:top w:val="single" w:sz="8" w:space="0" w:color="C591C0" w:themeColor="accent4" w:themeTint="BF"/>
          <w:left w:val="single" w:sz="8" w:space="0" w:color="C591C0" w:themeColor="accent4" w:themeTint="BF"/>
          <w:bottom w:val="single" w:sz="8" w:space="0" w:color="C591C0" w:themeColor="accent4" w:themeTint="BF"/>
          <w:right w:val="single" w:sz="8" w:space="0" w:color="C591C0" w:themeColor="accent4" w:themeTint="BF"/>
          <w:insideH w:val="nil"/>
          <w:insideV w:val="nil"/>
        </w:tcBorders>
        <w:shd w:val="clear" w:color="auto" w:fill="B26DAB" w:themeFill="accent4"/>
      </w:tcPr>
    </w:tblStylePr>
    <w:tblStylePr w:type="lastRow">
      <w:pPr>
        <w:spacing w:before="0" w:after="0" w:line="240" w:lineRule="auto"/>
      </w:pPr>
      <w:rPr>
        <w:b/>
        <w:bCs/>
      </w:rPr>
      <w:tblPr/>
      <w:tcPr>
        <w:tcBorders>
          <w:top w:val="double" w:sz="6" w:space="0" w:color="C591C0" w:themeColor="accent4" w:themeTint="BF"/>
          <w:left w:val="single" w:sz="8" w:space="0" w:color="C591C0" w:themeColor="accent4" w:themeTint="BF"/>
          <w:bottom w:val="single" w:sz="8" w:space="0" w:color="C591C0" w:themeColor="accent4" w:themeTint="BF"/>
          <w:right w:val="single" w:sz="8" w:space="0" w:color="C591C0" w:themeColor="accent4" w:themeTint="BF"/>
          <w:insideH w:val="nil"/>
          <w:insideV w:val="nil"/>
        </w:tcBorders>
      </w:tcPr>
    </w:tblStylePr>
    <w:tblStylePr w:type="firstCol">
      <w:rPr>
        <w:b/>
        <w:bCs/>
      </w:rPr>
    </w:tblStylePr>
    <w:tblStylePr w:type="lastCol">
      <w:rPr>
        <w:b/>
        <w:bCs/>
      </w:rPr>
    </w:tblStylePr>
    <w:tblStylePr w:type="band1Vert">
      <w:tblPr/>
      <w:tcPr>
        <w:shd w:val="clear" w:color="auto" w:fill="ECDAEA" w:themeFill="accent4" w:themeFillTint="3F"/>
      </w:tcPr>
    </w:tblStylePr>
    <w:tblStylePr w:type="band1Horz">
      <w:tblPr/>
      <w:tcPr>
        <w:tcBorders>
          <w:insideH w:val="nil"/>
          <w:insideV w:val="nil"/>
        </w:tcBorders>
        <w:shd w:val="clear" w:color="auto" w:fill="ECDAEA"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CF26C4"/>
    <w:pPr>
      <w:spacing w:after="0"/>
    </w:pPr>
    <w:rPr>
      <w:rFonts w:eastAsiaTheme="minorHAnsi" w:cs="Arial"/>
      <w:sz w:val="18"/>
      <w:szCs w:val="18"/>
    </w:rPr>
    <w:tblPr>
      <w:tblStyleRowBandSize w:val="1"/>
      <w:tblStyleColBandSize w:val="1"/>
      <w:tblBorders>
        <w:top w:val="single" w:sz="8" w:space="0" w:color="EDB9D5" w:themeColor="accent5" w:themeTint="BF"/>
        <w:left w:val="single" w:sz="8" w:space="0" w:color="EDB9D5" w:themeColor="accent5" w:themeTint="BF"/>
        <w:bottom w:val="single" w:sz="8" w:space="0" w:color="EDB9D5" w:themeColor="accent5" w:themeTint="BF"/>
        <w:right w:val="single" w:sz="8" w:space="0" w:color="EDB9D5" w:themeColor="accent5" w:themeTint="BF"/>
        <w:insideH w:val="single" w:sz="8" w:space="0" w:color="EDB9D5" w:themeColor="accent5" w:themeTint="BF"/>
      </w:tblBorders>
    </w:tblPr>
    <w:tblStylePr w:type="firstRow">
      <w:pPr>
        <w:spacing w:before="0" w:after="0" w:line="240" w:lineRule="auto"/>
      </w:pPr>
      <w:rPr>
        <w:b/>
        <w:bCs/>
        <w:color w:val="FFFFFF" w:themeColor="background1"/>
      </w:rPr>
      <w:tblPr/>
      <w:tcPr>
        <w:tcBorders>
          <w:top w:val="single" w:sz="8" w:space="0" w:color="EDB9D5" w:themeColor="accent5" w:themeTint="BF"/>
          <w:left w:val="single" w:sz="8" w:space="0" w:color="EDB9D5" w:themeColor="accent5" w:themeTint="BF"/>
          <w:bottom w:val="single" w:sz="8" w:space="0" w:color="EDB9D5" w:themeColor="accent5" w:themeTint="BF"/>
          <w:right w:val="single" w:sz="8" w:space="0" w:color="EDB9D5" w:themeColor="accent5" w:themeTint="BF"/>
          <w:insideH w:val="nil"/>
          <w:insideV w:val="nil"/>
        </w:tcBorders>
        <w:shd w:val="clear" w:color="auto" w:fill="E7A2C8" w:themeFill="accent5"/>
      </w:tcPr>
    </w:tblStylePr>
    <w:tblStylePr w:type="lastRow">
      <w:pPr>
        <w:spacing w:before="0" w:after="0" w:line="240" w:lineRule="auto"/>
      </w:pPr>
      <w:rPr>
        <w:b/>
        <w:bCs/>
      </w:rPr>
      <w:tblPr/>
      <w:tcPr>
        <w:tcBorders>
          <w:top w:val="double" w:sz="6" w:space="0" w:color="EDB9D5" w:themeColor="accent5" w:themeTint="BF"/>
          <w:left w:val="single" w:sz="8" w:space="0" w:color="EDB9D5" w:themeColor="accent5" w:themeTint="BF"/>
          <w:bottom w:val="single" w:sz="8" w:space="0" w:color="EDB9D5" w:themeColor="accent5" w:themeTint="BF"/>
          <w:right w:val="single" w:sz="8" w:space="0" w:color="EDB9D5" w:themeColor="accent5" w:themeTint="BF"/>
          <w:insideH w:val="nil"/>
          <w:insideV w:val="nil"/>
        </w:tcBorders>
      </w:tcPr>
    </w:tblStylePr>
    <w:tblStylePr w:type="firstCol">
      <w:rPr>
        <w:b/>
        <w:bCs/>
      </w:rPr>
    </w:tblStylePr>
    <w:tblStylePr w:type="lastCol">
      <w:rPr>
        <w:b/>
        <w:bCs/>
      </w:rPr>
    </w:tblStylePr>
    <w:tblStylePr w:type="band1Vert">
      <w:tblPr/>
      <w:tcPr>
        <w:shd w:val="clear" w:color="auto" w:fill="F9E7F1" w:themeFill="accent5" w:themeFillTint="3F"/>
      </w:tcPr>
    </w:tblStylePr>
    <w:tblStylePr w:type="band1Horz">
      <w:tblPr/>
      <w:tcPr>
        <w:tcBorders>
          <w:insideH w:val="nil"/>
          <w:insideV w:val="nil"/>
        </w:tcBorders>
        <w:shd w:val="clear" w:color="auto" w:fill="F9E7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CF26C4"/>
    <w:pPr>
      <w:spacing w:after="0"/>
    </w:pPr>
    <w:rPr>
      <w:rFonts w:eastAsiaTheme="minorHAnsi" w:cs="Arial"/>
      <w:sz w:val="18"/>
      <w:szCs w:val="18"/>
    </w:rPr>
    <w:tblPr>
      <w:tblStyleRowBandSize w:val="1"/>
      <w:tblStyleColBandSize w:val="1"/>
      <w:tblBorders>
        <w:top w:val="single" w:sz="8" w:space="0" w:color="B4DDF6" w:themeColor="accent6" w:themeTint="BF"/>
        <w:left w:val="single" w:sz="8" w:space="0" w:color="B4DDF6" w:themeColor="accent6" w:themeTint="BF"/>
        <w:bottom w:val="single" w:sz="8" w:space="0" w:color="B4DDF6" w:themeColor="accent6" w:themeTint="BF"/>
        <w:right w:val="single" w:sz="8" w:space="0" w:color="B4DDF6" w:themeColor="accent6" w:themeTint="BF"/>
        <w:insideH w:val="single" w:sz="8" w:space="0" w:color="B4DDF6" w:themeColor="accent6" w:themeTint="BF"/>
      </w:tblBorders>
    </w:tblPr>
    <w:tblStylePr w:type="firstRow">
      <w:pPr>
        <w:spacing w:before="0" w:after="0" w:line="240" w:lineRule="auto"/>
      </w:pPr>
      <w:rPr>
        <w:b/>
        <w:bCs/>
        <w:color w:val="FFFFFF" w:themeColor="background1"/>
      </w:rPr>
      <w:tblPr/>
      <w:tcPr>
        <w:tcBorders>
          <w:top w:val="single" w:sz="8" w:space="0" w:color="B4DDF6" w:themeColor="accent6" w:themeTint="BF"/>
          <w:left w:val="single" w:sz="8" w:space="0" w:color="B4DDF6" w:themeColor="accent6" w:themeTint="BF"/>
          <w:bottom w:val="single" w:sz="8" w:space="0" w:color="B4DDF6" w:themeColor="accent6" w:themeTint="BF"/>
          <w:right w:val="single" w:sz="8" w:space="0" w:color="B4DDF6" w:themeColor="accent6" w:themeTint="BF"/>
          <w:insideH w:val="nil"/>
          <w:insideV w:val="nil"/>
        </w:tcBorders>
        <w:shd w:val="clear" w:color="auto" w:fill="9CD2F4" w:themeFill="accent6"/>
      </w:tcPr>
    </w:tblStylePr>
    <w:tblStylePr w:type="lastRow">
      <w:pPr>
        <w:spacing w:before="0" w:after="0" w:line="240" w:lineRule="auto"/>
      </w:pPr>
      <w:rPr>
        <w:b/>
        <w:bCs/>
      </w:rPr>
      <w:tblPr/>
      <w:tcPr>
        <w:tcBorders>
          <w:top w:val="double" w:sz="6" w:space="0" w:color="B4DDF6" w:themeColor="accent6" w:themeTint="BF"/>
          <w:left w:val="single" w:sz="8" w:space="0" w:color="B4DDF6" w:themeColor="accent6" w:themeTint="BF"/>
          <w:bottom w:val="single" w:sz="8" w:space="0" w:color="B4DDF6" w:themeColor="accent6" w:themeTint="BF"/>
          <w:right w:val="single" w:sz="8" w:space="0" w:color="B4DDF6" w:themeColor="accent6" w:themeTint="BF"/>
          <w:insideH w:val="nil"/>
          <w:insideV w:val="nil"/>
        </w:tcBorders>
      </w:tcPr>
    </w:tblStylePr>
    <w:tblStylePr w:type="firstCol">
      <w:rPr>
        <w:b/>
        <w:bCs/>
      </w:rPr>
    </w:tblStylePr>
    <w:tblStylePr w:type="lastCol">
      <w:rPr>
        <w:b/>
        <w:bCs/>
      </w:rPr>
    </w:tblStylePr>
    <w:tblStylePr w:type="band1Vert">
      <w:tblPr/>
      <w:tcPr>
        <w:shd w:val="clear" w:color="auto" w:fill="E6F3FC" w:themeFill="accent6" w:themeFillTint="3F"/>
      </w:tcPr>
    </w:tblStylePr>
    <w:tblStylePr w:type="band1Horz">
      <w:tblPr/>
      <w:tcPr>
        <w:tcBorders>
          <w:insideH w:val="nil"/>
          <w:insideV w:val="nil"/>
        </w:tcBorders>
        <w:shd w:val="clear" w:color="auto" w:fill="E6F3FC"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CF26C4"/>
    <w:pPr>
      <w:spacing w:after="0"/>
    </w:pPr>
    <w:rPr>
      <w:rFonts w:eastAsiaTheme="minorHAnsi" w:cs="Arial"/>
      <w:sz w:val="18"/>
      <w:szCs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A1919"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1A1919" w:themeFill="text1"/>
      </w:tcPr>
    </w:tblStylePr>
    <w:tblStylePr w:type="lastCol">
      <w:rPr>
        <w:b/>
        <w:bCs/>
        <w:color w:val="FFFFFF" w:themeColor="background1"/>
      </w:rPr>
      <w:tblPr/>
      <w:tcPr>
        <w:tcBorders>
          <w:left w:val="nil"/>
          <w:right w:val="nil"/>
          <w:insideH w:val="nil"/>
          <w:insideV w:val="nil"/>
        </w:tcBorders>
        <w:shd w:val="clear" w:color="auto" w:fill="1A1919"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CF26C4"/>
    <w:pPr>
      <w:spacing w:after="0"/>
    </w:pPr>
    <w:rPr>
      <w:rFonts w:eastAsiaTheme="minorHAnsi" w:cs="Arial"/>
      <w:sz w:val="18"/>
      <w:szCs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8C0B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8C0B5" w:themeFill="accent1"/>
      </w:tcPr>
    </w:tblStylePr>
    <w:tblStylePr w:type="lastCol">
      <w:rPr>
        <w:b/>
        <w:bCs/>
        <w:color w:val="FFFFFF" w:themeColor="background1"/>
      </w:rPr>
      <w:tblPr/>
      <w:tcPr>
        <w:tcBorders>
          <w:left w:val="nil"/>
          <w:right w:val="nil"/>
          <w:insideH w:val="nil"/>
          <w:insideV w:val="nil"/>
        </w:tcBorders>
        <w:shd w:val="clear" w:color="auto" w:fill="68C0B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CF26C4"/>
    <w:pPr>
      <w:spacing w:after="0"/>
    </w:pPr>
    <w:rPr>
      <w:rFonts w:eastAsiaTheme="minorHAnsi" w:cs="Arial"/>
      <w:sz w:val="18"/>
      <w:szCs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9ACD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9ACDF" w:themeFill="accent2"/>
      </w:tcPr>
    </w:tblStylePr>
    <w:tblStylePr w:type="lastCol">
      <w:rPr>
        <w:b/>
        <w:bCs/>
        <w:color w:val="FFFFFF" w:themeColor="background1"/>
      </w:rPr>
      <w:tblPr/>
      <w:tcPr>
        <w:tcBorders>
          <w:left w:val="nil"/>
          <w:right w:val="nil"/>
          <w:insideH w:val="nil"/>
          <w:insideV w:val="nil"/>
        </w:tcBorders>
        <w:shd w:val="clear" w:color="auto" w:fill="69ACD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CF26C4"/>
    <w:pPr>
      <w:spacing w:after="0"/>
    </w:pPr>
    <w:rPr>
      <w:rFonts w:eastAsiaTheme="minorHAnsi" w:cs="Arial"/>
      <w:sz w:val="18"/>
      <w:szCs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36AA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36AAF" w:themeFill="accent3"/>
      </w:tcPr>
    </w:tblStylePr>
    <w:tblStylePr w:type="lastCol">
      <w:rPr>
        <w:b/>
        <w:bCs/>
        <w:color w:val="FFFFFF" w:themeColor="background1"/>
      </w:rPr>
      <w:tblPr/>
      <w:tcPr>
        <w:tcBorders>
          <w:left w:val="nil"/>
          <w:right w:val="nil"/>
          <w:insideH w:val="nil"/>
          <w:insideV w:val="nil"/>
        </w:tcBorders>
        <w:shd w:val="clear" w:color="auto" w:fill="636AA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CF26C4"/>
    <w:pPr>
      <w:spacing w:after="0"/>
    </w:pPr>
    <w:rPr>
      <w:rFonts w:eastAsiaTheme="minorHAnsi" w:cs="Arial"/>
      <w:sz w:val="18"/>
      <w:szCs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26DAB"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B26DAB" w:themeFill="accent4"/>
      </w:tcPr>
    </w:tblStylePr>
    <w:tblStylePr w:type="lastCol">
      <w:rPr>
        <w:b/>
        <w:bCs/>
        <w:color w:val="FFFFFF" w:themeColor="background1"/>
      </w:rPr>
      <w:tblPr/>
      <w:tcPr>
        <w:tcBorders>
          <w:left w:val="nil"/>
          <w:right w:val="nil"/>
          <w:insideH w:val="nil"/>
          <w:insideV w:val="nil"/>
        </w:tcBorders>
        <w:shd w:val="clear" w:color="auto" w:fill="B26DAB"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CF26C4"/>
    <w:pPr>
      <w:spacing w:after="0"/>
    </w:pPr>
    <w:rPr>
      <w:rFonts w:eastAsiaTheme="minorHAnsi" w:cs="Arial"/>
      <w:sz w:val="18"/>
      <w:szCs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7A2C8"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7A2C8" w:themeFill="accent5"/>
      </w:tcPr>
    </w:tblStylePr>
    <w:tblStylePr w:type="lastCol">
      <w:rPr>
        <w:b/>
        <w:bCs/>
        <w:color w:val="FFFFFF" w:themeColor="background1"/>
      </w:rPr>
      <w:tblPr/>
      <w:tcPr>
        <w:tcBorders>
          <w:left w:val="nil"/>
          <w:right w:val="nil"/>
          <w:insideH w:val="nil"/>
          <w:insideV w:val="nil"/>
        </w:tcBorders>
        <w:shd w:val="clear" w:color="auto" w:fill="E7A2C8"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CF26C4"/>
    <w:pPr>
      <w:spacing w:after="0"/>
    </w:pPr>
    <w:rPr>
      <w:rFonts w:eastAsiaTheme="minorHAnsi" w:cs="Arial"/>
      <w:sz w:val="18"/>
      <w:szCs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CD2F4"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CD2F4" w:themeFill="accent6"/>
      </w:tcPr>
    </w:tblStylePr>
    <w:tblStylePr w:type="lastCol">
      <w:rPr>
        <w:b/>
        <w:bCs/>
        <w:color w:val="FFFFFF" w:themeColor="background1"/>
      </w:rPr>
      <w:tblPr/>
      <w:tcPr>
        <w:tcBorders>
          <w:left w:val="nil"/>
          <w:right w:val="nil"/>
          <w:insideH w:val="nil"/>
          <w:insideV w:val="nil"/>
        </w:tcBorders>
        <w:shd w:val="clear" w:color="auto" w:fill="9CD2F4"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styleId="Mention">
    <w:name w:val="Mention"/>
    <w:basedOn w:val="DefaultParagraphFont"/>
    <w:uiPriority w:val="99"/>
    <w:semiHidden/>
    <w:rsid w:val="00CF26C4"/>
    <w:rPr>
      <w:color w:val="2B579A"/>
      <w:shd w:val="clear" w:color="auto" w:fill="E1DFDD"/>
    </w:rPr>
  </w:style>
  <w:style w:type="paragraph" w:styleId="MessageHeader">
    <w:name w:val="Message Header"/>
    <w:basedOn w:val="Normal"/>
    <w:link w:val="MessageHeaderChar"/>
    <w:uiPriority w:val="99"/>
    <w:semiHidden/>
    <w:rsid w:val="00CF26C4"/>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CF26C4"/>
    <w:rPr>
      <w:rFonts w:asciiTheme="majorHAnsi" w:eastAsiaTheme="majorEastAsia" w:hAnsiTheme="majorHAnsi" w:cstheme="majorBidi"/>
      <w:sz w:val="24"/>
      <w:szCs w:val="24"/>
      <w:shd w:val="pct20" w:color="auto" w:fill="auto"/>
      <w:lang w:val="en-GB"/>
    </w:rPr>
  </w:style>
  <w:style w:type="paragraph" w:styleId="NoSpacing">
    <w:name w:val="No Spacing"/>
    <w:basedOn w:val="Normal"/>
    <w:uiPriority w:val="99"/>
    <w:qFormat/>
    <w:rsid w:val="00CF26C4"/>
    <w:pPr>
      <w:spacing w:after="0"/>
    </w:pPr>
    <w:rPr>
      <w:rFonts w:eastAsiaTheme="minorHAnsi"/>
      <w:szCs w:val="18"/>
    </w:rPr>
  </w:style>
  <w:style w:type="paragraph" w:styleId="NormalWeb">
    <w:name w:val="Normal (Web)"/>
    <w:basedOn w:val="Normal"/>
    <w:uiPriority w:val="99"/>
    <w:semiHidden/>
    <w:rsid w:val="00CF26C4"/>
    <w:rPr>
      <w:rFonts w:cs="Arial"/>
      <w:sz w:val="24"/>
      <w:szCs w:val="24"/>
    </w:rPr>
  </w:style>
  <w:style w:type="paragraph" w:styleId="NormalIndent">
    <w:name w:val="Normal Indent"/>
    <w:basedOn w:val="Normal"/>
    <w:uiPriority w:val="99"/>
    <w:semiHidden/>
    <w:rsid w:val="00CF26C4"/>
    <w:pPr>
      <w:ind w:left="1134"/>
    </w:pPr>
  </w:style>
  <w:style w:type="paragraph" w:styleId="NoteHeading">
    <w:name w:val="Note Heading"/>
    <w:basedOn w:val="Normal"/>
    <w:next w:val="Normal"/>
    <w:link w:val="NoteHeadingChar"/>
    <w:uiPriority w:val="99"/>
    <w:semiHidden/>
    <w:rsid w:val="00CF26C4"/>
  </w:style>
  <w:style w:type="character" w:customStyle="1" w:styleId="NoteHeadingChar">
    <w:name w:val="Note Heading Char"/>
    <w:basedOn w:val="DefaultParagraphFont"/>
    <w:link w:val="NoteHeading"/>
    <w:uiPriority w:val="99"/>
    <w:semiHidden/>
    <w:rsid w:val="00CF26C4"/>
    <w:rPr>
      <w:lang w:val="en-GB"/>
    </w:rPr>
  </w:style>
  <w:style w:type="character" w:styleId="PageNumber">
    <w:name w:val="page number"/>
    <w:basedOn w:val="DefaultParagraphFont"/>
    <w:uiPriority w:val="21"/>
    <w:semiHidden/>
    <w:rsid w:val="00CF26C4"/>
    <w:rPr>
      <w:color w:val="404040"/>
      <w:sz w:val="28"/>
    </w:rPr>
  </w:style>
  <w:style w:type="character" w:styleId="PlaceholderText">
    <w:name w:val="Placeholder Text"/>
    <w:basedOn w:val="DefaultParagraphFont"/>
    <w:uiPriority w:val="99"/>
    <w:semiHidden/>
    <w:rsid w:val="00CF26C4"/>
    <w:rPr>
      <w:color w:val="auto"/>
    </w:rPr>
  </w:style>
  <w:style w:type="table" w:styleId="PlainTable1">
    <w:name w:val="Plain Table 1"/>
    <w:basedOn w:val="TableNormal"/>
    <w:uiPriority w:val="41"/>
    <w:rsid w:val="00CF26C4"/>
    <w:pPr>
      <w:spacing w:after="0"/>
    </w:pPr>
    <w:rPr>
      <w:rFonts w:eastAsiaTheme="minorHAnsi" w:cs="Arial"/>
      <w:sz w:val="18"/>
      <w:szCs w:val="18"/>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CF26C4"/>
    <w:pPr>
      <w:spacing w:after="0"/>
    </w:pPr>
    <w:rPr>
      <w:rFonts w:eastAsiaTheme="minorHAnsi" w:cs="Arial"/>
      <w:sz w:val="18"/>
      <w:szCs w:val="18"/>
    </w:rPr>
    <w:tblPr>
      <w:tblStyleRowBandSize w:val="1"/>
      <w:tblStyleColBandSize w:val="1"/>
      <w:tblBorders>
        <w:top w:val="single" w:sz="4" w:space="0" w:color="8E8989" w:themeColor="text1" w:themeTint="80"/>
        <w:bottom w:val="single" w:sz="4" w:space="0" w:color="8E8989" w:themeColor="text1" w:themeTint="80"/>
      </w:tblBorders>
    </w:tblPr>
    <w:tblStylePr w:type="firstRow">
      <w:rPr>
        <w:b/>
        <w:bCs/>
      </w:rPr>
      <w:tblPr/>
      <w:tcPr>
        <w:tcBorders>
          <w:bottom w:val="single" w:sz="4" w:space="0" w:color="8E8989" w:themeColor="text1" w:themeTint="80"/>
        </w:tcBorders>
      </w:tcPr>
    </w:tblStylePr>
    <w:tblStylePr w:type="lastRow">
      <w:rPr>
        <w:b/>
        <w:bCs/>
      </w:rPr>
      <w:tblPr/>
      <w:tcPr>
        <w:tcBorders>
          <w:top w:val="single" w:sz="4" w:space="0" w:color="8E8989" w:themeColor="text1" w:themeTint="80"/>
        </w:tcBorders>
      </w:tcPr>
    </w:tblStylePr>
    <w:tblStylePr w:type="firstCol">
      <w:rPr>
        <w:b/>
        <w:bCs/>
      </w:rPr>
    </w:tblStylePr>
    <w:tblStylePr w:type="lastCol">
      <w:rPr>
        <w:b/>
        <w:bCs/>
      </w:rPr>
    </w:tblStylePr>
    <w:tblStylePr w:type="band1Vert">
      <w:tblPr/>
      <w:tcPr>
        <w:tcBorders>
          <w:left w:val="single" w:sz="4" w:space="0" w:color="8E8989" w:themeColor="text1" w:themeTint="80"/>
          <w:right w:val="single" w:sz="4" w:space="0" w:color="8E8989" w:themeColor="text1" w:themeTint="80"/>
        </w:tcBorders>
      </w:tcPr>
    </w:tblStylePr>
    <w:tblStylePr w:type="band2Vert">
      <w:tblPr/>
      <w:tcPr>
        <w:tcBorders>
          <w:left w:val="single" w:sz="4" w:space="0" w:color="8E8989" w:themeColor="text1" w:themeTint="80"/>
          <w:right w:val="single" w:sz="4" w:space="0" w:color="8E8989" w:themeColor="text1" w:themeTint="80"/>
        </w:tcBorders>
      </w:tcPr>
    </w:tblStylePr>
    <w:tblStylePr w:type="band1Horz">
      <w:tblPr/>
      <w:tcPr>
        <w:tcBorders>
          <w:top w:val="single" w:sz="4" w:space="0" w:color="8E8989" w:themeColor="text1" w:themeTint="80"/>
          <w:bottom w:val="single" w:sz="4" w:space="0" w:color="8E8989" w:themeColor="text1" w:themeTint="80"/>
        </w:tcBorders>
      </w:tcPr>
    </w:tblStylePr>
  </w:style>
  <w:style w:type="table" w:styleId="PlainTable3">
    <w:name w:val="Plain Table 3"/>
    <w:basedOn w:val="TableNormal"/>
    <w:uiPriority w:val="43"/>
    <w:rsid w:val="00CF26C4"/>
    <w:pPr>
      <w:spacing w:after="0"/>
    </w:pPr>
    <w:rPr>
      <w:rFonts w:eastAsiaTheme="minorHAnsi" w:cs="Arial"/>
      <w:sz w:val="18"/>
      <w:szCs w:val="18"/>
    </w:rPr>
    <w:tblPr>
      <w:tblStyleRowBandSize w:val="1"/>
      <w:tblStyleColBandSize w:val="1"/>
    </w:tblPr>
    <w:tblStylePr w:type="firstRow">
      <w:rPr>
        <w:b/>
        <w:bCs/>
        <w:caps/>
      </w:rPr>
      <w:tblPr/>
      <w:tcPr>
        <w:tcBorders>
          <w:bottom w:val="single" w:sz="4" w:space="0" w:color="8E8989"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8E8989"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CF26C4"/>
    <w:pPr>
      <w:spacing w:after="0"/>
    </w:pPr>
    <w:rPr>
      <w:rFonts w:eastAsiaTheme="minorHAnsi" w:cs="Arial"/>
      <w:sz w:val="18"/>
      <w:szCs w:val="18"/>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CF26C4"/>
    <w:pPr>
      <w:spacing w:after="0"/>
    </w:pPr>
    <w:rPr>
      <w:rFonts w:eastAsiaTheme="minorHAnsi" w:cs="Arial"/>
      <w:sz w:val="18"/>
      <w:szCs w:val="18"/>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E8989"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E8989"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E8989"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E8989"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rsid w:val="00CF26C4"/>
    <w:rPr>
      <w:rFonts w:cs="Arial"/>
      <w:sz w:val="21"/>
      <w:szCs w:val="21"/>
    </w:rPr>
  </w:style>
  <w:style w:type="character" w:customStyle="1" w:styleId="PlainTextChar">
    <w:name w:val="Plain Text Char"/>
    <w:basedOn w:val="DefaultParagraphFont"/>
    <w:link w:val="PlainText"/>
    <w:uiPriority w:val="99"/>
    <w:semiHidden/>
    <w:rsid w:val="00CF26C4"/>
    <w:rPr>
      <w:rFonts w:cs="Arial"/>
      <w:sz w:val="21"/>
      <w:szCs w:val="21"/>
      <w:lang w:val="en-GB"/>
    </w:rPr>
  </w:style>
  <w:style w:type="paragraph" w:styleId="Quote">
    <w:name w:val="Quote"/>
    <w:basedOn w:val="Normal"/>
    <w:next w:val="Normal"/>
    <w:link w:val="QuoteChar"/>
    <w:uiPriority w:val="99"/>
    <w:semiHidden/>
    <w:rsid w:val="00CF26C4"/>
    <w:pPr>
      <w:spacing w:before="260" w:after="260"/>
      <w:ind w:left="567" w:right="567"/>
    </w:pPr>
    <w:rPr>
      <w:b/>
      <w:iCs/>
      <w:color w:val="1A1919" w:themeColor="text1"/>
    </w:rPr>
  </w:style>
  <w:style w:type="character" w:customStyle="1" w:styleId="QuoteChar">
    <w:name w:val="Quote Char"/>
    <w:basedOn w:val="DefaultParagraphFont"/>
    <w:link w:val="Quote"/>
    <w:uiPriority w:val="99"/>
    <w:rsid w:val="00CF26C4"/>
    <w:rPr>
      <w:b/>
      <w:iCs/>
      <w:color w:val="1A1919" w:themeColor="text1"/>
      <w:lang w:val="en-GB"/>
    </w:rPr>
  </w:style>
  <w:style w:type="paragraph" w:customStyle="1" w:styleId="Recipient">
    <w:name w:val="Recipient"/>
    <w:basedOn w:val="Normal"/>
    <w:uiPriority w:val="9"/>
    <w:semiHidden/>
    <w:rsid w:val="00CF26C4"/>
    <w:pPr>
      <w:spacing w:after="480"/>
      <w:contextualSpacing/>
    </w:pPr>
  </w:style>
  <w:style w:type="paragraph" w:styleId="Salutation">
    <w:name w:val="Salutation"/>
    <w:basedOn w:val="Normal"/>
    <w:next w:val="Normal"/>
    <w:link w:val="SalutationChar"/>
    <w:uiPriority w:val="99"/>
    <w:semiHidden/>
    <w:rsid w:val="00CF26C4"/>
  </w:style>
  <w:style w:type="character" w:customStyle="1" w:styleId="SalutationChar">
    <w:name w:val="Salutation Char"/>
    <w:basedOn w:val="DefaultParagraphFont"/>
    <w:link w:val="Salutation"/>
    <w:uiPriority w:val="99"/>
    <w:semiHidden/>
    <w:rsid w:val="00CF26C4"/>
    <w:rPr>
      <w:lang w:val="en-GB"/>
    </w:rPr>
  </w:style>
  <w:style w:type="paragraph" w:styleId="Signature">
    <w:name w:val="Signature"/>
    <w:basedOn w:val="Normal"/>
    <w:link w:val="SignatureChar"/>
    <w:uiPriority w:val="10"/>
    <w:semiHidden/>
    <w:rsid w:val="00CF26C4"/>
    <w:pPr>
      <w:spacing w:after="240"/>
      <w:contextualSpacing/>
    </w:pPr>
  </w:style>
  <w:style w:type="character" w:customStyle="1" w:styleId="SignatureChar">
    <w:name w:val="Signature Char"/>
    <w:basedOn w:val="DefaultParagraphFont"/>
    <w:link w:val="Signature"/>
    <w:uiPriority w:val="10"/>
    <w:semiHidden/>
    <w:rsid w:val="00CF26C4"/>
    <w:rPr>
      <w:lang w:val="en-GB"/>
    </w:rPr>
  </w:style>
  <w:style w:type="character" w:styleId="SmartHyperlink">
    <w:name w:val="Smart Hyperlink"/>
    <w:basedOn w:val="DefaultParagraphFont"/>
    <w:uiPriority w:val="99"/>
    <w:semiHidden/>
    <w:rsid w:val="00CF26C4"/>
    <w:rPr>
      <w:u w:val="dotted"/>
    </w:rPr>
  </w:style>
  <w:style w:type="character" w:styleId="Strong">
    <w:name w:val="Strong"/>
    <w:basedOn w:val="DefaultParagraphFont"/>
    <w:uiPriority w:val="99"/>
    <w:semiHidden/>
    <w:rsid w:val="00CF26C4"/>
    <w:rPr>
      <w:b/>
      <w:bCs/>
    </w:rPr>
  </w:style>
  <w:style w:type="paragraph" w:styleId="Subtitle">
    <w:name w:val="Subtitle"/>
    <w:basedOn w:val="Normal"/>
    <w:next w:val="Normal"/>
    <w:link w:val="SubtitleChar"/>
    <w:uiPriority w:val="19"/>
    <w:semiHidden/>
    <w:rsid w:val="00CF26C4"/>
    <w:pPr>
      <w:numPr>
        <w:ilvl w:val="1"/>
      </w:numPr>
      <w:spacing w:after="220" w:line="840" w:lineRule="atLeast"/>
      <w:contextualSpacing/>
    </w:pPr>
    <w:rPr>
      <w:rFonts w:eastAsiaTheme="majorEastAsia" w:cs="Arial"/>
      <w:iCs/>
      <w:caps/>
      <w:color w:val="auto"/>
      <w:spacing w:val="15"/>
      <w:kern w:val="28"/>
      <w:sz w:val="84"/>
      <w:szCs w:val="24"/>
    </w:rPr>
  </w:style>
  <w:style w:type="character" w:customStyle="1" w:styleId="SubtitleChar">
    <w:name w:val="Subtitle Char"/>
    <w:basedOn w:val="DefaultParagraphFont"/>
    <w:link w:val="Subtitle"/>
    <w:uiPriority w:val="19"/>
    <w:rsid w:val="00CF26C4"/>
    <w:rPr>
      <w:rFonts w:eastAsiaTheme="majorEastAsia" w:cs="Arial"/>
      <w:iCs/>
      <w:caps/>
      <w:color w:val="auto"/>
      <w:spacing w:val="15"/>
      <w:kern w:val="28"/>
      <w:sz w:val="84"/>
      <w:szCs w:val="24"/>
      <w:lang w:val="en-GB"/>
    </w:rPr>
  </w:style>
  <w:style w:type="character" w:styleId="SubtleEmphasis">
    <w:name w:val="Subtle Emphasis"/>
    <w:basedOn w:val="DefaultParagraphFont"/>
    <w:uiPriority w:val="99"/>
    <w:semiHidden/>
    <w:qFormat/>
    <w:rsid w:val="00CF26C4"/>
    <w:rPr>
      <w:i/>
      <w:iCs/>
      <w:color w:val="8F8A8A" w:themeColor="text1" w:themeTint="7F"/>
    </w:rPr>
  </w:style>
  <w:style w:type="character" w:styleId="SubtleReference">
    <w:name w:val="Subtle Reference"/>
    <w:basedOn w:val="DefaultParagraphFont"/>
    <w:uiPriority w:val="99"/>
    <w:semiHidden/>
    <w:qFormat/>
    <w:rsid w:val="00CF26C4"/>
    <w:rPr>
      <w:caps w:val="0"/>
      <w:smallCaps w:val="0"/>
      <w:color w:val="auto"/>
      <w:u w:val="single"/>
    </w:rPr>
  </w:style>
  <w:style w:type="paragraph" w:customStyle="1" w:styleId="Table">
    <w:name w:val="Table"/>
    <w:uiPriority w:val="4"/>
    <w:semiHidden/>
    <w:rsid w:val="00CF26C4"/>
    <w:pPr>
      <w:spacing w:before="40" w:line="280" w:lineRule="atLeast"/>
      <w:ind w:left="113" w:right="113"/>
    </w:pPr>
    <w:rPr>
      <w:rFonts w:eastAsiaTheme="minorHAnsi"/>
      <w:szCs w:val="18"/>
      <w:lang w:val="en-GB"/>
    </w:rPr>
  </w:style>
  <w:style w:type="paragraph" w:customStyle="1" w:styleId="Table-Heading">
    <w:name w:val="Table - Heading"/>
    <w:basedOn w:val="Table"/>
    <w:uiPriority w:val="5"/>
    <w:rsid w:val="00CF26C4"/>
    <w:rPr>
      <w:b/>
      <w:color w:val="auto"/>
    </w:rPr>
  </w:style>
  <w:style w:type="paragraph" w:customStyle="1" w:styleId="Table-HeadingRight">
    <w:name w:val="Table - Heading Right"/>
    <w:basedOn w:val="Table"/>
    <w:uiPriority w:val="6"/>
    <w:rsid w:val="00CF26C4"/>
    <w:pPr>
      <w:jc w:val="right"/>
    </w:pPr>
    <w:rPr>
      <w:b/>
      <w:color w:val="1A1919" w:themeColor="text1"/>
    </w:rPr>
  </w:style>
  <w:style w:type="paragraph" w:customStyle="1" w:styleId="Table-TextRight">
    <w:name w:val="Table - Text Right"/>
    <w:basedOn w:val="Table"/>
    <w:uiPriority w:val="6"/>
    <w:rsid w:val="00CF26C4"/>
    <w:pPr>
      <w:jc w:val="right"/>
    </w:pPr>
  </w:style>
  <w:style w:type="paragraph" w:customStyle="1" w:styleId="Table-TextTotalRight">
    <w:name w:val="Table - Text Total Right"/>
    <w:basedOn w:val="Table-TextRight"/>
    <w:uiPriority w:val="6"/>
    <w:rsid w:val="00CF26C4"/>
    <w:rPr>
      <w:b/>
    </w:rPr>
  </w:style>
  <w:style w:type="paragraph" w:customStyle="1" w:styleId="Table-Text">
    <w:name w:val="Table - Text"/>
    <w:basedOn w:val="Table"/>
    <w:uiPriority w:val="5"/>
    <w:rsid w:val="00CF26C4"/>
  </w:style>
  <w:style w:type="paragraph" w:customStyle="1" w:styleId="Table-TextTotal">
    <w:name w:val="Table - Text Total"/>
    <w:basedOn w:val="Table-Text"/>
    <w:uiPriority w:val="5"/>
    <w:rsid w:val="00CF26C4"/>
    <w:rPr>
      <w:b/>
    </w:rPr>
  </w:style>
  <w:style w:type="table" w:styleId="Table3Deffects1">
    <w:name w:val="Table 3D effects 1"/>
    <w:basedOn w:val="TableNormal"/>
    <w:uiPriority w:val="99"/>
    <w:semiHidden/>
    <w:unhideWhenUsed/>
    <w:rsid w:val="00CF26C4"/>
    <w:pPr>
      <w:spacing w:after="0" w:line="260" w:lineRule="atLeast"/>
    </w:pPr>
    <w:rPr>
      <w:rFonts w:eastAsiaTheme="minorHAnsi" w:cs="Arial"/>
      <w:sz w:val="18"/>
      <w:szCs w:val="18"/>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CF26C4"/>
    <w:pPr>
      <w:spacing w:after="0" w:line="260" w:lineRule="atLeast"/>
    </w:pPr>
    <w:rPr>
      <w:rFonts w:eastAsiaTheme="minorHAnsi" w:cs="Arial"/>
      <w:sz w:val="18"/>
      <w:szCs w:val="18"/>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CF26C4"/>
    <w:pPr>
      <w:spacing w:after="0" w:line="260" w:lineRule="atLeast"/>
    </w:pPr>
    <w:rPr>
      <w:rFonts w:eastAsiaTheme="minorHAnsi" w:cs="Arial"/>
      <w:sz w:val="18"/>
      <w:szCs w:val="18"/>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CF26C4"/>
    <w:pPr>
      <w:spacing w:after="0" w:line="260" w:lineRule="atLeast"/>
    </w:pPr>
    <w:rPr>
      <w:rFonts w:eastAsiaTheme="minorHAnsi" w:cs="Arial"/>
      <w:sz w:val="18"/>
      <w:szCs w:val="18"/>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CF26C4"/>
    <w:pPr>
      <w:spacing w:after="0" w:line="260" w:lineRule="atLeast"/>
    </w:pPr>
    <w:rPr>
      <w:rFonts w:eastAsiaTheme="minorHAnsi" w:cs="Arial"/>
      <w:sz w:val="18"/>
      <w:szCs w:val="18"/>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CF26C4"/>
    <w:pPr>
      <w:spacing w:after="0" w:line="260" w:lineRule="atLeast"/>
    </w:pPr>
    <w:rPr>
      <w:rFonts w:eastAsiaTheme="minorHAnsi" w:cs="Arial"/>
      <w:color w:val="000080"/>
      <w:sz w:val="18"/>
      <w:szCs w:val="18"/>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CF26C4"/>
    <w:pPr>
      <w:spacing w:after="0" w:line="260" w:lineRule="atLeast"/>
    </w:pPr>
    <w:rPr>
      <w:rFonts w:eastAsiaTheme="minorHAnsi" w:cs="Arial"/>
      <w:sz w:val="18"/>
      <w:szCs w:val="18"/>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CF26C4"/>
    <w:pPr>
      <w:spacing w:after="0" w:line="260" w:lineRule="atLeast"/>
    </w:pPr>
    <w:rPr>
      <w:rFonts w:eastAsiaTheme="minorHAnsi" w:cs="Arial"/>
      <w:color w:val="FFFFFF"/>
      <w:sz w:val="18"/>
      <w:szCs w:val="18"/>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CF26C4"/>
    <w:pPr>
      <w:spacing w:after="0" w:line="260" w:lineRule="atLeast"/>
    </w:pPr>
    <w:rPr>
      <w:rFonts w:eastAsiaTheme="minorHAnsi" w:cs="Arial"/>
      <w:sz w:val="18"/>
      <w:szCs w:val="18"/>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CF26C4"/>
    <w:pPr>
      <w:spacing w:after="0" w:line="260" w:lineRule="atLeast"/>
    </w:pPr>
    <w:rPr>
      <w:rFonts w:eastAsiaTheme="minorHAnsi" w:cs="Arial"/>
      <w:sz w:val="18"/>
      <w:szCs w:val="18"/>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CF26C4"/>
    <w:pPr>
      <w:spacing w:after="0" w:line="260" w:lineRule="atLeast"/>
    </w:pPr>
    <w:rPr>
      <w:rFonts w:eastAsiaTheme="minorHAnsi" w:cs="Arial"/>
      <w:b/>
      <w:bCs/>
      <w:sz w:val="18"/>
      <w:szCs w:val="18"/>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CF26C4"/>
    <w:pPr>
      <w:spacing w:after="0" w:line="260" w:lineRule="atLeast"/>
    </w:pPr>
    <w:rPr>
      <w:rFonts w:eastAsiaTheme="minorHAnsi" w:cs="Arial"/>
      <w:b/>
      <w:bCs/>
      <w:sz w:val="18"/>
      <w:szCs w:val="18"/>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CF26C4"/>
    <w:pPr>
      <w:spacing w:after="0" w:line="260" w:lineRule="atLeast"/>
    </w:pPr>
    <w:rPr>
      <w:rFonts w:eastAsiaTheme="minorHAnsi" w:cs="Arial"/>
      <w:b/>
      <w:bCs/>
      <w:sz w:val="18"/>
      <w:szCs w:val="18"/>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CF26C4"/>
    <w:pPr>
      <w:spacing w:after="0" w:line="260" w:lineRule="atLeast"/>
    </w:pPr>
    <w:rPr>
      <w:rFonts w:eastAsiaTheme="minorHAnsi" w:cs="Arial"/>
      <w:sz w:val="18"/>
      <w:szCs w:val="18"/>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CF26C4"/>
    <w:pPr>
      <w:spacing w:after="0" w:line="260" w:lineRule="atLeast"/>
    </w:pPr>
    <w:rPr>
      <w:rFonts w:eastAsiaTheme="minorHAnsi" w:cs="Arial"/>
      <w:sz w:val="18"/>
      <w:szCs w:val="18"/>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CF26C4"/>
    <w:pPr>
      <w:spacing w:after="0" w:line="260" w:lineRule="atLeast"/>
    </w:pPr>
    <w:rPr>
      <w:rFonts w:eastAsiaTheme="minorHAnsi" w:cs="Arial"/>
      <w:sz w:val="18"/>
      <w:szCs w:val="18"/>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CF26C4"/>
    <w:pPr>
      <w:spacing w:after="0" w:line="260" w:lineRule="atLeast"/>
    </w:pPr>
    <w:rPr>
      <w:rFonts w:eastAsiaTheme="minorHAnsi" w:cs="Arial"/>
      <w:sz w:val="18"/>
      <w:szCs w:val="18"/>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59"/>
    <w:rsid w:val="00CF26C4"/>
    <w:pPr>
      <w:spacing w:after="0" w:line="260" w:lineRule="atLeast"/>
    </w:pPr>
    <w:rPr>
      <w:rFonts w:eastAsiaTheme="minorHAnsi" w:cs="Arial"/>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unhideWhenUsed/>
    <w:rsid w:val="00CF26C4"/>
    <w:pPr>
      <w:spacing w:after="0" w:line="260" w:lineRule="atLeast"/>
    </w:pPr>
    <w:rPr>
      <w:rFonts w:eastAsiaTheme="minorHAnsi" w:cs="Arial"/>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CF26C4"/>
    <w:pPr>
      <w:spacing w:after="0" w:line="260" w:lineRule="atLeast"/>
    </w:pPr>
    <w:rPr>
      <w:rFonts w:eastAsiaTheme="minorHAnsi" w:cs="Arial"/>
      <w:sz w:val="18"/>
      <w:szCs w:val="18"/>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CF26C4"/>
    <w:pPr>
      <w:spacing w:after="0" w:line="260" w:lineRule="atLeast"/>
    </w:pPr>
    <w:rPr>
      <w:rFonts w:eastAsiaTheme="minorHAnsi" w:cs="Arial"/>
      <w:sz w:val="18"/>
      <w:szCs w:val="18"/>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CF26C4"/>
    <w:pPr>
      <w:spacing w:after="0" w:line="260" w:lineRule="atLeast"/>
    </w:pPr>
    <w:rPr>
      <w:rFonts w:eastAsiaTheme="minorHAnsi" w:cs="Arial"/>
      <w:sz w:val="18"/>
      <w:szCs w:val="18"/>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CF26C4"/>
    <w:pPr>
      <w:spacing w:after="0" w:line="260" w:lineRule="atLeast"/>
    </w:pPr>
    <w:rPr>
      <w:rFonts w:eastAsiaTheme="minorHAnsi" w:cs="Arial"/>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CF26C4"/>
    <w:pPr>
      <w:spacing w:after="0" w:line="260" w:lineRule="atLeast"/>
    </w:pPr>
    <w:rPr>
      <w:rFonts w:eastAsiaTheme="minorHAnsi" w:cs="Arial"/>
      <w:sz w:val="18"/>
      <w:szCs w:val="18"/>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CF26C4"/>
    <w:pPr>
      <w:spacing w:after="0" w:line="260" w:lineRule="atLeast"/>
    </w:pPr>
    <w:rPr>
      <w:rFonts w:eastAsiaTheme="minorHAnsi" w:cs="Arial"/>
      <w:b/>
      <w:bCs/>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CF26C4"/>
    <w:pPr>
      <w:spacing w:after="0" w:line="260" w:lineRule="atLeast"/>
    </w:pPr>
    <w:rPr>
      <w:rFonts w:eastAsiaTheme="minorHAnsi" w:cs="Arial"/>
      <w:sz w:val="18"/>
      <w:szCs w:val="18"/>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CF26C4"/>
    <w:pPr>
      <w:spacing w:after="0"/>
    </w:pPr>
    <w:rPr>
      <w:rFonts w:eastAsiaTheme="minorHAnsi" w:cs="Arial"/>
      <w:sz w:val="18"/>
      <w:szCs w:val="18"/>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CF26C4"/>
    <w:pPr>
      <w:spacing w:after="0" w:line="260" w:lineRule="atLeast"/>
    </w:pPr>
    <w:rPr>
      <w:rFonts w:eastAsiaTheme="minorHAnsi" w:cs="Arial"/>
      <w:sz w:val="18"/>
      <w:szCs w:val="18"/>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CF26C4"/>
    <w:pPr>
      <w:spacing w:after="0" w:line="260" w:lineRule="atLeast"/>
    </w:pPr>
    <w:rPr>
      <w:rFonts w:eastAsiaTheme="minorHAnsi" w:cs="Arial"/>
      <w:sz w:val="18"/>
      <w:szCs w:val="18"/>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CF26C4"/>
    <w:pPr>
      <w:spacing w:after="0" w:line="260" w:lineRule="atLeast"/>
    </w:pPr>
    <w:rPr>
      <w:rFonts w:eastAsiaTheme="minorHAnsi" w:cs="Arial"/>
      <w:sz w:val="18"/>
      <w:szCs w:val="18"/>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CF26C4"/>
    <w:pPr>
      <w:spacing w:after="0" w:line="260" w:lineRule="atLeast"/>
    </w:pPr>
    <w:rPr>
      <w:rFonts w:eastAsiaTheme="minorHAnsi" w:cs="Arial"/>
      <w:sz w:val="18"/>
      <w:szCs w:val="18"/>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CF26C4"/>
    <w:pPr>
      <w:spacing w:after="0" w:line="260" w:lineRule="atLeast"/>
    </w:pPr>
    <w:rPr>
      <w:rFonts w:eastAsiaTheme="minorHAnsi" w:cs="Arial"/>
      <w:sz w:val="18"/>
      <w:szCs w:val="18"/>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CF26C4"/>
    <w:pPr>
      <w:spacing w:after="0" w:line="260" w:lineRule="atLeast"/>
    </w:pPr>
    <w:rPr>
      <w:rFonts w:eastAsiaTheme="minorHAnsi" w:cs="Arial"/>
      <w:sz w:val="18"/>
      <w:szCs w:val="18"/>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CF26C4"/>
    <w:pPr>
      <w:spacing w:after="0" w:line="260" w:lineRule="atLeast"/>
    </w:pPr>
    <w:rPr>
      <w:rFonts w:eastAsiaTheme="minorHAnsi" w:cs="Arial"/>
      <w:sz w:val="18"/>
      <w:szCs w:val="18"/>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CF26C4"/>
    <w:pPr>
      <w:spacing w:after="0" w:line="260" w:lineRule="atLeast"/>
    </w:pPr>
    <w:rPr>
      <w:rFonts w:eastAsiaTheme="minorHAnsi" w:cs="Arial"/>
      <w:sz w:val="18"/>
      <w:szCs w:val="18"/>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10"/>
    <w:semiHidden/>
    <w:rsid w:val="00CF26C4"/>
    <w:pPr>
      <w:ind w:right="567"/>
    </w:pPr>
  </w:style>
  <w:style w:type="paragraph" w:styleId="TableofFigures">
    <w:name w:val="table of figures"/>
    <w:basedOn w:val="Normal"/>
    <w:next w:val="Normal"/>
    <w:uiPriority w:val="99"/>
    <w:rsid w:val="00CF26C4"/>
    <w:pPr>
      <w:spacing w:after="60"/>
      <w:ind w:right="567"/>
    </w:pPr>
  </w:style>
  <w:style w:type="table" w:styleId="TableProfessional">
    <w:name w:val="Table Professional"/>
    <w:basedOn w:val="TableNormal"/>
    <w:uiPriority w:val="99"/>
    <w:semiHidden/>
    <w:unhideWhenUsed/>
    <w:rsid w:val="00CF26C4"/>
    <w:pPr>
      <w:spacing w:after="0" w:line="260" w:lineRule="atLeast"/>
    </w:pPr>
    <w:rPr>
      <w:rFonts w:eastAsiaTheme="minorHAnsi" w:cs="Arial"/>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CF26C4"/>
    <w:pPr>
      <w:spacing w:after="0" w:line="260" w:lineRule="atLeast"/>
    </w:pPr>
    <w:rPr>
      <w:rFonts w:eastAsiaTheme="minorHAnsi" w:cs="Arial"/>
      <w:sz w:val="18"/>
      <w:szCs w:val="18"/>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CF26C4"/>
    <w:pPr>
      <w:spacing w:after="0" w:line="260" w:lineRule="atLeast"/>
    </w:pPr>
    <w:rPr>
      <w:rFonts w:eastAsiaTheme="minorHAnsi" w:cs="Arial"/>
      <w:sz w:val="18"/>
      <w:szCs w:val="18"/>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CF26C4"/>
    <w:pPr>
      <w:spacing w:after="0" w:line="260" w:lineRule="atLeast"/>
    </w:pPr>
    <w:rPr>
      <w:rFonts w:eastAsiaTheme="minorHAnsi" w:cs="Arial"/>
      <w:sz w:val="18"/>
      <w:szCs w:val="18"/>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CF26C4"/>
    <w:pPr>
      <w:spacing w:after="0" w:line="260" w:lineRule="atLeast"/>
    </w:pPr>
    <w:rPr>
      <w:rFonts w:eastAsiaTheme="minorHAnsi" w:cs="Arial"/>
      <w:sz w:val="18"/>
      <w:szCs w:val="18"/>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CF26C4"/>
    <w:pPr>
      <w:spacing w:after="0" w:line="260" w:lineRule="atLeast"/>
    </w:pPr>
    <w:rPr>
      <w:rFonts w:eastAsiaTheme="minorHAnsi" w:cs="Arial"/>
      <w:sz w:val="18"/>
      <w:szCs w:val="18"/>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CF26C4"/>
    <w:pPr>
      <w:spacing w:after="0" w:line="260" w:lineRule="atLeast"/>
    </w:pPr>
    <w:rPr>
      <w:rFonts w:eastAsiaTheme="minorHAnsi" w:cs="Arial"/>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CF26C4"/>
    <w:pPr>
      <w:spacing w:after="0" w:line="260" w:lineRule="atLeast"/>
    </w:pPr>
    <w:rPr>
      <w:rFonts w:eastAsiaTheme="minorHAnsi" w:cs="Arial"/>
      <w:sz w:val="18"/>
      <w:szCs w:val="18"/>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CF26C4"/>
    <w:pPr>
      <w:spacing w:after="0" w:line="260" w:lineRule="atLeast"/>
    </w:pPr>
    <w:rPr>
      <w:rFonts w:eastAsiaTheme="minorHAnsi" w:cs="Arial"/>
      <w:sz w:val="18"/>
      <w:szCs w:val="18"/>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CF26C4"/>
    <w:pPr>
      <w:spacing w:after="0" w:line="260" w:lineRule="atLeast"/>
    </w:pPr>
    <w:rPr>
      <w:rFonts w:eastAsiaTheme="minorHAnsi" w:cs="Arial"/>
      <w:sz w:val="18"/>
      <w:szCs w:val="18"/>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emplate">
    <w:name w:val="Template"/>
    <w:uiPriority w:val="9"/>
    <w:semiHidden/>
    <w:rsid w:val="00CF26C4"/>
    <w:pPr>
      <w:spacing w:after="0" w:line="260" w:lineRule="atLeast"/>
    </w:pPr>
    <w:rPr>
      <w:rFonts w:eastAsiaTheme="minorHAnsi" w:cs="Arial"/>
      <w:noProof/>
      <w:sz w:val="16"/>
      <w:szCs w:val="18"/>
      <w:lang w:val="en-GB"/>
    </w:rPr>
  </w:style>
  <w:style w:type="paragraph" w:customStyle="1" w:styleId="Template-Address">
    <w:name w:val="Template - Address"/>
    <w:basedOn w:val="Template"/>
    <w:uiPriority w:val="9"/>
    <w:semiHidden/>
    <w:rsid w:val="00CF26C4"/>
    <w:pPr>
      <w:tabs>
        <w:tab w:val="left" w:pos="567"/>
      </w:tabs>
      <w:suppressAutoHyphens/>
    </w:pPr>
  </w:style>
  <w:style w:type="paragraph" w:customStyle="1" w:styleId="Template-CompanyName">
    <w:name w:val="Template - Company Name"/>
    <w:basedOn w:val="Template-Address"/>
    <w:next w:val="Template-Address"/>
    <w:uiPriority w:val="9"/>
    <w:semiHidden/>
    <w:rsid w:val="00CF26C4"/>
    <w:pPr>
      <w:spacing w:line="200" w:lineRule="atLeast"/>
    </w:pPr>
    <w:rPr>
      <w:b/>
    </w:rPr>
  </w:style>
  <w:style w:type="paragraph" w:customStyle="1" w:styleId="Template-Date">
    <w:name w:val="Template - Date"/>
    <w:basedOn w:val="Template"/>
    <w:uiPriority w:val="9"/>
    <w:semiHidden/>
    <w:rsid w:val="00CF26C4"/>
    <w:pPr>
      <w:spacing w:after="480" w:line="240" w:lineRule="auto"/>
    </w:pPr>
    <w:rPr>
      <w:rFonts w:eastAsiaTheme="minorEastAsia"/>
      <w:sz w:val="20"/>
      <w:szCs w:val="20"/>
    </w:rPr>
  </w:style>
  <w:style w:type="paragraph" w:styleId="TOAHeading">
    <w:name w:val="toa heading"/>
    <w:basedOn w:val="Normal"/>
    <w:next w:val="Normal"/>
    <w:uiPriority w:val="39"/>
    <w:semiHidden/>
    <w:rsid w:val="00CF26C4"/>
    <w:pPr>
      <w:spacing w:after="520" w:line="360" w:lineRule="atLeast"/>
    </w:pPr>
    <w:rPr>
      <w:rFonts w:eastAsiaTheme="majorEastAsia" w:cstheme="majorBidi"/>
      <w:b/>
      <w:bCs/>
      <w:sz w:val="28"/>
      <w:szCs w:val="24"/>
    </w:rPr>
  </w:style>
  <w:style w:type="paragraph" w:styleId="TOC1">
    <w:name w:val="toc 1"/>
    <w:basedOn w:val="Normal"/>
    <w:next w:val="Normal"/>
    <w:uiPriority w:val="39"/>
    <w:rsid w:val="00DC2C09"/>
    <w:pPr>
      <w:tabs>
        <w:tab w:val="left" w:pos="851"/>
        <w:tab w:val="right" w:leader="dot" w:pos="9633"/>
      </w:tabs>
      <w:spacing w:before="180" w:after="0" w:line="260" w:lineRule="atLeast"/>
      <w:ind w:right="567"/>
    </w:pPr>
    <w:rPr>
      <w:b/>
      <w:bCs/>
    </w:rPr>
  </w:style>
  <w:style w:type="paragraph" w:styleId="TOC2">
    <w:name w:val="toc 2"/>
    <w:basedOn w:val="Normal"/>
    <w:next w:val="Normal"/>
    <w:uiPriority w:val="39"/>
    <w:rsid w:val="00CF26C4"/>
    <w:pPr>
      <w:tabs>
        <w:tab w:val="left" w:pos="1701"/>
        <w:tab w:val="right" w:leader="dot" w:pos="9633"/>
      </w:tabs>
      <w:spacing w:after="0" w:line="240" w:lineRule="atLeast"/>
      <w:ind w:left="1702" w:right="567" w:hanging="851"/>
    </w:pPr>
  </w:style>
  <w:style w:type="paragraph" w:styleId="TOC3">
    <w:name w:val="toc 3"/>
    <w:basedOn w:val="Normal"/>
    <w:next w:val="Normal"/>
    <w:uiPriority w:val="39"/>
    <w:rsid w:val="00CF26C4"/>
    <w:pPr>
      <w:tabs>
        <w:tab w:val="left" w:pos="2552"/>
        <w:tab w:val="right" w:leader="dot" w:pos="9633"/>
      </w:tabs>
      <w:spacing w:after="0" w:line="240" w:lineRule="atLeast"/>
      <w:ind w:left="2552" w:right="567" w:hanging="851"/>
    </w:pPr>
  </w:style>
  <w:style w:type="paragraph" w:styleId="TOC4">
    <w:name w:val="toc 4"/>
    <w:basedOn w:val="Normal"/>
    <w:next w:val="Normal"/>
    <w:uiPriority w:val="39"/>
    <w:rsid w:val="00CF26C4"/>
    <w:pPr>
      <w:tabs>
        <w:tab w:val="left" w:pos="2552"/>
        <w:tab w:val="right" w:leader="dot" w:pos="9633"/>
      </w:tabs>
      <w:spacing w:after="0" w:line="240" w:lineRule="atLeast"/>
      <w:ind w:left="2552" w:right="567" w:hanging="851"/>
    </w:pPr>
  </w:style>
  <w:style w:type="paragraph" w:styleId="TOC5">
    <w:name w:val="toc 5"/>
    <w:basedOn w:val="TOC1"/>
    <w:next w:val="Normal"/>
    <w:uiPriority w:val="39"/>
    <w:rsid w:val="00CF26C4"/>
    <w:pPr>
      <w:tabs>
        <w:tab w:val="clear" w:pos="851"/>
      </w:tabs>
    </w:pPr>
  </w:style>
  <w:style w:type="paragraph" w:styleId="TOC6">
    <w:name w:val="toc 6"/>
    <w:basedOn w:val="TOC2"/>
    <w:next w:val="Normal"/>
    <w:uiPriority w:val="39"/>
    <w:rsid w:val="00CF26C4"/>
    <w:pPr>
      <w:tabs>
        <w:tab w:val="clear" w:pos="1701"/>
      </w:tabs>
      <w:ind w:left="851" w:firstLine="0"/>
    </w:pPr>
  </w:style>
  <w:style w:type="paragraph" w:styleId="TOC7">
    <w:name w:val="toc 7"/>
    <w:basedOn w:val="TOC3"/>
    <w:next w:val="Normal"/>
    <w:uiPriority w:val="39"/>
    <w:rsid w:val="00CF26C4"/>
    <w:pPr>
      <w:tabs>
        <w:tab w:val="clear" w:pos="2552"/>
      </w:tabs>
      <w:ind w:left="1701" w:firstLine="0"/>
    </w:pPr>
  </w:style>
  <w:style w:type="paragraph" w:styleId="TOC8">
    <w:name w:val="toc 8"/>
    <w:basedOn w:val="TOC4"/>
    <w:next w:val="Normal"/>
    <w:uiPriority w:val="39"/>
    <w:rsid w:val="00CF26C4"/>
    <w:pPr>
      <w:tabs>
        <w:tab w:val="clear" w:pos="2552"/>
      </w:tabs>
      <w:ind w:left="1701" w:firstLine="0"/>
    </w:pPr>
  </w:style>
  <w:style w:type="paragraph" w:styleId="TOC9">
    <w:name w:val="toc 9"/>
    <w:basedOn w:val="Normal"/>
    <w:next w:val="Normal"/>
    <w:uiPriority w:val="39"/>
    <w:rsid w:val="00CF26C4"/>
    <w:pPr>
      <w:spacing w:before="180" w:after="0" w:line="240" w:lineRule="atLeast"/>
      <w:ind w:left="1418" w:hanging="1418"/>
      <w:contextualSpacing/>
    </w:pPr>
    <w:rPr>
      <w:b/>
    </w:rPr>
  </w:style>
  <w:style w:type="paragraph" w:styleId="TOCHeading">
    <w:name w:val="TOC Heading"/>
    <w:basedOn w:val="Normal"/>
    <w:next w:val="Normal"/>
    <w:uiPriority w:val="39"/>
    <w:qFormat/>
    <w:rsid w:val="00DC2C09"/>
    <w:pPr>
      <w:spacing w:before="100" w:beforeAutospacing="1" w:after="100" w:afterAutospacing="1"/>
    </w:pPr>
    <w:rPr>
      <w:sz w:val="28"/>
    </w:rPr>
  </w:style>
  <w:style w:type="character" w:styleId="UnresolvedMention">
    <w:name w:val="Unresolved Mention"/>
    <w:basedOn w:val="DefaultParagraphFont"/>
    <w:uiPriority w:val="99"/>
    <w:semiHidden/>
    <w:rsid w:val="00CF26C4"/>
    <w:rPr>
      <w:color w:val="605E5C"/>
      <w:shd w:val="clear" w:color="auto" w:fill="E1DFDD"/>
    </w:rPr>
  </w:style>
  <w:style w:type="paragraph" w:customStyle="1" w:styleId="NormalNumbered">
    <w:name w:val="Normal Numbered"/>
    <w:basedOn w:val="Normal"/>
    <w:rsid w:val="00CF26C4"/>
    <w:pPr>
      <w:numPr>
        <w:numId w:val="3"/>
      </w:numPr>
      <w:tabs>
        <w:tab w:val="clear" w:pos="714"/>
      </w:tabs>
      <w:ind w:left="851" w:hanging="851"/>
    </w:pPr>
    <w:rPr>
      <w:rFonts w:eastAsia="Times New Roman" w:cs="Times New Roman"/>
    </w:rPr>
  </w:style>
  <w:style w:type="paragraph" w:customStyle="1" w:styleId="Head1">
    <w:name w:val="Head1"/>
    <w:basedOn w:val="Normal"/>
    <w:next w:val="Normal"/>
    <w:uiPriority w:val="2"/>
    <w:qFormat/>
    <w:rsid w:val="005F73B8"/>
    <w:pPr>
      <w:pBdr>
        <w:bottom w:val="single" w:sz="24" w:space="6" w:color="636AAF" w:themeColor="accent3"/>
      </w:pBdr>
      <w:spacing w:line="192" w:lineRule="auto"/>
      <w:outlineLvl w:val="0"/>
    </w:pPr>
    <w:rPr>
      <w:rFonts w:asciiTheme="majorHAnsi" w:eastAsia="Times New Roman" w:hAnsiTheme="majorHAnsi" w:cstheme="majorHAnsi"/>
      <w:b/>
      <w:bCs/>
      <w:color w:val="auto"/>
      <w:sz w:val="48"/>
    </w:rPr>
  </w:style>
  <w:style w:type="paragraph" w:customStyle="1" w:styleId="Head2">
    <w:name w:val="Head2"/>
    <w:basedOn w:val="Normal"/>
    <w:next w:val="Normal"/>
    <w:uiPriority w:val="2"/>
    <w:qFormat/>
    <w:rsid w:val="00CB39C4"/>
    <w:pPr>
      <w:spacing w:before="360"/>
      <w:outlineLvl w:val="1"/>
    </w:pPr>
    <w:rPr>
      <w:rFonts w:asciiTheme="majorHAnsi" w:hAnsiTheme="majorHAnsi" w:cstheme="majorHAnsi"/>
      <w:b/>
      <w:bCs/>
      <w:color w:val="auto"/>
      <w:sz w:val="36"/>
    </w:rPr>
  </w:style>
  <w:style w:type="paragraph" w:customStyle="1" w:styleId="Head3">
    <w:name w:val="Head3"/>
    <w:basedOn w:val="Normal"/>
    <w:next w:val="Normal"/>
    <w:uiPriority w:val="2"/>
    <w:qFormat/>
    <w:rsid w:val="00E40E70"/>
    <w:pPr>
      <w:spacing w:before="360" w:after="240" w:line="320" w:lineRule="atLeast"/>
      <w:outlineLvl w:val="2"/>
    </w:pPr>
    <w:rPr>
      <w:rFonts w:eastAsia="Times New Roman" w:cs="Courier New"/>
      <w:b/>
      <w:color w:val="auto"/>
      <w:sz w:val="28"/>
    </w:rPr>
  </w:style>
  <w:style w:type="paragraph" w:customStyle="1" w:styleId="Head4">
    <w:name w:val="Head4"/>
    <w:basedOn w:val="Normal"/>
    <w:next w:val="Normal"/>
    <w:uiPriority w:val="2"/>
    <w:qFormat/>
    <w:rsid w:val="00CF26C4"/>
    <w:pPr>
      <w:spacing w:line="260" w:lineRule="atLeast"/>
      <w:outlineLvl w:val="3"/>
    </w:pPr>
    <w:rPr>
      <w:rFonts w:eastAsia="Times New Roman" w:cs="Courier New"/>
      <w:b/>
      <w:color w:val="auto"/>
      <w:sz w:val="22"/>
    </w:rPr>
  </w:style>
  <w:style w:type="paragraph" w:customStyle="1" w:styleId="Subject">
    <w:name w:val="Subject"/>
    <w:basedOn w:val="Normal"/>
    <w:next w:val="Normal"/>
    <w:uiPriority w:val="2"/>
    <w:semiHidden/>
    <w:rsid w:val="00CF26C4"/>
    <w:pPr>
      <w:spacing w:before="400" w:after="360"/>
    </w:pPr>
    <w:rPr>
      <w:rFonts w:eastAsia="Times New Roman" w:cs="Arial"/>
      <w:caps/>
      <w:color w:val="1A1919" w:themeColor="text1"/>
      <w:sz w:val="36"/>
    </w:rPr>
  </w:style>
  <w:style w:type="numbering" w:customStyle="1" w:styleId="ListTableBullets">
    <w:name w:val="List Table Bullets"/>
    <w:uiPriority w:val="99"/>
    <w:rsid w:val="00CF26C4"/>
    <w:pPr>
      <w:numPr>
        <w:numId w:val="13"/>
      </w:numPr>
    </w:pPr>
  </w:style>
  <w:style w:type="numbering" w:customStyle="1" w:styleId="ListLetters">
    <w:name w:val="List Letters"/>
    <w:uiPriority w:val="99"/>
    <w:rsid w:val="00CF26C4"/>
    <w:pPr>
      <w:numPr>
        <w:numId w:val="4"/>
      </w:numPr>
    </w:pPr>
  </w:style>
  <w:style w:type="numbering" w:customStyle="1" w:styleId="ListHeadings">
    <w:name w:val="List Headings"/>
    <w:uiPriority w:val="99"/>
    <w:rsid w:val="00CF26C4"/>
    <w:pPr>
      <w:numPr>
        <w:numId w:val="7"/>
      </w:numPr>
    </w:pPr>
  </w:style>
  <w:style w:type="paragraph" w:customStyle="1" w:styleId="ExcelTableDescription">
    <w:name w:val="Excel Table Description"/>
    <w:basedOn w:val="Normal"/>
    <w:uiPriority w:val="5"/>
    <w:semiHidden/>
    <w:rsid w:val="00CF26C4"/>
    <w:pPr>
      <w:spacing w:after="0"/>
    </w:pPr>
    <w:rPr>
      <w:rFonts w:eastAsia="Times New Roman" w:cs="Times New Roman"/>
      <w:lang w:eastAsia="en-AU"/>
    </w:rPr>
  </w:style>
  <w:style w:type="paragraph" w:customStyle="1" w:styleId="ExcelTableDescriptionRight">
    <w:name w:val="Excel Table Description Right"/>
    <w:basedOn w:val="ExcelTableDescription"/>
    <w:uiPriority w:val="5"/>
    <w:semiHidden/>
    <w:rsid w:val="00CF26C4"/>
    <w:pPr>
      <w:jc w:val="right"/>
    </w:pPr>
  </w:style>
  <w:style w:type="paragraph" w:customStyle="1" w:styleId="HangingQuote">
    <w:name w:val="Hanging Quote"/>
    <w:basedOn w:val="Normal"/>
    <w:uiPriority w:val="5"/>
    <w:rsid w:val="004165A1"/>
    <w:pPr>
      <w:pBdr>
        <w:top w:val="single" w:sz="36" w:space="4" w:color="636AAF" w:themeColor="accent3"/>
      </w:pBdr>
      <w:spacing w:before="360" w:after="360"/>
      <w:ind w:left="1134" w:right="1134"/>
    </w:pPr>
    <w:rPr>
      <w:rFonts w:eastAsia="Times New Roman" w:cs="Times New Roman"/>
      <w:i/>
      <w:szCs w:val="24"/>
    </w:rPr>
  </w:style>
  <w:style w:type="paragraph" w:customStyle="1" w:styleId="PageNo">
    <w:name w:val="Page No"/>
    <w:basedOn w:val="Normal"/>
    <w:uiPriority w:val="99"/>
    <w:semiHidden/>
    <w:rsid w:val="00CF26C4"/>
    <w:pPr>
      <w:spacing w:after="200" w:line="280" w:lineRule="exact"/>
      <w:jc w:val="right"/>
    </w:pPr>
    <w:rPr>
      <w:rFonts w:eastAsia="Times New Roman" w:cs="Courier New"/>
    </w:rPr>
  </w:style>
  <w:style w:type="paragraph" w:customStyle="1" w:styleId="Table-Bullet">
    <w:name w:val="Table - Bullet"/>
    <w:basedOn w:val="Table"/>
    <w:uiPriority w:val="5"/>
    <w:rsid w:val="00CF26C4"/>
    <w:pPr>
      <w:numPr>
        <w:numId w:val="5"/>
      </w:numPr>
      <w:ind w:left="453" w:hanging="340"/>
    </w:pPr>
  </w:style>
  <w:style w:type="paragraph" w:customStyle="1" w:styleId="Appendix1">
    <w:name w:val="Appendix 1"/>
    <w:basedOn w:val="Normal"/>
    <w:next w:val="Normal"/>
    <w:uiPriority w:val="18"/>
    <w:rsid w:val="00677DFC"/>
    <w:pPr>
      <w:pageBreakBefore/>
      <w:framePr w:w="9639" w:wrap="around" w:hAnchor="margin" w:yAlign="top"/>
      <w:numPr>
        <w:numId w:val="19"/>
      </w:numPr>
      <w:spacing w:before="3000" w:after="120" w:line="192" w:lineRule="auto"/>
      <w:outlineLvl w:val="8"/>
    </w:pPr>
    <w:rPr>
      <w:rFonts w:asciiTheme="majorHAnsi" w:eastAsia="Times New Roman" w:hAnsiTheme="majorHAnsi" w:cs="Arial"/>
      <w:b/>
      <w:bCs/>
      <w:color w:val="auto"/>
      <w:sz w:val="48"/>
    </w:rPr>
  </w:style>
  <w:style w:type="numbering" w:customStyle="1" w:styleId="ListAppendix">
    <w:name w:val="List Appendix"/>
    <w:uiPriority w:val="99"/>
    <w:rsid w:val="00CF26C4"/>
  </w:style>
  <w:style w:type="paragraph" w:customStyle="1" w:styleId="CoverText">
    <w:name w:val="Cover Text"/>
    <w:basedOn w:val="Normal"/>
    <w:uiPriority w:val="19"/>
    <w:unhideWhenUsed/>
    <w:rsid w:val="0037519E"/>
    <w:rPr>
      <w:b/>
      <w:bCs/>
    </w:rPr>
  </w:style>
  <w:style w:type="paragraph" w:customStyle="1" w:styleId="Stafflisttitle">
    <w:name w:val="Staff list title"/>
    <w:basedOn w:val="Normal"/>
    <w:uiPriority w:val="8"/>
    <w:rsid w:val="0037519E"/>
    <w:pPr>
      <w:spacing w:after="120"/>
    </w:pPr>
    <w:rPr>
      <w:b/>
      <w:bCs/>
      <w:color w:val="auto"/>
      <w:szCs w:val="22"/>
    </w:rPr>
  </w:style>
  <w:style w:type="paragraph" w:customStyle="1" w:styleId="StaffListtext">
    <w:name w:val="Staff List text"/>
    <w:basedOn w:val="Normal"/>
    <w:uiPriority w:val="8"/>
    <w:rsid w:val="0037519E"/>
    <w:pPr>
      <w:spacing w:after="80"/>
    </w:pPr>
    <w:rPr>
      <w:color w:val="auto"/>
      <w:szCs w:val="22"/>
    </w:rPr>
  </w:style>
  <w:style w:type="paragraph" w:customStyle="1" w:styleId="Copyright">
    <w:name w:val="Copyright"/>
    <w:basedOn w:val="Normal"/>
    <w:uiPriority w:val="8"/>
    <w:rsid w:val="00CF26C4"/>
    <w:pPr>
      <w:spacing w:after="0"/>
    </w:pPr>
    <w:rPr>
      <w:color w:val="auto"/>
      <w:sz w:val="16"/>
    </w:rPr>
  </w:style>
  <w:style w:type="paragraph" w:customStyle="1" w:styleId="Footertextleft">
    <w:name w:val="Footer text left"/>
    <w:basedOn w:val="Footer"/>
    <w:uiPriority w:val="7"/>
    <w:semiHidden/>
    <w:rsid w:val="00CF26C4"/>
    <w:pPr>
      <w:spacing w:after="40" w:line="240" w:lineRule="auto"/>
    </w:pPr>
    <w:rPr>
      <w:caps/>
      <w:sz w:val="12"/>
    </w:rPr>
  </w:style>
  <w:style w:type="paragraph" w:customStyle="1" w:styleId="Footertextright">
    <w:name w:val="Footer text right"/>
    <w:basedOn w:val="Footertextleft"/>
    <w:uiPriority w:val="7"/>
    <w:semiHidden/>
    <w:rsid w:val="00CF26C4"/>
    <w:pPr>
      <w:jc w:val="right"/>
    </w:pPr>
    <w:rPr>
      <w:szCs w:val="18"/>
    </w:rPr>
  </w:style>
  <w:style w:type="paragraph" w:customStyle="1" w:styleId="ListLetter">
    <w:name w:val="List Letter"/>
    <w:basedOn w:val="Normal"/>
    <w:uiPriority w:val="3"/>
    <w:qFormat/>
    <w:rsid w:val="00CF26C4"/>
    <w:pPr>
      <w:numPr>
        <w:numId w:val="47"/>
      </w:numPr>
    </w:pPr>
  </w:style>
  <w:style w:type="paragraph" w:customStyle="1" w:styleId="ListLetter2">
    <w:name w:val="List Letter 2"/>
    <w:basedOn w:val="ListLetter"/>
    <w:uiPriority w:val="3"/>
    <w:qFormat/>
    <w:rsid w:val="00CF26C4"/>
    <w:pPr>
      <w:numPr>
        <w:ilvl w:val="1"/>
      </w:numPr>
    </w:pPr>
  </w:style>
  <w:style w:type="numbering" w:customStyle="1" w:styleId="ListNumberList">
    <w:name w:val="List Number List"/>
    <w:uiPriority w:val="99"/>
    <w:rsid w:val="00CF26C4"/>
    <w:pPr>
      <w:numPr>
        <w:numId w:val="12"/>
      </w:numPr>
    </w:pPr>
  </w:style>
  <w:style w:type="numbering" w:customStyle="1" w:styleId="ListBullets">
    <w:name w:val="List Bullets"/>
    <w:uiPriority w:val="99"/>
    <w:rsid w:val="00CF26C4"/>
    <w:pPr>
      <w:numPr>
        <w:numId w:val="1"/>
      </w:numPr>
    </w:pPr>
  </w:style>
  <w:style w:type="paragraph" w:customStyle="1" w:styleId="TOCSubheading">
    <w:name w:val="TOC Subheading"/>
    <w:basedOn w:val="Normal"/>
    <w:next w:val="Normal"/>
    <w:uiPriority w:val="39"/>
    <w:qFormat/>
    <w:rsid w:val="00DC2C09"/>
    <w:pPr>
      <w:spacing w:before="80" w:after="80"/>
    </w:pPr>
    <w:rPr>
      <w:b/>
    </w:rPr>
  </w:style>
  <w:style w:type="paragraph" w:customStyle="1" w:styleId="FootnoteSeparator">
    <w:name w:val="Footnote Separator"/>
    <w:basedOn w:val="Normal"/>
    <w:uiPriority w:val="7"/>
    <w:semiHidden/>
    <w:rsid w:val="00CF26C4"/>
    <w:pPr>
      <w:pBdr>
        <w:bottom w:val="single" w:sz="4" w:space="1" w:color="414956"/>
      </w:pBdr>
      <w:spacing w:before="120" w:after="120" w:line="180" w:lineRule="atLeast"/>
    </w:pPr>
    <w:rPr>
      <w:rFonts w:eastAsiaTheme="minorHAnsi"/>
      <w:sz w:val="14"/>
    </w:rPr>
  </w:style>
  <w:style w:type="paragraph" w:customStyle="1" w:styleId="CoverPageSubtitle">
    <w:name w:val="Cover Page Subtitle"/>
    <w:basedOn w:val="Normal"/>
    <w:next w:val="Normal"/>
    <w:uiPriority w:val="19"/>
    <w:unhideWhenUsed/>
    <w:qFormat/>
    <w:rsid w:val="0037519E"/>
    <w:pPr>
      <w:spacing w:before="480"/>
    </w:pPr>
    <w:rPr>
      <w:b/>
      <w:bCs/>
      <w:sz w:val="48"/>
      <w:szCs w:val="48"/>
    </w:rPr>
  </w:style>
  <w:style w:type="paragraph" w:customStyle="1" w:styleId="CoverPageTitle">
    <w:name w:val="Cover Page Title"/>
    <w:basedOn w:val="Normal"/>
    <w:next w:val="CoverPageSubtitle"/>
    <w:uiPriority w:val="19"/>
    <w:unhideWhenUsed/>
    <w:qFormat/>
    <w:rsid w:val="0037519E"/>
    <w:pPr>
      <w:spacing w:before="7560" w:after="240"/>
    </w:pPr>
    <w:rPr>
      <w:b/>
      <w:bCs/>
      <w:noProof/>
      <w:sz w:val="72"/>
      <w:szCs w:val="72"/>
    </w:rPr>
  </w:style>
  <w:style w:type="paragraph" w:customStyle="1" w:styleId="CoverClient">
    <w:name w:val="Cover Client"/>
    <w:basedOn w:val="Normal"/>
    <w:uiPriority w:val="19"/>
    <w:unhideWhenUsed/>
    <w:qFormat/>
    <w:rsid w:val="0037519E"/>
    <w:pPr>
      <w:spacing w:before="960"/>
    </w:pPr>
    <w:rPr>
      <w:b/>
      <w:bCs/>
    </w:rPr>
  </w:style>
  <w:style w:type="paragraph" w:customStyle="1" w:styleId="CoverPageTitle-White">
    <w:name w:val="Cover Page Title - White"/>
    <w:basedOn w:val="CoverPageTitle"/>
    <w:uiPriority w:val="19"/>
    <w:unhideWhenUsed/>
    <w:qFormat/>
    <w:rsid w:val="00CF26C4"/>
    <w:rPr>
      <w:color w:val="FFFFFF" w:themeColor="background1"/>
    </w:rPr>
  </w:style>
  <w:style w:type="paragraph" w:customStyle="1" w:styleId="CoverPageSubtitle-White">
    <w:name w:val="Cover Page Subtitle - White"/>
    <w:basedOn w:val="CoverPageSubtitle"/>
    <w:uiPriority w:val="19"/>
    <w:unhideWhenUsed/>
    <w:qFormat/>
    <w:rsid w:val="00CF26C4"/>
    <w:rPr>
      <w:color w:val="FFFFFF" w:themeColor="background1"/>
    </w:rPr>
  </w:style>
  <w:style w:type="paragraph" w:customStyle="1" w:styleId="CoverClient-White">
    <w:name w:val="Cover Client - White"/>
    <w:basedOn w:val="CoverClient"/>
    <w:uiPriority w:val="19"/>
    <w:unhideWhenUsed/>
    <w:qFormat/>
    <w:rsid w:val="00CF26C4"/>
    <w:rPr>
      <w:color w:val="FFFFFF" w:themeColor="background1"/>
    </w:rPr>
  </w:style>
  <w:style w:type="paragraph" w:customStyle="1" w:styleId="CoverText-White">
    <w:name w:val="Cover Text - White"/>
    <w:basedOn w:val="CoverText"/>
    <w:uiPriority w:val="19"/>
    <w:unhideWhenUsed/>
    <w:qFormat/>
    <w:rsid w:val="00CF26C4"/>
    <w:rPr>
      <w:color w:val="FFFFFF" w:themeColor="background1"/>
    </w:rPr>
  </w:style>
  <w:style w:type="paragraph" w:customStyle="1" w:styleId="Appendix2">
    <w:name w:val="Appendix 2"/>
    <w:basedOn w:val="Normal"/>
    <w:uiPriority w:val="18"/>
    <w:qFormat/>
    <w:rsid w:val="00CF26C4"/>
    <w:pPr>
      <w:numPr>
        <w:ilvl w:val="1"/>
        <w:numId w:val="49"/>
      </w:numPr>
      <w:spacing w:before="400" w:after="120"/>
      <w:ind w:left="1701" w:hanging="1701"/>
    </w:pPr>
    <w:rPr>
      <w:b/>
      <w:caps/>
      <w:color w:val="auto"/>
      <w:sz w:val="26"/>
    </w:rPr>
  </w:style>
  <w:style w:type="paragraph" w:customStyle="1" w:styleId="Appendix3">
    <w:name w:val="Appendix 3"/>
    <w:basedOn w:val="Normal"/>
    <w:uiPriority w:val="18"/>
    <w:qFormat/>
    <w:rsid w:val="00CF26C4"/>
    <w:pPr>
      <w:numPr>
        <w:ilvl w:val="2"/>
        <w:numId w:val="49"/>
      </w:numPr>
      <w:spacing w:before="300" w:after="120"/>
      <w:ind w:left="1701" w:hanging="1701"/>
    </w:pPr>
    <w:rPr>
      <w:b/>
      <w:caps/>
      <w:color w:val="auto"/>
      <w:sz w:val="24"/>
    </w:rPr>
  </w:style>
  <w:style w:type="paragraph" w:customStyle="1" w:styleId="Appendix4">
    <w:name w:val="Appendix 4"/>
    <w:basedOn w:val="Normal"/>
    <w:uiPriority w:val="18"/>
    <w:qFormat/>
    <w:rsid w:val="00CF26C4"/>
    <w:pPr>
      <w:numPr>
        <w:ilvl w:val="3"/>
        <w:numId w:val="49"/>
      </w:numPr>
      <w:spacing w:before="300" w:after="120"/>
      <w:ind w:left="1701" w:hanging="1701"/>
    </w:pPr>
    <w:rPr>
      <w:b/>
      <w:caps/>
      <w:color w:val="auto"/>
      <w:sz w:val="22"/>
    </w:rPr>
  </w:style>
  <w:style w:type="numbering" w:styleId="111111">
    <w:name w:val="Outline List 2"/>
    <w:basedOn w:val="NoList"/>
    <w:semiHidden/>
    <w:unhideWhenUsed/>
    <w:rsid w:val="00CF26C4"/>
    <w:pPr>
      <w:numPr>
        <w:numId w:val="50"/>
      </w:numPr>
    </w:pPr>
  </w:style>
  <w:style w:type="numbering" w:styleId="1ai">
    <w:name w:val="Outline List 1"/>
    <w:basedOn w:val="NoList"/>
    <w:semiHidden/>
    <w:unhideWhenUsed/>
    <w:rsid w:val="00CF26C4"/>
    <w:pPr>
      <w:numPr>
        <w:numId w:val="52"/>
      </w:numPr>
    </w:pPr>
  </w:style>
  <w:style w:type="character" w:styleId="SmartLink">
    <w:name w:val="Smart Link"/>
    <w:basedOn w:val="DefaultParagraphFont"/>
    <w:uiPriority w:val="99"/>
    <w:semiHidden/>
    <w:rsid w:val="00CF26C4"/>
    <w:rPr>
      <w:color w:val="69ACDF" w:themeColor="hyperlink"/>
      <w:u w:val="single"/>
      <w:shd w:val="clear" w:color="auto" w:fill="E1DFDD"/>
    </w:rPr>
  </w:style>
  <w:style w:type="paragraph" w:customStyle="1" w:styleId="ImageSource">
    <w:name w:val="Image Source"/>
    <w:basedOn w:val="Normal"/>
    <w:uiPriority w:val="4"/>
    <w:qFormat/>
    <w:rsid w:val="003A2B08"/>
    <w:pPr>
      <w:spacing w:after="360"/>
    </w:pPr>
    <w:rPr>
      <w:i/>
    </w:rPr>
  </w:style>
  <w:style w:type="paragraph" w:customStyle="1" w:styleId="Table-NumberBullet">
    <w:name w:val="Table - Number Bullet"/>
    <w:basedOn w:val="Table"/>
    <w:uiPriority w:val="5"/>
    <w:rsid w:val="00CF26C4"/>
    <w:pPr>
      <w:numPr>
        <w:numId w:val="14"/>
      </w:numPr>
    </w:pPr>
  </w:style>
  <w:style w:type="paragraph" w:customStyle="1" w:styleId="Table-NumberBullet2">
    <w:name w:val="Table - Number Bullet 2"/>
    <w:basedOn w:val="Table"/>
    <w:uiPriority w:val="5"/>
    <w:rsid w:val="00CF26C4"/>
    <w:pPr>
      <w:numPr>
        <w:ilvl w:val="1"/>
        <w:numId w:val="14"/>
      </w:numPr>
    </w:pPr>
  </w:style>
  <w:style w:type="paragraph" w:customStyle="1" w:styleId="Table-NumberBullet3">
    <w:name w:val="Table - Number Bullet 3"/>
    <w:basedOn w:val="Table"/>
    <w:uiPriority w:val="5"/>
    <w:rsid w:val="00CF26C4"/>
    <w:pPr>
      <w:numPr>
        <w:ilvl w:val="2"/>
        <w:numId w:val="14"/>
      </w:numPr>
    </w:pPr>
  </w:style>
  <w:style w:type="numbering" w:customStyle="1" w:styleId="ListTableNumberBullets">
    <w:name w:val="List Table Number Bullets"/>
    <w:uiPriority w:val="99"/>
    <w:rsid w:val="00CF26C4"/>
    <w:pPr>
      <w:numPr>
        <w:numId w:val="14"/>
      </w:numPr>
    </w:pPr>
  </w:style>
  <w:style w:type="paragraph" w:customStyle="1" w:styleId="Tablespacer">
    <w:name w:val="Table spacer"/>
    <w:basedOn w:val="Normal"/>
    <w:uiPriority w:val="99"/>
    <w:semiHidden/>
    <w:qFormat/>
    <w:rsid w:val="00CF26C4"/>
    <w:pPr>
      <w:spacing w:after="0"/>
    </w:pPr>
    <w:rPr>
      <w:sz w:val="12"/>
    </w:rPr>
  </w:style>
  <w:style w:type="numbering" w:customStyle="1" w:styleId="Listbullets0">
    <w:name w:val="List bullets"/>
    <w:uiPriority w:val="99"/>
    <w:rsid w:val="00603EA1"/>
  </w:style>
  <w:style w:type="paragraph" w:customStyle="1" w:styleId="Urbisdisclaimer">
    <w:name w:val="Urbis disclaimer"/>
    <w:basedOn w:val="Normal"/>
    <w:uiPriority w:val="8"/>
    <w:rsid w:val="00603EA1"/>
    <w:pPr>
      <w:spacing w:after="80"/>
    </w:pPr>
    <w:rPr>
      <w:color w:val="auto"/>
      <w:sz w:val="18"/>
    </w:rPr>
  </w:style>
  <w:style w:type="paragraph" w:customStyle="1" w:styleId="Urbisdisclaimertitle">
    <w:name w:val="Urbis disclaimer title"/>
    <w:basedOn w:val="Normal"/>
    <w:uiPriority w:val="8"/>
    <w:rsid w:val="00603EA1"/>
    <w:pPr>
      <w:spacing w:after="120"/>
    </w:pPr>
    <w:rPr>
      <w:b/>
      <w:bCs/>
      <w:caps/>
      <w:color w:val="auto"/>
      <w:sz w:val="18"/>
    </w:rPr>
  </w:style>
  <w:style w:type="table" w:customStyle="1" w:styleId="UrbisTable1">
    <w:name w:val="Urbis Table 1"/>
    <w:basedOn w:val="TableNormal"/>
    <w:rsid w:val="00603EA1"/>
    <w:pPr>
      <w:spacing w:after="200" w:line="280" w:lineRule="atLeast"/>
    </w:pPr>
    <w:rPr>
      <w:rFonts w:eastAsia="Times New Roman" w:cs="Times New Roman"/>
      <w:lang w:eastAsia="en-AU"/>
    </w:rPr>
    <w:tblPr>
      <w:tblStyleRowBandSize w:val="1"/>
      <w:tblBorders>
        <w:left w:val="single" w:sz="4" w:space="0" w:color="D9D9D9" w:themeColor="background1" w:themeShade="D9"/>
        <w:bottom w:val="single" w:sz="4" w:space="0" w:color="D9D9D9" w:themeColor="background1" w:themeShade="D9"/>
        <w:right w:val="single" w:sz="4" w:space="0" w:color="D9D9D9" w:themeColor="background1" w:themeShade="D9"/>
        <w:insideV w:val="single" w:sz="4" w:space="0" w:color="D9D9D9" w:themeColor="background1" w:themeShade="D9"/>
      </w:tblBorders>
      <w:tblCellMar>
        <w:left w:w="0" w:type="dxa"/>
        <w:right w:w="0" w:type="dxa"/>
      </w:tblCellMar>
    </w:tblPr>
    <w:tcPr>
      <w:shd w:val="clear" w:color="auto" w:fill="auto"/>
      <w:vAlign w:val="bottom"/>
    </w:tcPr>
    <w:tblStylePr w:type="firstRow">
      <w:pPr>
        <w:wordWrap/>
        <w:spacing w:beforeLines="0" w:before="0" w:beforeAutospacing="0" w:afterLines="0" w:after="200" w:afterAutospacing="0" w:line="280" w:lineRule="atLeast"/>
        <w:ind w:leftChars="0" w:left="0" w:rightChars="0" w:right="0" w:firstLineChars="0" w:firstLine="0"/>
      </w:pPr>
      <w:rPr>
        <w:rFonts w:ascii="Arial" w:hAnsi="Arial"/>
        <w:color w:val="auto"/>
        <w:sz w:val="20"/>
      </w:rPr>
      <w:tblPr/>
      <w:tcPr>
        <w:tcBorders>
          <w:top w:val="single" w:sz="4" w:space="0" w:color="D9D9D9" w:themeColor="background1" w:themeShade="D9"/>
          <w:left w:val="single" w:sz="4" w:space="0" w:color="D9D9D9" w:themeColor="background1" w:themeShade="D9"/>
          <w:bottom w:val="nil"/>
          <w:right w:val="single" w:sz="4" w:space="0" w:color="D9D9D9" w:themeColor="background1" w:themeShade="D9"/>
          <w:insideH w:val="single" w:sz="4" w:space="0" w:color="D9D9D9" w:themeColor="background1" w:themeShade="D9"/>
          <w:insideV w:val="single" w:sz="4" w:space="0" w:color="D9D9D9" w:themeColor="background1" w:themeShade="D9"/>
          <w:tl2br w:val="nil"/>
          <w:tr2bl w:val="nil"/>
        </w:tcBorders>
        <w:shd w:val="clear" w:color="auto" w:fill="auto"/>
      </w:tcPr>
    </w:tblStylePr>
    <w:tblStylePr w:type="lastRow">
      <w:rPr>
        <w:rFonts w:ascii="Arial" w:hAnsi="Arial"/>
        <w:caps/>
        <w:smallCaps w:val="0"/>
        <w:color w:val="7F7F7F"/>
        <w:sz w:val="16"/>
      </w:rPr>
      <w:tblPr/>
      <w:tcPr>
        <w:tcBorders>
          <w:top w:val="nil"/>
          <w:bottom w:val="dotted" w:sz="4" w:space="0" w:color="0092D2"/>
        </w:tcBorders>
        <w:shd w:val="clear" w:color="auto" w:fill="auto"/>
      </w:tcPr>
    </w:tblStylePr>
    <w:tblStylePr w:type="band1Horz">
      <w:tblPr/>
      <w:tcPr>
        <w:shd w:val="clear" w:color="auto" w:fill="F2F2F2" w:themeFill="background1" w:themeFillShade="F2"/>
      </w:tcPr>
    </w:tblStylePr>
  </w:style>
  <w:style w:type="paragraph" w:customStyle="1" w:styleId="UrbisTableHeading">
    <w:name w:val="Urbis_Table_Heading"/>
    <w:basedOn w:val="Normal"/>
    <w:qFormat/>
    <w:rsid w:val="00134BA7"/>
    <w:pPr>
      <w:spacing w:line="280" w:lineRule="exact"/>
      <w:ind w:left="113"/>
    </w:pPr>
    <w:rPr>
      <w:rFonts w:eastAsia="Times New Roman" w:cs="Times New Roman"/>
      <w:b/>
      <w:color w:val="1A1919" w:themeColor="text1"/>
      <w:lang w:eastAsia="en-AU"/>
    </w:rPr>
  </w:style>
  <w:style w:type="paragraph" w:customStyle="1" w:styleId="UrbisTableText">
    <w:name w:val="Urbis_Table_Text"/>
    <w:basedOn w:val="Normal"/>
    <w:qFormat/>
    <w:rsid w:val="00134BA7"/>
    <w:pPr>
      <w:spacing w:line="280" w:lineRule="exact"/>
      <w:ind w:left="113"/>
    </w:pPr>
    <w:rPr>
      <w:rFonts w:eastAsia="Times New Roman" w:cs="Times New Roman"/>
      <w:lang w:eastAsia="en-AU"/>
    </w:rPr>
  </w:style>
  <w:style w:type="paragraph" w:customStyle="1" w:styleId="TableCaption">
    <w:name w:val="Table Caption"/>
    <w:basedOn w:val="Normal"/>
    <w:link w:val="TableCaptionChar"/>
    <w:qFormat/>
    <w:rsid w:val="00134BA7"/>
    <w:pPr>
      <w:spacing w:before="60" w:after="60"/>
      <w:ind w:left="907" w:hanging="907"/>
    </w:pPr>
    <w:rPr>
      <w:rFonts w:eastAsia="Times New Roman" w:cs="Courier New"/>
      <w:sz w:val="18"/>
    </w:rPr>
  </w:style>
  <w:style w:type="character" w:customStyle="1" w:styleId="TableCaptionChar">
    <w:name w:val="Table Caption Char"/>
    <w:link w:val="TableCaption"/>
    <w:rsid w:val="00134BA7"/>
    <w:rPr>
      <w:rFonts w:eastAsia="Times New Roman" w:cs="Courier New"/>
      <w:sz w:val="18"/>
      <w:lang w:val="en-AU"/>
    </w:rPr>
  </w:style>
  <w:style w:type="table" w:customStyle="1" w:styleId="CaptionTable">
    <w:name w:val="Caption_Table"/>
    <w:basedOn w:val="TableNormal"/>
    <w:rsid w:val="00134BA7"/>
    <w:pPr>
      <w:spacing w:after="0"/>
    </w:pPr>
    <w:rPr>
      <w:rFonts w:eastAsia="Times New Roman" w:cs="Times New Roman"/>
      <w:color w:val="auto"/>
      <w:lang w:val="en-AU" w:eastAsia="en-AU"/>
    </w:rPr>
    <w:tblPr>
      <w:tblStyleRowBandSize w:val="1"/>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vAlign w:val="bottom"/>
    </w:tcPr>
    <w:tblStylePr w:type="firstRow">
      <w:rPr>
        <w:rFonts w:ascii="Arial" w:hAnsi="Arial"/>
        <w:color w:val="009FE3"/>
        <w:sz w:val="24"/>
      </w:rPr>
      <w:tblPr/>
      <w:tcPr>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l2br w:val="nil"/>
          <w:tr2bl w:val="nil"/>
        </w:tcBorders>
        <w:shd w:val="clear" w:color="auto" w:fill="auto"/>
      </w:tcPr>
    </w:tblStylePr>
    <w:tblStylePr w:type="lastRow">
      <w:rPr>
        <w:rFonts w:ascii="Arial" w:hAnsi="Arial"/>
        <w:caps/>
        <w:smallCaps w:val="0"/>
        <w:color w:val="7F7F7F"/>
        <w:sz w:val="16"/>
      </w:rPr>
      <w:tblPr/>
      <w:tcPr>
        <w:tcBorders>
          <w:bottom w:val="dotted" w:sz="4" w:space="0" w:color="0092D2"/>
        </w:tcBorders>
      </w:tcPr>
    </w:tblStylePr>
    <w:tblStylePr w:type="band1Horz">
      <w:tblPr/>
      <w:tcPr>
        <w:shd w:val="clear" w:color="auto" w:fill="F2F2F2" w:themeFill="background1" w:themeFillShade="F2"/>
      </w:tcPr>
    </w:tblStylePr>
  </w:style>
  <w:style w:type="paragraph" w:customStyle="1" w:styleId="UrbisTableBullet">
    <w:name w:val="Urbis_Table_Bullet"/>
    <w:basedOn w:val="UrbisTableText"/>
    <w:qFormat/>
    <w:rsid w:val="00134BA7"/>
    <w:pPr>
      <w:numPr>
        <w:numId w:val="6"/>
      </w:numPr>
    </w:pPr>
    <w:rPr>
      <w:rFonts w:asciiTheme="minorHAnsi" w:hAnsiTheme="minorHAnsi" w:cstheme="minorHAnsi"/>
    </w:rPr>
  </w:style>
  <w:style w:type="paragraph" w:customStyle="1" w:styleId="UrbisDisclaimer0">
    <w:name w:val="Urbis Disclaimer"/>
    <w:basedOn w:val="Normal"/>
    <w:rsid w:val="00ED2E7D"/>
    <w:pPr>
      <w:spacing w:after="80"/>
    </w:pPr>
    <w:rPr>
      <w:rFonts w:eastAsia="Times New Roman" w:cs="Times New Roman"/>
      <w:color w:val="auto"/>
      <w:sz w:val="18"/>
      <w:szCs w:val="18"/>
    </w:rPr>
  </w:style>
  <w:style w:type="character" w:customStyle="1" w:styleId="ListParagraphChar">
    <w:name w:val="List Paragraph Char"/>
    <w:aliases w:val="List Paragraph1 Char,List Paragraph11 Char,L Char,Recommendation Char,Bullets Char,#List Paragraph Char,Bullet point Char,DDM Gen Text Char,List Paragraph - bullets Char,NFP GP Bulleted List Char,bullet point list Char"/>
    <w:link w:val="ListParagraph"/>
    <w:uiPriority w:val="99"/>
    <w:rsid w:val="00ED2E7D"/>
    <w:rPr>
      <w:lang w:val="en-GB"/>
    </w:rPr>
  </w:style>
  <w:style w:type="table" w:customStyle="1" w:styleId="Urbis-Default">
    <w:name w:val="Urbis-Default"/>
    <w:basedOn w:val="TableNormal"/>
    <w:rsid w:val="00ED2E7D"/>
    <w:pPr>
      <w:spacing w:after="0"/>
    </w:pPr>
    <w:rPr>
      <w:rFonts w:eastAsia="Times New Roman" w:cs="Times New Roman"/>
      <w:color w:val="auto"/>
      <w:lang w:val="en-AU" w:eastAsia="en-AU"/>
    </w:rPr>
    <w:tblPr>
      <w:tblStyleRowBandSize w:val="1"/>
      <w:tblBorders>
        <w:left w:val="single" w:sz="4" w:space="0" w:color="D9D9D9" w:themeColor="background1" w:themeShade="D9"/>
        <w:bottom w:val="single" w:sz="4" w:space="0" w:color="D9D9D9" w:themeColor="background1" w:themeShade="D9"/>
        <w:right w:val="single" w:sz="4" w:space="0" w:color="D9D9D9" w:themeColor="background1" w:themeShade="D9"/>
        <w:insideV w:val="single" w:sz="4" w:space="0" w:color="D9D9D9" w:themeColor="background1" w:themeShade="D9"/>
      </w:tblBorders>
    </w:tblPr>
    <w:tcPr>
      <w:shd w:val="clear" w:color="auto" w:fill="auto"/>
      <w:vAlign w:val="bottom"/>
    </w:tcPr>
    <w:tblStylePr w:type="firstRow">
      <w:rPr>
        <w:rFonts w:ascii="Arial" w:hAnsi="Arial"/>
        <w:color w:val="009FE3"/>
        <w:sz w:val="20"/>
      </w:rPr>
      <w:tblPr/>
      <w:tcPr>
        <w:tcBorders>
          <w:top w:val="single" w:sz="4" w:space="0" w:color="D9D9D9" w:themeColor="background1" w:themeShade="D9"/>
          <w:left w:val="single" w:sz="4" w:space="0" w:color="D9D9D9" w:themeColor="background1" w:themeShade="D9"/>
          <w:bottom w:val="nil"/>
          <w:right w:val="single" w:sz="4" w:space="0" w:color="D9D9D9" w:themeColor="background1" w:themeShade="D9"/>
          <w:insideH w:val="single" w:sz="4" w:space="0" w:color="D9D9D9" w:themeColor="background1" w:themeShade="D9"/>
          <w:insideV w:val="single" w:sz="4" w:space="0" w:color="D9D9D9" w:themeColor="background1" w:themeShade="D9"/>
          <w:tl2br w:val="nil"/>
          <w:tr2bl w:val="nil"/>
        </w:tcBorders>
        <w:shd w:val="clear" w:color="auto" w:fill="auto"/>
      </w:tcPr>
    </w:tblStylePr>
    <w:tblStylePr w:type="lastRow">
      <w:rPr>
        <w:rFonts w:ascii="Arial" w:hAnsi="Arial"/>
        <w:caps/>
        <w:smallCaps w:val="0"/>
        <w:color w:val="7F7F7F"/>
        <w:sz w:val="16"/>
      </w:rPr>
      <w:tblPr/>
      <w:tcPr>
        <w:tcBorders>
          <w:top w:val="nil"/>
          <w:bottom w:val="dotted" w:sz="4" w:space="0" w:color="0092D2"/>
        </w:tcBorders>
        <w:shd w:val="clear" w:color="auto" w:fill="auto"/>
      </w:tcPr>
    </w:tblStylePr>
    <w:tblStylePr w:type="band1Horz">
      <w:tblPr/>
      <w:tcPr>
        <w:shd w:val="clear" w:color="auto" w:fill="F2F2F2" w:themeFill="background1" w:themeFillShade="F2"/>
      </w:tcPr>
    </w:tblStylePr>
  </w:style>
  <w:style w:type="table" w:customStyle="1" w:styleId="CaptionTable1">
    <w:name w:val="Caption_Table1"/>
    <w:basedOn w:val="TableNormal"/>
    <w:rsid w:val="00ED2E7D"/>
    <w:pPr>
      <w:spacing w:after="0"/>
    </w:pPr>
    <w:rPr>
      <w:rFonts w:eastAsia="Times New Roman" w:cs="Times New Roman"/>
      <w:color w:val="auto"/>
      <w:lang w:val="en-AU" w:eastAsia="en-AU"/>
    </w:rPr>
    <w:tblPr>
      <w:tblStyleRow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vAlign w:val="bottom"/>
    </w:tcPr>
    <w:tblStylePr w:type="firstRow">
      <w:rPr>
        <w:rFonts w:ascii="Arial" w:hAnsi="Arial"/>
        <w:color w:val="009FE3"/>
        <w:sz w:val="24"/>
      </w:rPr>
      <w:tblPr/>
      <w:tcPr>
        <w:tcBorders>
          <w:top w:val="single" w:sz="4" w:space="0" w:color="D9D9D9"/>
          <w:left w:val="single" w:sz="4" w:space="0" w:color="D9D9D9"/>
          <w:bottom w:val="single" w:sz="4" w:space="0" w:color="D9D9D9"/>
          <w:right w:val="single" w:sz="4" w:space="0" w:color="D9D9D9"/>
          <w:insideH w:val="single" w:sz="4" w:space="0" w:color="D9D9D9"/>
          <w:insideV w:val="single" w:sz="4" w:space="0" w:color="D9D9D9"/>
          <w:tl2br w:val="nil"/>
          <w:tr2bl w:val="nil"/>
        </w:tcBorders>
        <w:shd w:val="clear" w:color="auto" w:fill="auto"/>
      </w:tcPr>
    </w:tblStylePr>
    <w:tblStylePr w:type="lastRow">
      <w:rPr>
        <w:rFonts w:ascii="Arial" w:hAnsi="Arial"/>
        <w:caps/>
        <w:smallCaps w:val="0"/>
        <w:color w:val="7F7F7F"/>
        <w:sz w:val="16"/>
      </w:rPr>
      <w:tblPr/>
      <w:tcPr>
        <w:tcBorders>
          <w:bottom w:val="dotted" w:sz="4" w:space="0" w:color="0092D2"/>
        </w:tcBorders>
      </w:tcPr>
    </w:tblStylePr>
    <w:tblStylePr w:type="band1Horz">
      <w:tblPr/>
      <w:tcPr>
        <w:shd w:val="clear" w:color="auto" w:fill="F2F2F2"/>
      </w:tcPr>
    </w:tblStylePr>
  </w:style>
  <w:style w:type="paragraph" w:customStyle="1" w:styleId="Default">
    <w:name w:val="Default"/>
    <w:rsid w:val="00C02BA5"/>
    <w:pPr>
      <w:autoSpaceDE w:val="0"/>
      <w:autoSpaceDN w:val="0"/>
      <w:adjustRightInd w:val="0"/>
      <w:spacing w:after="0"/>
    </w:pPr>
    <w:rPr>
      <w:rFonts w:cs="Arial"/>
      <w:color w:val="000000"/>
      <w:sz w:val="24"/>
      <w:szCs w:val="24"/>
      <w:lang w:val="en-AU"/>
    </w:rPr>
  </w:style>
  <w:style w:type="paragraph" w:styleId="Revision">
    <w:name w:val="Revision"/>
    <w:hidden/>
    <w:uiPriority w:val="99"/>
    <w:semiHidden/>
    <w:rsid w:val="00C4247A"/>
    <w:pPr>
      <w:spacing w:after="0"/>
    </w:pPr>
    <w:rPr>
      <w:lang w:val="en-GB"/>
    </w:rPr>
  </w:style>
  <w:style w:type="paragraph" w:customStyle="1" w:styleId="Level4">
    <w:name w:val="Level 4"/>
    <w:basedOn w:val="Head4"/>
    <w:link w:val="Level4Char"/>
    <w:qFormat/>
    <w:rsid w:val="00327110"/>
    <w:pPr>
      <w:spacing w:after="0"/>
      <w:outlineLvl w:val="9"/>
    </w:pPr>
  </w:style>
  <w:style w:type="character" w:customStyle="1" w:styleId="Level4Char">
    <w:name w:val="Level 4 Char"/>
    <w:basedOn w:val="DefaultParagraphFont"/>
    <w:link w:val="Level4"/>
    <w:rsid w:val="00327110"/>
    <w:rPr>
      <w:rFonts w:eastAsia="Times New Roman" w:cs="Courier New"/>
      <w:b/>
      <w:color w:val="auto"/>
      <w:sz w:val="22"/>
      <w:lang w:val="en-AU"/>
    </w:rPr>
  </w:style>
  <w:style w:type="paragraph" w:customStyle="1" w:styleId="Levle4">
    <w:name w:val="Levle 4"/>
    <w:basedOn w:val="Head4"/>
    <w:link w:val="Levle4Char"/>
    <w:qFormat/>
    <w:rsid w:val="00327110"/>
    <w:pPr>
      <w:spacing w:after="0"/>
      <w:ind w:left="-120"/>
      <w:outlineLvl w:val="9"/>
    </w:pPr>
  </w:style>
  <w:style w:type="character" w:customStyle="1" w:styleId="Levle4Char">
    <w:name w:val="Levle 4 Char"/>
    <w:basedOn w:val="DefaultParagraphFont"/>
    <w:link w:val="Levle4"/>
    <w:rsid w:val="00327110"/>
    <w:rPr>
      <w:rFonts w:eastAsia="Times New Roman" w:cs="Courier New"/>
      <w:b/>
      <w:color w:val="auto"/>
      <w:sz w:val="22"/>
      <w:lang w:val="en-AU"/>
    </w:rPr>
  </w:style>
  <w:style w:type="paragraph" w:customStyle="1" w:styleId="Head4White">
    <w:name w:val="Head 4 White"/>
    <w:basedOn w:val="Head4"/>
    <w:link w:val="Head4WhiteChar"/>
    <w:qFormat/>
    <w:rsid w:val="00FE40A6"/>
    <w:pPr>
      <w:spacing w:after="0"/>
      <w:outlineLvl w:val="9"/>
    </w:pPr>
    <w:rPr>
      <w:color w:val="FFFFFF" w:themeColor="background1"/>
    </w:rPr>
  </w:style>
  <w:style w:type="character" w:customStyle="1" w:styleId="Head4WhiteChar">
    <w:name w:val="Head 4 White Char"/>
    <w:basedOn w:val="DefaultParagraphFont"/>
    <w:link w:val="Head4White"/>
    <w:rsid w:val="00FE40A6"/>
    <w:rPr>
      <w:rFonts w:eastAsia="Times New Roman" w:cs="Courier New"/>
      <w:b/>
      <w:color w:val="FFFFFF" w:themeColor="background1"/>
      <w:sz w:val="22"/>
      <w:lang w:val="en-AU"/>
    </w:rPr>
  </w:style>
  <w:style w:type="table" w:customStyle="1" w:styleId="CaptionTable11">
    <w:name w:val="Caption_Table11"/>
    <w:basedOn w:val="TableNormal"/>
    <w:rsid w:val="00DD773B"/>
    <w:pPr>
      <w:spacing w:after="0"/>
    </w:pPr>
    <w:rPr>
      <w:rFonts w:eastAsia="Times New Roman" w:cs="Times New Roman"/>
      <w:color w:val="auto"/>
      <w:lang w:val="en-AU" w:eastAsia="en-AU"/>
    </w:rPr>
    <w:tblPr>
      <w:tblStyleRow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vAlign w:val="bottom"/>
    </w:tcPr>
    <w:tblStylePr w:type="firstRow">
      <w:rPr>
        <w:rFonts w:ascii="Arial" w:hAnsi="Arial"/>
        <w:color w:val="009FE3"/>
        <w:sz w:val="24"/>
      </w:rPr>
      <w:tblPr/>
      <w:tcPr>
        <w:tcBorders>
          <w:top w:val="single" w:sz="4" w:space="0" w:color="D9D9D9"/>
          <w:left w:val="single" w:sz="4" w:space="0" w:color="D9D9D9"/>
          <w:bottom w:val="single" w:sz="4" w:space="0" w:color="D9D9D9"/>
          <w:right w:val="single" w:sz="4" w:space="0" w:color="D9D9D9"/>
          <w:insideH w:val="single" w:sz="4" w:space="0" w:color="D9D9D9"/>
          <w:insideV w:val="single" w:sz="4" w:space="0" w:color="D9D9D9"/>
          <w:tl2br w:val="nil"/>
          <w:tr2bl w:val="nil"/>
        </w:tcBorders>
        <w:shd w:val="clear" w:color="auto" w:fill="auto"/>
      </w:tcPr>
    </w:tblStylePr>
    <w:tblStylePr w:type="lastRow">
      <w:rPr>
        <w:rFonts w:ascii="Arial" w:hAnsi="Arial"/>
        <w:caps/>
        <w:smallCaps w:val="0"/>
        <w:color w:val="7F7F7F"/>
        <w:sz w:val="16"/>
      </w:rPr>
      <w:tblPr/>
      <w:tcPr>
        <w:tcBorders>
          <w:bottom w:val="dotted" w:sz="4" w:space="0" w:color="0092D2"/>
        </w:tcBorders>
      </w:tcPr>
    </w:tblStylePr>
    <w:tblStylePr w:type="band1Horz">
      <w:tblPr/>
      <w:tcPr>
        <w:shd w:val="clear" w:color="auto" w:fill="F2F2F2"/>
      </w:tcPr>
    </w:tblStylePr>
  </w:style>
  <w:style w:type="numbering" w:customStyle="1" w:styleId="ListAppendix1">
    <w:name w:val="List Appendix1"/>
    <w:uiPriority w:val="99"/>
    <w:rsid w:val="009E4B5B"/>
    <w:pPr>
      <w:numPr>
        <w:numId w:val="42"/>
      </w:numPr>
    </w:pPr>
  </w:style>
  <w:style w:type="paragraph" w:customStyle="1" w:styleId="AppendixA">
    <w:name w:val="Appendix A"/>
    <w:basedOn w:val="Appendix1"/>
    <w:qFormat/>
    <w:rsid w:val="00481713"/>
    <w:pPr>
      <w:framePr w:wrap="around"/>
      <w:numPr>
        <w:numId w:val="54"/>
      </w:numPr>
      <w:ind w:left="3261" w:hanging="3261"/>
    </w:pPr>
    <w:rPr>
      <w:rFonts w:cstheme="majorHAnsi"/>
      <w:color w:val="1A1919" w:themeColor="text1"/>
    </w:rPr>
  </w:style>
  <w:style w:type="paragraph" w:customStyle="1" w:styleId="NormalBodyIntro">
    <w:name w:val="Normal Body Intro"/>
    <w:basedOn w:val="Normal"/>
    <w:qFormat/>
    <w:rsid w:val="0095659E"/>
    <w:pPr>
      <w:spacing w:before="240"/>
    </w:pPr>
    <w:rPr>
      <w:b/>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4041349">
      <w:bodyDiv w:val="1"/>
      <w:marLeft w:val="0"/>
      <w:marRight w:val="0"/>
      <w:marTop w:val="0"/>
      <w:marBottom w:val="0"/>
      <w:divBdr>
        <w:top w:val="none" w:sz="0" w:space="0" w:color="auto"/>
        <w:left w:val="none" w:sz="0" w:space="0" w:color="auto"/>
        <w:bottom w:val="none" w:sz="0" w:space="0" w:color="auto"/>
        <w:right w:val="none" w:sz="0" w:space="0" w:color="auto"/>
      </w:divBdr>
    </w:div>
    <w:div w:id="229389130">
      <w:bodyDiv w:val="1"/>
      <w:marLeft w:val="0"/>
      <w:marRight w:val="0"/>
      <w:marTop w:val="0"/>
      <w:marBottom w:val="0"/>
      <w:divBdr>
        <w:top w:val="none" w:sz="0" w:space="0" w:color="auto"/>
        <w:left w:val="none" w:sz="0" w:space="0" w:color="auto"/>
        <w:bottom w:val="none" w:sz="0" w:space="0" w:color="auto"/>
        <w:right w:val="none" w:sz="0" w:space="0" w:color="auto"/>
      </w:divBdr>
      <w:divsChild>
        <w:div w:id="142818392">
          <w:marLeft w:val="965"/>
          <w:marRight w:val="0"/>
          <w:marTop w:val="0"/>
          <w:marBottom w:val="0"/>
          <w:divBdr>
            <w:top w:val="none" w:sz="0" w:space="0" w:color="auto"/>
            <w:left w:val="none" w:sz="0" w:space="0" w:color="auto"/>
            <w:bottom w:val="none" w:sz="0" w:space="0" w:color="auto"/>
            <w:right w:val="none" w:sz="0" w:space="0" w:color="auto"/>
          </w:divBdr>
        </w:div>
        <w:div w:id="531066553">
          <w:marLeft w:val="965"/>
          <w:marRight w:val="0"/>
          <w:marTop w:val="0"/>
          <w:marBottom w:val="0"/>
          <w:divBdr>
            <w:top w:val="none" w:sz="0" w:space="0" w:color="auto"/>
            <w:left w:val="none" w:sz="0" w:space="0" w:color="auto"/>
            <w:bottom w:val="none" w:sz="0" w:space="0" w:color="auto"/>
            <w:right w:val="none" w:sz="0" w:space="0" w:color="auto"/>
          </w:divBdr>
        </w:div>
        <w:div w:id="650863386">
          <w:marLeft w:val="965"/>
          <w:marRight w:val="0"/>
          <w:marTop w:val="0"/>
          <w:marBottom w:val="0"/>
          <w:divBdr>
            <w:top w:val="none" w:sz="0" w:space="0" w:color="auto"/>
            <w:left w:val="none" w:sz="0" w:space="0" w:color="auto"/>
            <w:bottom w:val="none" w:sz="0" w:space="0" w:color="auto"/>
            <w:right w:val="none" w:sz="0" w:space="0" w:color="auto"/>
          </w:divBdr>
        </w:div>
        <w:div w:id="745492328">
          <w:marLeft w:val="965"/>
          <w:marRight w:val="0"/>
          <w:marTop w:val="0"/>
          <w:marBottom w:val="0"/>
          <w:divBdr>
            <w:top w:val="none" w:sz="0" w:space="0" w:color="auto"/>
            <w:left w:val="none" w:sz="0" w:space="0" w:color="auto"/>
            <w:bottom w:val="none" w:sz="0" w:space="0" w:color="auto"/>
            <w:right w:val="none" w:sz="0" w:space="0" w:color="auto"/>
          </w:divBdr>
        </w:div>
        <w:div w:id="1468545999">
          <w:marLeft w:val="965"/>
          <w:marRight w:val="0"/>
          <w:marTop w:val="0"/>
          <w:marBottom w:val="0"/>
          <w:divBdr>
            <w:top w:val="none" w:sz="0" w:space="0" w:color="auto"/>
            <w:left w:val="none" w:sz="0" w:space="0" w:color="auto"/>
            <w:bottom w:val="none" w:sz="0" w:space="0" w:color="auto"/>
            <w:right w:val="none" w:sz="0" w:space="0" w:color="auto"/>
          </w:divBdr>
        </w:div>
        <w:div w:id="1705329900">
          <w:marLeft w:val="965"/>
          <w:marRight w:val="0"/>
          <w:marTop w:val="0"/>
          <w:marBottom w:val="0"/>
          <w:divBdr>
            <w:top w:val="none" w:sz="0" w:space="0" w:color="auto"/>
            <w:left w:val="none" w:sz="0" w:space="0" w:color="auto"/>
            <w:bottom w:val="none" w:sz="0" w:space="0" w:color="auto"/>
            <w:right w:val="none" w:sz="0" w:space="0" w:color="auto"/>
          </w:divBdr>
        </w:div>
        <w:div w:id="1717848088">
          <w:marLeft w:val="446"/>
          <w:marRight w:val="0"/>
          <w:marTop w:val="0"/>
          <w:marBottom w:val="0"/>
          <w:divBdr>
            <w:top w:val="none" w:sz="0" w:space="0" w:color="auto"/>
            <w:left w:val="none" w:sz="0" w:space="0" w:color="auto"/>
            <w:bottom w:val="none" w:sz="0" w:space="0" w:color="auto"/>
            <w:right w:val="none" w:sz="0" w:space="0" w:color="auto"/>
          </w:divBdr>
        </w:div>
        <w:div w:id="1816951101">
          <w:marLeft w:val="965"/>
          <w:marRight w:val="0"/>
          <w:marTop w:val="0"/>
          <w:marBottom w:val="0"/>
          <w:divBdr>
            <w:top w:val="none" w:sz="0" w:space="0" w:color="auto"/>
            <w:left w:val="none" w:sz="0" w:space="0" w:color="auto"/>
            <w:bottom w:val="none" w:sz="0" w:space="0" w:color="auto"/>
            <w:right w:val="none" w:sz="0" w:space="0" w:color="auto"/>
          </w:divBdr>
        </w:div>
        <w:div w:id="1822114890">
          <w:marLeft w:val="965"/>
          <w:marRight w:val="0"/>
          <w:marTop w:val="0"/>
          <w:marBottom w:val="0"/>
          <w:divBdr>
            <w:top w:val="none" w:sz="0" w:space="0" w:color="auto"/>
            <w:left w:val="none" w:sz="0" w:space="0" w:color="auto"/>
            <w:bottom w:val="none" w:sz="0" w:space="0" w:color="auto"/>
            <w:right w:val="none" w:sz="0" w:space="0" w:color="auto"/>
          </w:divBdr>
        </w:div>
      </w:divsChild>
    </w:div>
    <w:div w:id="348139927">
      <w:bodyDiv w:val="1"/>
      <w:marLeft w:val="0"/>
      <w:marRight w:val="0"/>
      <w:marTop w:val="0"/>
      <w:marBottom w:val="0"/>
      <w:divBdr>
        <w:top w:val="none" w:sz="0" w:space="0" w:color="auto"/>
        <w:left w:val="none" w:sz="0" w:space="0" w:color="auto"/>
        <w:bottom w:val="none" w:sz="0" w:space="0" w:color="auto"/>
        <w:right w:val="none" w:sz="0" w:space="0" w:color="auto"/>
      </w:divBdr>
    </w:div>
    <w:div w:id="374233053">
      <w:bodyDiv w:val="1"/>
      <w:marLeft w:val="0"/>
      <w:marRight w:val="0"/>
      <w:marTop w:val="0"/>
      <w:marBottom w:val="0"/>
      <w:divBdr>
        <w:top w:val="none" w:sz="0" w:space="0" w:color="auto"/>
        <w:left w:val="none" w:sz="0" w:space="0" w:color="auto"/>
        <w:bottom w:val="none" w:sz="0" w:space="0" w:color="auto"/>
        <w:right w:val="none" w:sz="0" w:space="0" w:color="auto"/>
      </w:divBdr>
    </w:div>
    <w:div w:id="472255403">
      <w:bodyDiv w:val="1"/>
      <w:marLeft w:val="0"/>
      <w:marRight w:val="0"/>
      <w:marTop w:val="0"/>
      <w:marBottom w:val="0"/>
      <w:divBdr>
        <w:top w:val="none" w:sz="0" w:space="0" w:color="auto"/>
        <w:left w:val="none" w:sz="0" w:space="0" w:color="auto"/>
        <w:bottom w:val="none" w:sz="0" w:space="0" w:color="auto"/>
        <w:right w:val="none" w:sz="0" w:space="0" w:color="auto"/>
      </w:divBdr>
    </w:div>
    <w:div w:id="497430603">
      <w:bodyDiv w:val="1"/>
      <w:marLeft w:val="0"/>
      <w:marRight w:val="0"/>
      <w:marTop w:val="0"/>
      <w:marBottom w:val="0"/>
      <w:divBdr>
        <w:top w:val="none" w:sz="0" w:space="0" w:color="auto"/>
        <w:left w:val="none" w:sz="0" w:space="0" w:color="auto"/>
        <w:bottom w:val="none" w:sz="0" w:space="0" w:color="auto"/>
        <w:right w:val="none" w:sz="0" w:space="0" w:color="auto"/>
      </w:divBdr>
    </w:div>
    <w:div w:id="568662359">
      <w:bodyDiv w:val="1"/>
      <w:marLeft w:val="0"/>
      <w:marRight w:val="0"/>
      <w:marTop w:val="0"/>
      <w:marBottom w:val="0"/>
      <w:divBdr>
        <w:top w:val="none" w:sz="0" w:space="0" w:color="auto"/>
        <w:left w:val="none" w:sz="0" w:space="0" w:color="auto"/>
        <w:bottom w:val="none" w:sz="0" w:space="0" w:color="auto"/>
        <w:right w:val="none" w:sz="0" w:space="0" w:color="auto"/>
      </w:divBdr>
      <w:divsChild>
        <w:div w:id="508569967">
          <w:marLeft w:val="446"/>
          <w:marRight w:val="0"/>
          <w:marTop w:val="0"/>
          <w:marBottom w:val="0"/>
          <w:divBdr>
            <w:top w:val="none" w:sz="0" w:space="0" w:color="auto"/>
            <w:left w:val="none" w:sz="0" w:space="0" w:color="auto"/>
            <w:bottom w:val="none" w:sz="0" w:space="0" w:color="auto"/>
            <w:right w:val="none" w:sz="0" w:space="0" w:color="auto"/>
          </w:divBdr>
        </w:div>
        <w:div w:id="702286446">
          <w:marLeft w:val="446"/>
          <w:marRight w:val="0"/>
          <w:marTop w:val="0"/>
          <w:marBottom w:val="0"/>
          <w:divBdr>
            <w:top w:val="none" w:sz="0" w:space="0" w:color="auto"/>
            <w:left w:val="none" w:sz="0" w:space="0" w:color="auto"/>
            <w:bottom w:val="none" w:sz="0" w:space="0" w:color="auto"/>
            <w:right w:val="none" w:sz="0" w:space="0" w:color="auto"/>
          </w:divBdr>
        </w:div>
        <w:div w:id="1058241205">
          <w:marLeft w:val="446"/>
          <w:marRight w:val="0"/>
          <w:marTop w:val="0"/>
          <w:marBottom w:val="0"/>
          <w:divBdr>
            <w:top w:val="none" w:sz="0" w:space="0" w:color="auto"/>
            <w:left w:val="none" w:sz="0" w:space="0" w:color="auto"/>
            <w:bottom w:val="none" w:sz="0" w:space="0" w:color="auto"/>
            <w:right w:val="none" w:sz="0" w:space="0" w:color="auto"/>
          </w:divBdr>
        </w:div>
        <w:div w:id="1519613856">
          <w:marLeft w:val="446"/>
          <w:marRight w:val="0"/>
          <w:marTop w:val="0"/>
          <w:marBottom w:val="0"/>
          <w:divBdr>
            <w:top w:val="none" w:sz="0" w:space="0" w:color="auto"/>
            <w:left w:val="none" w:sz="0" w:space="0" w:color="auto"/>
            <w:bottom w:val="none" w:sz="0" w:space="0" w:color="auto"/>
            <w:right w:val="none" w:sz="0" w:space="0" w:color="auto"/>
          </w:divBdr>
        </w:div>
        <w:div w:id="1684624706">
          <w:marLeft w:val="446"/>
          <w:marRight w:val="0"/>
          <w:marTop w:val="0"/>
          <w:marBottom w:val="0"/>
          <w:divBdr>
            <w:top w:val="none" w:sz="0" w:space="0" w:color="auto"/>
            <w:left w:val="none" w:sz="0" w:space="0" w:color="auto"/>
            <w:bottom w:val="none" w:sz="0" w:space="0" w:color="auto"/>
            <w:right w:val="none" w:sz="0" w:space="0" w:color="auto"/>
          </w:divBdr>
        </w:div>
      </w:divsChild>
    </w:div>
    <w:div w:id="586110688">
      <w:bodyDiv w:val="1"/>
      <w:marLeft w:val="0"/>
      <w:marRight w:val="0"/>
      <w:marTop w:val="0"/>
      <w:marBottom w:val="0"/>
      <w:divBdr>
        <w:top w:val="none" w:sz="0" w:space="0" w:color="auto"/>
        <w:left w:val="none" w:sz="0" w:space="0" w:color="auto"/>
        <w:bottom w:val="none" w:sz="0" w:space="0" w:color="auto"/>
        <w:right w:val="none" w:sz="0" w:space="0" w:color="auto"/>
      </w:divBdr>
    </w:div>
    <w:div w:id="639268931">
      <w:bodyDiv w:val="1"/>
      <w:marLeft w:val="0"/>
      <w:marRight w:val="0"/>
      <w:marTop w:val="0"/>
      <w:marBottom w:val="0"/>
      <w:divBdr>
        <w:top w:val="none" w:sz="0" w:space="0" w:color="auto"/>
        <w:left w:val="none" w:sz="0" w:space="0" w:color="auto"/>
        <w:bottom w:val="none" w:sz="0" w:space="0" w:color="auto"/>
        <w:right w:val="none" w:sz="0" w:space="0" w:color="auto"/>
      </w:divBdr>
      <w:divsChild>
        <w:div w:id="443765093">
          <w:marLeft w:val="274"/>
          <w:marRight w:val="0"/>
          <w:marTop w:val="0"/>
          <w:marBottom w:val="0"/>
          <w:divBdr>
            <w:top w:val="none" w:sz="0" w:space="0" w:color="auto"/>
            <w:left w:val="none" w:sz="0" w:space="0" w:color="auto"/>
            <w:bottom w:val="none" w:sz="0" w:space="0" w:color="auto"/>
            <w:right w:val="none" w:sz="0" w:space="0" w:color="auto"/>
          </w:divBdr>
        </w:div>
        <w:div w:id="840657848">
          <w:marLeft w:val="274"/>
          <w:marRight w:val="0"/>
          <w:marTop w:val="0"/>
          <w:marBottom w:val="0"/>
          <w:divBdr>
            <w:top w:val="none" w:sz="0" w:space="0" w:color="auto"/>
            <w:left w:val="none" w:sz="0" w:space="0" w:color="auto"/>
            <w:bottom w:val="none" w:sz="0" w:space="0" w:color="auto"/>
            <w:right w:val="none" w:sz="0" w:space="0" w:color="auto"/>
          </w:divBdr>
        </w:div>
        <w:div w:id="1088768716">
          <w:marLeft w:val="274"/>
          <w:marRight w:val="0"/>
          <w:marTop w:val="0"/>
          <w:marBottom w:val="0"/>
          <w:divBdr>
            <w:top w:val="none" w:sz="0" w:space="0" w:color="auto"/>
            <w:left w:val="none" w:sz="0" w:space="0" w:color="auto"/>
            <w:bottom w:val="none" w:sz="0" w:space="0" w:color="auto"/>
            <w:right w:val="none" w:sz="0" w:space="0" w:color="auto"/>
          </w:divBdr>
        </w:div>
      </w:divsChild>
    </w:div>
    <w:div w:id="786974567">
      <w:bodyDiv w:val="1"/>
      <w:marLeft w:val="0"/>
      <w:marRight w:val="0"/>
      <w:marTop w:val="0"/>
      <w:marBottom w:val="0"/>
      <w:divBdr>
        <w:top w:val="none" w:sz="0" w:space="0" w:color="auto"/>
        <w:left w:val="none" w:sz="0" w:space="0" w:color="auto"/>
        <w:bottom w:val="none" w:sz="0" w:space="0" w:color="auto"/>
        <w:right w:val="none" w:sz="0" w:space="0" w:color="auto"/>
      </w:divBdr>
      <w:divsChild>
        <w:div w:id="709689969">
          <w:marLeft w:val="274"/>
          <w:marRight w:val="0"/>
          <w:marTop w:val="0"/>
          <w:marBottom w:val="0"/>
          <w:divBdr>
            <w:top w:val="none" w:sz="0" w:space="0" w:color="auto"/>
            <w:left w:val="none" w:sz="0" w:space="0" w:color="auto"/>
            <w:bottom w:val="none" w:sz="0" w:space="0" w:color="auto"/>
            <w:right w:val="none" w:sz="0" w:space="0" w:color="auto"/>
          </w:divBdr>
        </w:div>
      </w:divsChild>
    </w:div>
    <w:div w:id="816922173">
      <w:bodyDiv w:val="1"/>
      <w:marLeft w:val="0"/>
      <w:marRight w:val="0"/>
      <w:marTop w:val="0"/>
      <w:marBottom w:val="0"/>
      <w:divBdr>
        <w:top w:val="none" w:sz="0" w:space="0" w:color="auto"/>
        <w:left w:val="none" w:sz="0" w:space="0" w:color="auto"/>
        <w:bottom w:val="none" w:sz="0" w:space="0" w:color="auto"/>
        <w:right w:val="none" w:sz="0" w:space="0" w:color="auto"/>
      </w:divBdr>
      <w:divsChild>
        <w:div w:id="24406795">
          <w:marLeft w:val="446"/>
          <w:marRight w:val="0"/>
          <w:marTop w:val="0"/>
          <w:marBottom w:val="0"/>
          <w:divBdr>
            <w:top w:val="none" w:sz="0" w:space="0" w:color="auto"/>
            <w:left w:val="none" w:sz="0" w:space="0" w:color="auto"/>
            <w:bottom w:val="none" w:sz="0" w:space="0" w:color="auto"/>
            <w:right w:val="none" w:sz="0" w:space="0" w:color="auto"/>
          </w:divBdr>
        </w:div>
      </w:divsChild>
    </w:div>
    <w:div w:id="821312894">
      <w:bodyDiv w:val="1"/>
      <w:marLeft w:val="0"/>
      <w:marRight w:val="0"/>
      <w:marTop w:val="0"/>
      <w:marBottom w:val="0"/>
      <w:divBdr>
        <w:top w:val="none" w:sz="0" w:space="0" w:color="auto"/>
        <w:left w:val="none" w:sz="0" w:space="0" w:color="auto"/>
        <w:bottom w:val="none" w:sz="0" w:space="0" w:color="auto"/>
        <w:right w:val="none" w:sz="0" w:space="0" w:color="auto"/>
      </w:divBdr>
    </w:div>
    <w:div w:id="1032804044">
      <w:bodyDiv w:val="1"/>
      <w:marLeft w:val="0"/>
      <w:marRight w:val="0"/>
      <w:marTop w:val="0"/>
      <w:marBottom w:val="0"/>
      <w:divBdr>
        <w:top w:val="none" w:sz="0" w:space="0" w:color="auto"/>
        <w:left w:val="none" w:sz="0" w:space="0" w:color="auto"/>
        <w:bottom w:val="none" w:sz="0" w:space="0" w:color="auto"/>
        <w:right w:val="none" w:sz="0" w:space="0" w:color="auto"/>
      </w:divBdr>
      <w:divsChild>
        <w:div w:id="883176653">
          <w:marLeft w:val="446"/>
          <w:marRight w:val="0"/>
          <w:marTop w:val="0"/>
          <w:marBottom w:val="0"/>
          <w:divBdr>
            <w:top w:val="none" w:sz="0" w:space="0" w:color="auto"/>
            <w:left w:val="none" w:sz="0" w:space="0" w:color="auto"/>
            <w:bottom w:val="none" w:sz="0" w:space="0" w:color="auto"/>
            <w:right w:val="none" w:sz="0" w:space="0" w:color="auto"/>
          </w:divBdr>
        </w:div>
      </w:divsChild>
    </w:div>
    <w:div w:id="1067263084">
      <w:bodyDiv w:val="1"/>
      <w:marLeft w:val="0"/>
      <w:marRight w:val="0"/>
      <w:marTop w:val="0"/>
      <w:marBottom w:val="0"/>
      <w:divBdr>
        <w:top w:val="none" w:sz="0" w:space="0" w:color="auto"/>
        <w:left w:val="none" w:sz="0" w:space="0" w:color="auto"/>
        <w:bottom w:val="none" w:sz="0" w:space="0" w:color="auto"/>
        <w:right w:val="none" w:sz="0" w:space="0" w:color="auto"/>
      </w:divBdr>
    </w:div>
    <w:div w:id="1400709229">
      <w:bodyDiv w:val="1"/>
      <w:marLeft w:val="0"/>
      <w:marRight w:val="0"/>
      <w:marTop w:val="0"/>
      <w:marBottom w:val="0"/>
      <w:divBdr>
        <w:top w:val="none" w:sz="0" w:space="0" w:color="auto"/>
        <w:left w:val="none" w:sz="0" w:space="0" w:color="auto"/>
        <w:bottom w:val="none" w:sz="0" w:space="0" w:color="auto"/>
        <w:right w:val="none" w:sz="0" w:space="0" w:color="auto"/>
      </w:divBdr>
    </w:div>
    <w:div w:id="1461340644">
      <w:bodyDiv w:val="1"/>
      <w:marLeft w:val="0"/>
      <w:marRight w:val="0"/>
      <w:marTop w:val="0"/>
      <w:marBottom w:val="0"/>
      <w:divBdr>
        <w:top w:val="none" w:sz="0" w:space="0" w:color="auto"/>
        <w:left w:val="none" w:sz="0" w:space="0" w:color="auto"/>
        <w:bottom w:val="none" w:sz="0" w:space="0" w:color="auto"/>
        <w:right w:val="none" w:sz="0" w:space="0" w:color="auto"/>
      </w:divBdr>
    </w:div>
    <w:div w:id="1550268284">
      <w:bodyDiv w:val="1"/>
      <w:marLeft w:val="0"/>
      <w:marRight w:val="0"/>
      <w:marTop w:val="0"/>
      <w:marBottom w:val="0"/>
      <w:divBdr>
        <w:top w:val="none" w:sz="0" w:space="0" w:color="auto"/>
        <w:left w:val="none" w:sz="0" w:space="0" w:color="auto"/>
        <w:bottom w:val="none" w:sz="0" w:space="0" w:color="auto"/>
        <w:right w:val="none" w:sz="0" w:space="0" w:color="auto"/>
      </w:divBdr>
    </w:div>
    <w:div w:id="1560282064">
      <w:bodyDiv w:val="1"/>
      <w:marLeft w:val="0"/>
      <w:marRight w:val="0"/>
      <w:marTop w:val="0"/>
      <w:marBottom w:val="0"/>
      <w:divBdr>
        <w:top w:val="none" w:sz="0" w:space="0" w:color="auto"/>
        <w:left w:val="none" w:sz="0" w:space="0" w:color="auto"/>
        <w:bottom w:val="none" w:sz="0" w:space="0" w:color="auto"/>
        <w:right w:val="none" w:sz="0" w:space="0" w:color="auto"/>
      </w:divBdr>
    </w:div>
    <w:div w:id="1635598142">
      <w:bodyDiv w:val="1"/>
      <w:marLeft w:val="0"/>
      <w:marRight w:val="0"/>
      <w:marTop w:val="0"/>
      <w:marBottom w:val="0"/>
      <w:divBdr>
        <w:top w:val="none" w:sz="0" w:space="0" w:color="auto"/>
        <w:left w:val="none" w:sz="0" w:space="0" w:color="auto"/>
        <w:bottom w:val="none" w:sz="0" w:space="0" w:color="auto"/>
        <w:right w:val="none" w:sz="0" w:space="0" w:color="auto"/>
      </w:divBdr>
    </w:div>
    <w:div w:id="1711490205">
      <w:bodyDiv w:val="1"/>
      <w:marLeft w:val="0"/>
      <w:marRight w:val="0"/>
      <w:marTop w:val="0"/>
      <w:marBottom w:val="0"/>
      <w:divBdr>
        <w:top w:val="none" w:sz="0" w:space="0" w:color="auto"/>
        <w:left w:val="none" w:sz="0" w:space="0" w:color="auto"/>
        <w:bottom w:val="none" w:sz="0" w:space="0" w:color="auto"/>
        <w:right w:val="none" w:sz="0" w:space="0" w:color="auto"/>
      </w:divBdr>
      <w:divsChild>
        <w:div w:id="170872710">
          <w:marLeft w:val="965"/>
          <w:marRight w:val="0"/>
          <w:marTop w:val="0"/>
          <w:marBottom w:val="0"/>
          <w:divBdr>
            <w:top w:val="none" w:sz="0" w:space="0" w:color="auto"/>
            <w:left w:val="none" w:sz="0" w:space="0" w:color="auto"/>
            <w:bottom w:val="none" w:sz="0" w:space="0" w:color="auto"/>
            <w:right w:val="none" w:sz="0" w:space="0" w:color="auto"/>
          </w:divBdr>
        </w:div>
        <w:div w:id="489834207">
          <w:marLeft w:val="965"/>
          <w:marRight w:val="0"/>
          <w:marTop w:val="0"/>
          <w:marBottom w:val="0"/>
          <w:divBdr>
            <w:top w:val="none" w:sz="0" w:space="0" w:color="auto"/>
            <w:left w:val="none" w:sz="0" w:space="0" w:color="auto"/>
            <w:bottom w:val="none" w:sz="0" w:space="0" w:color="auto"/>
            <w:right w:val="none" w:sz="0" w:space="0" w:color="auto"/>
          </w:divBdr>
        </w:div>
        <w:div w:id="546112450">
          <w:marLeft w:val="965"/>
          <w:marRight w:val="0"/>
          <w:marTop w:val="0"/>
          <w:marBottom w:val="0"/>
          <w:divBdr>
            <w:top w:val="none" w:sz="0" w:space="0" w:color="auto"/>
            <w:left w:val="none" w:sz="0" w:space="0" w:color="auto"/>
            <w:bottom w:val="none" w:sz="0" w:space="0" w:color="auto"/>
            <w:right w:val="none" w:sz="0" w:space="0" w:color="auto"/>
          </w:divBdr>
        </w:div>
        <w:div w:id="767383637">
          <w:marLeft w:val="965"/>
          <w:marRight w:val="0"/>
          <w:marTop w:val="0"/>
          <w:marBottom w:val="0"/>
          <w:divBdr>
            <w:top w:val="none" w:sz="0" w:space="0" w:color="auto"/>
            <w:left w:val="none" w:sz="0" w:space="0" w:color="auto"/>
            <w:bottom w:val="none" w:sz="0" w:space="0" w:color="auto"/>
            <w:right w:val="none" w:sz="0" w:space="0" w:color="auto"/>
          </w:divBdr>
        </w:div>
        <w:div w:id="1183011412">
          <w:marLeft w:val="446"/>
          <w:marRight w:val="0"/>
          <w:marTop w:val="0"/>
          <w:marBottom w:val="0"/>
          <w:divBdr>
            <w:top w:val="none" w:sz="0" w:space="0" w:color="auto"/>
            <w:left w:val="none" w:sz="0" w:space="0" w:color="auto"/>
            <w:bottom w:val="none" w:sz="0" w:space="0" w:color="auto"/>
            <w:right w:val="none" w:sz="0" w:space="0" w:color="auto"/>
          </w:divBdr>
        </w:div>
      </w:divsChild>
    </w:div>
    <w:div w:id="1712798539">
      <w:bodyDiv w:val="1"/>
      <w:marLeft w:val="0"/>
      <w:marRight w:val="0"/>
      <w:marTop w:val="0"/>
      <w:marBottom w:val="0"/>
      <w:divBdr>
        <w:top w:val="none" w:sz="0" w:space="0" w:color="auto"/>
        <w:left w:val="none" w:sz="0" w:space="0" w:color="auto"/>
        <w:bottom w:val="none" w:sz="0" w:space="0" w:color="auto"/>
        <w:right w:val="none" w:sz="0" w:space="0" w:color="auto"/>
      </w:divBdr>
      <w:divsChild>
        <w:div w:id="392001547">
          <w:marLeft w:val="965"/>
          <w:marRight w:val="0"/>
          <w:marTop w:val="0"/>
          <w:marBottom w:val="0"/>
          <w:divBdr>
            <w:top w:val="none" w:sz="0" w:space="0" w:color="auto"/>
            <w:left w:val="none" w:sz="0" w:space="0" w:color="auto"/>
            <w:bottom w:val="none" w:sz="0" w:space="0" w:color="auto"/>
            <w:right w:val="none" w:sz="0" w:space="0" w:color="auto"/>
          </w:divBdr>
        </w:div>
        <w:div w:id="1992707574">
          <w:marLeft w:val="965"/>
          <w:marRight w:val="0"/>
          <w:marTop w:val="0"/>
          <w:marBottom w:val="0"/>
          <w:divBdr>
            <w:top w:val="none" w:sz="0" w:space="0" w:color="auto"/>
            <w:left w:val="none" w:sz="0" w:space="0" w:color="auto"/>
            <w:bottom w:val="none" w:sz="0" w:space="0" w:color="auto"/>
            <w:right w:val="none" w:sz="0" w:space="0" w:color="auto"/>
          </w:divBdr>
        </w:div>
      </w:divsChild>
    </w:div>
    <w:div w:id="1717662646">
      <w:bodyDiv w:val="1"/>
      <w:marLeft w:val="0"/>
      <w:marRight w:val="0"/>
      <w:marTop w:val="0"/>
      <w:marBottom w:val="0"/>
      <w:divBdr>
        <w:top w:val="none" w:sz="0" w:space="0" w:color="auto"/>
        <w:left w:val="none" w:sz="0" w:space="0" w:color="auto"/>
        <w:bottom w:val="none" w:sz="0" w:space="0" w:color="auto"/>
        <w:right w:val="none" w:sz="0" w:space="0" w:color="auto"/>
      </w:divBdr>
    </w:div>
    <w:div w:id="1739355634">
      <w:bodyDiv w:val="1"/>
      <w:marLeft w:val="0"/>
      <w:marRight w:val="0"/>
      <w:marTop w:val="0"/>
      <w:marBottom w:val="0"/>
      <w:divBdr>
        <w:top w:val="none" w:sz="0" w:space="0" w:color="auto"/>
        <w:left w:val="none" w:sz="0" w:space="0" w:color="auto"/>
        <w:bottom w:val="none" w:sz="0" w:space="0" w:color="auto"/>
        <w:right w:val="none" w:sz="0" w:space="0" w:color="auto"/>
      </w:divBdr>
    </w:div>
    <w:div w:id="1814713948">
      <w:bodyDiv w:val="1"/>
      <w:marLeft w:val="0"/>
      <w:marRight w:val="0"/>
      <w:marTop w:val="0"/>
      <w:marBottom w:val="0"/>
      <w:divBdr>
        <w:top w:val="none" w:sz="0" w:space="0" w:color="auto"/>
        <w:left w:val="none" w:sz="0" w:space="0" w:color="auto"/>
        <w:bottom w:val="none" w:sz="0" w:space="0" w:color="auto"/>
        <w:right w:val="none" w:sz="0" w:space="0" w:color="auto"/>
      </w:divBdr>
    </w:div>
    <w:div w:id="1815176116">
      <w:bodyDiv w:val="1"/>
      <w:marLeft w:val="0"/>
      <w:marRight w:val="0"/>
      <w:marTop w:val="0"/>
      <w:marBottom w:val="0"/>
      <w:divBdr>
        <w:top w:val="none" w:sz="0" w:space="0" w:color="auto"/>
        <w:left w:val="none" w:sz="0" w:space="0" w:color="auto"/>
        <w:bottom w:val="none" w:sz="0" w:space="0" w:color="auto"/>
        <w:right w:val="none" w:sz="0" w:space="0" w:color="auto"/>
      </w:divBdr>
      <w:divsChild>
        <w:div w:id="1157720338">
          <w:marLeft w:val="547"/>
          <w:marRight w:val="0"/>
          <w:marTop w:val="0"/>
          <w:marBottom w:val="0"/>
          <w:divBdr>
            <w:top w:val="none" w:sz="0" w:space="0" w:color="auto"/>
            <w:left w:val="none" w:sz="0" w:space="0" w:color="auto"/>
            <w:bottom w:val="none" w:sz="0" w:space="0" w:color="auto"/>
            <w:right w:val="none" w:sz="0" w:space="0" w:color="auto"/>
          </w:divBdr>
        </w:div>
      </w:divsChild>
    </w:div>
    <w:div w:id="1893227765">
      <w:bodyDiv w:val="1"/>
      <w:marLeft w:val="0"/>
      <w:marRight w:val="0"/>
      <w:marTop w:val="0"/>
      <w:marBottom w:val="0"/>
      <w:divBdr>
        <w:top w:val="none" w:sz="0" w:space="0" w:color="auto"/>
        <w:left w:val="none" w:sz="0" w:space="0" w:color="auto"/>
        <w:bottom w:val="none" w:sz="0" w:space="0" w:color="auto"/>
        <w:right w:val="none" w:sz="0" w:space="0" w:color="auto"/>
      </w:divBdr>
    </w:div>
    <w:div w:id="1956330380">
      <w:bodyDiv w:val="1"/>
      <w:marLeft w:val="0"/>
      <w:marRight w:val="0"/>
      <w:marTop w:val="0"/>
      <w:marBottom w:val="0"/>
      <w:divBdr>
        <w:top w:val="none" w:sz="0" w:space="0" w:color="auto"/>
        <w:left w:val="none" w:sz="0" w:space="0" w:color="auto"/>
        <w:bottom w:val="none" w:sz="0" w:space="0" w:color="auto"/>
        <w:right w:val="none" w:sz="0" w:space="0" w:color="auto"/>
      </w:divBdr>
      <w:divsChild>
        <w:div w:id="445925821">
          <w:marLeft w:val="446"/>
          <w:marRight w:val="0"/>
          <w:marTop w:val="0"/>
          <w:marBottom w:val="0"/>
          <w:divBdr>
            <w:top w:val="none" w:sz="0" w:space="0" w:color="auto"/>
            <w:left w:val="none" w:sz="0" w:space="0" w:color="auto"/>
            <w:bottom w:val="none" w:sz="0" w:space="0" w:color="auto"/>
            <w:right w:val="none" w:sz="0" w:space="0" w:color="auto"/>
          </w:divBdr>
        </w:div>
        <w:div w:id="764036050">
          <w:marLeft w:val="965"/>
          <w:marRight w:val="0"/>
          <w:marTop w:val="0"/>
          <w:marBottom w:val="0"/>
          <w:divBdr>
            <w:top w:val="none" w:sz="0" w:space="0" w:color="auto"/>
            <w:left w:val="none" w:sz="0" w:space="0" w:color="auto"/>
            <w:bottom w:val="none" w:sz="0" w:space="0" w:color="auto"/>
            <w:right w:val="none" w:sz="0" w:space="0" w:color="auto"/>
          </w:divBdr>
        </w:div>
        <w:div w:id="771360186">
          <w:marLeft w:val="965"/>
          <w:marRight w:val="0"/>
          <w:marTop w:val="0"/>
          <w:marBottom w:val="0"/>
          <w:divBdr>
            <w:top w:val="none" w:sz="0" w:space="0" w:color="auto"/>
            <w:left w:val="none" w:sz="0" w:space="0" w:color="auto"/>
            <w:bottom w:val="none" w:sz="0" w:space="0" w:color="auto"/>
            <w:right w:val="none" w:sz="0" w:space="0" w:color="auto"/>
          </w:divBdr>
        </w:div>
        <w:div w:id="935669010">
          <w:marLeft w:val="446"/>
          <w:marRight w:val="0"/>
          <w:marTop w:val="0"/>
          <w:marBottom w:val="0"/>
          <w:divBdr>
            <w:top w:val="none" w:sz="0" w:space="0" w:color="auto"/>
            <w:left w:val="none" w:sz="0" w:space="0" w:color="auto"/>
            <w:bottom w:val="none" w:sz="0" w:space="0" w:color="auto"/>
            <w:right w:val="none" w:sz="0" w:space="0" w:color="auto"/>
          </w:divBdr>
        </w:div>
        <w:div w:id="1066952973">
          <w:marLeft w:val="446"/>
          <w:marRight w:val="0"/>
          <w:marTop w:val="0"/>
          <w:marBottom w:val="0"/>
          <w:divBdr>
            <w:top w:val="none" w:sz="0" w:space="0" w:color="auto"/>
            <w:left w:val="none" w:sz="0" w:space="0" w:color="auto"/>
            <w:bottom w:val="none" w:sz="0" w:space="0" w:color="auto"/>
            <w:right w:val="none" w:sz="0" w:space="0" w:color="auto"/>
          </w:divBdr>
        </w:div>
        <w:div w:id="1299920015">
          <w:marLeft w:val="965"/>
          <w:marRight w:val="0"/>
          <w:marTop w:val="0"/>
          <w:marBottom w:val="0"/>
          <w:divBdr>
            <w:top w:val="none" w:sz="0" w:space="0" w:color="auto"/>
            <w:left w:val="none" w:sz="0" w:space="0" w:color="auto"/>
            <w:bottom w:val="none" w:sz="0" w:space="0" w:color="auto"/>
            <w:right w:val="none" w:sz="0" w:space="0" w:color="auto"/>
          </w:divBdr>
        </w:div>
        <w:div w:id="1568416958">
          <w:marLeft w:val="446"/>
          <w:marRight w:val="0"/>
          <w:marTop w:val="0"/>
          <w:marBottom w:val="0"/>
          <w:divBdr>
            <w:top w:val="none" w:sz="0" w:space="0" w:color="auto"/>
            <w:left w:val="none" w:sz="0" w:space="0" w:color="auto"/>
            <w:bottom w:val="none" w:sz="0" w:space="0" w:color="auto"/>
            <w:right w:val="none" w:sz="0" w:space="0" w:color="auto"/>
          </w:divBdr>
        </w:div>
        <w:div w:id="2030330815">
          <w:marLeft w:val="446"/>
          <w:marRight w:val="0"/>
          <w:marTop w:val="0"/>
          <w:marBottom w:val="0"/>
          <w:divBdr>
            <w:top w:val="none" w:sz="0" w:space="0" w:color="auto"/>
            <w:left w:val="none" w:sz="0" w:space="0" w:color="auto"/>
            <w:bottom w:val="none" w:sz="0" w:space="0" w:color="auto"/>
            <w:right w:val="none" w:sz="0" w:space="0" w:color="auto"/>
          </w:divBdr>
        </w:div>
      </w:divsChild>
    </w:div>
    <w:div w:id="2086224740">
      <w:bodyDiv w:val="1"/>
      <w:marLeft w:val="0"/>
      <w:marRight w:val="0"/>
      <w:marTop w:val="0"/>
      <w:marBottom w:val="0"/>
      <w:divBdr>
        <w:top w:val="none" w:sz="0" w:space="0" w:color="auto"/>
        <w:left w:val="none" w:sz="0" w:space="0" w:color="auto"/>
        <w:bottom w:val="none" w:sz="0" w:space="0" w:color="auto"/>
        <w:right w:val="none" w:sz="0" w:space="0" w:color="auto"/>
      </w:divBdr>
    </w:div>
    <w:div w:id="2088914024">
      <w:bodyDiv w:val="1"/>
      <w:marLeft w:val="0"/>
      <w:marRight w:val="0"/>
      <w:marTop w:val="0"/>
      <w:marBottom w:val="0"/>
      <w:divBdr>
        <w:top w:val="none" w:sz="0" w:space="0" w:color="auto"/>
        <w:left w:val="none" w:sz="0" w:space="0" w:color="auto"/>
        <w:bottom w:val="none" w:sz="0" w:space="0" w:color="auto"/>
        <w:right w:val="none" w:sz="0" w:space="0" w:color="auto"/>
      </w:divBdr>
    </w:div>
    <w:div w:id="2091653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5.bin"/><Relationship Id="rId26" Type="http://schemas.openxmlformats.org/officeDocument/2006/relationships/image" Target="media/image10.bin"/><Relationship Id="rId39" Type="http://schemas.openxmlformats.org/officeDocument/2006/relationships/image" Target="media/image15.png"/><Relationship Id="rId21" Type="http://schemas.openxmlformats.org/officeDocument/2006/relationships/image" Target="media/image8.bin"/><Relationship Id="rId34" Type="http://schemas.openxmlformats.org/officeDocument/2006/relationships/footer" Target="footer6.xml"/><Relationship Id="rId42" Type="http://schemas.openxmlformats.org/officeDocument/2006/relationships/footer" Target="footer9.xml"/><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footer" Target="footer1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3.bin"/><Relationship Id="rId29" Type="http://schemas.openxmlformats.org/officeDocument/2006/relationships/header" Target="header3.xml"/><Relationship Id="rId11" Type="http://schemas.openxmlformats.org/officeDocument/2006/relationships/webSettings" Target="webSettings.xml"/><Relationship Id="rId24" Type="http://schemas.openxmlformats.org/officeDocument/2006/relationships/header" Target="header1.xml"/><Relationship Id="rId32" Type="http://schemas.openxmlformats.org/officeDocument/2006/relationships/header" Target="header4.xml"/><Relationship Id="rId37" Type="http://schemas.openxmlformats.org/officeDocument/2006/relationships/image" Target="media/image13.jpeg"/><Relationship Id="rId40" Type="http://schemas.openxmlformats.org/officeDocument/2006/relationships/image" Target="media/image16.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footer" Target="footer13.xml"/><Relationship Id="rId5" Type="http://schemas.openxmlformats.org/officeDocument/2006/relationships/customXml" Target="../customXml/item5.xml"/><Relationship Id="rId61" Type="http://schemas.openxmlformats.org/officeDocument/2006/relationships/glossaryDocument" Target="glossary/document.xml"/><Relationship Id="rId19" Type="http://schemas.openxmlformats.org/officeDocument/2006/relationships/image" Target="media/image6.bin"/><Relationship Id="rId14" Type="http://schemas.openxmlformats.org/officeDocument/2006/relationships/image" Target="media/image1.jpeg"/><Relationship Id="rId22" Type="http://schemas.openxmlformats.org/officeDocument/2006/relationships/image" Target="media/image9.bin"/><Relationship Id="rId27" Type="http://schemas.openxmlformats.org/officeDocument/2006/relationships/image" Target="media/image11.bin"/><Relationship Id="rId30" Type="http://schemas.openxmlformats.org/officeDocument/2006/relationships/footer" Target="footer3.xml"/><Relationship Id="rId35" Type="http://schemas.openxmlformats.org/officeDocument/2006/relationships/footer" Target="footer7.xml"/><Relationship Id="rId43" Type="http://schemas.openxmlformats.org/officeDocument/2006/relationships/image" Target="media/image17.png"/><Relationship Id="rId48" Type="http://schemas.openxmlformats.org/officeDocument/2006/relationships/image" Target="media/image22.jpeg"/><Relationship Id="rId56" Type="http://schemas.openxmlformats.org/officeDocument/2006/relationships/footer" Target="footer12.xml"/><Relationship Id="rId8" Type="http://schemas.openxmlformats.org/officeDocument/2006/relationships/numbering" Target="numbering.xml"/><Relationship Id="rId51" Type="http://schemas.openxmlformats.org/officeDocument/2006/relationships/image" Target="media/image25.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4.bin"/><Relationship Id="rId25" Type="http://schemas.openxmlformats.org/officeDocument/2006/relationships/footer" Target="footer2.xml"/><Relationship Id="rId33" Type="http://schemas.openxmlformats.org/officeDocument/2006/relationships/footer" Target="footer5.xml"/><Relationship Id="rId38" Type="http://schemas.openxmlformats.org/officeDocument/2006/relationships/image" Target="media/image14.png"/><Relationship Id="rId46" Type="http://schemas.openxmlformats.org/officeDocument/2006/relationships/image" Target="media/image20.png"/><Relationship Id="rId59" Type="http://schemas.openxmlformats.org/officeDocument/2006/relationships/footer" Target="footer14.xml"/><Relationship Id="rId20" Type="http://schemas.openxmlformats.org/officeDocument/2006/relationships/image" Target="media/image7.bin"/><Relationship Id="rId41" Type="http://schemas.openxmlformats.org/officeDocument/2006/relationships/footer" Target="footer8.xml"/><Relationship Id="rId54" Type="http://schemas.openxmlformats.org/officeDocument/2006/relationships/footer" Target="footer10.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bin"/><Relationship Id="rId23" Type="http://schemas.openxmlformats.org/officeDocument/2006/relationships/footer" Target="footer1.xml"/><Relationship Id="rId28" Type="http://schemas.openxmlformats.org/officeDocument/2006/relationships/header" Target="header2.xml"/><Relationship Id="rId36" Type="http://schemas.openxmlformats.org/officeDocument/2006/relationships/image" Target="media/image12.png"/><Relationship Id="rId49" Type="http://schemas.openxmlformats.org/officeDocument/2006/relationships/image" Target="media/image23.png"/><Relationship Id="rId57" Type="http://schemas.openxmlformats.org/officeDocument/2006/relationships/image" Target="media/image28.bin"/><Relationship Id="rId10" Type="http://schemas.openxmlformats.org/officeDocument/2006/relationships/settings" Target="settings.xml"/><Relationship Id="rId31" Type="http://schemas.openxmlformats.org/officeDocument/2006/relationships/footer" Target="footer4.xml"/><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2" Type="http://schemas.openxmlformats.org/officeDocument/2006/relationships/hyperlink" Target="https://www.tenders.vic.gov.au/tender/view?id=97081" TargetMode="External"/><Relationship Id="rId1" Type="http://schemas.openxmlformats.org/officeDocument/2006/relationships/hyperlink" Target="https://www.dtf.vic.gov.au/partnerships-addressing-disadvantage/principles-partnerships-addressing-disadvantage"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7EBB242F2D9E432A8C490B14330D7229"/>
        <w:category>
          <w:name w:val="General"/>
          <w:gallery w:val="placeholder"/>
        </w:category>
        <w:types>
          <w:type w:val="bbPlcHdr"/>
        </w:types>
        <w:behaviors>
          <w:behavior w:val="content"/>
        </w:behaviors>
        <w:guid w:val="{EEB28281-24BB-42E5-8CD4-CC067CED3C80}"/>
      </w:docPartPr>
      <w:docPartBody>
        <w:p w:rsidR="001727D7" w:rsidRDefault="00F10304" w:rsidP="00F10304">
          <w:pPr>
            <w:pStyle w:val="7EBB242F2D9E432A8C490B14330D7229"/>
          </w:pPr>
          <w:r w:rsidRPr="00F31CD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Flama Cond Bold">
    <w:charset w:val="00"/>
    <w:family w:val="auto"/>
    <w:pitch w:val="variable"/>
    <w:sig w:usb0="00000003" w:usb1="00000000" w:usb2="00000000" w:usb3="00000000" w:csb0="00000001" w:csb1="00000000"/>
  </w:font>
  <w:font w:name="Arial Narrow">
    <w:charset w:val="00"/>
    <w:family w:val="swiss"/>
    <w:pitch w:val="variable"/>
    <w:sig w:usb0="00000287" w:usb1="000008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modern"/>
    <w:pitch w:val="fixed"/>
    <w:sig w:usb0="00000001" w:usb1="080E0000" w:usb2="00000010" w:usb3="00000000" w:csb0="00040000" w:csb1="00000000"/>
  </w:font>
  <w:font w:name="DengXian Light">
    <w:altName w:val="等线 Light"/>
    <w:panose1 w:val="00000000000000000000"/>
    <w:charset w:val="86"/>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0F2D"/>
    <w:rsid w:val="000049F9"/>
    <w:rsid w:val="000105AF"/>
    <w:rsid w:val="00032BA4"/>
    <w:rsid w:val="00041C75"/>
    <w:rsid w:val="00044030"/>
    <w:rsid w:val="000468CA"/>
    <w:rsid w:val="000505A8"/>
    <w:rsid w:val="00061CD5"/>
    <w:rsid w:val="00064681"/>
    <w:rsid w:val="000E1C4C"/>
    <w:rsid w:val="000E479D"/>
    <w:rsid w:val="00103B77"/>
    <w:rsid w:val="00103DCF"/>
    <w:rsid w:val="00103F62"/>
    <w:rsid w:val="001063ED"/>
    <w:rsid w:val="001249F6"/>
    <w:rsid w:val="00136FDB"/>
    <w:rsid w:val="0016064D"/>
    <w:rsid w:val="00165367"/>
    <w:rsid w:val="00171DB2"/>
    <w:rsid w:val="001727D7"/>
    <w:rsid w:val="00185035"/>
    <w:rsid w:val="0019271D"/>
    <w:rsid w:val="00197D87"/>
    <w:rsid w:val="001C152F"/>
    <w:rsid w:val="001C2A85"/>
    <w:rsid w:val="001F5DD7"/>
    <w:rsid w:val="00201D20"/>
    <w:rsid w:val="00204A10"/>
    <w:rsid w:val="0021134F"/>
    <w:rsid w:val="00217D64"/>
    <w:rsid w:val="00265207"/>
    <w:rsid w:val="002758A0"/>
    <w:rsid w:val="002776AB"/>
    <w:rsid w:val="00283147"/>
    <w:rsid w:val="0028369F"/>
    <w:rsid w:val="00284566"/>
    <w:rsid w:val="002862CB"/>
    <w:rsid w:val="002B3F7E"/>
    <w:rsid w:val="002D5E47"/>
    <w:rsid w:val="002E571A"/>
    <w:rsid w:val="002F0296"/>
    <w:rsid w:val="002F5455"/>
    <w:rsid w:val="002F7664"/>
    <w:rsid w:val="00301B51"/>
    <w:rsid w:val="00326DF6"/>
    <w:rsid w:val="003352E3"/>
    <w:rsid w:val="00354D3F"/>
    <w:rsid w:val="00360E6B"/>
    <w:rsid w:val="00364926"/>
    <w:rsid w:val="00382412"/>
    <w:rsid w:val="0039212F"/>
    <w:rsid w:val="003B4AE3"/>
    <w:rsid w:val="003C485D"/>
    <w:rsid w:val="003D321C"/>
    <w:rsid w:val="003D3A2D"/>
    <w:rsid w:val="003D5810"/>
    <w:rsid w:val="003E093C"/>
    <w:rsid w:val="00403708"/>
    <w:rsid w:val="004143B7"/>
    <w:rsid w:val="00443A25"/>
    <w:rsid w:val="0044458E"/>
    <w:rsid w:val="00457A0C"/>
    <w:rsid w:val="00467351"/>
    <w:rsid w:val="0049533A"/>
    <w:rsid w:val="004F248B"/>
    <w:rsid w:val="005037D5"/>
    <w:rsid w:val="00511756"/>
    <w:rsid w:val="005206F9"/>
    <w:rsid w:val="00521FAB"/>
    <w:rsid w:val="00526CAF"/>
    <w:rsid w:val="005921D2"/>
    <w:rsid w:val="005958F0"/>
    <w:rsid w:val="0059726F"/>
    <w:rsid w:val="005A178B"/>
    <w:rsid w:val="005A3B68"/>
    <w:rsid w:val="005A6A79"/>
    <w:rsid w:val="005B02E8"/>
    <w:rsid w:val="005D20DA"/>
    <w:rsid w:val="005E07EB"/>
    <w:rsid w:val="005E4147"/>
    <w:rsid w:val="005F56F0"/>
    <w:rsid w:val="005F5A9E"/>
    <w:rsid w:val="005F6429"/>
    <w:rsid w:val="00604773"/>
    <w:rsid w:val="00604B41"/>
    <w:rsid w:val="006147D3"/>
    <w:rsid w:val="006239D4"/>
    <w:rsid w:val="006266A2"/>
    <w:rsid w:val="00635217"/>
    <w:rsid w:val="006362B8"/>
    <w:rsid w:val="00655678"/>
    <w:rsid w:val="0065643C"/>
    <w:rsid w:val="00660450"/>
    <w:rsid w:val="00663336"/>
    <w:rsid w:val="006642E2"/>
    <w:rsid w:val="00665272"/>
    <w:rsid w:val="00665B96"/>
    <w:rsid w:val="006846EB"/>
    <w:rsid w:val="00687A7F"/>
    <w:rsid w:val="006C2C09"/>
    <w:rsid w:val="006D77DF"/>
    <w:rsid w:val="006E0F2D"/>
    <w:rsid w:val="006E26AF"/>
    <w:rsid w:val="006E38A7"/>
    <w:rsid w:val="006E6698"/>
    <w:rsid w:val="0070612A"/>
    <w:rsid w:val="007125EE"/>
    <w:rsid w:val="0073347E"/>
    <w:rsid w:val="00735F9F"/>
    <w:rsid w:val="007534AD"/>
    <w:rsid w:val="00761E4C"/>
    <w:rsid w:val="007867D5"/>
    <w:rsid w:val="00792117"/>
    <w:rsid w:val="00794CE2"/>
    <w:rsid w:val="007A1D01"/>
    <w:rsid w:val="007A5C8D"/>
    <w:rsid w:val="007A774C"/>
    <w:rsid w:val="007B0BC5"/>
    <w:rsid w:val="007B6FE3"/>
    <w:rsid w:val="007E29DC"/>
    <w:rsid w:val="007F370A"/>
    <w:rsid w:val="007F66CE"/>
    <w:rsid w:val="00804683"/>
    <w:rsid w:val="00821457"/>
    <w:rsid w:val="00826459"/>
    <w:rsid w:val="00845E33"/>
    <w:rsid w:val="008576A1"/>
    <w:rsid w:val="00862196"/>
    <w:rsid w:val="008670B5"/>
    <w:rsid w:val="0087539A"/>
    <w:rsid w:val="008776C4"/>
    <w:rsid w:val="00881DF7"/>
    <w:rsid w:val="008847BE"/>
    <w:rsid w:val="00895748"/>
    <w:rsid w:val="008B080C"/>
    <w:rsid w:val="008C64E3"/>
    <w:rsid w:val="008D3DBD"/>
    <w:rsid w:val="008D4498"/>
    <w:rsid w:val="008D75B1"/>
    <w:rsid w:val="008F071A"/>
    <w:rsid w:val="008F48EB"/>
    <w:rsid w:val="009074F2"/>
    <w:rsid w:val="009259B3"/>
    <w:rsid w:val="0094166C"/>
    <w:rsid w:val="0094216A"/>
    <w:rsid w:val="00943239"/>
    <w:rsid w:val="0096074B"/>
    <w:rsid w:val="0096515A"/>
    <w:rsid w:val="00966D4B"/>
    <w:rsid w:val="00981B18"/>
    <w:rsid w:val="00982325"/>
    <w:rsid w:val="009A4608"/>
    <w:rsid w:val="009A6ADE"/>
    <w:rsid w:val="009B7123"/>
    <w:rsid w:val="009C3545"/>
    <w:rsid w:val="009D4D75"/>
    <w:rsid w:val="009E0C03"/>
    <w:rsid w:val="009E2F51"/>
    <w:rsid w:val="009E3D54"/>
    <w:rsid w:val="009F7B18"/>
    <w:rsid w:val="00A02D23"/>
    <w:rsid w:val="00A27BA9"/>
    <w:rsid w:val="00A65A98"/>
    <w:rsid w:val="00AA094D"/>
    <w:rsid w:val="00AA66AA"/>
    <w:rsid w:val="00AB069D"/>
    <w:rsid w:val="00AD532B"/>
    <w:rsid w:val="00B0164E"/>
    <w:rsid w:val="00B10795"/>
    <w:rsid w:val="00B10D01"/>
    <w:rsid w:val="00B11616"/>
    <w:rsid w:val="00B1292C"/>
    <w:rsid w:val="00B21129"/>
    <w:rsid w:val="00B339EA"/>
    <w:rsid w:val="00B36338"/>
    <w:rsid w:val="00B36618"/>
    <w:rsid w:val="00B40093"/>
    <w:rsid w:val="00B45231"/>
    <w:rsid w:val="00B506C1"/>
    <w:rsid w:val="00B524B6"/>
    <w:rsid w:val="00B96D66"/>
    <w:rsid w:val="00BA5565"/>
    <w:rsid w:val="00BC13A2"/>
    <w:rsid w:val="00BC712F"/>
    <w:rsid w:val="00BD5819"/>
    <w:rsid w:val="00BE1B10"/>
    <w:rsid w:val="00BE5274"/>
    <w:rsid w:val="00BF3298"/>
    <w:rsid w:val="00C00521"/>
    <w:rsid w:val="00C00525"/>
    <w:rsid w:val="00C05770"/>
    <w:rsid w:val="00C378A4"/>
    <w:rsid w:val="00C75ED1"/>
    <w:rsid w:val="00CA13AF"/>
    <w:rsid w:val="00CA30EE"/>
    <w:rsid w:val="00CB0811"/>
    <w:rsid w:val="00CD66B6"/>
    <w:rsid w:val="00CE484A"/>
    <w:rsid w:val="00CE75EF"/>
    <w:rsid w:val="00CF0AEB"/>
    <w:rsid w:val="00CF22DC"/>
    <w:rsid w:val="00D15CED"/>
    <w:rsid w:val="00D27B48"/>
    <w:rsid w:val="00D30503"/>
    <w:rsid w:val="00D52F99"/>
    <w:rsid w:val="00D60DE8"/>
    <w:rsid w:val="00D84B13"/>
    <w:rsid w:val="00D95144"/>
    <w:rsid w:val="00DA4607"/>
    <w:rsid w:val="00DD34F8"/>
    <w:rsid w:val="00DD408B"/>
    <w:rsid w:val="00DE3C98"/>
    <w:rsid w:val="00DE4653"/>
    <w:rsid w:val="00DE5E55"/>
    <w:rsid w:val="00DF25C8"/>
    <w:rsid w:val="00DF4536"/>
    <w:rsid w:val="00E4366A"/>
    <w:rsid w:val="00E46581"/>
    <w:rsid w:val="00E5015E"/>
    <w:rsid w:val="00E518AB"/>
    <w:rsid w:val="00E65F06"/>
    <w:rsid w:val="00E87614"/>
    <w:rsid w:val="00E9415F"/>
    <w:rsid w:val="00E96E04"/>
    <w:rsid w:val="00EB7E3C"/>
    <w:rsid w:val="00ED107A"/>
    <w:rsid w:val="00EE7622"/>
    <w:rsid w:val="00EF7A64"/>
    <w:rsid w:val="00F07826"/>
    <w:rsid w:val="00F10304"/>
    <w:rsid w:val="00F31AFA"/>
    <w:rsid w:val="00F31BAC"/>
    <w:rsid w:val="00F366A4"/>
    <w:rsid w:val="00F42E86"/>
    <w:rsid w:val="00F72393"/>
    <w:rsid w:val="00F9638A"/>
    <w:rsid w:val="00FA675B"/>
    <w:rsid w:val="00FB68B7"/>
  </w:rsids>
  <m:mathPr>
    <m:mathFont m:val="Cambria Math"/>
    <m:brkBin m:val="before"/>
    <m:brkBinSub m:val="--"/>
    <m:smallFrac m:val="0"/>
    <m:dispDef/>
    <m:lMargin m:val="0"/>
    <m:rMargin m:val="0"/>
    <m:defJc m:val="centerGroup"/>
    <m:wrapIndent m:val="1440"/>
    <m:intLim m:val="subSup"/>
    <m:naryLim m:val="undOvr"/>
  </m:mathPr>
  <w:themeFontLang w:val="en-AU" w:eastAsia="zh-CN" w:bidi="he-I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AU"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1292C"/>
    <w:rPr>
      <w:color w:val="auto"/>
    </w:rPr>
  </w:style>
  <w:style w:type="paragraph" w:customStyle="1" w:styleId="7EBB242F2D9E432A8C490B14330D7229">
    <w:name w:val="7EBB242F2D9E432A8C490B14330D7229"/>
    <w:rsid w:val="00F10304"/>
    <w:rPr>
      <w:lang w:val="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Urbis Default">
      <a:dk1>
        <a:srgbClr val="1A1919"/>
      </a:dk1>
      <a:lt1>
        <a:sysClr val="window" lastClr="FFFFFF"/>
      </a:lt1>
      <a:dk2>
        <a:srgbClr val="666666"/>
      </a:dk2>
      <a:lt2>
        <a:srgbClr val="F9F8F8"/>
      </a:lt2>
      <a:accent1>
        <a:srgbClr val="68C0B5"/>
      </a:accent1>
      <a:accent2>
        <a:srgbClr val="69ACDF"/>
      </a:accent2>
      <a:accent3>
        <a:srgbClr val="636AAF"/>
      </a:accent3>
      <a:accent4>
        <a:srgbClr val="B26DAB"/>
      </a:accent4>
      <a:accent5>
        <a:srgbClr val="E7A2C8"/>
      </a:accent5>
      <a:accent6>
        <a:srgbClr val="9CD2F4"/>
      </a:accent6>
      <a:hlink>
        <a:srgbClr val="69ACDF"/>
      </a:hlink>
      <a:folHlink>
        <a:srgbClr val="B26DAB"/>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d1e6a267-26b6-4ec6-8b8f-c86c2761d466">
      <UserInfo>
        <DisplayName>David Nye (DFFH)</DisplayName>
        <AccountId>71</AccountId>
        <AccountType/>
      </UserInfo>
      <UserInfo>
        <DisplayName>Mark Hobbs (DFFH)</DisplayName>
        <AccountId>19</AccountId>
        <AccountType/>
      </UserInfo>
      <UserInfo>
        <DisplayName>Rona Zhang (DFFH)</DisplayName>
        <AccountId>13</AccountId>
        <AccountType/>
      </UserInfo>
      <UserInfo>
        <DisplayName>Brydie Clarke (DFFH)</DisplayName>
        <AccountId>52</AccountId>
        <AccountType/>
      </UserInfo>
    </SharedWithUsers>
    <TaxCatchAll xmlns="bd20f1ee-b63c-4db8-8ab7-12a8802541a2" xsi:nil="true"/>
    <lcf76f155ced4ddcb4097134ff3c332f xmlns="c30deaef-c907-49f6-b2be-0c63f2e6898e">
      <Terms xmlns="http://schemas.microsoft.com/office/infopath/2007/PartnerControls"/>
    </lcf76f155ced4ddcb4097134ff3c332f>
  </documentManagement>
</p:properties>
</file>

<file path=customXml/item2.xml><?xml version="1.0" encoding="utf-8"?>
<TemplafyTemplateConfiguration><![CDATA[{"elementsMetadata":[{"type":"richTextContentControl","id":"7c005ace-2fc6-47ef-b610-39f10c9c4e53","elementConfiguration":{"binding":"Form.Title","removeAndKeepContent":false,"disableUpdates":false,"type":"text"}},{"type":"richTextContentControl","id":"7ba09690-b6fc-4d9e-9678-33ad73852194","elementConfiguration":{"binding":"Form.Subtitle","removeAndKeepContent":false,"disableUpdates":false,"type":"text"}},{"type":"richTextContentControl","id":"3f08aa5d-02a4-4889-ac50-92836a12ddc9","elementConfiguration":{"binding":"Form.Title","removeAndKeepContent":false,"disableUpdates":false,"type":"text"}},{"type":"richTextContentControl","id":"ae767ec4-3d3f-4450-9a46-b77095f9e473","elementConfiguration":{"binding":"Form.Subtitle","removeAndKeepContent":false,"disableUpdates":false,"type":"text"}},{"type":"richTextContentControl","id":"20d0b2f2-2e0d-4762-b741-1dca92253895","elementConfiguration":{"binding":"Form.ClientName","removeAndKeepContent":false,"disableUpdates":false,"type":"text"}},{"type":"richTextContentControl","id":"07445830-362c-4853-9b50-b96533051ba2","elementConfiguration":{"format":"{{DateFormats.GeneralDate}}","binding":"Form.Date","removeAndKeepContent":false,"disableUpdates":false,"type":"date"}},{"type":"richTextContentControl","id":"8b7072bc-4535-4c38-8089-b24e798da9d0","elementConfiguration":{"binding":"Form.ClientName","removeAndKeepContent":false,"disableUpdates":false,"type":"text"}},{"type":"richTextContentControl","id":"1b17b2fb-6e01-4a5f-8c70-6540a46872ae","elementConfiguration":{"format":"{{DateFormats.GeneralDate}}","binding":"Form.Date","removeAndKeepContent":false,"disableUpdates":false,"type":"date"}},{"type":"richTextContentControl","id":"85c7c39e-058d-4e3e-a924-e6d3f6b9f89e","elementConfiguration":{"assetId":"{{Form.PublicPolicyReport.TextElement}}","replaceOnUpdate":true,"type":"textElement"}},{"type":"richTextContentControl","id":"ebd8ae6f-a957-4f8b-9499-e4181d17bd06","elementConfiguration":{"binding":"UserProfile.CompanyName.CompanyName","removeAndKeepContent":false,"disableUpdates":false,"type":"text"}},{"type":"richTextContentControl","id":"70ad3878-fedb-4c3c-a210-69a25cbeee08","elementConfiguration":{"binding":"UserProfile.CompanyName.Abn","removeAndKeepContent":false,"disableUpdates":false,"type":"text"}},{"type":"richTextContentControl","id":"d007e52f-0544-4018-adc3-aabd47f7649a","elementConfiguration":{"assetId":"{{Form.PublicPolicyReport.TextElement}}","replaceOnUpdate":true,"type":"textElement"}},{"type":"richTextContentControl","id":"69754931-1f26-4e85-8da0-87d398630aa5","elementConfiguration":{"binding":"UserProfile.CompanyName.CompanyName","removeAndKeepContent":false,"disableUpdates":false,"type":"text"}},{"type":"richTextContentControl","id":"95285601-531b-4c4c-8212-b5c7bbd3f022","elementConfiguration":{"binding":"UserProfile.CompanyName.Abn","removeAndKeepContent":false,"disableUpdates":false,"type":"text"}},{"type":"richTextContentControl","id":"14f73348-994d-4ea9-9145-ae780881da84","elementConfiguration":{"format":"{{DateFormats.GeneralDate}}","binding":"Form.Date","removeAndKeepContent":false,"disableUpdates":false,"type":"date"}},{"type":"richTextContentControl","id":"1b8545f2-2868-4211-8a97-b318f04b8136","elementConfiguration":{"binding":"UserProfile.CompanyName.CompanyName","removeAndKeepContent":false,"disableUpdates":false,"type":"text"}},{"type":"richTextContentControl","id":"9aa74abd-8b8d-4847-aaaf-1fd309f3ea52","elementConfiguration":{"binding":"Form.ClientName","removeAndKeepContent":false,"disableUpdates":false,"type":"text"}},{"type":"richTextContentControl","id":"7a4ac5db-5c87-4f1e-b9b4-bc6fe8c39e07","elementConfiguration":{"binding":"Form.ReportPurpose","removeAndKeepContent":false,"disableUpdates":false,"type":"text"}}],"transformationConfigurations":[{"colorTheme":"{{UserProfile.CompanyName.ColorTheme}}","originalColorThemeXml":"<a:clrScheme name=\"Urbis Default\" xmlns:a=\"http://schemas.openxmlformats.org/drawingml/2006/main\"><a:dk1><a:srgbClr val=\"1A1919\" /></a:dk1><a:lt1><a:sysClr val=\"window\" lastClr=\"FFFFFF\" /></a:lt1><a:dk2><a:srgbClr val=\"666666\" /></a:dk2><a:lt2><a:srgbClr val=\"F9F8F8\" /></a:lt2><a:accent1><a:srgbClr val=\"68C0B5\" /></a:accent1><a:accent2><a:srgbClr val=\"69ACDF\" /></a:accent2><a:accent3><a:srgbClr val=\"636AAF\" /></a:accent3><a:accent4><a:srgbClr val=\"B26DAB\" /></a:accent4><a:accent5><a:srgbClr val=\"E7A2C8\" /></a:accent5><a:accent6><a:srgbClr val=\"9CD2F4\" /></a:accent6><a:hlink><a:srgbClr val=\"69ACDF\" /></a:hlink><a:folHlink><a:srgbClr val=\"B26DAB\" /></a:folHlink></a:clrScheme>","disableUpdates":false,"type":"colorTheme"},{"language":"{{DocumentLanguage}}","disableUpdates":false,"type":"proofingLanguage"},{"originalValues":{"topMargin":1134,"rightMargin":1134,"bottomMargin":1134,"leftMargin":1134,"gutter":0,"gutterPosition":"left","orientation":"portrait","paperWidth":11906,"paperHeight":16838,"headerFromEdge":709,"footerFromEdge":284},"disableUpdates":true,"type":"pageSetup"}],"isBaseTemplate":false,"templateName":"Report","templateDescription":"Start a branded report","enableDocumentContentUpdater":true,"version":"1.10"}]]></TemplafyTemplateConfiguration>
</file>

<file path=customXml/item3.xml>��< ? x m l   v e r s i o n = " 1 . 0 "   e n c o d i n g = " u t f - 1 6 " ? > < K a p i s h F i l e n a m e T o U r i M a p p i n g s   x m l n s : x s i = " h t t p : / / w w w . w 3 . o r g / 2 0 0 1 / X M L S c h e m a - i n s t a n c e "   x m l n s : x s d = " h t t p : / / w w w . w 3 . o r g / 2 0 0 1 / X M L 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Sources xmlns:b="http://schemas.openxmlformats.org/officeDocument/2006/bibliography" xmlns="http://schemas.openxmlformats.org/officeDocument/2006/bibliography" SelectedStyle="\APASixthEditionOfficeOnline.xsl" StyleName="APA" Version="6"/>
</file>

<file path=customXml/item6.xml><?xml version="1.0" encoding="utf-8"?>
<ct:contentTypeSchema xmlns:ct="http://schemas.microsoft.com/office/2006/metadata/contentType" xmlns:ma="http://schemas.microsoft.com/office/2006/metadata/properties/metaAttributes" ct:_="" ma:_="" ma:contentTypeName="Document" ma:contentTypeID="0x0101002EDAFDB8AB511F41ACA230CD7ED5C862" ma:contentTypeVersion="16" ma:contentTypeDescription="Create a new document." ma:contentTypeScope="" ma:versionID="08930ec27af339c82ff4928898d662c1">
  <xsd:schema xmlns:xsd="http://www.w3.org/2001/XMLSchema" xmlns:xs="http://www.w3.org/2001/XMLSchema" xmlns:p="http://schemas.microsoft.com/office/2006/metadata/properties" xmlns:ns2="c30deaef-c907-49f6-b2be-0c63f2e6898e" xmlns:ns3="d1e6a267-26b6-4ec6-8b8f-c86c2761d466" xmlns:ns4="bd20f1ee-b63c-4db8-8ab7-12a8802541a2" targetNamespace="http://schemas.microsoft.com/office/2006/metadata/properties" ma:root="true" ma:fieldsID="dcd77ba558f59475e126ba96b1729cba" ns2:_="" ns3:_="" ns4:_="">
    <xsd:import namespace="c30deaef-c907-49f6-b2be-0c63f2e6898e"/>
    <xsd:import namespace="d1e6a267-26b6-4ec6-8b8f-c86c2761d466"/>
    <xsd:import namespace="bd20f1ee-b63c-4db8-8ab7-12a8802541a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lcf76f155ced4ddcb4097134ff3c332f" minOccurs="0"/>
                <xsd:element ref="ns4: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0deaef-c907-49f6-b2be-0c63f2e689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1ff0b982-7015-403f-8865-7d10971aff4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1e6a267-26b6-4ec6-8b8f-c86c2761d46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d20f1ee-b63c-4db8-8ab7-12a8802541a2"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910489ea-0b6a-4dbe-b80e-41dc869757a5}" ma:internalName="TaxCatchAll" ma:showField="CatchAllData" ma:web="d1e6a267-26b6-4ec6-8b8f-c86c2761d46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TemplafyFormConfiguration><![CDATA[{"formFields":[{"required":false,"helpTexts":{"prefix":"","postfix":""},"spacing":{},"type":"datePicker","name":"Date","label":"Date","fullyQualifiedName":"Date"},{"required":true,"placeholder":"","lines":2,"helpTexts":{"prefix":"","postfix":""},"spacing":{},"type":"textBox","name":"Title","label":"Title","fullyQualifiedName":"Title"},{"required":false,"placeholder":"","lines":2,"helpTexts":{"prefix":"","postfix":""},"spacing":{},"type":"textBox","name":"Subtitle","label":"Subtitle","fullyQualifiedName":"Subtitle"},{"required":true,"placeholder":"","lines":1,"helpTexts":{"prefix":"","postfix":""},"spacing":{},"type":"textBox","name":"ClientName","label":"Client Name","fullyQualifiedName":"ClientName"},{"required":true,"placeholder":"","lines":1,"helpTexts":{"prefix":"","postfix":""},"spacing":{},"type":"textBox","name":"ReportPurpose","label":"Report Purpose","fullyQualifiedName":"ReportPurpose"},{"dataSource":"Public Policy Report","displayColumn":"yesNo","hideIfNoUserInteractionRequired":false,"distinct":true,"required":true,"autoSelectFirstOption":false,"helpTexts":{"prefix":"","postfix":""},"spacing":{},"type":"dropDown","name":"PublicPolicyReport","label":"Is this an ESA report?","fullyQualifiedName":"PublicPolicyReport"}],"formDataEntries":[{"name":"Date","value":"cJYl9EvWXqykKRTCQ/5+2w=="},{"name":"ClientName","value":"ltgScSqSJNMyws9XIk4wfUqNB3GhoOcuga/87zO9YEUGHl1yq97pINXcmjOGzpAn"},{"name":"ReportPurpose","value":"vveLacDbF8CkzQ5PkTxbN4Eb1lj5MrWuMu4k2Q/VM28="},{"name":"PublicPolicyReport","value":"C3/mS0AVr9MkfXMXOxzXlw=="}]}]]></TemplafyFormConfiguration>
</file>

<file path=customXml/itemProps1.xml><?xml version="1.0" encoding="utf-8"?>
<ds:datastoreItem xmlns:ds="http://schemas.openxmlformats.org/officeDocument/2006/customXml" ds:itemID="{358EE778-4633-4BFF-9906-8C340518E621}">
  <ds:schemaRefs>
    <ds:schemaRef ds:uri="http://schemas.microsoft.com/office/2006/metadata/properties"/>
    <ds:schemaRef ds:uri="http://schemas.microsoft.com/office/infopath/2007/PartnerControls"/>
    <ds:schemaRef ds:uri="d1e6a267-26b6-4ec6-8b8f-c86c2761d466"/>
    <ds:schemaRef ds:uri="bd20f1ee-b63c-4db8-8ab7-12a8802541a2"/>
    <ds:schemaRef ds:uri="c30deaef-c907-49f6-b2be-0c63f2e6898e"/>
  </ds:schemaRefs>
</ds:datastoreItem>
</file>

<file path=customXml/itemProps2.xml><?xml version="1.0" encoding="utf-8"?>
<ds:datastoreItem xmlns:ds="http://schemas.openxmlformats.org/officeDocument/2006/customXml" ds:itemID="{3C93C880-D2FE-452C-AF47-BDF45DFD32EA}">
  <ds:schemaRefs/>
</ds:datastoreItem>
</file>

<file path=customXml/itemProps3.xml><?xml version="1.0" encoding="utf-8"?>
<ds:datastoreItem xmlns:ds="http://schemas.openxmlformats.org/officeDocument/2006/customXml" ds:itemID="{53A6428D-0FC7-4ECA-A2D4-A9F6CB8D95F7}">
  <ds:schemaRefs>
    <ds:schemaRef ds:uri="http://www.w3.org/2001/XMLSchema"/>
  </ds:schemaRefs>
</ds:datastoreItem>
</file>

<file path=customXml/itemProps4.xml><?xml version="1.0" encoding="utf-8"?>
<ds:datastoreItem xmlns:ds="http://schemas.openxmlformats.org/officeDocument/2006/customXml" ds:itemID="{BD0F8D92-0E51-41D9-9639-2CF2723FFFB4}">
  <ds:schemaRefs>
    <ds:schemaRef ds:uri="http://schemas.microsoft.com/sharepoint/v3/contenttype/forms"/>
  </ds:schemaRefs>
</ds:datastoreItem>
</file>

<file path=customXml/itemProps5.xml><?xml version="1.0" encoding="utf-8"?>
<ds:datastoreItem xmlns:ds="http://schemas.openxmlformats.org/officeDocument/2006/customXml" ds:itemID="{44E066D4-66CD-46A8-873B-921D677A1032}">
  <ds:schemaRefs>
    <ds:schemaRef ds:uri="http://schemas.openxmlformats.org/officeDocument/2006/bibliography"/>
  </ds:schemaRefs>
</ds:datastoreItem>
</file>

<file path=customXml/itemProps6.xml><?xml version="1.0" encoding="utf-8"?>
<ds:datastoreItem xmlns:ds="http://schemas.openxmlformats.org/officeDocument/2006/customXml" ds:itemID="{D79DB6E5-16AD-48DD-B882-B68C8AB2D2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30deaef-c907-49f6-b2be-0c63f2e6898e"/>
    <ds:schemaRef ds:uri="d1e6a267-26b6-4ec6-8b8f-c86c2761d466"/>
    <ds:schemaRef ds:uri="bd20f1ee-b63c-4db8-8ab7-12a8802541a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BD89CCF7-971D-45DB-A564-6AB8B9C7852C}">
  <ds:schemaRefs/>
</ds:datastoreItem>
</file>

<file path=docProps/app.xml><?xml version="1.0" encoding="utf-8"?>
<Properties xmlns="http://schemas.openxmlformats.org/officeDocument/2006/extended-properties" xmlns:vt="http://schemas.openxmlformats.org/officeDocument/2006/docPropsVTypes">
  <Template>Normal.dotm</Template>
  <TotalTime>351</TotalTime>
  <Pages>1</Pages>
  <Words>12135</Words>
  <Characters>69175</Characters>
  <Application>Microsoft Office Word</Application>
  <DocSecurity>4</DocSecurity>
  <Lines>576</Lines>
  <Paragraphs>162</Paragraphs>
  <ScaleCrop>false</ScaleCrop>
  <HeadingPairs>
    <vt:vector size="2" baseType="variant">
      <vt:variant>
        <vt:lpstr>Title</vt:lpstr>
      </vt:variant>
      <vt:variant>
        <vt:i4>1</vt:i4>
      </vt:variant>
    </vt:vector>
  </HeadingPairs>
  <TitlesOfParts>
    <vt:vector size="1" baseType="lpstr">
      <vt:lpstr>Evaluation of the LLPAD - Formative Report</vt:lpstr>
    </vt:vector>
  </TitlesOfParts>
  <Company/>
  <LinksUpToDate>false</LinksUpToDate>
  <CharactersWithSpaces>81148</CharactersWithSpaces>
  <SharedDoc>false</SharedDoc>
  <HLinks>
    <vt:vector size="192" baseType="variant">
      <vt:variant>
        <vt:i4>1114163</vt:i4>
      </vt:variant>
      <vt:variant>
        <vt:i4>182</vt:i4>
      </vt:variant>
      <vt:variant>
        <vt:i4>0</vt:i4>
      </vt:variant>
      <vt:variant>
        <vt:i4>5</vt:i4>
      </vt:variant>
      <vt:variant>
        <vt:lpwstr/>
      </vt:variant>
      <vt:variant>
        <vt:lpwstr>_Toc144843291</vt:lpwstr>
      </vt:variant>
      <vt:variant>
        <vt:i4>1114163</vt:i4>
      </vt:variant>
      <vt:variant>
        <vt:i4>176</vt:i4>
      </vt:variant>
      <vt:variant>
        <vt:i4>0</vt:i4>
      </vt:variant>
      <vt:variant>
        <vt:i4>5</vt:i4>
      </vt:variant>
      <vt:variant>
        <vt:lpwstr/>
      </vt:variant>
      <vt:variant>
        <vt:lpwstr>_Toc144843290</vt:lpwstr>
      </vt:variant>
      <vt:variant>
        <vt:i4>1048627</vt:i4>
      </vt:variant>
      <vt:variant>
        <vt:i4>170</vt:i4>
      </vt:variant>
      <vt:variant>
        <vt:i4>0</vt:i4>
      </vt:variant>
      <vt:variant>
        <vt:i4>5</vt:i4>
      </vt:variant>
      <vt:variant>
        <vt:lpwstr/>
      </vt:variant>
      <vt:variant>
        <vt:lpwstr>_Toc144843289</vt:lpwstr>
      </vt:variant>
      <vt:variant>
        <vt:i4>1048627</vt:i4>
      </vt:variant>
      <vt:variant>
        <vt:i4>164</vt:i4>
      </vt:variant>
      <vt:variant>
        <vt:i4>0</vt:i4>
      </vt:variant>
      <vt:variant>
        <vt:i4>5</vt:i4>
      </vt:variant>
      <vt:variant>
        <vt:lpwstr/>
      </vt:variant>
      <vt:variant>
        <vt:lpwstr>_Toc144843288</vt:lpwstr>
      </vt:variant>
      <vt:variant>
        <vt:i4>1048627</vt:i4>
      </vt:variant>
      <vt:variant>
        <vt:i4>158</vt:i4>
      </vt:variant>
      <vt:variant>
        <vt:i4>0</vt:i4>
      </vt:variant>
      <vt:variant>
        <vt:i4>5</vt:i4>
      </vt:variant>
      <vt:variant>
        <vt:lpwstr/>
      </vt:variant>
      <vt:variant>
        <vt:lpwstr>_Toc144843287</vt:lpwstr>
      </vt:variant>
      <vt:variant>
        <vt:i4>1048627</vt:i4>
      </vt:variant>
      <vt:variant>
        <vt:i4>152</vt:i4>
      </vt:variant>
      <vt:variant>
        <vt:i4>0</vt:i4>
      </vt:variant>
      <vt:variant>
        <vt:i4>5</vt:i4>
      </vt:variant>
      <vt:variant>
        <vt:lpwstr/>
      </vt:variant>
      <vt:variant>
        <vt:lpwstr>_Toc144843286</vt:lpwstr>
      </vt:variant>
      <vt:variant>
        <vt:i4>1048627</vt:i4>
      </vt:variant>
      <vt:variant>
        <vt:i4>146</vt:i4>
      </vt:variant>
      <vt:variant>
        <vt:i4>0</vt:i4>
      </vt:variant>
      <vt:variant>
        <vt:i4>5</vt:i4>
      </vt:variant>
      <vt:variant>
        <vt:lpwstr/>
      </vt:variant>
      <vt:variant>
        <vt:lpwstr>_Toc144843285</vt:lpwstr>
      </vt:variant>
      <vt:variant>
        <vt:i4>1048627</vt:i4>
      </vt:variant>
      <vt:variant>
        <vt:i4>140</vt:i4>
      </vt:variant>
      <vt:variant>
        <vt:i4>0</vt:i4>
      </vt:variant>
      <vt:variant>
        <vt:i4>5</vt:i4>
      </vt:variant>
      <vt:variant>
        <vt:lpwstr/>
      </vt:variant>
      <vt:variant>
        <vt:lpwstr>_Toc144843284</vt:lpwstr>
      </vt:variant>
      <vt:variant>
        <vt:i4>1048627</vt:i4>
      </vt:variant>
      <vt:variant>
        <vt:i4>134</vt:i4>
      </vt:variant>
      <vt:variant>
        <vt:i4>0</vt:i4>
      </vt:variant>
      <vt:variant>
        <vt:i4>5</vt:i4>
      </vt:variant>
      <vt:variant>
        <vt:lpwstr/>
      </vt:variant>
      <vt:variant>
        <vt:lpwstr>_Toc144843283</vt:lpwstr>
      </vt:variant>
      <vt:variant>
        <vt:i4>1048627</vt:i4>
      </vt:variant>
      <vt:variant>
        <vt:i4>128</vt:i4>
      </vt:variant>
      <vt:variant>
        <vt:i4>0</vt:i4>
      </vt:variant>
      <vt:variant>
        <vt:i4>5</vt:i4>
      </vt:variant>
      <vt:variant>
        <vt:lpwstr/>
      </vt:variant>
      <vt:variant>
        <vt:lpwstr>_Toc144843282</vt:lpwstr>
      </vt:variant>
      <vt:variant>
        <vt:i4>1900595</vt:i4>
      </vt:variant>
      <vt:variant>
        <vt:i4>119</vt:i4>
      </vt:variant>
      <vt:variant>
        <vt:i4>0</vt:i4>
      </vt:variant>
      <vt:variant>
        <vt:i4>5</vt:i4>
      </vt:variant>
      <vt:variant>
        <vt:lpwstr/>
      </vt:variant>
      <vt:variant>
        <vt:lpwstr>_Toc144843259</vt:lpwstr>
      </vt:variant>
      <vt:variant>
        <vt:i4>1900595</vt:i4>
      </vt:variant>
      <vt:variant>
        <vt:i4>113</vt:i4>
      </vt:variant>
      <vt:variant>
        <vt:i4>0</vt:i4>
      </vt:variant>
      <vt:variant>
        <vt:i4>5</vt:i4>
      </vt:variant>
      <vt:variant>
        <vt:lpwstr/>
      </vt:variant>
      <vt:variant>
        <vt:lpwstr>_Toc144843258</vt:lpwstr>
      </vt:variant>
      <vt:variant>
        <vt:i4>1900595</vt:i4>
      </vt:variant>
      <vt:variant>
        <vt:i4>104</vt:i4>
      </vt:variant>
      <vt:variant>
        <vt:i4>0</vt:i4>
      </vt:variant>
      <vt:variant>
        <vt:i4>5</vt:i4>
      </vt:variant>
      <vt:variant>
        <vt:lpwstr/>
      </vt:variant>
      <vt:variant>
        <vt:lpwstr>_Toc144843255</vt:lpwstr>
      </vt:variant>
      <vt:variant>
        <vt:i4>1900595</vt:i4>
      </vt:variant>
      <vt:variant>
        <vt:i4>98</vt:i4>
      </vt:variant>
      <vt:variant>
        <vt:i4>0</vt:i4>
      </vt:variant>
      <vt:variant>
        <vt:i4>5</vt:i4>
      </vt:variant>
      <vt:variant>
        <vt:lpwstr/>
      </vt:variant>
      <vt:variant>
        <vt:lpwstr>_Toc144843254</vt:lpwstr>
      </vt:variant>
      <vt:variant>
        <vt:i4>1900595</vt:i4>
      </vt:variant>
      <vt:variant>
        <vt:i4>92</vt:i4>
      </vt:variant>
      <vt:variant>
        <vt:i4>0</vt:i4>
      </vt:variant>
      <vt:variant>
        <vt:i4>5</vt:i4>
      </vt:variant>
      <vt:variant>
        <vt:lpwstr/>
      </vt:variant>
      <vt:variant>
        <vt:lpwstr>_Toc144843253</vt:lpwstr>
      </vt:variant>
      <vt:variant>
        <vt:i4>1900595</vt:i4>
      </vt:variant>
      <vt:variant>
        <vt:i4>86</vt:i4>
      </vt:variant>
      <vt:variant>
        <vt:i4>0</vt:i4>
      </vt:variant>
      <vt:variant>
        <vt:i4>5</vt:i4>
      </vt:variant>
      <vt:variant>
        <vt:lpwstr/>
      </vt:variant>
      <vt:variant>
        <vt:lpwstr>_Toc144843252</vt:lpwstr>
      </vt:variant>
      <vt:variant>
        <vt:i4>1900595</vt:i4>
      </vt:variant>
      <vt:variant>
        <vt:i4>80</vt:i4>
      </vt:variant>
      <vt:variant>
        <vt:i4>0</vt:i4>
      </vt:variant>
      <vt:variant>
        <vt:i4>5</vt:i4>
      </vt:variant>
      <vt:variant>
        <vt:lpwstr/>
      </vt:variant>
      <vt:variant>
        <vt:lpwstr>_Toc144843251</vt:lpwstr>
      </vt:variant>
      <vt:variant>
        <vt:i4>1900595</vt:i4>
      </vt:variant>
      <vt:variant>
        <vt:i4>74</vt:i4>
      </vt:variant>
      <vt:variant>
        <vt:i4>0</vt:i4>
      </vt:variant>
      <vt:variant>
        <vt:i4>5</vt:i4>
      </vt:variant>
      <vt:variant>
        <vt:lpwstr/>
      </vt:variant>
      <vt:variant>
        <vt:lpwstr>_Toc144843250</vt:lpwstr>
      </vt:variant>
      <vt:variant>
        <vt:i4>1835059</vt:i4>
      </vt:variant>
      <vt:variant>
        <vt:i4>68</vt:i4>
      </vt:variant>
      <vt:variant>
        <vt:i4>0</vt:i4>
      </vt:variant>
      <vt:variant>
        <vt:i4>5</vt:i4>
      </vt:variant>
      <vt:variant>
        <vt:lpwstr/>
      </vt:variant>
      <vt:variant>
        <vt:lpwstr>_Toc144843249</vt:lpwstr>
      </vt:variant>
      <vt:variant>
        <vt:i4>1835059</vt:i4>
      </vt:variant>
      <vt:variant>
        <vt:i4>62</vt:i4>
      </vt:variant>
      <vt:variant>
        <vt:i4>0</vt:i4>
      </vt:variant>
      <vt:variant>
        <vt:i4>5</vt:i4>
      </vt:variant>
      <vt:variant>
        <vt:lpwstr/>
      </vt:variant>
      <vt:variant>
        <vt:lpwstr>_Toc144843248</vt:lpwstr>
      </vt:variant>
      <vt:variant>
        <vt:i4>1835059</vt:i4>
      </vt:variant>
      <vt:variant>
        <vt:i4>56</vt:i4>
      </vt:variant>
      <vt:variant>
        <vt:i4>0</vt:i4>
      </vt:variant>
      <vt:variant>
        <vt:i4>5</vt:i4>
      </vt:variant>
      <vt:variant>
        <vt:lpwstr/>
      </vt:variant>
      <vt:variant>
        <vt:lpwstr>_Toc144843247</vt:lpwstr>
      </vt:variant>
      <vt:variant>
        <vt:i4>1835059</vt:i4>
      </vt:variant>
      <vt:variant>
        <vt:i4>50</vt:i4>
      </vt:variant>
      <vt:variant>
        <vt:i4>0</vt:i4>
      </vt:variant>
      <vt:variant>
        <vt:i4>5</vt:i4>
      </vt:variant>
      <vt:variant>
        <vt:lpwstr/>
      </vt:variant>
      <vt:variant>
        <vt:lpwstr>_Toc144843246</vt:lpwstr>
      </vt:variant>
      <vt:variant>
        <vt:i4>1835059</vt:i4>
      </vt:variant>
      <vt:variant>
        <vt:i4>44</vt:i4>
      </vt:variant>
      <vt:variant>
        <vt:i4>0</vt:i4>
      </vt:variant>
      <vt:variant>
        <vt:i4>5</vt:i4>
      </vt:variant>
      <vt:variant>
        <vt:lpwstr/>
      </vt:variant>
      <vt:variant>
        <vt:lpwstr>_Toc144843245</vt:lpwstr>
      </vt:variant>
      <vt:variant>
        <vt:i4>1835059</vt:i4>
      </vt:variant>
      <vt:variant>
        <vt:i4>38</vt:i4>
      </vt:variant>
      <vt:variant>
        <vt:i4>0</vt:i4>
      </vt:variant>
      <vt:variant>
        <vt:i4>5</vt:i4>
      </vt:variant>
      <vt:variant>
        <vt:lpwstr/>
      </vt:variant>
      <vt:variant>
        <vt:lpwstr>_Toc144843244</vt:lpwstr>
      </vt:variant>
      <vt:variant>
        <vt:i4>1835059</vt:i4>
      </vt:variant>
      <vt:variant>
        <vt:i4>32</vt:i4>
      </vt:variant>
      <vt:variant>
        <vt:i4>0</vt:i4>
      </vt:variant>
      <vt:variant>
        <vt:i4>5</vt:i4>
      </vt:variant>
      <vt:variant>
        <vt:lpwstr/>
      </vt:variant>
      <vt:variant>
        <vt:lpwstr>_Toc144843243</vt:lpwstr>
      </vt:variant>
      <vt:variant>
        <vt:i4>1835059</vt:i4>
      </vt:variant>
      <vt:variant>
        <vt:i4>26</vt:i4>
      </vt:variant>
      <vt:variant>
        <vt:i4>0</vt:i4>
      </vt:variant>
      <vt:variant>
        <vt:i4>5</vt:i4>
      </vt:variant>
      <vt:variant>
        <vt:lpwstr/>
      </vt:variant>
      <vt:variant>
        <vt:lpwstr>_Toc144843242</vt:lpwstr>
      </vt:variant>
      <vt:variant>
        <vt:i4>1835059</vt:i4>
      </vt:variant>
      <vt:variant>
        <vt:i4>20</vt:i4>
      </vt:variant>
      <vt:variant>
        <vt:i4>0</vt:i4>
      </vt:variant>
      <vt:variant>
        <vt:i4>5</vt:i4>
      </vt:variant>
      <vt:variant>
        <vt:lpwstr/>
      </vt:variant>
      <vt:variant>
        <vt:lpwstr>_Toc144843241</vt:lpwstr>
      </vt:variant>
      <vt:variant>
        <vt:i4>1835059</vt:i4>
      </vt:variant>
      <vt:variant>
        <vt:i4>14</vt:i4>
      </vt:variant>
      <vt:variant>
        <vt:i4>0</vt:i4>
      </vt:variant>
      <vt:variant>
        <vt:i4>5</vt:i4>
      </vt:variant>
      <vt:variant>
        <vt:lpwstr/>
      </vt:variant>
      <vt:variant>
        <vt:lpwstr>_Toc144843240</vt:lpwstr>
      </vt:variant>
      <vt:variant>
        <vt:i4>1769523</vt:i4>
      </vt:variant>
      <vt:variant>
        <vt:i4>8</vt:i4>
      </vt:variant>
      <vt:variant>
        <vt:i4>0</vt:i4>
      </vt:variant>
      <vt:variant>
        <vt:i4>5</vt:i4>
      </vt:variant>
      <vt:variant>
        <vt:lpwstr/>
      </vt:variant>
      <vt:variant>
        <vt:lpwstr>_Toc144843239</vt:lpwstr>
      </vt:variant>
      <vt:variant>
        <vt:i4>1769523</vt:i4>
      </vt:variant>
      <vt:variant>
        <vt:i4>2</vt:i4>
      </vt:variant>
      <vt:variant>
        <vt:i4>0</vt:i4>
      </vt:variant>
      <vt:variant>
        <vt:i4>5</vt:i4>
      </vt:variant>
      <vt:variant>
        <vt:lpwstr/>
      </vt:variant>
      <vt:variant>
        <vt:lpwstr>_Toc144843238</vt:lpwstr>
      </vt:variant>
      <vt:variant>
        <vt:i4>7536692</vt:i4>
      </vt:variant>
      <vt:variant>
        <vt:i4>3</vt:i4>
      </vt:variant>
      <vt:variant>
        <vt:i4>0</vt:i4>
      </vt:variant>
      <vt:variant>
        <vt:i4>5</vt:i4>
      </vt:variant>
      <vt:variant>
        <vt:lpwstr>https://www.tenders.vic.gov.au/tender/view?id=97081</vt:lpwstr>
      </vt:variant>
      <vt:variant>
        <vt:lpwstr/>
      </vt:variant>
      <vt:variant>
        <vt:i4>2359343</vt:i4>
      </vt:variant>
      <vt:variant>
        <vt:i4>0</vt:i4>
      </vt:variant>
      <vt:variant>
        <vt:i4>0</vt:i4>
      </vt:variant>
      <vt:variant>
        <vt:i4>5</vt:i4>
      </vt:variant>
      <vt:variant>
        <vt:lpwstr>https://www.dtf.vic.gov.au/partnerships-addressing-disadvantage/principles-partnerships-addressing-disadvantage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Evaluation of the LLPAD - Formative Report</dc:title>
  <dc:subject/>
  <dc:creator>Vanessa Gibson</dc:creator>
  <cp:keywords/>
  <cp:lastModifiedBy>Carmen Fung</cp:lastModifiedBy>
  <cp:revision>228</cp:revision>
  <dcterms:created xsi:type="dcterms:W3CDTF">2023-09-06T16:34:00Z</dcterms:created>
  <dcterms:modified xsi:type="dcterms:W3CDTF">2023-09-06T17:13:00Z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Type">
    <vt:lpwstr>Report</vt:lpwstr>
  </property>
  <property fmtid="{D5CDD505-2E9C-101B-9397-08002B2CF9AE}" pid="3" name="ParagraphMark">
    <vt:lpwstr>True</vt:lpwstr>
  </property>
  <property fmtid="{D5CDD505-2E9C-101B-9397-08002B2CF9AE}" pid="4" name="TemplafyTimeStamp">
    <vt:lpwstr>2020-04-23T07:38:25.3071402Z</vt:lpwstr>
  </property>
  <property fmtid="{D5CDD505-2E9C-101B-9397-08002B2CF9AE}" pid="5" name="TemplafyTenantId">
    <vt:lpwstr>urbis</vt:lpwstr>
  </property>
  <property fmtid="{D5CDD505-2E9C-101B-9397-08002B2CF9AE}" pid="6" name="TemplafyTemplateId">
    <vt:lpwstr>637043166265810965</vt:lpwstr>
  </property>
  <property fmtid="{D5CDD505-2E9C-101B-9397-08002B2CF9AE}" pid="7" name="TemplafyUserProfileId">
    <vt:lpwstr>637722711841041409</vt:lpwstr>
  </property>
  <property fmtid="{D5CDD505-2E9C-101B-9397-08002B2CF9AE}" pid="8" name="TemplafyLanguageCode">
    <vt:lpwstr>en-AU</vt:lpwstr>
  </property>
  <property fmtid="{D5CDD505-2E9C-101B-9397-08002B2CF9AE}" pid="9" name="ContentTypeId">
    <vt:lpwstr>0x0101002EDAFDB8AB511F41ACA230CD7ED5C862</vt:lpwstr>
  </property>
  <property fmtid="{D5CDD505-2E9C-101B-9397-08002B2CF9AE}" pid="10" name="MSIP_Label_7158ebbd-6c5e-441f-bfc9-4eb8c11e3978_Enabled">
    <vt:lpwstr>true</vt:lpwstr>
  </property>
  <property fmtid="{D5CDD505-2E9C-101B-9397-08002B2CF9AE}" pid="11" name="MSIP_Label_7158ebbd-6c5e-441f-bfc9-4eb8c11e3978_SetDate">
    <vt:lpwstr>2022-03-10T12:52:29Z</vt:lpwstr>
  </property>
  <property fmtid="{D5CDD505-2E9C-101B-9397-08002B2CF9AE}" pid="12" name="MSIP_Label_7158ebbd-6c5e-441f-bfc9-4eb8c11e3978_Method">
    <vt:lpwstr>Privileged</vt:lpwstr>
  </property>
  <property fmtid="{D5CDD505-2E9C-101B-9397-08002B2CF9AE}" pid="13" name="MSIP_Label_7158ebbd-6c5e-441f-bfc9-4eb8c11e3978_Name">
    <vt:lpwstr>7158ebbd-6c5e-441f-bfc9-4eb8c11e3978</vt:lpwstr>
  </property>
  <property fmtid="{D5CDD505-2E9C-101B-9397-08002B2CF9AE}" pid="14" name="MSIP_Label_7158ebbd-6c5e-441f-bfc9-4eb8c11e3978_SiteId">
    <vt:lpwstr>722ea0be-3e1c-4b11-ad6f-9401d6856e24</vt:lpwstr>
  </property>
  <property fmtid="{D5CDD505-2E9C-101B-9397-08002B2CF9AE}" pid="15" name="MSIP_Label_7158ebbd-6c5e-441f-bfc9-4eb8c11e3978_ActionId">
    <vt:lpwstr>c20543ab-05ce-484d-bf72-c264de59651b</vt:lpwstr>
  </property>
  <property fmtid="{D5CDD505-2E9C-101B-9397-08002B2CF9AE}" pid="16" name="MSIP_Label_7158ebbd-6c5e-441f-bfc9-4eb8c11e3978_ContentBits">
    <vt:lpwstr>2</vt:lpwstr>
  </property>
  <property fmtid="{D5CDD505-2E9C-101B-9397-08002B2CF9AE}" pid="17" name="MSIP_Label_43e64453-338c-4f93-8a4d-0039a0a41f2a_Enabled">
    <vt:lpwstr>true</vt:lpwstr>
  </property>
  <property fmtid="{D5CDD505-2E9C-101B-9397-08002B2CF9AE}" pid="18" name="MSIP_Label_43e64453-338c-4f93-8a4d-0039a0a41f2a_SetDate">
    <vt:lpwstr>2022-03-15T05:45:04Z</vt:lpwstr>
  </property>
  <property fmtid="{D5CDD505-2E9C-101B-9397-08002B2CF9AE}" pid="19" name="MSIP_Label_43e64453-338c-4f93-8a4d-0039a0a41f2a_Method">
    <vt:lpwstr>Privileged</vt:lpwstr>
  </property>
  <property fmtid="{D5CDD505-2E9C-101B-9397-08002B2CF9AE}" pid="20" name="MSIP_Label_43e64453-338c-4f93-8a4d-0039a0a41f2a_Name">
    <vt:lpwstr>43e64453-338c-4f93-8a4d-0039a0a41f2a</vt:lpwstr>
  </property>
  <property fmtid="{D5CDD505-2E9C-101B-9397-08002B2CF9AE}" pid="21" name="MSIP_Label_43e64453-338c-4f93-8a4d-0039a0a41f2a_SiteId">
    <vt:lpwstr>c0e0601f-0fac-449c-9c88-a104c4eb9f28</vt:lpwstr>
  </property>
  <property fmtid="{D5CDD505-2E9C-101B-9397-08002B2CF9AE}" pid="22" name="MSIP_Label_43e64453-338c-4f93-8a4d-0039a0a41f2a_ActionId">
    <vt:lpwstr>b1e8478e-1805-4d84-8e29-c76b56d33794</vt:lpwstr>
  </property>
  <property fmtid="{D5CDD505-2E9C-101B-9397-08002B2CF9AE}" pid="23" name="MSIP_Label_43e64453-338c-4f93-8a4d-0039a0a41f2a_ContentBits">
    <vt:lpwstr>2</vt:lpwstr>
  </property>
  <property fmtid="{D5CDD505-2E9C-101B-9397-08002B2CF9AE}" pid="24" name="MediaServiceImageTags">
    <vt:lpwstr/>
  </property>
</Properties>
</file>