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D005" w14:textId="5CD9D0B4" w:rsidR="00045296" w:rsidRPr="008865F4" w:rsidRDefault="003905A3" w:rsidP="008865F4">
      <w:pPr>
        <w:pStyle w:val="Title"/>
        <w:rPr>
          <w:sz w:val="48"/>
          <w:szCs w:val="48"/>
        </w:rPr>
      </w:pPr>
      <w:bookmarkStart w:id="0" w:name="_Toc442780672"/>
      <w:bookmarkStart w:id="1" w:name="_GoBack"/>
      <w:bookmarkEnd w:id="1"/>
      <w:r w:rsidRPr="008865F4">
        <w:rPr>
          <w:noProof/>
          <w:sz w:val="48"/>
          <w:szCs w:val="48"/>
        </w:rPr>
        <w:t>Investment</w:t>
      </w:r>
      <w:r w:rsidRPr="008865F4">
        <w:rPr>
          <w:sz w:val="48"/>
          <w:szCs w:val="48"/>
        </w:rPr>
        <w:t xml:space="preserve"> Lifecycle and HVHR Guidelines</w:t>
      </w:r>
    </w:p>
    <w:p w14:paraId="7FC61CB0" w14:textId="77777777" w:rsidR="00AD1AF1" w:rsidRDefault="005B7377" w:rsidP="008865F4">
      <w:pPr>
        <w:pStyle w:val="Subtitle"/>
      </w:pPr>
      <w:r w:rsidRPr="008865F4">
        <w:t>O</w:t>
      </w:r>
      <w:r w:rsidR="00AD1AF1" w:rsidRPr="008865F4">
        <w:t>verview</w:t>
      </w:r>
      <w:r w:rsidR="00764AD0">
        <w:t xml:space="preserve"> and factsheet</w:t>
      </w:r>
    </w:p>
    <w:p w14:paraId="4BEEBAC5" w14:textId="46D8353D" w:rsidR="00A86AB7" w:rsidRPr="00AD1AF1" w:rsidRDefault="00AD1AF1" w:rsidP="008865F4">
      <w:pPr>
        <w:pStyle w:val="TertiaryTitle"/>
        <w:rPr>
          <w:rFonts w:eastAsiaTheme="majorEastAsia"/>
          <w:lang w:eastAsia="en-AU"/>
        </w:rPr>
      </w:pPr>
      <w:r w:rsidRPr="00AD1AF1">
        <w:rPr>
          <w:rFonts w:eastAsiaTheme="majorEastAsia"/>
          <w:lang w:eastAsia="en-AU"/>
        </w:rPr>
        <w:t>201</w:t>
      </w:r>
      <w:r w:rsidR="005B7377">
        <w:rPr>
          <w:rFonts w:eastAsiaTheme="majorEastAsia"/>
          <w:lang w:eastAsia="en-AU"/>
        </w:rPr>
        <w:t>9</w:t>
      </w:r>
      <w:r>
        <w:rPr>
          <w:rFonts w:eastAsiaTheme="majorEastAsia"/>
          <w:lang w:eastAsia="en-AU"/>
        </w:rPr>
        <w:t xml:space="preserve"> </w:t>
      </w:r>
      <w:r w:rsidR="008865F4">
        <w:rPr>
          <w:rFonts w:eastAsiaTheme="majorEastAsia"/>
          <w:lang w:eastAsia="en-AU"/>
        </w:rPr>
        <w:t>update</w:t>
      </w:r>
    </w:p>
    <w:p w14:paraId="207FF8C0" w14:textId="1555C32C" w:rsidR="00077032" w:rsidRPr="009F2A46" w:rsidRDefault="006B246D" w:rsidP="008865F4">
      <w:pPr>
        <w:rPr>
          <w:highlight w:val="yellow"/>
        </w:rPr>
      </w:pPr>
      <w:r>
        <w:t xml:space="preserve">In </w:t>
      </w:r>
      <w:r w:rsidR="00EE250E">
        <w:t>December</w:t>
      </w:r>
      <w:r>
        <w:t xml:space="preserve"> 201</w:t>
      </w:r>
      <w:r w:rsidR="005B7377">
        <w:t>9</w:t>
      </w:r>
      <w:r>
        <w:t>, update</w:t>
      </w:r>
      <w:r w:rsidR="00FE251C">
        <w:t>s</w:t>
      </w:r>
      <w:r>
        <w:t xml:space="preserve"> </w:t>
      </w:r>
      <w:r w:rsidR="00FE251C">
        <w:t xml:space="preserve">were made </w:t>
      </w:r>
      <w:r>
        <w:t xml:space="preserve">to the </w:t>
      </w:r>
      <w:r w:rsidR="00FE251C">
        <w:t xml:space="preserve">Investment Lifecycle and </w:t>
      </w:r>
      <w:r>
        <w:t>High Value High Risk (HVH</w:t>
      </w:r>
      <w:r w:rsidR="005B7377">
        <w:t>R</w:t>
      </w:r>
      <w:r>
        <w:t xml:space="preserve">) </w:t>
      </w:r>
      <w:r w:rsidR="00FE251C">
        <w:t xml:space="preserve">Guidelines </w:t>
      </w:r>
      <w:r w:rsidR="00302681">
        <w:t xml:space="preserve">to </w:t>
      </w:r>
      <w:r w:rsidR="00AC57B9">
        <w:t xml:space="preserve">streamline the </w:t>
      </w:r>
      <w:r w:rsidR="0028754A">
        <w:t xml:space="preserve">project </w:t>
      </w:r>
      <w:r w:rsidR="00674AC2">
        <w:t xml:space="preserve">assurance </w:t>
      </w:r>
      <w:r w:rsidR="00AC57B9">
        <w:t xml:space="preserve">process, </w:t>
      </w:r>
      <w:r w:rsidR="00EE384D" w:rsidRPr="00EE384D">
        <w:t xml:space="preserve">improve </w:t>
      </w:r>
      <w:r w:rsidR="00AC57B9">
        <w:t xml:space="preserve">its </w:t>
      </w:r>
      <w:r w:rsidR="00EE384D" w:rsidRPr="00EE384D">
        <w:t>effectiveness and better reflect DTF’s project assurance role</w:t>
      </w:r>
      <w:r>
        <w:t xml:space="preserve">. </w:t>
      </w:r>
      <w:r w:rsidR="00077032" w:rsidRPr="00EE384D">
        <w:t>The</w:t>
      </w:r>
      <w:r w:rsidRPr="00EE384D">
        <w:t xml:space="preserve"> </w:t>
      </w:r>
      <w:r w:rsidR="00077032" w:rsidRPr="00EE384D">
        <w:t xml:space="preserve">changes to the </w:t>
      </w:r>
      <w:r w:rsidR="003905A3">
        <w:t>Guidelines</w:t>
      </w:r>
      <w:r w:rsidR="003905A3" w:rsidRPr="00EE384D">
        <w:t xml:space="preserve"> </w:t>
      </w:r>
      <w:r w:rsidRPr="00EE384D">
        <w:t>include</w:t>
      </w:r>
      <w:r w:rsidR="00077032" w:rsidRPr="00EE384D">
        <w:t>:</w:t>
      </w:r>
      <w:r w:rsidRPr="00EE384D">
        <w:t xml:space="preserve"> </w:t>
      </w:r>
    </w:p>
    <w:p w14:paraId="2B0F68D1" w14:textId="3E889676" w:rsidR="00EE384D" w:rsidRDefault="00AC57B9" w:rsidP="008865F4">
      <w:pPr>
        <w:pStyle w:val="Bullet1"/>
      </w:pPr>
      <w:r>
        <w:t xml:space="preserve">A new three-stage </w:t>
      </w:r>
      <w:r w:rsidR="00DA4CC9">
        <w:t xml:space="preserve">project assurance </w:t>
      </w:r>
      <w:r w:rsidR="00385D92">
        <w:t>process</w:t>
      </w:r>
      <w:r w:rsidR="00DA4CC9">
        <w:t xml:space="preserve">, which </w:t>
      </w:r>
      <w:r>
        <w:t>replace</w:t>
      </w:r>
      <w:r w:rsidR="00DA4CC9">
        <w:t>s</w:t>
      </w:r>
      <w:r>
        <w:t xml:space="preserve"> the</w:t>
      </w:r>
      <w:r w:rsidR="00DA4CC9">
        <w:t xml:space="preserve"> previous</w:t>
      </w:r>
      <w:r>
        <w:t xml:space="preserve"> </w:t>
      </w:r>
      <w:r w:rsidR="00FE251C">
        <w:t>five-stage process</w:t>
      </w:r>
      <w:r w:rsidR="00DA4CC9">
        <w:t>. T</w:t>
      </w:r>
      <w:r w:rsidR="00EE384D">
        <w:t xml:space="preserve">he </w:t>
      </w:r>
      <w:r w:rsidR="00DA4CC9">
        <w:t xml:space="preserve">former </w:t>
      </w:r>
      <w:r w:rsidR="00FE251C">
        <w:t>stages 1 and 2 (</w:t>
      </w:r>
      <w:r w:rsidR="00EE384D">
        <w:t>Conceptualise and Prove</w:t>
      </w:r>
      <w:r w:rsidR="00FE251C">
        <w:t xml:space="preserve">) </w:t>
      </w:r>
      <w:r w:rsidR="00DA4CC9">
        <w:t xml:space="preserve">have been merged </w:t>
      </w:r>
      <w:r w:rsidR="00EE384D">
        <w:t xml:space="preserve">into </w:t>
      </w:r>
      <w:r w:rsidR="00FE251C">
        <w:t xml:space="preserve">a new </w:t>
      </w:r>
      <w:r w:rsidR="00EE384D">
        <w:t>Business</w:t>
      </w:r>
      <w:r w:rsidR="00B4149E">
        <w:t> </w:t>
      </w:r>
      <w:r w:rsidR="00EE384D">
        <w:t>Case stage</w:t>
      </w:r>
      <w:r w:rsidR="00FE251C">
        <w:t xml:space="preserve">, and </w:t>
      </w:r>
      <w:r w:rsidR="00A13505">
        <w:t>S</w:t>
      </w:r>
      <w:r w:rsidR="00FE251C">
        <w:t xml:space="preserve">tage 5 </w:t>
      </w:r>
      <w:r w:rsidR="00DA4CC9">
        <w:t>(</w:t>
      </w:r>
      <w:r w:rsidR="00FE251C">
        <w:t>Realise</w:t>
      </w:r>
      <w:r w:rsidR="00DA4CC9">
        <w:t>) has been incorporated</w:t>
      </w:r>
      <w:r w:rsidR="00FE251C">
        <w:t xml:space="preserve"> into the Gateway Review Process (GRP)</w:t>
      </w:r>
      <w:r>
        <w:t>.</w:t>
      </w:r>
    </w:p>
    <w:p w14:paraId="4D7BAEC4" w14:textId="238CD217" w:rsidR="00AC57B9" w:rsidRDefault="00DA4CC9" w:rsidP="008865F4">
      <w:pPr>
        <w:pStyle w:val="Bullet1"/>
      </w:pPr>
      <w:r>
        <w:t>A s</w:t>
      </w:r>
      <w:r w:rsidR="00AC57B9">
        <w:t>implified single business case template</w:t>
      </w:r>
      <w:r>
        <w:t>,</w:t>
      </w:r>
      <w:r w:rsidR="00AC57B9">
        <w:t xml:space="preserve"> </w:t>
      </w:r>
      <w:r w:rsidR="00291777">
        <w:t xml:space="preserve">which is </w:t>
      </w:r>
      <w:r w:rsidR="00AC57B9">
        <w:t xml:space="preserve">adaptable to different projects and </w:t>
      </w:r>
      <w:r>
        <w:t>comprised</w:t>
      </w:r>
      <w:r w:rsidR="00AC57B9">
        <w:t xml:space="preserve"> of the following two </w:t>
      </w:r>
      <w:r w:rsidR="006A1E57">
        <w:t>parts</w:t>
      </w:r>
      <w:r w:rsidR="00AC57B9">
        <w:t>:</w:t>
      </w:r>
    </w:p>
    <w:p w14:paraId="1CEC6F1F" w14:textId="506B080D" w:rsidR="00AC57B9" w:rsidRPr="00AC57B9" w:rsidRDefault="009B5FB5" w:rsidP="008865F4">
      <w:pPr>
        <w:pStyle w:val="Listnumindent"/>
        <w:tabs>
          <w:tab w:val="clear" w:pos="1296"/>
          <w:tab w:val="num" w:pos="864"/>
        </w:tabs>
        <w:ind w:left="864"/>
      </w:pPr>
      <w:r>
        <w:t>t</w:t>
      </w:r>
      <w:r w:rsidR="00AC57B9" w:rsidRPr="00AC57B9">
        <w:t xml:space="preserve">he </w:t>
      </w:r>
      <w:r w:rsidR="006A1E57">
        <w:rPr>
          <w:b/>
          <w:bCs/>
        </w:rPr>
        <w:t>i</w:t>
      </w:r>
      <w:r w:rsidR="00AC57B9" w:rsidRPr="00AC57B9">
        <w:rPr>
          <w:b/>
          <w:bCs/>
        </w:rPr>
        <w:t>nvestment case</w:t>
      </w:r>
      <w:r w:rsidR="006A1E57">
        <w:rPr>
          <w:b/>
          <w:bCs/>
        </w:rPr>
        <w:t>,</w:t>
      </w:r>
      <w:r w:rsidR="00AC57B9" w:rsidRPr="00AC57B9">
        <w:t xml:space="preserve"> </w:t>
      </w:r>
      <w:r w:rsidR="006A1E57">
        <w:t xml:space="preserve">which focuses on the </w:t>
      </w:r>
      <w:r w:rsidR="00AC57B9" w:rsidRPr="00AC57B9">
        <w:t xml:space="preserve">examination of problems or opportunities that agencies </w:t>
      </w:r>
      <w:r w:rsidR="00C569CE">
        <w:t xml:space="preserve">consider </w:t>
      </w:r>
      <w:r w:rsidR="00AC57B9" w:rsidRPr="00AC57B9">
        <w:t>warrant attention from Government</w:t>
      </w:r>
      <w:r w:rsidR="00C569CE">
        <w:t>, and the evidence to support them</w:t>
      </w:r>
      <w:r w:rsidR="002C5E78">
        <w:t>; and</w:t>
      </w:r>
    </w:p>
    <w:p w14:paraId="356FAA8A" w14:textId="2AFAD279" w:rsidR="00AC57B9" w:rsidRPr="00AC57B9" w:rsidRDefault="009B5FB5" w:rsidP="008865F4">
      <w:pPr>
        <w:pStyle w:val="Listnumindent"/>
        <w:tabs>
          <w:tab w:val="clear" w:pos="1296"/>
          <w:tab w:val="num" w:pos="864"/>
        </w:tabs>
        <w:ind w:left="864"/>
      </w:pPr>
      <w:r>
        <w:t>t</w:t>
      </w:r>
      <w:r w:rsidR="00AC57B9" w:rsidRPr="00AC57B9">
        <w:t xml:space="preserve">he </w:t>
      </w:r>
      <w:r w:rsidR="006A1E57">
        <w:rPr>
          <w:b/>
          <w:bCs/>
        </w:rPr>
        <w:t>d</w:t>
      </w:r>
      <w:r w:rsidR="00AC57B9" w:rsidRPr="00AC57B9">
        <w:rPr>
          <w:b/>
          <w:bCs/>
        </w:rPr>
        <w:t>elivery case</w:t>
      </w:r>
      <w:r w:rsidR="006A1E57">
        <w:rPr>
          <w:b/>
          <w:bCs/>
        </w:rPr>
        <w:t>,</w:t>
      </w:r>
      <w:r w:rsidR="00AC57B9" w:rsidRPr="00AC57B9">
        <w:t xml:space="preserve"> </w:t>
      </w:r>
      <w:r w:rsidR="006A1E57">
        <w:t xml:space="preserve">which </w:t>
      </w:r>
      <w:r w:rsidR="00AC57B9" w:rsidRPr="00AC57B9">
        <w:t>demonstrat</w:t>
      </w:r>
      <w:r w:rsidR="006A1E57">
        <w:t>es</w:t>
      </w:r>
      <w:r w:rsidR="00AC57B9" w:rsidRPr="00AC57B9">
        <w:t xml:space="preserve"> the solution can be delivered as planned.</w:t>
      </w:r>
    </w:p>
    <w:p w14:paraId="17EE4567" w14:textId="002244E3" w:rsidR="00AC57B9" w:rsidRDefault="00AC57B9" w:rsidP="008865F4">
      <w:pPr>
        <w:pStyle w:val="Bullet1"/>
      </w:pPr>
      <w:r>
        <w:t xml:space="preserve">Strengthened guidance </w:t>
      </w:r>
      <w:r w:rsidR="00EC38CD">
        <w:t>on</w:t>
      </w:r>
      <w:r>
        <w:t>:</w:t>
      </w:r>
    </w:p>
    <w:p w14:paraId="32177D8D" w14:textId="04EA028A" w:rsidR="00814891" w:rsidRDefault="009B5FB5" w:rsidP="008865F4">
      <w:pPr>
        <w:pStyle w:val="Listnumindent"/>
        <w:numPr>
          <w:ilvl w:val="6"/>
          <w:numId w:val="21"/>
        </w:numPr>
        <w:tabs>
          <w:tab w:val="clear" w:pos="1296"/>
          <w:tab w:val="num" w:pos="864"/>
        </w:tabs>
        <w:ind w:left="864"/>
      </w:pPr>
      <w:r>
        <w:t>t</w:t>
      </w:r>
      <w:r w:rsidR="00EC38CD">
        <w:t xml:space="preserve">he </w:t>
      </w:r>
      <w:r w:rsidR="00AC57B9" w:rsidRPr="008865F4">
        <w:rPr>
          <w:bCs/>
        </w:rPr>
        <w:t>role</w:t>
      </w:r>
      <w:r w:rsidR="00EC38CD" w:rsidRPr="008865F4">
        <w:rPr>
          <w:bCs/>
        </w:rPr>
        <w:t>s and responsibilities</w:t>
      </w:r>
      <w:r w:rsidR="00AC57B9" w:rsidRPr="008865F4">
        <w:rPr>
          <w:bCs/>
        </w:rPr>
        <w:t xml:space="preserve"> </w:t>
      </w:r>
      <w:r w:rsidR="00AC57B9" w:rsidRPr="00AC57B9">
        <w:t xml:space="preserve">of </w:t>
      </w:r>
      <w:r w:rsidR="006F66DF">
        <w:t xml:space="preserve">the </w:t>
      </w:r>
      <w:r w:rsidR="00AC57B9" w:rsidRPr="00AC57B9">
        <w:t xml:space="preserve">investor, </w:t>
      </w:r>
      <w:r w:rsidR="006F66DF">
        <w:t>Senior Responsible Owner (SRO)</w:t>
      </w:r>
      <w:r w:rsidR="00AC57B9" w:rsidRPr="00AC57B9">
        <w:t>, client and deliver</w:t>
      </w:r>
      <w:r w:rsidR="006F66DF">
        <w:t>y agency</w:t>
      </w:r>
      <w:r w:rsidR="00814891">
        <w:t>;</w:t>
      </w:r>
      <w:r w:rsidR="00A13505">
        <w:t xml:space="preserve"> and</w:t>
      </w:r>
    </w:p>
    <w:p w14:paraId="2AE94F05" w14:textId="1E21ABB4" w:rsidR="00AC57B9" w:rsidRPr="00A13505" w:rsidRDefault="009B5FB5" w:rsidP="008865F4">
      <w:pPr>
        <w:pStyle w:val="Listnumindent"/>
        <w:tabs>
          <w:tab w:val="clear" w:pos="1296"/>
          <w:tab w:val="num" w:pos="864"/>
        </w:tabs>
        <w:ind w:left="864"/>
      </w:pPr>
      <w:r>
        <w:t>t</w:t>
      </w:r>
      <w:r w:rsidR="00814891" w:rsidRPr="00814891">
        <w:t xml:space="preserve">he </w:t>
      </w:r>
      <w:r w:rsidR="00A13505">
        <w:t xml:space="preserve">modular </w:t>
      </w:r>
      <w:r w:rsidR="00814891" w:rsidRPr="00814891">
        <w:t xml:space="preserve">business case </w:t>
      </w:r>
      <w:r w:rsidR="00A13505">
        <w:t xml:space="preserve">including how it applies to </w:t>
      </w:r>
      <w:r w:rsidR="00814891" w:rsidRPr="00814891">
        <w:t>preliminary and full</w:t>
      </w:r>
      <w:r w:rsidR="00A13505">
        <w:t xml:space="preserve"> business cases.</w:t>
      </w:r>
    </w:p>
    <w:p w14:paraId="08EE907A" w14:textId="21414D92" w:rsidR="00FE251C" w:rsidRDefault="00291777" w:rsidP="008865F4">
      <w:pPr>
        <w:pStyle w:val="Bullet1"/>
      </w:pPr>
      <w:r>
        <w:t>N</w:t>
      </w:r>
      <w:r w:rsidR="00FE251C">
        <w:t>ew assurance requirements including:</w:t>
      </w:r>
    </w:p>
    <w:p w14:paraId="43295B3B" w14:textId="22C959C8" w:rsidR="00AC57B9" w:rsidRDefault="00AC57B9" w:rsidP="008865F4">
      <w:pPr>
        <w:pStyle w:val="Listnumindent"/>
        <w:numPr>
          <w:ilvl w:val="6"/>
          <w:numId w:val="22"/>
        </w:numPr>
        <w:tabs>
          <w:tab w:val="clear" w:pos="1296"/>
          <w:tab w:val="num" w:pos="864"/>
        </w:tabs>
        <w:ind w:left="864"/>
      </w:pPr>
      <w:r w:rsidRPr="008865F4">
        <w:rPr>
          <w:bCs/>
        </w:rPr>
        <w:t xml:space="preserve">SRO attestation </w:t>
      </w:r>
      <w:r w:rsidRPr="00AC57B9">
        <w:t xml:space="preserve">in the business case that the infrastructure solution </w:t>
      </w:r>
      <w:r w:rsidR="00711350">
        <w:t xml:space="preserve">will </w:t>
      </w:r>
      <w:r w:rsidRPr="00AC57B9">
        <w:t>deliver the service outcome</w:t>
      </w:r>
      <w:r w:rsidR="00711350">
        <w:t xml:space="preserve"> outlined</w:t>
      </w:r>
      <w:r w:rsidR="009B5FB5">
        <w:t>;</w:t>
      </w:r>
    </w:p>
    <w:p w14:paraId="7795A99E" w14:textId="5088A5A5" w:rsidR="008C3520" w:rsidRDefault="00CA3EB4" w:rsidP="008865F4">
      <w:pPr>
        <w:pStyle w:val="Listnumindent"/>
        <w:tabs>
          <w:tab w:val="clear" w:pos="1296"/>
          <w:tab w:val="num" w:pos="864"/>
        </w:tabs>
        <w:ind w:left="864"/>
      </w:pPr>
      <w:r>
        <w:t>e</w:t>
      </w:r>
      <w:r w:rsidR="00E77046">
        <w:t xml:space="preserve">xtending the responsibilities of the </w:t>
      </w:r>
      <w:r w:rsidR="00814891" w:rsidRPr="00B971DA">
        <w:rPr>
          <w:bCs/>
        </w:rPr>
        <w:t>appointed SRO</w:t>
      </w:r>
      <w:r w:rsidR="00E77046">
        <w:rPr>
          <w:bCs/>
        </w:rPr>
        <w:t xml:space="preserve"> from</w:t>
      </w:r>
      <w:r w:rsidR="00814891" w:rsidRPr="00AC57B9">
        <w:t xml:space="preserve"> overseeing the delivery of the project </w:t>
      </w:r>
      <w:r w:rsidR="00E77046">
        <w:t>to also include</w:t>
      </w:r>
      <w:r w:rsidR="00814891" w:rsidRPr="00AC57B9">
        <w:t xml:space="preserve"> transitioning the project into operation</w:t>
      </w:r>
      <w:r w:rsidR="009B5FB5">
        <w:t>;</w:t>
      </w:r>
    </w:p>
    <w:p w14:paraId="249DC824" w14:textId="3A17AD1A" w:rsidR="00EE384D" w:rsidRDefault="00CA3EB4" w:rsidP="008865F4">
      <w:pPr>
        <w:pStyle w:val="Listnumindent"/>
        <w:tabs>
          <w:tab w:val="clear" w:pos="1296"/>
          <w:tab w:val="num" w:pos="864"/>
        </w:tabs>
        <w:ind w:left="864"/>
      </w:pPr>
      <w:r>
        <w:t>c</w:t>
      </w:r>
      <w:r w:rsidR="00C569CE">
        <w:t xml:space="preserve">reating clarity in requirements for </w:t>
      </w:r>
      <w:r w:rsidR="00EE384D">
        <w:t>Project Development and Due Diligence (PDDD)</w:t>
      </w:r>
      <w:r w:rsidR="001C135E">
        <w:t>.</w:t>
      </w:r>
      <w:r w:rsidR="00262BE9">
        <w:t xml:space="preserve"> </w:t>
      </w:r>
    </w:p>
    <w:p w14:paraId="6BB98646" w14:textId="4A0EF51A" w:rsidR="001B7B66" w:rsidRDefault="00CA3EB4" w:rsidP="008865F4">
      <w:pPr>
        <w:pStyle w:val="Listnumindent"/>
        <w:tabs>
          <w:tab w:val="clear" w:pos="1296"/>
          <w:tab w:val="num" w:pos="864"/>
        </w:tabs>
        <w:ind w:left="864"/>
      </w:pPr>
      <w:r>
        <w:t>s</w:t>
      </w:r>
      <w:r w:rsidR="00291777">
        <w:t>ubmission</w:t>
      </w:r>
      <w:r w:rsidR="001B7B66">
        <w:t xml:space="preserve"> of detailed project schedule</w:t>
      </w:r>
      <w:r w:rsidR="00291777">
        <w:t>s</w:t>
      </w:r>
      <w:r w:rsidR="001B7B66">
        <w:t xml:space="preserve"> with business case</w:t>
      </w:r>
      <w:r w:rsidR="009B5FB5">
        <w:t>s;</w:t>
      </w:r>
    </w:p>
    <w:p w14:paraId="5413E185" w14:textId="7BDC544C" w:rsidR="00FE251C" w:rsidRDefault="00CA3EB4" w:rsidP="008865F4">
      <w:pPr>
        <w:pStyle w:val="Listnumindent"/>
        <w:tabs>
          <w:tab w:val="clear" w:pos="1296"/>
          <w:tab w:val="num" w:pos="864"/>
        </w:tabs>
        <w:ind w:left="864"/>
      </w:pPr>
      <w:r>
        <w:t>p</w:t>
      </w:r>
      <w:r w:rsidR="00AC57B9">
        <w:t>eriodic f</w:t>
      </w:r>
      <w:r w:rsidR="00FE251C">
        <w:t>inancial impact reporting</w:t>
      </w:r>
      <w:r w:rsidR="00266131">
        <w:t xml:space="preserve"> to be </w:t>
      </w:r>
      <w:r w:rsidR="00266131" w:rsidRPr="00266131">
        <w:t>submitted to DTF on a quarterly basis (together with the Major Projects Performance Reporting), and where major cost variations are anticipated</w:t>
      </w:r>
      <w:r w:rsidR="009B5FB5">
        <w:t>;</w:t>
      </w:r>
    </w:p>
    <w:p w14:paraId="097FB26E" w14:textId="3F78B219" w:rsidR="007B0308" w:rsidRDefault="00CA3EB4" w:rsidP="008865F4">
      <w:pPr>
        <w:pStyle w:val="Listnumindent"/>
        <w:tabs>
          <w:tab w:val="clear" w:pos="1296"/>
          <w:tab w:val="num" w:pos="864"/>
        </w:tabs>
        <w:ind w:left="864"/>
      </w:pPr>
      <w:r>
        <w:t>s</w:t>
      </w:r>
      <w:r w:rsidR="007B0308">
        <w:t>tandardised documents required for Treasurer’s approval of contract award, including tender evaluation report, probity report, governance plan, legal advice for departures and contract management plan</w:t>
      </w:r>
      <w:r w:rsidR="009B5FB5">
        <w:t>;</w:t>
      </w:r>
    </w:p>
    <w:p w14:paraId="67779241" w14:textId="31D2B01C" w:rsidR="00AC57B9" w:rsidRDefault="00CA3EB4" w:rsidP="008865F4">
      <w:pPr>
        <w:pStyle w:val="Listnumindent"/>
        <w:tabs>
          <w:tab w:val="clear" w:pos="1296"/>
          <w:tab w:val="num" w:pos="864"/>
        </w:tabs>
        <w:ind w:left="864"/>
      </w:pPr>
      <w:r>
        <w:t>a</w:t>
      </w:r>
      <w:r w:rsidR="00A13505">
        <w:t xml:space="preserve"> </w:t>
      </w:r>
      <w:r w:rsidR="00291777">
        <w:t>c</w:t>
      </w:r>
      <w:r w:rsidR="00AC57B9">
        <w:t xml:space="preserve">hange control </w:t>
      </w:r>
      <w:proofErr w:type="gramStart"/>
      <w:r w:rsidR="00AC57B9">
        <w:t>register</w:t>
      </w:r>
      <w:proofErr w:type="gramEnd"/>
      <w:r w:rsidR="00AC57B9">
        <w:t xml:space="preserve"> </w:t>
      </w:r>
      <w:r w:rsidR="002A67B8" w:rsidRPr="002A67B8">
        <w:t>to be maintained throughout the project lifecycle</w:t>
      </w:r>
      <w:r w:rsidR="00BD1209">
        <w:t xml:space="preserve">, </w:t>
      </w:r>
      <w:r w:rsidR="002A67B8" w:rsidRPr="002A67B8">
        <w:t xml:space="preserve">made available to </w:t>
      </w:r>
      <w:r w:rsidR="00387969">
        <w:t>s</w:t>
      </w:r>
      <w:r w:rsidR="002A67B8" w:rsidRPr="002A67B8">
        <w:t xml:space="preserve">teering </w:t>
      </w:r>
      <w:r w:rsidR="00387969">
        <w:t>c</w:t>
      </w:r>
      <w:r w:rsidR="002A67B8" w:rsidRPr="002A67B8">
        <w:t>ommittee members and submitted to DTF at key approval milestones</w:t>
      </w:r>
      <w:r w:rsidR="00D1318A">
        <w:t>; and</w:t>
      </w:r>
    </w:p>
    <w:p w14:paraId="7132C797" w14:textId="2B619C23" w:rsidR="00AC57B9" w:rsidRDefault="00CA3EB4" w:rsidP="008865F4">
      <w:pPr>
        <w:pStyle w:val="Listnumindent"/>
        <w:tabs>
          <w:tab w:val="clear" w:pos="1296"/>
          <w:tab w:val="num" w:pos="864"/>
        </w:tabs>
        <w:ind w:left="864"/>
      </w:pPr>
      <w:r>
        <w:t>a</w:t>
      </w:r>
      <w:r w:rsidR="00291777">
        <w:t xml:space="preserve"> p</w:t>
      </w:r>
      <w:r w:rsidR="00AC57B9">
        <w:t xml:space="preserve">roject closure report </w:t>
      </w:r>
      <w:r w:rsidR="00A13505">
        <w:t>to</w:t>
      </w:r>
      <w:r w:rsidR="00291777">
        <w:t xml:space="preserve"> be completed </w:t>
      </w:r>
      <w:r w:rsidR="00AC57B9">
        <w:t>at the point of handover.</w:t>
      </w:r>
    </w:p>
    <w:p w14:paraId="13547F61" w14:textId="03DC864F" w:rsidR="00AD1AF1" w:rsidRPr="00AD1AF1" w:rsidRDefault="00AD1AF1" w:rsidP="008865F4">
      <w:pPr>
        <w:pStyle w:val="Heading2"/>
      </w:pPr>
      <w:r w:rsidRPr="00AD1AF1">
        <w:lastRenderedPageBreak/>
        <w:t xml:space="preserve">Purpose </w:t>
      </w:r>
      <w:r w:rsidRPr="008865F4">
        <w:t>of</w:t>
      </w:r>
      <w:r w:rsidRPr="00AD1AF1">
        <w:t xml:space="preserve"> </w:t>
      </w:r>
      <w:r w:rsidR="00B428A0">
        <w:t>HVHR</w:t>
      </w:r>
      <w:r w:rsidR="00B85086">
        <w:t xml:space="preserve"> Framework</w:t>
      </w:r>
    </w:p>
    <w:p w14:paraId="2BA759F2" w14:textId="475BEE60" w:rsidR="00B00177" w:rsidRPr="00B00177" w:rsidRDefault="00302681" w:rsidP="008865F4">
      <w:r>
        <w:t xml:space="preserve">The </w:t>
      </w:r>
      <w:r w:rsidR="00833457">
        <w:t>HVHR Project Assurance Framework</w:t>
      </w:r>
      <w:r w:rsidR="00B00177" w:rsidRPr="00B00177">
        <w:t xml:space="preserve"> </w:t>
      </w:r>
      <w:r w:rsidR="000561C2">
        <w:t>comprise</w:t>
      </w:r>
      <w:r w:rsidR="00833457">
        <w:t>s</w:t>
      </w:r>
      <w:r w:rsidR="00B00177" w:rsidRPr="00B00177">
        <w:t xml:space="preserve"> a series of project assurance checks and processes that provide greater scrutiny of major infrastructure and </w:t>
      </w:r>
      <w:r w:rsidR="00B870DB">
        <w:t>information and communications technology (</w:t>
      </w:r>
      <w:r w:rsidR="00B00177" w:rsidRPr="00B00177">
        <w:t>ICT</w:t>
      </w:r>
      <w:r w:rsidR="00B870DB">
        <w:t>)</w:t>
      </w:r>
      <w:r w:rsidR="00B00177" w:rsidRPr="00B00177">
        <w:t xml:space="preserve"> investments</w:t>
      </w:r>
      <w:r w:rsidR="00F505D8">
        <w:t>.</w:t>
      </w:r>
    </w:p>
    <w:p w14:paraId="4E326B1C" w14:textId="3ED9DD0F" w:rsidR="00B00177" w:rsidRPr="00B00177" w:rsidRDefault="005B7377" w:rsidP="008865F4">
      <w:pPr>
        <w:rPr>
          <w:i/>
          <w:sz w:val="24"/>
          <w:szCs w:val="24"/>
        </w:rPr>
      </w:pPr>
      <w:r>
        <w:t>T</w:t>
      </w:r>
      <w:r w:rsidR="00B00177" w:rsidRPr="00B00177">
        <w:t xml:space="preserve">he </w:t>
      </w:r>
      <w:r w:rsidR="00833457">
        <w:t>Framework</w:t>
      </w:r>
      <w:r w:rsidR="003905A3">
        <w:t xml:space="preserve"> </w:t>
      </w:r>
      <w:r w:rsidR="00B00177" w:rsidRPr="00B00177">
        <w:t>seek</w:t>
      </w:r>
      <w:r w:rsidR="00833457">
        <w:t>s</w:t>
      </w:r>
      <w:r w:rsidR="00B00177" w:rsidRPr="00B00177">
        <w:t xml:space="preserve"> to:</w:t>
      </w:r>
    </w:p>
    <w:p w14:paraId="7F43F4F9" w14:textId="77777777" w:rsidR="005B7377" w:rsidRDefault="005B7377" w:rsidP="008865F4">
      <w:pPr>
        <w:pStyle w:val="Listnum"/>
        <w:numPr>
          <w:ilvl w:val="0"/>
          <w:numId w:val="23"/>
        </w:numPr>
      </w:pPr>
      <w:r w:rsidRPr="00B00177">
        <w:t>i</w:t>
      </w:r>
      <w:r>
        <w:t>ncrease the likelihood that projects</w:t>
      </w:r>
      <w:r w:rsidRPr="00B00177">
        <w:t xml:space="preserve"> will achieve their stated benefits and be delivered successfully, on </w:t>
      </w:r>
      <w:r>
        <w:t>time and to</w:t>
      </w:r>
      <w:r w:rsidRPr="00B00177">
        <w:t xml:space="preserve"> budget</w:t>
      </w:r>
      <w:r>
        <w:t>;</w:t>
      </w:r>
    </w:p>
    <w:p w14:paraId="6D19F28F" w14:textId="77777777" w:rsidR="00B00177" w:rsidRDefault="00DB45ED" w:rsidP="008865F4">
      <w:pPr>
        <w:pStyle w:val="Listnum"/>
      </w:pPr>
      <w:r>
        <w:t>v</w:t>
      </w:r>
      <w:r w:rsidR="00B00177" w:rsidRPr="00B00177">
        <w:t>erify that robust project planning and procurement processes have been followed to supp</w:t>
      </w:r>
      <w:r w:rsidR="00F505D8">
        <w:t>ort quality project planning,</w:t>
      </w:r>
      <w:r w:rsidR="00B00177" w:rsidRPr="00B00177">
        <w:t xml:space="preserve"> procureme</w:t>
      </w:r>
      <w:r>
        <w:t>nt processes and documentation; and</w:t>
      </w:r>
    </w:p>
    <w:p w14:paraId="177B4CC4" w14:textId="77777777" w:rsidR="00B00177" w:rsidRPr="00B00177" w:rsidRDefault="00DB45ED" w:rsidP="008865F4">
      <w:pPr>
        <w:pStyle w:val="Listnum"/>
      </w:pPr>
      <w:r>
        <w:t>p</w:t>
      </w:r>
      <w:r w:rsidR="00B00177" w:rsidRPr="00B00177">
        <w:t>rovide impartial and informed advice to Government on deliverability risks.</w:t>
      </w:r>
    </w:p>
    <w:bookmarkEnd w:id="0"/>
    <w:p w14:paraId="229BAEB1" w14:textId="550CEFAB" w:rsidR="008943C0" w:rsidRPr="008943C0" w:rsidRDefault="008943C0" w:rsidP="008865F4">
      <w:pPr>
        <w:pStyle w:val="Heading2"/>
      </w:pPr>
      <w:r w:rsidRPr="008943C0">
        <w:t xml:space="preserve">A </w:t>
      </w:r>
      <w:r w:rsidRPr="008865F4">
        <w:t>simplified</w:t>
      </w:r>
      <w:r w:rsidRPr="008943C0">
        <w:t xml:space="preserve"> three-stage process</w:t>
      </w:r>
    </w:p>
    <w:p w14:paraId="623CF3D7" w14:textId="7A294C59" w:rsidR="008943C0" w:rsidRDefault="008943C0" w:rsidP="008865F4">
      <w:r>
        <w:t xml:space="preserve">The 2019 updates simplify the </w:t>
      </w:r>
      <w:r w:rsidR="00833457">
        <w:t>Framework</w:t>
      </w:r>
      <w:r>
        <w:t xml:space="preserve"> to better reflect key project milestones and assurance processes by:</w:t>
      </w:r>
    </w:p>
    <w:p w14:paraId="21A1337A" w14:textId="27F228D1" w:rsidR="003F2F04" w:rsidRDefault="008865F4" w:rsidP="008865F4">
      <w:pPr>
        <w:numPr>
          <w:ilvl w:val="0"/>
          <w:numId w:val="11"/>
        </w:numPr>
        <w:ind w:left="288" w:hanging="288"/>
        <w:contextualSpacing/>
      </w:pPr>
      <w:r>
        <w:t xml:space="preserve">merging </w:t>
      </w:r>
      <w:r w:rsidR="008943C0">
        <w:t xml:space="preserve">the first two stages (Conceptualise and Prove) into one stage (Business </w:t>
      </w:r>
      <w:r w:rsidR="003F2F04">
        <w:t>c</w:t>
      </w:r>
      <w:r w:rsidR="008943C0">
        <w:t xml:space="preserve">ase); </w:t>
      </w:r>
    </w:p>
    <w:p w14:paraId="57637724" w14:textId="3F11A118" w:rsidR="008943C0" w:rsidRDefault="008865F4" w:rsidP="008865F4">
      <w:pPr>
        <w:numPr>
          <w:ilvl w:val="0"/>
          <w:numId w:val="11"/>
        </w:numPr>
        <w:ind w:left="288" w:hanging="288"/>
        <w:contextualSpacing/>
      </w:pPr>
      <w:r>
        <w:t xml:space="preserve">removing </w:t>
      </w:r>
      <w:r w:rsidR="003F2F04">
        <w:t xml:space="preserve">Stage 5 (Realise) from the Guidelines; </w:t>
      </w:r>
      <w:r w:rsidR="008943C0">
        <w:t>and</w:t>
      </w:r>
    </w:p>
    <w:p w14:paraId="1DDE7978" w14:textId="36695F43" w:rsidR="008943C0" w:rsidRDefault="008865F4" w:rsidP="008865F4">
      <w:pPr>
        <w:numPr>
          <w:ilvl w:val="0"/>
          <w:numId w:val="11"/>
        </w:numPr>
        <w:ind w:left="288" w:hanging="288"/>
        <w:contextualSpacing/>
      </w:pPr>
      <w:r>
        <w:t xml:space="preserve">changing </w:t>
      </w:r>
      <w:r w:rsidR="008943C0">
        <w:t>the title of stages to better reflect the activities undertaken at each stage;</w:t>
      </w:r>
    </w:p>
    <w:p w14:paraId="305A7F04" w14:textId="1BCF1C1A" w:rsidR="00384FC6" w:rsidRDefault="008943C0" w:rsidP="008865F4">
      <w:r w:rsidRPr="008943C0">
        <w:t xml:space="preserve">The former Stage 5 Realise stage </w:t>
      </w:r>
      <w:r>
        <w:t xml:space="preserve">is </w:t>
      </w:r>
      <w:r w:rsidRPr="008943C0">
        <w:t>removed</w:t>
      </w:r>
      <w:r>
        <w:t xml:space="preserve"> from the Investment Lifecycle and HVHR Guidelines</w:t>
      </w:r>
      <w:r w:rsidRPr="008943C0">
        <w:t>, and the guide</w:t>
      </w:r>
      <w:r w:rsidR="003F2F04">
        <w:t xml:space="preserve"> that supported Stage 5</w:t>
      </w:r>
      <w:r w:rsidRPr="008943C0">
        <w:t xml:space="preserve"> </w:t>
      </w:r>
      <w:r>
        <w:t xml:space="preserve">is now a technical supplement </w:t>
      </w:r>
      <w:r w:rsidR="003F2F04">
        <w:t xml:space="preserve">of the </w:t>
      </w:r>
      <w:r>
        <w:t>Gate 6 Gateway Review Process.</w:t>
      </w:r>
    </w:p>
    <w:p w14:paraId="41839D61" w14:textId="038D4B35" w:rsidR="008865F4" w:rsidRDefault="008865F4" w:rsidP="00C27E43">
      <w:pPr>
        <w:pStyle w:val="Caption"/>
      </w:pPr>
      <w:r w:rsidRPr="00A90430">
        <w:t xml:space="preserve">Figure </w:t>
      </w:r>
      <w:r>
        <w:t>1</w:t>
      </w:r>
      <w:r w:rsidRPr="00A90430">
        <w:t xml:space="preserve">: The </w:t>
      </w:r>
      <w:r>
        <w:t>three</w:t>
      </w:r>
      <w:r w:rsidRPr="00A90430">
        <w:t xml:space="preserve"> stages of the investment management process</w:t>
      </w:r>
    </w:p>
    <w:p w14:paraId="71397CC9" w14:textId="77777777" w:rsidR="008865F4" w:rsidRDefault="008865F4" w:rsidP="00C27E43">
      <w:pPr>
        <w:spacing w:after="0"/>
        <w:ind w:left="-187"/>
      </w:pPr>
      <w:r w:rsidRPr="00A90430">
        <w:rPr>
          <w:noProof/>
          <w:sz w:val="30"/>
        </w:rPr>
        <w:drawing>
          <wp:inline distT="0" distB="0" distL="0" distR="0" wp14:anchorId="0E9D5CF0" wp14:editId="1BF1E4B6">
            <wp:extent cx="4631891" cy="387350"/>
            <wp:effectExtent l="19050" t="19050" r="35560" b="50800"/>
            <wp:docPr id="254" name="Diagram 2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11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142"/>
      </w:tblGrid>
      <w:tr w:rsidR="008865F4" w14:paraId="78DC4BDB" w14:textId="77777777" w:rsidTr="008865F4">
        <w:tc>
          <w:tcPr>
            <w:tcW w:w="2324" w:type="dxa"/>
            <w:shd w:val="clear" w:color="auto" w:fill="0063A6" w:themeFill="accent1"/>
          </w:tcPr>
          <w:p w14:paraId="45751019" w14:textId="77777777" w:rsidR="008865F4" w:rsidRPr="00C27E43" w:rsidRDefault="008865F4" w:rsidP="00C27E43">
            <w:pPr>
              <w:rPr>
                <w:b/>
                <w:color w:val="FFFFFF" w:themeColor="background1"/>
              </w:rPr>
            </w:pPr>
            <w:r w:rsidRPr="00C27E43">
              <w:rPr>
                <w:b/>
                <w:color w:val="FFFFFF" w:themeColor="background1"/>
              </w:rPr>
              <w:t>Business case</w:t>
            </w:r>
          </w:p>
        </w:tc>
        <w:tc>
          <w:tcPr>
            <w:tcW w:w="2324" w:type="dxa"/>
            <w:shd w:val="clear" w:color="auto" w:fill="0063A6" w:themeFill="accent1"/>
          </w:tcPr>
          <w:p w14:paraId="36F76A45" w14:textId="77777777" w:rsidR="008865F4" w:rsidRPr="00C27E43" w:rsidRDefault="008865F4" w:rsidP="00C27E43">
            <w:pPr>
              <w:rPr>
                <w:b/>
                <w:color w:val="FFFFFF" w:themeColor="background1"/>
              </w:rPr>
            </w:pPr>
            <w:r w:rsidRPr="00C27E43">
              <w:rPr>
                <w:b/>
                <w:color w:val="FFFFFF" w:themeColor="background1"/>
              </w:rPr>
              <w:t>Procurement</w:t>
            </w:r>
          </w:p>
        </w:tc>
        <w:tc>
          <w:tcPr>
            <w:tcW w:w="2325" w:type="dxa"/>
            <w:shd w:val="clear" w:color="auto" w:fill="0063A6" w:themeFill="accent1"/>
          </w:tcPr>
          <w:p w14:paraId="4CB4B514" w14:textId="77777777" w:rsidR="008865F4" w:rsidRPr="00C27E43" w:rsidRDefault="008865F4" w:rsidP="00C27E43">
            <w:pPr>
              <w:rPr>
                <w:b/>
                <w:color w:val="FFFFFF" w:themeColor="background1"/>
              </w:rPr>
            </w:pPr>
            <w:r w:rsidRPr="00C27E43">
              <w:rPr>
                <w:b/>
                <w:color w:val="FFFFFF" w:themeColor="background1"/>
              </w:rPr>
              <w:t>Delivery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14:paraId="4B939C34" w14:textId="77777777" w:rsidR="008865F4" w:rsidRPr="00035242" w:rsidRDefault="008865F4" w:rsidP="00B4149E">
            <w:pPr>
              <w:rPr>
                <w:b/>
                <w:sz w:val="18"/>
                <w:szCs w:val="18"/>
              </w:rPr>
            </w:pPr>
            <w:r w:rsidRPr="00FF5AF5">
              <w:rPr>
                <w:noProof/>
              </w:rPr>
              <mc:AlternateContent>
                <mc:Choice Requires="wps">
                  <w:drawing>
                    <wp:inline distT="0" distB="0" distL="0" distR="0" wp14:anchorId="0229EB2C" wp14:editId="1D2FA4C5">
                      <wp:extent cx="1170214" cy="850739"/>
                      <wp:effectExtent l="0" t="0" r="0" b="6985"/>
                      <wp:docPr id="1" name="Arrow: Striped Right 13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214" cy="850739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9776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25BB00" w14:textId="77777777" w:rsidR="008865F4" w:rsidRPr="007C5013" w:rsidRDefault="008865F4" w:rsidP="008865F4">
                                  <w:pPr>
                                    <w:pStyle w:val="NormalWeb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C5013">
                                    <w:rPr>
                                      <w:rFonts w:asciiTheme="minorHAnsi" w:hAnsiTheme="minorHAnsi" w:cstheme="minorBidi"/>
                                      <w:b/>
                                      <w:sz w:val="16"/>
                                      <w:szCs w:val="16"/>
                                    </w:rPr>
                                    <w:t>Gateway – Benefits evaluation</w:t>
                                  </w:r>
                                </w:p>
                              </w:txbxContent>
                            </wps:txbx>
                            <wps:bodyPr wrap="square" lIns="27432" tIns="0" rIns="27432" bIns="0" rtlCol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29EB2C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136" o:spid="_x0000_s1026" type="#_x0000_t93" style="width:92.1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" adj="13784" fillcolor="#a5a59d [2414]" stroked="f" strokeweight="1pt">
                      <v:textbox inset="2.16pt,0,2.16pt,0">
                        <w:txbxContent>
                          <w:p w14:paraId="0B25BB00" w14:textId="77777777" w:rsidR="008865F4" w:rsidRPr="007C5013" w:rsidRDefault="008865F4" w:rsidP="008865F4">
                            <w:pPr>
                              <w:pStyle w:val="NormalWeb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C5013">
                              <w:rPr>
                                <w:rFonts w:asciiTheme="minorHAnsi" w:hAnsiTheme="minorHAnsi" w:cstheme="minorBidi"/>
                                <w:b/>
                                <w:sz w:val="16"/>
                                <w:szCs w:val="16"/>
                              </w:rPr>
                              <w:t>Gateway – Benefits evaluation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65F4" w14:paraId="080B596A" w14:textId="77777777" w:rsidTr="008865F4">
        <w:tc>
          <w:tcPr>
            <w:tcW w:w="2324" w:type="dxa"/>
            <w:shd w:val="clear" w:color="auto" w:fill="E3EBF4" w:themeFill="accent3" w:themeFillTint="33"/>
          </w:tcPr>
          <w:p w14:paraId="36571003" w14:textId="77777777" w:rsidR="008865F4" w:rsidRPr="007C5013" w:rsidRDefault="008865F4" w:rsidP="00B4149E">
            <w:pPr>
              <w:pStyle w:val="Tabletext"/>
              <w:rPr>
                <w:b/>
              </w:rPr>
            </w:pPr>
            <w:r w:rsidRPr="007C5013">
              <w:rPr>
                <w:b/>
              </w:rPr>
              <w:t>Establishes need, defines benefits, explores interventions, estimates costs, identifies delivery process.</w:t>
            </w:r>
          </w:p>
        </w:tc>
        <w:tc>
          <w:tcPr>
            <w:tcW w:w="2324" w:type="dxa"/>
            <w:shd w:val="clear" w:color="auto" w:fill="E3EBF4" w:themeFill="accent3" w:themeFillTint="33"/>
          </w:tcPr>
          <w:p w14:paraId="450E1BE1" w14:textId="77777777" w:rsidR="008865F4" w:rsidRPr="007C5013" w:rsidRDefault="008865F4" w:rsidP="00B4149E">
            <w:pPr>
              <w:pStyle w:val="Tabletext"/>
              <w:rPr>
                <w:b/>
              </w:rPr>
            </w:pPr>
            <w:r w:rsidRPr="007C5013">
              <w:rPr>
                <w:b/>
              </w:rPr>
              <w:t>Explores delivery options, finalises delivery plan, engages the market, awards the contract.</w:t>
            </w:r>
          </w:p>
        </w:tc>
        <w:tc>
          <w:tcPr>
            <w:tcW w:w="2325" w:type="dxa"/>
            <w:shd w:val="clear" w:color="auto" w:fill="E3EBF4" w:themeFill="accent3" w:themeFillTint="33"/>
          </w:tcPr>
          <w:p w14:paraId="495069F1" w14:textId="77777777" w:rsidR="008865F4" w:rsidRPr="007C5013" w:rsidRDefault="008865F4" w:rsidP="00B4149E">
            <w:pPr>
              <w:pStyle w:val="Tabletext"/>
              <w:rPr>
                <w:b/>
              </w:rPr>
            </w:pPr>
            <w:r w:rsidRPr="007C5013">
              <w:rPr>
                <w:b/>
              </w:rPr>
              <w:t>Implements solution, transitions investment into normal business.</w:t>
            </w:r>
          </w:p>
        </w:tc>
        <w:tc>
          <w:tcPr>
            <w:tcW w:w="2142" w:type="dxa"/>
            <w:vMerge/>
            <w:shd w:val="clear" w:color="auto" w:fill="auto"/>
          </w:tcPr>
          <w:p w14:paraId="2CFD2F46" w14:textId="77777777" w:rsidR="008865F4" w:rsidRPr="00230F27" w:rsidRDefault="008865F4" w:rsidP="00B4149E">
            <w:pPr>
              <w:rPr>
                <w:sz w:val="18"/>
              </w:rPr>
            </w:pPr>
          </w:p>
        </w:tc>
      </w:tr>
      <w:tr w:rsidR="008865F4" w14:paraId="00527967" w14:textId="77777777" w:rsidTr="008865F4">
        <w:tc>
          <w:tcPr>
            <w:tcW w:w="2324" w:type="dxa"/>
            <w:shd w:val="clear" w:color="auto" w:fill="E3EBF4" w:themeFill="accent3" w:themeFillTint="33"/>
          </w:tcPr>
          <w:p w14:paraId="3671E7D6" w14:textId="77777777" w:rsidR="008865F4" w:rsidRPr="007C5013" w:rsidRDefault="008865F4" w:rsidP="00B4149E">
            <w:pPr>
              <w:pStyle w:val="Tabletext"/>
              <w:rPr>
                <w:szCs w:val="14"/>
              </w:rPr>
            </w:pPr>
            <w:r w:rsidRPr="007C5013">
              <w:rPr>
                <w:szCs w:val="14"/>
              </w:rPr>
              <w:t>What is the problem, issue or service need?</w:t>
            </w:r>
          </w:p>
          <w:p w14:paraId="4AD7DCA6" w14:textId="77777777" w:rsidR="008865F4" w:rsidRPr="007C5013" w:rsidRDefault="008865F4" w:rsidP="00B4149E">
            <w:pPr>
              <w:pStyle w:val="Tabletext"/>
              <w:rPr>
                <w:szCs w:val="14"/>
              </w:rPr>
            </w:pPr>
            <w:r w:rsidRPr="007C5013">
              <w:rPr>
                <w:szCs w:val="14"/>
              </w:rPr>
              <w:t>What are the benefits from addressing the problem?</w:t>
            </w:r>
          </w:p>
          <w:p w14:paraId="5638B953" w14:textId="77777777" w:rsidR="008865F4" w:rsidRPr="007C5013" w:rsidRDefault="008865F4" w:rsidP="00B4149E">
            <w:pPr>
              <w:pStyle w:val="Tabletext"/>
              <w:rPr>
                <w:szCs w:val="14"/>
              </w:rPr>
            </w:pPr>
            <w:r w:rsidRPr="007C5013">
              <w:rPr>
                <w:szCs w:val="14"/>
              </w:rPr>
              <w:t>Is there a compelling case for investing?</w:t>
            </w:r>
          </w:p>
          <w:p w14:paraId="592A8A01" w14:textId="77777777" w:rsidR="008865F4" w:rsidRPr="007C5013" w:rsidRDefault="008865F4" w:rsidP="00B4149E">
            <w:pPr>
              <w:pStyle w:val="Tabletext"/>
            </w:pPr>
            <w:r w:rsidRPr="007C5013">
              <w:rPr>
                <w:szCs w:val="14"/>
              </w:rPr>
              <w:t>Can the project be delivered as planned?</w:t>
            </w:r>
          </w:p>
        </w:tc>
        <w:tc>
          <w:tcPr>
            <w:tcW w:w="2324" w:type="dxa"/>
            <w:shd w:val="clear" w:color="auto" w:fill="E3EBF4" w:themeFill="accent3" w:themeFillTint="33"/>
          </w:tcPr>
          <w:p w14:paraId="4FFD34EF" w14:textId="77777777" w:rsidR="008865F4" w:rsidRPr="007C5013" w:rsidRDefault="008865F4" w:rsidP="00B4149E">
            <w:pPr>
              <w:pStyle w:val="Tabletext"/>
            </w:pPr>
            <w:r w:rsidRPr="007C5013">
              <w:rPr>
                <w:szCs w:val="14"/>
              </w:rPr>
              <w:t>What is the preferred method for delivering the investment?</w:t>
            </w:r>
          </w:p>
        </w:tc>
        <w:tc>
          <w:tcPr>
            <w:tcW w:w="2325" w:type="dxa"/>
            <w:shd w:val="clear" w:color="auto" w:fill="E3EBF4" w:themeFill="accent3" w:themeFillTint="33"/>
          </w:tcPr>
          <w:p w14:paraId="3FE4963B" w14:textId="77777777" w:rsidR="008865F4" w:rsidRPr="007C5013" w:rsidRDefault="008865F4" w:rsidP="00B4149E">
            <w:pPr>
              <w:pStyle w:val="Tabletext"/>
              <w:rPr>
                <w:szCs w:val="14"/>
              </w:rPr>
            </w:pPr>
            <w:r w:rsidRPr="007C5013">
              <w:rPr>
                <w:szCs w:val="14"/>
              </w:rPr>
              <w:t>Is the investment proceeding as planned?</w:t>
            </w:r>
          </w:p>
          <w:p w14:paraId="3F64345E" w14:textId="77777777" w:rsidR="008865F4" w:rsidRPr="007C5013" w:rsidRDefault="008865F4" w:rsidP="00B4149E">
            <w:pPr>
              <w:pStyle w:val="Tabletext"/>
            </w:pPr>
            <w:r w:rsidRPr="007C5013">
              <w:rPr>
                <w:szCs w:val="14"/>
              </w:rPr>
              <w:t>Are changes to the investment needed?</w:t>
            </w:r>
          </w:p>
        </w:tc>
        <w:tc>
          <w:tcPr>
            <w:tcW w:w="2142" w:type="dxa"/>
            <w:vMerge/>
            <w:shd w:val="clear" w:color="auto" w:fill="auto"/>
          </w:tcPr>
          <w:p w14:paraId="0239D950" w14:textId="77777777" w:rsidR="008865F4" w:rsidRPr="00230F27" w:rsidRDefault="008865F4" w:rsidP="00B4149E">
            <w:pPr>
              <w:spacing w:before="60"/>
              <w:rPr>
                <w:i/>
                <w:sz w:val="18"/>
                <w:szCs w:val="14"/>
              </w:rPr>
            </w:pPr>
          </w:p>
        </w:tc>
      </w:tr>
    </w:tbl>
    <w:p w14:paraId="770825C1" w14:textId="77777777" w:rsidR="008865F4" w:rsidRDefault="008865F4" w:rsidP="008865F4">
      <w:pPr>
        <w:pStyle w:val="Spacer"/>
      </w:pPr>
    </w:p>
    <w:p w14:paraId="62470FEC" w14:textId="7A77C3BA" w:rsidR="00384FC6" w:rsidRPr="00B428A0" w:rsidRDefault="00384FC6" w:rsidP="008865F4">
      <w:pPr>
        <w:pStyle w:val="Heading2"/>
      </w:pPr>
      <w:r w:rsidRPr="008943C0">
        <w:lastRenderedPageBreak/>
        <w:t>Applying HVHR</w:t>
      </w:r>
    </w:p>
    <w:p w14:paraId="5B3AC2EC" w14:textId="77777777" w:rsidR="00384FC6" w:rsidRDefault="00384FC6" w:rsidP="008865F4">
      <w:pPr>
        <w:keepNext/>
        <w:spacing w:after="0"/>
      </w:pPr>
      <w:r>
        <w:t>A project will be classified as HVHR if it is a budget-funded project that is:</w:t>
      </w:r>
    </w:p>
    <w:p w14:paraId="7854D10A" w14:textId="77777777" w:rsidR="00384FC6" w:rsidRPr="006F5C01" w:rsidRDefault="00384FC6" w:rsidP="008865F4">
      <w:pPr>
        <w:pStyle w:val="Bullet1"/>
        <w:contextualSpacing/>
      </w:pPr>
      <w:r w:rsidRPr="006F5C01">
        <w:t>considere</w:t>
      </w:r>
      <w:r>
        <w:t>d high risk;</w:t>
      </w:r>
    </w:p>
    <w:p w14:paraId="68E46FC1" w14:textId="0BB12EA6" w:rsidR="00384FC6" w:rsidRPr="006F5C01" w:rsidRDefault="00384FC6" w:rsidP="008865F4">
      <w:pPr>
        <w:pStyle w:val="Bullet1"/>
        <w:contextualSpacing/>
      </w:pPr>
      <w:r w:rsidRPr="006F5C01">
        <w:t>considered medium ri</w:t>
      </w:r>
      <w:r>
        <w:t xml:space="preserve">sk with </w:t>
      </w:r>
      <w:r w:rsidRPr="006F5C01">
        <w:t xml:space="preserve">a </w:t>
      </w:r>
      <w:r w:rsidR="00F7731F">
        <w:t>total estimated investment (</w:t>
      </w:r>
      <w:r w:rsidRPr="006F5C01">
        <w:t>TEI</w:t>
      </w:r>
      <w:r w:rsidR="00F7731F">
        <w:t>)</w:t>
      </w:r>
      <w:r w:rsidRPr="006F5C01">
        <w:t xml:space="preserve"> of betwee</w:t>
      </w:r>
      <w:r>
        <w:t>n $100 million and $250 million;</w:t>
      </w:r>
    </w:p>
    <w:p w14:paraId="1EA03A86" w14:textId="77777777" w:rsidR="00384FC6" w:rsidRPr="006F5C01" w:rsidRDefault="00384FC6" w:rsidP="008865F4">
      <w:pPr>
        <w:pStyle w:val="Bullet1"/>
        <w:contextualSpacing/>
      </w:pPr>
      <w:r w:rsidRPr="006F5C01">
        <w:t>considered low ri</w:t>
      </w:r>
      <w:r>
        <w:t xml:space="preserve">sk with </w:t>
      </w:r>
      <w:r w:rsidRPr="006F5C01">
        <w:t xml:space="preserve">a </w:t>
      </w:r>
      <w:r w:rsidRPr="00F7731F">
        <w:t>TEI</w:t>
      </w:r>
      <w:r w:rsidRPr="006F5C01">
        <w:t xml:space="preserve"> over $250 million; or</w:t>
      </w:r>
    </w:p>
    <w:p w14:paraId="03F1E061" w14:textId="77777777" w:rsidR="00384FC6" w:rsidRDefault="00384FC6" w:rsidP="008865F4">
      <w:pPr>
        <w:pStyle w:val="Bullet1"/>
        <w:contextualSpacing/>
      </w:pPr>
      <w:r w:rsidRPr="006F5C01">
        <w:t xml:space="preserve">identified by Government as warranting the </w:t>
      </w:r>
      <w:r>
        <w:t xml:space="preserve">additional </w:t>
      </w:r>
      <w:r w:rsidRPr="006F5C01">
        <w:t>rigour applied to HVHR investments.</w:t>
      </w:r>
    </w:p>
    <w:p w14:paraId="71399777" w14:textId="77777777" w:rsidR="00384FC6" w:rsidRDefault="00384FC6" w:rsidP="008865F4">
      <w:pPr>
        <w:ind w:right="-64"/>
      </w:pPr>
      <w:r>
        <w:t xml:space="preserve">Risk will be assessed through DTF’s updated risk assessment tool, the Project Profile Model (PPM). </w:t>
      </w:r>
    </w:p>
    <w:p w14:paraId="3E8DC539" w14:textId="3521A2AC" w:rsidR="00F13D37" w:rsidRDefault="00C6444B" w:rsidP="00C27E43">
      <w:pPr>
        <w:pStyle w:val="Caption"/>
      </w:pPr>
      <w:r w:rsidRPr="0053715C">
        <w:t xml:space="preserve">Figure </w:t>
      </w:r>
      <w:r w:rsidR="0053715C">
        <w:t>2</w:t>
      </w:r>
      <w:r w:rsidRPr="0053715C">
        <w:t xml:space="preserve">: </w:t>
      </w:r>
      <w:r w:rsidR="00F32C9C">
        <w:t xml:space="preserve">Project lifecycle and </w:t>
      </w:r>
      <w:r w:rsidRPr="00C27E43">
        <w:t>HVHR</w:t>
      </w:r>
      <w:r w:rsidRPr="0053715C">
        <w:t xml:space="preserve"> project assurance</w:t>
      </w:r>
      <w:r w:rsidR="003905A3">
        <w:t xml:space="preserve"> process</w:t>
      </w:r>
      <w:r w:rsidRPr="0053715C">
        <w:t xml:space="preserve"> </w:t>
      </w:r>
    </w:p>
    <w:bookmarkStart w:id="2" w:name="_Hlk25239766"/>
    <w:p w14:paraId="3C43AE90" w14:textId="4F0B00B0" w:rsidR="0008417A" w:rsidRDefault="003E7AC0" w:rsidP="008865F4">
      <w:r>
        <w:object w:dxaOrig="11280" w:dyaOrig="11790" w14:anchorId="58D3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45pt;height:482.9pt" o:ole="">
            <v:imagedata r:id="rId14" o:title=""/>
          </v:shape>
          <o:OLEObject Type="Embed" ProgID="Visio.Drawing.15" ShapeID="_x0000_i1025" DrawAspect="Content" ObjectID="_1636962964" r:id="rId15"/>
        </w:object>
      </w:r>
      <w:bookmarkEnd w:id="2"/>
    </w:p>
    <w:p w14:paraId="116FEE58" w14:textId="56F886A9" w:rsidR="006C4989" w:rsidRDefault="006C4989" w:rsidP="008865F4">
      <w:pPr>
        <w:pStyle w:val="Heading2"/>
      </w:pPr>
      <w:r>
        <w:lastRenderedPageBreak/>
        <w:t>Project Development and Due Diligence</w:t>
      </w:r>
      <w:r w:rsidR="00216EFC">
        <w:t xml:space="preserve"> </w:t>
      </w:r>
    </w:p>
    <w:p w14:paraId="0E1761EA" w14:textId="32A7D178" w:rsidR="00C156DD" w:rsidRDefault="00827497" w:rsidP="008865F4">
      <w:r w:rsidRPr="00827497">
        <w:rPr>
          <w:lang w:val="en-US"/>
        </w:rPr>
        <w:t xml:space="preserve">Project Development and Due Diligence </w:t>
      </w:r>
      <w:r>
        <w:rPr>
          <w:lang w:val="en-US"/>
        </w:rPr>
        <w:t>(</w:t>
      </w:r>
      <w:r w:rsidR="00C156DD">
        <w:rPr>
          <w:lang w:val="en-US"/>
        </w:rPr>
        <w:t>PDDD</w:t>
      </w:r>
      <w:r>
        <w:rPr>
          <w:lang w:val="en-US"/>
        </w:rPr>
        <w:t>)</w:t>
      </w:r>
      <w:r w:rsidR="00C156DD">
        <w:rPr>
          <w:lang w:val="en-US"/>
        </w:rPr>
        <w:t xml:space="preserve"> </w:t>
      </w:r>
      <w:r w:rsidR="00C156DD" w:rsidRPr="00F70B96">
        <w:rPr>
          <w:lang w:val="en-US"/>
        </w:rPr>
        <w:t>activities includ</w:t>
      </w:r>
      <w:r w:rsidR="00C156DD">
        <w:rPr>
          <w:lang w:val="en-US"/>
        </w:rPr>
        <w:t>e</w:t>
      </w:r>
      <w:r w:rsidR="00C156DD" w:rsidRPr="00F70B96">
        <w:rPr>
          <w:lang w:val="en-US"/>
        </w:rPr>
        <w:t xml:space="preserve"> site investigation</w:t>
      </w:r>
      <w:r w:rsidR="00C156DD">
        <w:rPr>
          <w:lang w:val="en-US"/>
        </w:rPr>
        <w:t xml:space="preserve"> and documentation</w:t>
      </w:r>
      <w:r w:rsidR="00C156DD" w:rsidRPr="00F70B96">
        <w:rPr>
          <w:lang w:val="en-US"/>
        </w:rPr>
        <w:t xml:space="preserve">, </w:t>
      </w:r>
      <w:r w:rsidR="00C156DD">
        <w:rPr>
          <w:lang w:val="en-US"/>
        </w:rPr>
        <w:t xml:space="preserve">analysis and research, </w:t>
      </w:r>
      <w:r w:rsidR="00C156DD" w:rsidRPr="00F70B96">
        <w:rPr>
          <w:lang w:val="en-US"/>
        </w:rPr>
        <w:t xml:space="preserve">production of </w:t>
      </w:r>
      <w:r w:rsidR="00C156DD">
        <w:rPr>
          <w:lang w:val="en-US"/>
        </w:rPr>
        <w:t xml:space="preserve">design and </w:t>
      </w:r>
      <w:r w:rsidR="00C156DD" w:rsidRPr="00F70B96">
        <w:rPr>
          <w:lang w:val="en-US"/>
        </w:rPr>
        <w:t xml:space="preserve">development </w:t>
      </w:r>
      <w:r w:rsidR="00C156DD">
        <w:rPr>
          <w:lang w:val="en-US"/>
        </w:rPr>
        <w:t>proposals</w:t>
      </w:r>
      <w:r w:rsidR="00C156DD" w:rsidRPr="00F70B96">
        <w:rPr>
          <w:lang w:val="en-US"/>
        </w:rPr>
        <w:t xml:space="preserve"> and reports of </w:t>
      </w:r>
      <w:proofErr w:type="gramStart"/>
      <w:r w:rsidR="00C156DD" w:rsidRPr="00F70B96">
        <w:rPr>
          <w:lang w:val="en-US"/>
        </w:rPr>
        <w:t>sufficient</w:t>
      </w:r>
      <w:proofErr w:type="gramEnd"/>
      <w:r w:rsidR="00C156DD" w:rsidRPr="00F70B96">
        <w:rPr>
          <w:lang w:val="en-US"/>
        </w:rPr>
        <w:t xml:space="preserve"> quality</w:t>
      </w:r>
      <w:r w:rsidR="00C156DD">
        <w:rPr>
          <w:lang w:val="en-US"/>
        </w:rPr>
        <w:t>, breadth</w:t>
      </w:r>
      <w:r w:rsidR="00C156DD" w:rsidRPr="00F70B96">
        <w:rPr>
          <w:lang w:val="en-US"/>
        </w:rPr>
        <w:t xml:space="preserve"> and depth to </w:t>
      </w:r>
      <w:r w:rsidR="00C156DD">
        <w:rPr>
          <w:lang w:val="en-US"/>
        </w:rPr>
        <w:t>clear</w:t>
      </w:r>
      <w:r w:rsidR="00C156DD" w:rsidRPr="00F70B96">
        <w:rPr>
          <w:lang w:val="en-US"/>
        </w:rPr>
        <w:t>ly define project scope</w:t>
      </w:r>
      <w:r w:rsidR="00C156DD">
        <w:rPr>
          <w:lang w:val="en-US"/>
        </w:rPr>
        <w:t>, risks</w:t>
      </w:r>
      <w:r w:rsidR="00C156DD" w:rsidRPr="00F70B96">
        <w:rPr>
          <w:lang w:val="en-US"/>
        </w:rPr>
        <w:t xml:space="preserve"> and</w:t>
      </w:r>
      <w:r w:rsidR="00C156DD">
        <w:rPr>
          <w:lang w:val="en-US"/>
        </w:rPr>
        <w:t xml:space="preserve"> critical</w:t>
      </w:r>
      <w:r w:rsidR="00C156DD" w:rsidRPr="00F70B96">
        <w:rPr>
          <w:lang w:val="en-US"/>
        </w:rPr>
        <w:t xml:space="preserve"> requirements to facilitate detailed design, </w:t>
      </w:r>
      <w:r w:rsidR="00C156DD">
        <w:rPr>
          <w:lang w:val="en-US"/>
        </w:rPr>
        <w:t xml:space="preserve">effective </w:t>
      </w:r>
      <w:r w:rsidR="00C156DD" w:rsidRPr="00F70B96">
        <w:rPr>
          <w:lang w:val="en-US"/>
        </w:rPr>
        <w:t>procurement</w:t>
      </w:r>
      <w:r w:rsidR="00C156DD">
        <w:rPr>
          <w:lang w:val="en-US"/>
        </w:rPr>
        <w:t xml:space="preserve">, </w:t>
      </w:r>
      <w:r w:rsidR="00C156DD" w:rsidRPr="00F70B96">
        <w:rPr>
          <w:lang w:val="en-US"/>
        </w:rPr>
        <w:t>delivery</w:t>
      </w:r>
      <w:r w:rsidR="00C156DD">
        <w:rPr>
          <w:lang w:val="en-US"/>
        </w:rPr>
        <w:t xml:space="preserve"> and successful operation</w:t>
      </w:r>
      <w:r w:rsidR="00C156DD" w:rsidRPr="00F70B96">
        <w:rPr>
          <w:lang w:val="en-US"/>
        </w:rPr>
        <w:t>.</w:t>
      </w:r>
    </w:p>
    <w:p w14:paraId="32140D79" w14:textId="63A051F4" w:rsidR="00EE381B" w:rsidRDefault="00EE381B" w:rsidP="008865F4">
      <w:r>
        <w:t xml:space="preserve">Agencies must </w:t>
      </w:r>
      <w:r w:rsidR="00506C43" w:rsidRPr="00EE381B">
        <w:t xml:space="preserve">consider the requirements of the PDDD </w:t>
      </w:r>
      <w:r w:rsidR="001F2C42">
        <w:t>Guidelines</w:t>
      </w:r>
      <w:r w:rsidR="00506C43">
        <w:t xml:space="preserve"> </w:t>
      </w:r>
      <w:r>
        <w:t>and provide evidence of due diligence</w:t>
      </w:r>
      <w:r w:rsidR="00506C43">
        <w:t xml:space="preserve"> when preparing business cases</w:t>
      </w:r>
      <w:r>
        <w:t>.</w:t>
      </w:r>
    </w:p>
    <w:p w14:paraId="0AA04378" w14:textId="77777777" w:rsidR="00C6444B" w:rsidRDefault="00BF0113" w:rsidP="008865F4">
      <w:pPr>
        <w:pStyle w:val="Heading2"/>
      </w:pPr>
      <w:r>
        <w:t>Online resources</w:t>
      </w:r>
    </w:p>
    <w:p w14:paraId="414903F9" w14:textId="24F02A77" w:rsidR="00BF0113" w:rsidRPr="00BF0113" w:rsidRDefault="004A6F83" w:rsidP="008865F4">
      <w:pPr>
        <w:pStyle w:val="Heading3"/>
      </w:pPr>
      <w:r>
        <w:t>Project Profile Model</w:t>
      </w:r>
    </w:p>
    <w:p w14:paraId="53600611" w14:textId="7D2B1CAC" w:rsidR="004A767E" w:rsidRDefault="00C918D2" w:rsidP="00B4149E">
      <w:pPr>
        <w:pStyle w:val="Bullet1"/>
        <w:numPr>
          <w:ilvl w:val="0"/>
          <w:numId w:val="0"/>
        </w:numPr>
        <w:ind w:left="360"/>
      </w:pPr>
      <w:r>
        <w:t>P</w:t>
      </w:r>
      <w:r w:rsidR="00C6444B" w:rsidRPr="00C025BD">
        <w:t xml:space="preserve">roject risk rating can be assessed using the </w:t>
      </w:r>
      <w:r w:rsidR="00216EFC" w:rsidRPr="008865F4">
        <w:rPr>
          <w:b/>
        </w:rPr>
        <w:t xml:space="preserve">PPM </w:t>
      </w:r>
      <w:r w:rsidR="004A767E" w:rsidRPr="004A767E">
        <w:t>form</w:t>
      </w:r>
      <w:r w:rsidR="004A767E">
        <w:t xml:space="preserve"> at</w:t>
      </w:r>
      <w:r w:rsidR="008865F4">
        <w:t xml:space="preserve"> </w:t>
      </w:r>
      <w:hyperlink r:id="rId16" w:history="1">
        <w:r w:rsidR="008865F4" w:rsidRPr="00D75276">
          <w:rPr>
            <w:rStyle w:val="Hyperlink"/>
          </w:rPr>
          <w:t>https://www.dtf.vic.gov.au/gateway-review-process/book-gateway-review</w:t>
        </w:r>
      </w:hyperlink>
    </w:p>
    <w:p w14:paraId="100BF311" w14:textId="77777777" w:rsidR="00F40144" w:rsidRDefault="00B11A8C" w:rsidP="00B4149E">
      <w:pPr>
        <w:pStyle w:val="Heading3"/>
      </w:pPr>
      <w:r w:rsidRPr="00B4149E">
        <w:t>Guidance</w:t>
      </w:r>
    </w:p>
    <w:p w14:paraId="69F83BAD" w14:textId="7565A14F" w:rsidR="009614E0" w:rsidRDefault="007E2EC7" w:rsidP="00B4149E">
      <w:pPr>
        <w:pStyle w:val="Bullet1"/>
        <w:numPr>
          <w:ilvl w:val="0"/>
          <w:numId w:val="0"/>
        </w:numPr>
        <w:ind w:left="360"/>
      </w:pPr>
      <w:r w:rsidRPr="008865F4">
        <w:rPr>
          <w:b/>
        </w:rPr>
        <w:t>I</w:t>
      </w:r>
      <w:r w:rsidR="00C6444B" w:rsidRPr="008865F4">
        <w:rPr>
          <w:b/>
        </w:rPr>
        <w:t xml:space="preserve">nvestment </w:t>
      </w:r>
      <w:r w:rsidR="00BD3B78" w:rsidRPr="008865F4">
        <w:rPr>
          <w:b/>
        </w:rPr>
        <w:t>L</w:t>
      </w:r>
      <w:r w:rsidR="00C6444B" w:rsidRPr="008865F4">
        <w:rPr>
          <w:b/>
        </w:rPr>
        <w:t xml:space="preserve">ifecycle </w:t>
      </w:r>
      <w:r w:rsidRPr="008865F4">
        <w:rPr>
          <w:b/>
        </w:rPr>
        <w:t>and HVHR guidelines</w:t>
      </w:r>
      <w:r>
        <w:t xml:space="preserve"> are available at</w:t>
      </w:r>
      <w:r w:rsidR="008865F4">
        <w:t xml:space="preserve"> </w:t>
      </w:r>
      <w:hyperlink r:id="rId17" w:history="1">
        <w:r w:rsidR="008865F4" w:rsidRPr="00D75276">
          <w:rPr>
            <w:rStyle w:val="Hyperlink"/>
          </w:rPr>
          <w:t>https://www.dtf.vic.gov.au/infrastructure-investment/investment-lifecycle-and-high-value-high-risk-guidelines</w:t>
        </w:r>
      </w:hyperlink>
    </w:p>
    <w:p w14:paraId="73165108" w14:textId="61A0CA30" w:rsidR="007E2EC7" w:rsidRDefault="00B4149E" w:rsidP="00B4149E">
      <w:pPr>
        <w:pStyle w:val="Heading3"/>
      </w:pPr>
      <w:r>
        <w:t>Gateway Review Process</w:t>
      </w:r>
    </w:p>
    <w:p w14:paraId="74A96EF5" w14:textId="3B2B7F61" w:rsidR="009614E0" w:rsidRDefault="00C6444B" w:rsidP="00B4149E">
      <w:pPr>
        <w:pStyle w:val="Bullet1"/>
        <w:numPr>
          <w:ilvl w:val="0"/>
          <w:numId w:val="0"/>
        </w:numPr>
        <w:ind w:left="360"/>
      </w:pPr>
      <w:r>
        <w:t xml:space="preserve">Details and guidance on the </w:t>
      </w:r>
      <w:r w:rsidRPr="00B4149E">
        <w:rPr>
          <w:b/>
        </w:rPr>
        <w:t>G</w:t>
      </w:r>
      <w:r w:rsidR="004A767E" w:rsidRPr="00B4149E">
        <w:rPr>
          <w:b/>
        </w:rPr>
        <w:t>RP</w:t>
      </w:r>
      <w:r>
        <w:t xml:space="preserve"> available at</w:t>
      </w:r>
      <w:r w:rsidR="00B4149E">
        <w:t xml:space="preserve"> </w:t>
      </w:r>
      <w:hyperlink r:id="rId18" w:history="1">
        <w:r w:rsidR="00B4149E" w:rsidRPr="00D75276">
          <w:rPr>
            <w:rStyle w:val="Hyperlink"/>
          </w:rPr>
          <w:t>https://www.dtf.vic.gov.au/gateway-review-process/gateway-key-decision-points-guidance-and-templates</w:t>
        </w:r>
      </w:hyperlink>
    </w:p>
    <w:p w14:paraId="1652092B" w14:textId="77777777" w:rsidR="00C6444B" w:rsidRDefault="00C6444B" w:rsidP="00B4149E"/>
    <w:sectPr w:rsidR="00C6444B" w:rsidSect="008865F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160" w:right="1440" w:bottom="135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0203" w14:textId="77777777" w:rsidR="007044A5" w:rsidRDefault="007044A5" w:rsidP="002D711A">
      <w:pPr>
        <w:spacing w:after="0" w:line="240" w:lineRule="auto"/>
      </w:pPr>
      <w:r>
        <w:separator/>
      </w:r>
    </w:p>
  </w:endnote>
  <w:endnote w:type="continuationSeparator" w:id="0">
    <w:p w14:paraId="327E49E1" w14:textId="77777777" w:rsidR="007044A5" w:rsidRDefault="007044A5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15B4" w14:textId="77777777" w:rsidR="003E7AC0" w:rsidRDefault="003E7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7D41" w14:textId="4240304E" w:rsidR="00C42121" w:rsidRPr="008865F4" w:rsidRDefault="00C42121" w:rsidP="008865F4">
    <w:pPr>
      <w:pStyle w:val="Footer"/>
      <w:rPr>
        <w:rStyle w:val="PageNumber"/>
      </w:rPr>
    </w:pPr>
    <w:r w:rsidRPr="008865F4">
      <mc:AlternateContent>
        <mc:Choice Requires="wps">
          <w:drawing>
            <wp:anchor distT="0" distB="0" distL="114300" distR="114300" simplePos="0" relativeHeight="251658240" behindDoc="1" locked="0" layoutInCell="0" allowOverlap="1" wp14:anchorId="35E20D94" wp14:editId="5B42C6F8">
              <wp:simplePos x="0" y="0"/>
              <wp:positionH relativeFrom="page">
                <wp:posOffset>0</wp:posOffset>
              </wp:positionH>
              <wp:positionV relativeFrom="page">
                <wp:posOffset>10236835</wp:posOffset>
              </wp:positionV>
              <wp:extent cx="7562088" cy="265176"/>
              <wp:effectExtent l="0" t="0" r="0" b="1905"/>
              <wp:wrapNone/>
              <wp:docPr id="4" name="MSIPCMf26646079bfe94942130ca6c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088" cy="265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385344" w14:textId="79D8A7B5" w:rsidR="00C42121" w:rsidRPr="00AC57B9" w:rsidRDefault="00C42121" w:rsidP="00AC57B9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20D94" id="_x0000_t202" coordsize="21600,21600" o:spt="202" path="m,l,21600r21600,l21600,xe">
              <v:stroke joinstyle="miter"/>
              <v:path gradientshapeok="t" o:connecttype="rect"/>
            </v:shapetype>
            <v:shape id="MSIPCMf26646079bfe94942130ca6c" o:spid="_x0000_s1027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6.05pt;width:595.4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H0GwMAADgGAAAOAAAAZHJzL2Uyb0RvYy54bWysVEtv2zAMvg/YfxB02GmpH3Wc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" o:allowincell="f" filled="f" stroked="f" strokeweight=".5pt">
              <v:textbox inset="20pt,0,,0">
                <w:txbxContent>
                  <w:p w14:paraId="40385344" w14:textId="79D8A7B5" w:rsidR="00C42121" w:rsidRPr="00AC57B9" w:rsidRDefault="00C42121" w:rsidP="00AC57B9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865F4">
      <w:rPr>
        <w:b/>
        <w:noProof w:val="0"/>
        <w:color w:val="0063A6" w:themeColor="accent1"/>
      </w:rPr>
      <w:fldChar w:fldCharType="begin"/>
    </w:r>
    <w:r w:rsidRPr="008865F4">
      <w:rPr>
        <w:b/>
        <w:color w:val="0063A6" w:themeColor="accent1"/>
      </w:rPr>
      <w:instrText xml:space="preserve"> StyleRef “Title” </w:instrText>
    </w:r>
    <w:r w:rsidRPr="008865F4">
      <w:rPr>
        <w:b/>
        <w:noProof w:val="0"/>
        <w:color w:val="0063A6" w:themeColor="accent1"/>
      </w:rPr>
      <w:fldChar w:fldCharType="separate"/>
    </w:r>
    <w:r w:rsidR="002059C6">
      <w:rPr>
        <w:b/>
        <w:color w:val="0063A6" w:themeColor="accent1"/>
      </w:rPr>
      <w:t>Investment Lifecycle and HVHR Guidelines</w:t>
    </w:r>
    <w:r w:rsidRPr="008865F4">
      <w:rPr>
        <w:b/>
        <w:color w:val="0063A6" w:themeColor="accent1"/>
      </w:rPr>
      <w:fldChar w:fldCharType="end"/>
    </w:r>
    <w:r w:rsidRPr="008865F4">
      <w:tab/>
      <w:t xml:space="preserve">Page </w:t>
    </w:r>
    <w:r w:rsidRPr="008865F4">
      <w:rPr>
        <w:rStyle w:val="PageNumber"/>
      </w:rPr>
      <w:fldChar w:fldCharType="begin"/>
    </w:r>
    <w:r w:rsidRPr="008865F4">
      <w:rPr>
        <w:rStyle w:val="PageNumber"/>
      </w:rPr>
      <w:instrText xml:space="preserve"> Page </w:instrText>
    </w:r>
    <w:r w:rsidRPr="008865F4">
      <w:rPr>
        <w:rStyle w:val="PageNumber"/>
      </w:rPr>
      <w:fldChar w:fldCharType="separate"/>
    </w:r>
    <w:r w:rsidRPr="008865F4">
      <w:rPr>
        <w:rStyle w:val="PageNumber"/>
      </w:rPr>
      <w:t>2</w:t>
    </w:r>
    <w:r w:rsidRPr="008865F4">
      <w:rPr>
        <w:rStyle w:val="PageNumber"/>
      </w:rPr>
      <w:fldChar w:fldCharType="end"/>
    </w:r>
  </w:p>
  <w:p w14:paraId="41315AEB" w14:textId="77777777" w:rsidR="008865F4" w:rsidRPr="00C022F9" w:rsidRDefault="008865F4" w:rsidP="00860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A1A8" w14:textId="77777777" w:rsidR="003E7AC0" w:rsidRDefault="003E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F3CB" w14:textId="77777777" w:rsidR="007044A5" w:rsidRDefault="007044A5" w:rsidP="002D711A">
      <w:pPr>
        <w:spacing w:after="0" w:line="240" w:lineRule="auto"/>
      </w:pPr>
      <w:r>
        <w:separator/>
      </w:r>
    </w:p>
  </w:footnote>
  <w:footnote w:type="continuationSeparator" w:id="0">
    <w:p w14:paraId="08CA6D99" w14:textId="77777777" w:rsidR="007044A5" w:rsidRDefault="007044A5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7AB0" w14:textId="77777777" w:rsidR="003E7AC0" w:rsidRDefault="003E7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F400" w14:textId="77777777" w:rsidR="00C42121" w:rsidRPr="0041689E" w:rsidRDefault="00C4212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DB15AD" wp14:editId="6EDB36C2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AD0910F" wp14:editId="5E59CB88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31A2" w14:textId="77777777" w:rsidR="003E7AC0" w:rsidRDefault="003E7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41F"/>
    <w:multiLevelType w:val="hybridMultilevel"/>
    <w:tmpl w:val="DE7AA262"/>
    <w:lvl w:ilvl="0" w:tplc="28B0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A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6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2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2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A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A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D4AD9"/>
    <w:multiLevelType w:val="hybridMultilevel"/>
    <w:tmpl w:val="38E03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5FA"/>
    <w:multiLevelType w:val="hybridMultilevel"/>
    <w:tmpl w:val="D3F2A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856"/>
    <w:multiLevelType w:val="hybridMultilevel"/>
    <w:tmpl w:val="3A4E3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A69BF"/>
    <w:multiLevelType w:val="hybridMultilevel"/>
    <w:tmpl w:val="0CDA7D88"/>
    <w:lvl w:ilvl="0" w:tplc="3AB4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EC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2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C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E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C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E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D24961"/>
    <w:multiLevelType w:val="hybridMultilevel"/>
    <w:tmpl w:val="9914F84E"/>
    <w:lvl w:ilvl="0" w:tplc="7716E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E23B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68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472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60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0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5B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81D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293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41070F"/>
    <w:multiLevelType w:val="hybridMultilevel"/>
    <w:tmpl w:val="58C6145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EB62CF"/>
    <w:multiLevelType w:val="hybridMultilevel"/>
    <w:tmpl w:val="B38CAFCE"/>
    <w:lvl w:ilvl="0" w:tplc="E236C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E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8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8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2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0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1" w15:restartNumberingAfterBreak="0">
    <w:nsid w:val="494C1E4E"/>
    <w:multiLevelType w:val="hybridMultilevel"/>
    <w:tmpl w:val="A3F81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0E3A"/>
    <w:multiLevelType w:val="hybridMultilevel"/>
    <w:tmpl w:val="1234D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A68E4"/>
    <w:multiLevelType w:val="hybridMultilevel"/>
    <w:tmpl w:val="84AC3950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55AEE"/>
    <w:multiLevelType w:val="hybridMultilevel"/>
    <w:tmpl w:val="3F004EEC"/>
    <w:lvl w:ilvl="0" w:tplc="4634B8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10"/>
  </w:num>
  <w:num w:numId="14">
    <w:abstractNumId w:val="10"/>
  </w:num>
  <w:num w:numId="15">
    <w:abstractNumId w:val="7"/>
  </w:num>
  <w:num w:numId="16">
    <w:abstractNumId w:val="0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7"/>
    <w:rsid w:val="00012F6F"/>
    <w:rsid w:val="00014213"/>
    <w:rsid w:val="00014B55"/>
    <w:rsid w:val="000202F9"/>
    <w:rsid w:val="00020E3E"/>
    <w:rsid w:val="00021C85"/>
    <w:rsid w:val="0002305D"/>
    <w:rsid w:val="00023BF3"/>
    <w:rsid w:val="00026811"/>
    <w:rsid w:val="00027762"/>
    <w:rsid w:val="000321D3"/>
    <w:rsid w:val="00043296"/>
    <w:rsid w:val="0004356D"/>
    <w:rsid w:val="00045296"/>
    <w:rsid w:val="0005043F"/>
    <w:rsid w:val="000561C2"/>
    <w:rsid w:val="00065D76"/>
    <w:rsid w:val="000715D4"/>
    <w:rsid w:val="00075E6C"/>
    <w:rsid w:val="00077032"/>
    <w:rsid w:val="00077E16"/>
    <w:rsid w:val="0008417A"/>
    <w:rsid w:val="00084559"/>
    <w:rsid w:val="00095F26"/>
    <w:rsid w:val="000B04D6"/>
    <w:rsid w:val="000B29AD"/>
    <w:rsid w:val="000C3B43"/>
    <w:rsid w:val="000C6372"/>
    <w:rsid w:val="000D43BA"/>
    <w:rsid w:val="000D593F"/>
    <w:rsid w:val="000E022F"/>
    <w:rsid w:val="000E392D"/>
    <w:rsid w:val="000F4288"/>
    <w:rsid w:val="000F7165"/>
    <w:rsid w:val="00102379"/>
    <w:rsid w:val="00103899"/>
    <w:rsid w:val="001065D6"/>
    <w:rsid w:val="00110FD3"/>
    <w:rsid w:val="00115A5B"/>
    <w:rsid w:val="00121252"/>
    <w:rsid w:val="00124609"/>
    <w:rsid w:val="001254CE"/>
    <w:rsid w:val="00126AF9"/>
    <w:rsid w:val="00134CEA"/>
    <w:rsid w:val="001422CC"/>
    <w:rsid w:val="001541F9"/>
    <w:rsid w:val="00157200"/>
    <w:rsid w:val="001617B6"/>
    <w:rsid w:val="001642E2"/>
    <w:rsid w:val="001645F0"/>
    <w:rsid w:val="00165E66"/>
    <w:rsid w:val="00184AB8"/>
    <w:rsid w:val="001853D9"/>
    <w:rsid w:val="001856FE"/>
    <w:rsid w:val="00187D30"/>
    <w:rsid w:val="00192E22"/>
    <w:rsid w:val="001A3DD1"/>
    <w:rsid w:val="001B3F47"/>
    <w:rsid w:val="001B7B66"/>
    <w:rsid w:val="001C135E"/>
    <w:rsid w:val="001C3630"/>
    <w:rsid w:val="001C7BAE"/>
    <w:rsid w:val="001D1372"/>
    <w:rsid w:val="001D5F9C"/>
    <w:rsid w:val="001D717E"/>
    <w:rsid w:val="001E31FA"/>
    <w:rsid w:val="001E64F6"/>
    <w:rsid w:val="001F2C42"/>
    <w:rsid w:val="002059C6"/>
    <w:rsid w:val="00216EFC"/>
    <w:rsid w:val="00222BEB"/>
    <w:rsid w:val="00225E60"/>
    <w:rsid w:val="0023202C"/>
    <w:rsid w:val="00234246"/>
    <w:rsid w:val="00235E24"/>
    <w:rsid w:val="00236203"/>
    <w:rsid w:val="00245043"/>
    <w:rsid w:val="00257760"/>
    <w:rsid w:val="002617DB"/>
    <w:rsid w:val="00262BE9"/>
    <w:rsid w:val="0026358A"/>
    <w:rsid w:val="00265FCF"/>
    <w:rsid w:val="00266131"/>
    <w:rsid w:val="002676D7"/>
    <w:rsid w:val="0028754A"/>
    <w:rsid w:val="00291777"/>
    <w:rsid w:val="00292D36"/>
    <w:rsid w:val="0029383F"/>
    <w:rsid w:val="00297281"/>
    <w:rsid w:val="00297974"/>
    <w:rsid w:val="002A0359"/>
    <w:rsid w:val="002A29AC"/>
    <w:rsid w:val="002A67B8"/>
    <w:rsid w:val="002B4EE2"/>
    <w:rsid w:val="002B761B"/>
    <w:rsid w:val="002C54E0"/>
    <w:rsid w:val="002C5E78"/>
    <w:rsid w:val="002D48DD"/>
    <w:rsid w:val="002D711A"/>
    <w:rsid w:val="002D7336"/>
    <w:rsid w:val="002E3396"/>
    <w:rsid w:val="002E544C"/>
    <w:rsid w:val="002E7A63"/>
    <w:rsid w:val="002F5A10"/>
    <w:rsid w:val="002F6A2A"/>
    <w:rsid w:val="00302681"/>
    <w:rsid w:val="0031149C"/>
    <w:rsid w:val="0032115B"/>
    <w:rsid w:val="00321707"/>
    <w:rsid w:val="00323C9F"/>
    <w:rsid w:val="00327137"/>
    <w:rsid w:val="00330F39"/>
    <w:rsid w:val="00330F42"/>
    <w:rsid w:val="00356F07"/>
    <w:rsid w:val="00376A40"/>
    <w:rsid w:val="00381CA5"/>
    <w:rsid w:val="00383C2E"/>
    <w:rsid w:val="00384FC6"/>
    <w:rsid w:val="00385D92"/>
    <w:rsid w:val="0038771C"/>
    <w:rsid w:val="00387969"/>
    <w:rsid w:val="003905A3"/>
    <w:rsid w:val="00391C6A"/>
    <w:rsid w:val="00392A8F"/>
    <w:rsid w:val="0039405B"/>
    <w:rsid w:val="003A1C92"/>
    <w:rsid w:val="003A541A"/>
    <w:rsid w:val="003A6923"/>
    <w:rsid w:val="003B09FC"/>
    <w:rsid w:val="003B447E"/>
    <w:rsid w:val="003C2C67"/>
    <w:rsid w:val="003C2EA2"/>
    <w:rsid w:val="003C5BA4"/>
    <w:rsid w:val="003E22AD"/>
    <w:rsid w:val="003E26BD"/>
    <w:rsid w:val="003E3E26"/>
    <w:rsid w:val="003E6514"/>
    <w:rsid w:val="003E7AC0"/>
    <w:rsid w:val="003F1295"/>
    <w:rsid w:val="003F2F04"/>
    <w:rsid w:val="003F76FC"/>
    <w:rsid w:val="004002EB"/>
    <w:rsid w:val="00403EA4"/>
    <w:rsid w:val="00405541"/>
    <w:rsid w:val="00405958"/>
    <w:rsid w:val="00405C57"/>
    <w:rsid w:val="00406C78"/>
    <w:rsid w:val="0041689E"/>
    <w:rsid w:val="004236C8"/>
    <w:rsid w:val="00427681"/>
    <w:rsid w:val="00430A52"/>
    <w:rsid w:val="00433DB7"/>
    <w:rsid w:val="00447799"/>
    <w:rsid w:val="00453750"/>
    <w:rsid w:val="00456941"/>
    <w:rsid w:val="00457431"/>
    <w:rsid w:val="0045789A"/>
    <w:rsid w:val="00460CE6"/>
    <w:rsid w:val="004619F2"/>
    <w:rsid w:val="0046354B"/>
    <w:rsid w:val="004669E3"/>
    <w:rsid w:val="004702EA"/>
    <w:rsid w:val="00480A90"/>
    <w:rsid w:val="00482D02"/>
    <w:rsid w:val="00485099"/>
    <w:rsid w:val="00490023"/>
    <w:rsid w:val="00490FC0"/>
    <w:rsid w:val="004A43A5"/>
    <w:rsid w:val="004A6F83"/>
    <w:rsid w:val="004A7519"/>
    <w:rsid w:val="004A767E"/>
    <w:rsid w:val="004B41CA"/>
    <w:rsid w:val="004B5093"/>
    <w:rsid w:val="004B7B90"/>
    <w:rsid w:val="004C0AF0"/>
    <w:rsid w:val="004D33D5"/>
    <w:rsid w:val="004D3518"/>
    <w:rsid w:val="004D47F5"/>
    <w:rsid w:val="004D62D6"/>
    <w:rsid w:val="004E1333"/>
    <w:rsid w:val="004F0F80"/>
    <w:rsid w:val="00506C43"/>
    <w:rsid w:val="00507F7C"/>
    <w:rsid w:val="00510192"/>
    <w:rsid w:val="00516BE7"/>
    <w:rsid w:val="0053416C"/>
    <w:rsid w:val="00536853"/>
    <w:rsid w:val="0053715C"/>
    <w:rsid w:val="00541C2F"/>
    <w:rsid w:val="005556A7"/>
    <w:rsid w:val="00555F9C"/>
    <w:rsid w:val="00556E66"/>
    <w:rsid w:val="0056272C"/>
    <w:rsid w:val="00563527"/>
    <w:rsid w:val="00563660"/>
    <w:rsid w:val="0058124E"/>
    <w:rsid w:val="00584301"/>
    <w:rsid w:val="005875A3"/>
    <w:rsid w:val="005A3416"/>
    <w:rsid w:val="005B27FE"/>
    <w:rsid w:val="005B7377"/>
    <w:rsid w:val="005C3E6D"/>
    <w:rsid w:val="005C3F6B"/>
    <w:rsid w:val="005D350C"/>
    <w:rsid w:val="005F237D"/>
    <w:rsid w:val="005F365B"/>
    <w:rsid w:val="005F61DF"/>
    <w:rsid w:val="006023F9"/>
    <w:rsid w:val="00610559"/>
    <w:rsid w:val="00611A96"/>
    <w:rsid w:val="00622A57"/>
    <w:rsid w:val="006332F6"/>
    <w:rsid w:val="006361E7"/>
    <w:rsid w:val="00652625"/>
    <w:rsid w:val="006534B2"/>
    <w:rsid w:val="0065615D"/>
    <w:rsid w:val="00657011"/>
    <w:rsid w:val="006601EF"/>
    <w:rsid w:val="006650B5"/>
    <w:rsid w:val="006651B1"/>
    <w:rsid w:val="00665778"/>
    <w:rsid w:val="0066680A"/>
    <w:rsid w:val="006738C4"/>
    <w:rsid w:val="00674AC2"/>
    <w:rsid w:val="00677AD5"/>
    <w:rsid w:val="00687E4D"/>
    <w:rsid w:val="00692CDA"/>
    <w:rsid w:val="006A109D"/>
    <w:rsid w:val="006A1E57"/>
    <w:rsid w:val="006A4569"/>
    <w:rsid w:val="006A5279"/>
    <w:rsid w:val="006A5B34"/>
    <w:rsid w:val="006A5F5B"/>
    <w:rsid w:val="006B1933"/>
    <w:rsid w:val="006B246D"/>
    <w:rsid w:val="006C4989"/>
    <w:rsid w:val="006C77A9"/>
    <w:rsid w:val="006C7F78"/>
    <w:rsid w:val="006D0EC9"/>
    <w:rsid w:val="006D4036"/>
    <w:rsid w:val="006E10AB"/>
    <w:rsid w:val="006F4973"/>
    <w:rsid w:val="006F5C01"/>
    <w:rsid w:val="006F6693"/>
    <w:rsid w:val="006F66DF"/>
    <w:rsid w:val="007044A5"/>
    <w:rsid w:val="00707FE8"/>
    <w:rsid w:val="00711350"/>
    <w:rsid w:val="00712DA5"/>
    <w:rsid w:val="00717F95"/>
    <w:rsid w:val="00724962"/>
    <w:rsid w:val="00724A0F"/>
    <w:rsid w:val="0073072C"/>
    <w:rsid w:val="007320B4"/>
    <w:rsid w:val="00732162"/>
    <w:rsid w:val="00736732"/>
    <w:rsid w:val="00736810"/>
    <w:rsid w:val="00742AB0"/>
    <w:rsid w:val="00750CBE"/>
    <w:rsid w:val="00753CF9"/>
    <w:rsid w:val="00764AD0"/>
    <w:rsid w:val="00766B5A"/>
    <w:rsid w:val="007834F2"/>
    <w:rsid w:val="00786954"/>
    <w:rsid w:val="00791020"/>
    <w:rsid w:val="00794B6A"/>
    <w:rsid w:val="00796B9D"/>
    <w:rsid w:val="00797CA2"/>
    <w:rsid w:val="007A5F82"/>
    <w:rsid w:val="007B0308"/>
    <w:rsid w:val="007B0AD7"/>
    <w:rsid w:val="007B180B"/>
    <w:rsid w:val="007B287F"/>
    <w:rsid w:val="007B3091"/>
    <w:rsid w:val="007B40AD"/>
    <w:rsid w:val="007B75A4"/>
    <w:rsid w:val="007C2BEC"/>
    <w:rsid w:val="007D1F52"/>
    <w:rsid w:val="007D404D"/>
    <w:rsid w:val="007D6818"/>
    <w:rsid w:val="007E2EC7"/>
    <w:rsid w:val="007E3333"/>
    <w:rsid w:val="007E66CC"/>
    <w:rsid w:val="007F1A4C"/>
    <w:rsid w:val="008022C3"/>
    <w:rsid w:val="008041E6"/>
    <w:rsid w:val="008065D2"/>
    <w:rsid w:val="00806710"/>
    <w:rsid w:val="00807B45"/>
    <w:rsid w:val="00814891"/>
    <w:rsid w:val="0082194C"/>
    <w:rsid w:val="008220C4"/>
    <w:rsid w:val="008222FF"/>
    <w:rsid w:val="008226A4"/>
    <w:rsid w:val="00823B44"/>
    <w:rsid w:val="008241FF"/>
    <w:rsid w:val="00827497"/>
    <w:rsid w:val="00830F19"/>
    <w:rsid w:val="00833457"/>
    <w:rsid w:val="00840F25"/>
    <w:rsid w:val="008411E9"/>
    <w:rsid w:val="0084200F"/>
    <w:rsid w:val="00843B2C"/>
    <w:rsid w:val="008471C4"/>
    <w:rsid w:val="008514A0"/>
    <w:rsid w:val="00860B56"/>
    <w:rsid w:val="008647F7"/>
    <w:rsid w:val="0086742D"/>
    <w:rsid w:val="008865F4"/>
    <w:rsid w:val="008943C0"/>
    <w:rsid w:val="00896C78"/>
    <w:rsid w:val="008A4900"/>
    <w:rsid w:val="008B0F8B"/>
    <w:rsid w:val="008C3520"/>
    <w:rsid w:val="008D0281"/>
    <w:rsid w:val="008D4B14"/>
    <w:rsid w:val="008E341F"/>
    <w:rsid w:val="008E3C4E"/>
    <w:rsid w:val="008E5741"/>
    <w:rsid w:val="008F0110"/>
    <w:rsid w:val="008F6D45"/>
    <w:rsid w:val="009040E2"/>
    <w:rsid w:val="00910C6C"/>
    <w:rsid w:val="00913BC4"/>
    <w:rsid w:val="009249BD"/>
    <w:rsid w:val="00925E78"/>
    <w:rsid w:val="00931540"/>
    <w:rsid w:val="009614E0"/>
    <w:rsid w:val="0096327B"/>
    <w:rsid w:val="009703F6"/>
    <w:rsid w:val="0097376F"/>
    <w:rsid w:val="00975EAD"/>
    <w:rsid w:val="00981A58"/>
    <w:rsid w:val="00981C98"/>
    <w:rsid w:val="009834C0"/>
    <w:rsid w:val="009837AD"/>
    <w:rsid w:val="00984C95"/>
    <w:rsid w:val="00986AAC"/>
    <w:rsid w:val="009905E4"/>
    <w:rsid w:val="009954DA"/>
    <w:rsid w:val="009A1DA2"/>
    <w:rsid w:val="009A3704"/>
    <w:rsid w:val="009A4739"/>
    <w:rsid w:val="009A674F"/>
    <w:rsid w:val="009B199C"/>
    <w:rsid w:val="009B4166"/>
    <w:rsid w:val="009B54C8"/>
    <w:rsid w:val="009B5FB5"/>
    <w:rsid w:val="009B61F1"/>
    <w:rsid w:val="009B62E0"/>
    <w:rsid w:val="009C323C"/>
    <w:rsid w:val="009C338F"/>
    <w:rsid w:val="009C3D88"/>
    <w:rsid w:val="009E3858"/>
    <w:rsid w:val="009E52FF"/>
    <w:rsid w:val="009E5A46"/>
    <w:rsid w:val="009E70DD"/>
    <w:rsid w:val="009F0193"/>
    <w:rsid w:val="009F2A46"/>
    <w:rsid w:val="009F2ED9"/>
    <w:rsid w:val="009F3231"/>
    <w:rsid w:val="009F5C58"/>
    <w:rsid w:val="00A023A0"/>
    <w:rsid w:val="00A03F13"/>
    <w:rsid w:val="00A10D85"/>
    <w:rsid w:val="00A13505"/>
    <w:rsid w:val="00A1562B"/>
    <w:rsid w:val="00A170F4"/>
    <w:rsid w:val="00A2559E"/>
    <w:rsid w:val="00A25FD9"/>
    <w:rsid w:val="00A46BA8"/>
    <w:rsid w:val="00A47634"/>
    <w:rsid w:val="00A5193B"/>
    <w:rsid w:val="00A612FE"/>
    <w:rsid w:val="00A663C5"/>
    <w:rsid w:val="00A71F95"/>
    <w:rsid w:val="00A86AB7"/>
    <w:rsid w:val="00AA26B8"/>
    <w:rsid w:val="00AA6FB5"/>
    <w:rsid w:val="00AB3FE2"/>
    <w:rsid w:val="00AB6E9F"/>
    <w:rsid w:val="00AC04C5"/>
    <w:rsid w:val="00AC57B9"/>
    <w:rsid w:val="00AD1AF1"/>
    <w:rsid w:val="00AD3322"/>
    <w:rsid w:val="00AD7E4E"/>
    <w:rsid w:val="00AE0E14"/>
    <w:rsid w:val="00AE3755"/>
    <w:rsid w:val="00AF34DE"/>
    <w:rsid w:val="00AF4D58"/>
    <w:rsid w:val="00AF6666"/>
    <w:rsid w:val="00B00177"/>
    <w:rsid w:val="00B01A64"/>
    <w:rsid w:val="00B10154"/>
    <w:rsid w:val="00B11A8C"/>
    <w:rsid w:val="00B165F2"/>
    <w:rsid w:val="00B25343"/>
    <w:rsid w:val="00B4149E"/>
    <w:rsid w:val="00B428A0"/>
    <w:rsid w:val="00B603ED"/>
    <w:rsid w:val="00B621E3"/>
    <w:rsid w:val="00B7031F"/>
    <w:rsid w:val="00B706AF"/>
    <w:rsid w:val="00B70AE7"/>
    <w:rsid w:val="00B81B44"/>
    <w:rsid w:val="00B85086"/>
    <w:rsid w:val="00B870DB"/>
    <w:rsid w:val="00B9053B"/>
    <w:rsid w:val="00B9640A"/>
    <w:rsid w:val="00BA6BC9"/>
    <w:rsid w:val="00BB282F"/>
    <w:rsid w:val="00BB5A20"/>
    <w:rsid w:val="00BC0E4B"/>
    <w:rsid w:val="00BC3422"/>
    <w:rsid w:val="00BC79BF"/>
    <w:rsid w:val="00BD1209"/>
    <w:rsid w:val="00BD3B78"/>
    <w:rsid w:val="00BD73E2"/>
    <w:rsid w:val="00BE0A36"/>
    <w:rsid w:val="00BE2FC3"/>
    <w:rsid w:val="00BF0113"/>
    <w:rsid w:val="00BF7FF0"/>
    <w:rsid w:val="00C015B9"/>
    <w:rsid w:val="00C022F9"/>
    <w:rsid w:val="00C025BD"/>
    <w:rsid w:val="00C032EA"/>
    <w:rsid w:val="00C066EA"/>
    <w:rsid w:val="00C06EB5"/>
    <w:rsid w:val="00C1145F"/>
    <w:rsid w:val="00C12362"/>
    <w:rsid w:val="00C156DD"/>
    <w:rsid w:val="00C27E43"/>
    <w:rsid w:val="00C41A2E"/>
    <w:rsid w:val="00C42121"/>
    <w:rsid w:val="00C44683"/>
    <w:rsid w:val="00C50259"/>
    <w:rsid w:val="00C52FFA"/>
    <w:rsid w:val="00C569CE"/>
    <w:rsid w:val="00C637E1"/>
    <w:rsid w:val="00C6444B"/>
    <w:rsid w:val="00C70D50"/>
    <w:rsid w:val="00C70E99"/>
    <w:rsid w:val="00C76804"/>
    <w:rsid w:val="00C81BA0"/>
    <w:rsid w:val="00C8243E"/>
    <w:rsid w:val="00C907D7"/>
    <w:rsid w:val="00C918D2"/>
    <w:rsid w:val="00C92338"/>
    <w:rsid w:val="00CA3EB4"/>
    <w:rsid w:val="00CA5A31"/>
    <w:rsid w:val="00CA7C3A"/>
    <w:rsid w:val="00CB395F"/>
    <w:rsid w:val="00CC2DB2"/>
    <w:rsid w:val="00CC5005"/>
    <w:rsid w:val="00CD0307"/>
    <w:rsid w:val="00CD3D1B"/>
    <w:rsid w:val="00CD4636"/>
    <w:rsid w:val="00CE0248"/>
    <w:rsid w:val="00CE53A6"/>
    <w:rsid w:val="00CE62B3"/>
    <w:rsid w:val="00CE79B9"/>
    <w:rsid w:val="00CF3FDC"/>
    <w:rsid w:val="00CF7DCA"/>
    <w:rsid w:val="00D04CD9"/>
    <w:rsid w:val="00D05BD2"/>
    <w:rsid w:val="00D1318A"/>
    <w:rsid w:val="00D1439E"/>
    <w:rsid w:val="00D211E9"/>
    <w:rsid w:val="00D21BA7"/>
    <w:rsid w:val="00D2312F"/>
    <w:rsid w:val="00D269C1"/>
    <w:rsid w:val="00D26B79"/>
    <w:rsid w:val="00D403E1"/>
    <w:rsid w:val="00D40C61"/>
    <w:rsid w:val="00D41A0B"/>
    <w:rsid w:val="00D44953"/>
    <w:rsid w:val="00D458B3"/>
    <w:rsid w:val="00D542F3"/>
    <w:rsid w:val="00D543E5"/>
    <w:rsid w:val="00D5644B"/>
    <w:rsid w:val="00D56E25"/>
    <w:rsid w:val="00D663A3"/>
    <w:rsid w:val="00D669A4"/>
    <w:rsid w:val="00D71896"/>
    <w:rsid w:val="00D718D7"/>
    <w:rsid w:val="00D73212"/>
    <w:rsid w:val="00D77251"/>
    <w:rsid w:val="00D814B7"/>
    <w:rsid w:val="00D83CAB"/>
    <w:rsid w:val="00D90688"/>
    <w:rsid w:val="00DA3AAD"/>
    <w:rsid w:val="00DA4CC9"/>
    <w:rsid w:val="00DB312B"/>
    <w:rsid w:val="00DB45ED"/>
    <w:rsid w:val="00DB5C8B"/>
    <w:rsid w:val="00DC5654"/>
    <w:rsid w:val="00DC658F"/>
    <w:rsid w:val="00DC6D24"/>
    <w:rsid w:val="00DD7857"/>
    <w:rsid w:val="00DE4423"/>
    <w:rsid w:val="00DE60CC"/>
    <w:rsid w:val="00DF66A6"/>
    <w:rsid w:val="00E06715"/>
    <w:rsid w:val="00E25637"/>
    <w:rsid w:val="00E26B32"/>
    <w:rsid w:val="00E31444"/>
    <w:rsid w:val="00E407B6"/>
    <w:rsid w:val="00E41EF1"/>
    <w:rsid w:val="00E42942"/>
    <w:rsid w:val="00E43DE3"/>
    <w:rsid w:val="00E468A6"/>
    <w:rsid w:val="00E51BB2"/>
    <w:rsid w:val="00E614FB"/>
    <w:rsid w:val="00E674DC"/>
    <w:rsid w:val="00E71BDF"/>
    <w:rsid w:val="00E77046"/>
    <w:rsid w:val="00E80109"/>
    <w:rsid w:val="00E83CA7"/>
    <w:rsid w:val="00EB1B87"/>
    <w:rsid w:val="00EC171D"/>
    <w:rsid w:val="00EC38CD"/>
    <w:rsid w:val="00EC40DC"/>
    <w:rsid w:val="00ED487E"/>
    <w:rsid w:val="00EE13B9"/>
    <w:rsid w:val="00EE250E"/>
    <w:rsid w:val="00EE255F"/>
    <w:rsid w:val="00EE381B"/>
    <w:rsid w:val="00EE384D"/>
    <w:rsid w:val="00EE7A0D"/>
    <w:rsid w:val="00EF0D21"/>
    <w:rsid w:val="00F12A61"/>
    <w:rsid w:val="00F13079"/>
    <w:rsid w:val="00F13D37"/>
    <w:rsid w:val="00F15DAD"/>
    <w:rsid w:val="00F17CE1"/>
    <w:rsid w:val="00F2115C"/>
    <w:rsid w:val="00F22ABA"/>
    <w:rsid w:val="00F26DDB"/>
    <w:rsid w:val="00F32C9C"/>
    <w:rsid w:val="00F36B12"/>
    <w:rsid w:val="00F40144"/>
    <w:rsid w:val="00F417C3"/>
    <w:rsid w:val="00F505D8"/>
    <w:rsid w:val="00F54EA0"/>
    <w:rsid w:val="00F56FB8"/>
    <w:rsid w:val="00F60F9F"/>
    <w:rsid w:val="00F64F08"/>
    <w:rsid w:val="00F734F5"/>
    <w:rsid w:val="00F75A15"/>
    <w:rsid w:val="00F7644B"/>
    <w:rsid w:val="00F7731F"/>
    <w:rsid w:val="00F911D4"/>
    <w:rsid w:val="00F966B1"/>
    <w:rsid w:val="00F97D48"/>
    <w:rsid w:val="00FA0311"/>
    <w:rsid w:val="00FA6AF6"/>
    <w:rsid w:val="00FC1C4F"/>
    <w:rsid w:val="00FC42E5"/>
    <w:rsid w:val="00FD41FC"/>
    <w:rsid w:val="00FD640F"/>
    <w:rsid w:val="00FD6B4C"/>
    <w:rsid w:val="00FD6BE9"/>
    <w:rsid w:val="00FD7E18"/>
    <w:rsid w:val="00FE251C"/>
    <w:rsid w:val="00FE68DC"/>
    <w:rsid w:val="00FF03C9"/>
    <w:rsid w:val="00FF19B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F4D44"/>
  <w15:docId w15:val="{74FCB279-0DBD-4F12-9A82-398DB8D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9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5F4"/>
    <w:pPr>
      <w:keepLines/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8865F4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865F4"/>
    <w:pPr>
      <w:keepNext/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865F4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865F4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5F4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8865F4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8865F4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865F4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table" w:styleId="LightShading">
    <w:name w:val="Light Shading"/>
    <w:basedOn w:val="TableNormal"/>
    <w:uiPriority w:val="60"/>
    <w:rsid w:val="008865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865F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8865F4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8865F4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8865F4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8865F4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8865F4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8865F4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8865F4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8865F4"/>
    <w:rPr>
      <w:color w:val="53565A" w:themeColor="hyperlink"/>
      <w:u w:val="none"/>
    </w:rPr>
  </w:style>
  <w:style w:type="paragraph" w:customStyle="1" w:styleId="Bullet1">
    <w:name w:val="Bullet 1"/>
    <w:uiPriority w:val="1"/>
    <w:qFormat/>
    <w:rsid w:val="008865F4"/>
    <w:pPr>
      <w:keepLines/>
      <w:numPr>
        <w:numId w:val="1"/>
      </w:numPr>
      <w:spacing w:before="100" w:after="100" w:line="264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8865F4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8865F4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8865F4"/>
    <w:pPr>
      <w:numPr>
        <w:ilvl w:val="2"/>
        <w:numId w:val="3"/>
      </w:numPr>
    </w:pPr>
  </w:style>
  <w:style w:type="paragraph" w:styleId="NormalIndent">
    <w:name w:val="Normal Indent"/>
    <w:basedOn w:val="Normal"/>
    <w:uiPriority w:val="8"/>
    <w:qFormat/>
    <w:rsid w:val="008865F4"/>
    <w:pPr>
      <w:spacing w:line="252" w:lineRule="auto"/>
      <w:ind w:left="792"/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8865F4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8865F4"/>
    <w:pPr>
      <w:numPr>
        <w:ilvl w:val="4"/>
        <w:numId w:val="3"/>
      </w:numPr>
    </w:pPr>
  </w:style>
  <w:style w:type="paragraph" w:customStyle="1" w:styleId="Heading4numbered">
    <w:name w:val="Heading 4 numbered"/>
    <w:basedOn w:val="Heading4"/>
    <w:next w:val="NormalIndent"/>
    <w:uiPriority w:val="8"/>
    <w:qFormat/>
    <w:rsid w:val="008865F4"/>
    <w:pPr>
      <w:numPr>
        <w:ilvl w:val="5"/>
        <w:numId w:val="3"/>
      </w:numPr>
    </w:pPr>
  </w:style>
  <w:style w:type="paragraph" w:customStyle="1" w:styleId="NoteNormal">
    <w:name w:val="Note Normal"/>
    <w:basedOn w:val="Normal"/>
    <w:rsid w:val="008865F4"/>
    <w:pPr>
      <w:keepNext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qFormat/>
    <w:rsid w:val="008865F4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8865F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8865F4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8865F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8865F4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8865F4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88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F4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8865F4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8865F4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886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5F4"/>
    <w:rPr>
      <w:spacing w:val="2"/>
    </w:rPr>
  </w:style>
  <w:style w:type="paragraph" w:styleId="Footer">
    <w:name w:val="footer"/>
    <w:basedOn w:val="Normal"/>
    <w:link w:val="FooterChar"/>
    <w:uiPriority w:val="24"/>
    <w:rsid w:val="008865F4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8865F4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8865F4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8865F4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8865F4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8865F4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8865F4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8865F4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8865F4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8865F4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8865F4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8865F4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8865F4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8865F4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8865F4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8865F4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8865F4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8865F4"/>
    <w:pPr>
      <w:numPr>
        <w:numId w:val="3"/>
      </w:numPr>
    </w:pPr>
  </w:style>
  <w:style w:type="paragraph" w:customStyle="1" w:styleId="Listnum2">
    <w:name w:val="List num 2"/>
    <w:basedOn w:val="Normal"/>
    <w:uiPriority w:val="1"/>
    <w:qFormat/>
    <w:rsid w:val="008865F4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8865F4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8865F4"/>
    <w:pPr>
      <w:keepNext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8865F4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8865F4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8865F4"/>
    <w:pPr>
      <w:ind w:left="288"/>
    </w:pPr>
  </w:style>
  <w:style w:type="paragraph" w:customStyle="1" w:styleId="Numpara">
    <w:name w:val="Num para"/>
    <w:basedOn w:val="Normal"/>
    <w:uiPriority w:val="2"/>
    <w:qFormat/>
    <w:rsid w:val="00B4149E"/>
    <w:pPr>
      <w:numPr>
        <w:numId w:val="2"/>
      </w:numPr>
      <w:tabs>
        <w:tab w:val="left" w:pos="540"/>
      </w:tabs>
      <w:contextualSpacing/>
    </w:pPr>
  </w:style>
  <w:style w:type="paragraph" w:customStyle="1" w:styleId="Tablechartdiagramheading">
    <w:name w:val="Table/chart/diagram heading"/>
    <w:uiPriority w:val="4"/>
    <w:qFormat/>
    <w:rsid w:val="008865F4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8865F4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5F4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8865F4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8865F4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8865F4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8865F4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8865F4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8865F4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8865F4"/>
    <w:pPr>
      <w:ind w:left="792"/>
    </w:pPr>
  </w:style>
  <w:style w:type="paragraph" w:styleId="Caption">
    <w:name w:val="caption"/>
    <w:basedOn w:val="Normal"/>
    <w:next w:val="Normal"/>
    <w:uiPriority w:val="35"/>
    <w:rsid w:val="00C27E43"/>
    <w:pPr>
      <w:spacing w:before="200" w:after="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712DA5"/>
    <w:rPr>
      <w:color w:val="8A2A2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E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68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DC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DC"/>
    <w:rPr>
      <w:b/>
      <w:bCs/>
      <w:spacing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F54E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251C"/>
    <w:pPr>
      <w:spacing w:after="0" w:line="240" w:lineRule="auto"/>
    </w:pPr>
    <w:rPr>
      <w:spacing w:val="2"/>
    </w:rPr>
  </w:style>
  <w:style w:type="paragraph" w:styleId="NormalWeb">
    <w:name w:val="Normal (Web)"/>
    <w:basedOn w:val="Normal"/>
    <w:uiPriority w:val="99"/>
    <w:unhideWhenUsed/>
    <w:rsid w:val="00384FC6"/>
    <w:pPr>
      <w:spacing w:after="160" w:line="264" w:lineRule="auto"/>
    </w:pPr>
    <w:rPr>
      <w:rFonts w:ascii="Times New Roman" w:eastAsiaTheme="minorHAnsi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20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75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s://www.dtf.vic.gov.au/gateway-review-process/gateway-key-decision-points-guidance-and-templates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dtf.vic.gov.au/infrastructure-investment/investment-lifecycle-and-high-value-high-risk-guidelin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gateway-review-process/book-gateway-revie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.vsdx"/><Relationship Id="rId23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43C0DA-FA5C-4859-A988-C2B21D2757F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A97D0EA-187D-41C9-9389-B8201CB948D8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AU" sz="1800" b="1"/>
            <a:t>1</a:t>
          </a:r>
        </a:p>
      </dgm:t>
    </dgm:pt>
    <dgm:pt modelId="{6394B2C0-6DBF-4A15-A06F-F3860802B1D5}" type="parTrans" cxnId="{A7E84BA8-97C9-4143-8C0A-34A52B19288F}">
      <dgm:prSet/>
      <dgm:spPr/>
      <dgm:t>
        <a:bodyPr/>
        <a:lstStyle/>
        <a:p>
          <a:endParaRPr lang="en-AU"/>
        </a:p>
      </dgm:t>
    </dgm:pt>
    <dgm:pt modelId="{CCEE9437-1450-4021-995A-C99D068241EF}" type="sibTrans" cxnId="{A7E84BA8-97C9-4143-8C0A-34A52B19288F}">
      <dgm:prSet/>
      <dgm:spPr/>
      <dgm:t>
        <a:bodyPr/>
        <a:lstStyle/>
        <a:p>
          <a:endParaRPr lang="en-AU"/>
        </a:p>
      </dgm:t>
    </dgm:pt>
    <dgm:pt modelId="{33C15BBC-A250-4E9B-9624-9842BDCAE9FF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AU" sz="1800" b="1"/>
            <a:t>2</a:t>
          </a:r>
        </a:p>
      </dgm:t>
    </dgm:pt>
    <dgm:pt modelId="{F07CCF96-07E0-4BB8-9731-E73393171161}" type="parTrans" cxnId="{B6ED2088-36FD-4AC2-8B2A-951069CBF278}">
      <dgm:prSet/>
      <dgm:spPr/>
      <dgm:t>
        <a:bodyPr/>
        <a:lstStyle/>
        <a:p>
          <a:endParaRPr lang="en-AU"/>
        </a:p>
      </dgm:t>
    </dgm:pt>
    <dgm:pt modelId="{19758408-C8B9-4116-A656-C4BBAEF2ADFE}" type="sibTrans" cxnId="{B6ED2088-36FD-4AC2-8B2A-951069CBF278}">
      <dgm:prSet/>
      <dgm:spPr/>
      <dgm:t>
        <a:bodyPr/>
        <a:lstStyle/>
        <a:p>
          <a:endParaRPr lang="en-AU"/>
        </a:p>
      </dgm:t>
    </dgm:pt>
    <dgm:pt modelId="{CAC68E5D-3A59-4E4C-8117-49B4C524900D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AU" sz="1800" b="1"/>
            <a:t>3</a:t>
          </a:r>
        </a:p>
      </dgm:t>
    </dgm:pt>
    <dgm:pt modelId="{8F725108-931B-4633-848F-A2CFE6541FA6}" type="parTrans" cxnId="{791B479F-C5E0-417B-B526-E5FEFE616339}">
      <dgm:prSet/>
      <dgm:spPr/>
      <dgm:t>
        <a:bodyPr/>
        <a:lstStyle/>
        <a:p>
          <a:endParaRPr lang="en-AU"/>
        </a:p>
      </dgm:t>
    </dgm:pt>
    <dgm:pt modelId="{B1A74DA2-E824-4190-92F5-EB06A08BE407}" type="sibTrans" cxnId="{791B479F-C5E0-417B-B526-E5FEFE616339}">
      <dgm:prSet/>
      <dgm:spPr/>
      <dgm:t>
        <a:bodyPr/>
        <a:lstStyle/>
        <a:p>
          <a:endParaRPr lang="en-AU"/>
        </a:p>
      </dgm:t>
    </dgm:pt>
    <dgm:pt modelId="{3504EBC2-360F-42E0-9C25-B86BFF327480}" type="pres">
      <dgm:prSet presAssocID="{BC43C0DA-FA5C-4859-A988-C2B21D2757F4}" presName="Name0" presStyleCnt="0">
        <dgm:presLayoutVars>
          <dgm:dir/>
          <dgm:animLvl val="lvl"/>
          <dgm:resizeHandles val="exact"/>
        </dgm:presLayoutVars>
      </dgm:prSet>
      <dgm:spPr/>
    </dgm:pt>
    <dgm:pt modelId="{3AA9DAAB-594B-478B-A792-47AEEDA801A1}" type="pres">
      <dgm:prSet presAssocID="{BA97D0EA-187D-41C9-9389-B8201CB948D8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AD98B9D-82E6-445A-861A-225EB6F4F580}" type="pres">
      <dgm:prSet presAssocID="{CCEE9437-1450-4021-995A-C99D068241EF}" presName="parTxOnlySpace" presStyleCnt="0"/>
      <dgm:spPr/>
    </dgm:pt>
    <dgm:pt modelId="{4E10C990-6A6E-4A01-84F7-7E857C8CAA37}" type="pres">
      <dgm:prSet presAssocID="{33C15BBC-A250-4E9B-9624-9842BDCAE9FF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79D6F6D6-95E1-4233-B08E-4AFC252FCAC8}" type="pres">
      <dgm:prSet presAssocID="{19758408-C8B9-4116-A656-C4BBAEF2ADFE}" presName="parTxOnlySpace" presStyleCnt="0"/>
      <dgm:spPr/>
    </dgm:pt>
    <dgm:pt modelId="{743591B4-2D8B-4F0A-B562-18597AEFFD3B}" type="pres">
      <dgm:prSet presAssocID="{CAC68E5D-3A59-4E4C-8117-49B4C524900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8263E34-D40B-4799-8793-00C42339F1F6}" type="presOf" srcId="{BC43C0DA-FA5C-4859-A988-C2B21D2757F4}" destId="{3504EBC2-360F-42E0-9C25-B86BFF327480}" srcOrd="0" destOrd="0" presId="urn:microsoft.com/office/officeart/2005/8/layout/chevron1"/>
    <dgm:cxn modelId="{28945C6E-6DFA-441E-A0CF-AC5F20EB2B5B}" type="presOf" srcId="{33C15BBC-A250-4E9B-9624-9842BDCAE9FF}" destId="{4E10C990-6A6E-4A01-84F7-7E857C8CAA37}" srcOrd="0" destOrd="0" presId="urn:microsoft.com/office/officeart/2005/8/layout/chevron1"/>
    <dgm:cxn modelId="{B6ED2088-36FD-4AC2-8B2A-951069CBF278}" srcId="{BC43C0DA-FA5C-4859-A988-C2B21D2757F4}" destId="{33C15BBC-A250-4E9B-9624-9842BDCAE9FF}" srcOrd="1" destOrd="0" parTransId="{F07CCF96-07E0-4BB8-9731-E73393171161}" sibTransId="{19758408-C8B9-4116-A656-C4BBAEF2ADFE}"/>
    <dgm:cxn modelId="{68DF7E99-0E31-4F23-AB27-9E7DDBB5F0C1}" type="presOf" srcId="{BA97D0EA-187D-41C9-9389-B8201CB948D8}" destId="{3AA9DAAB-594B-478B-A792-47AEEDA801A1}" srcOrd="0" destOrd="0" presId="urn:microsoft.com/office/officeart/2005/8/layout/chevron1"/>
    <dgm:cxn modelId="{A7E84BA8-97C9-4143-8C0A-34A52B19288F}" srcId="{BC43C0DA-FA5C-4859-A988-C2B21D2757F4}" destId="{BA97D0EA-187D-41C9-9389-B8201CB948D8}" srcOrd="0" destOrd="0" parTransId="{6394B2C0-6DBF-4A15-A06F-F3860802B1D5}" sibTransId="{CCEE9437-1450-4021-995A-C99D068241EF}"/>
    <dgm:cxn modelId="{9CB95FFF-E5DD-4BA3-9841-8ABBF314FA11}" type="presOf" srcId="{CAC68E5D-3A59-4E4C-8117-49B4C524900D}" destId="{743591B4-2D8B-4F0A-B562-18597AEFFD3B}" srcOrd="0" destOrd="0" presId="urn:microsoft.com/office/officeart/2005/8/layout/chevron1"/>
    <dgm:cxn modelId="{791B479F-C5E0-417B-B526-E5FEFE616339}" srcId="{BC43C0DA-FA5C-4859-A988-C2B21D2757F4}" destId="{CAC68E5D-3A59-4E4C-8117-49B4C524900D}" srcOrd="2" destOrd="0" parTransId="{8F725108-931B-4633-848F-A2CFE6541FA6}" sibTransId="{B1A74DA2-E824-4190-92F5-EB06A08BE407}"/>
    <dgm:cxn modelId="{04B53E14-DB44-478C-BB97-1ABAD3601D48}" type="presParOf" srcId="{3504EBC2-360F-42E0-9C25-B86BFF327480}" destId="{3AA9DAAB-594B-478B-A792-47AEEDA801A1}" srcOrd="0" destOrd="0" presId="urn:microsoft.com/office/officeart/2005/8/layout/chevron1"/>
    <dgm:cxn modelId="{C58B2B9A-00D8-43D2-A526-CB612B8004CB}" type="presParOf" srcId="{3504EBC2-360F-42E0-9C25-B86BFF327480}" destId="{0AD98B9D-82E6-445A-861A-225EB6F4F580}" srcOrd="1" destOrd="0" presId="urn:microsoft.com/office/officeart/2005/8/layout/chevron1"/>
    <dgm:cxn modelId="{8ABDCD0D-64C0-46C7-A698-E7AE2E51C918}" type="presParOf" srcId="{3504EBC2-360F-42E0-9C25-B86BFF327480}" destId="{4E10C990-6A6E-4A01-84F7-7E857C8CAA37}" srcOrd="2" destOrd="0" presId="urn:microsoft.com/office/officeart/2005/8/layout/chevron1"/>
    <dgm:cxn modelId="{99D0DFD7-7DD2-4000-8FD1-6A0E9672B92D}" type="presParOf" srcId="{3504EBC2-360F-42E0-9C25-B86BFF327480}" destId="{79D6F6D6-95E1-4233-B08E-4AFC252FCAC8}" srcOrd="3" destOrd="0" presId="urn:microsoft.com/office/officeart/2005/8/layout/chevron1"/>
    <dgm:cxn modelId="{B1AE6CEB-59FE-481F-8CEC-883F962C016A}" type="presParOf" srcId="{3504EBC2-360F-42E0-9C25-B86BFF327480}" destId="{743591B4-2D8B-4F0A-B562-18597AEFFD3B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A9DAAB-594B-478B-A792-47AEEDA801A1}">
      <dsp:nvSpPr>
        <dsp:cNvPr id="0" name=""/>
        <dsp:cNvSpPr/>
      </dsp:nvSpPr>
      <dsp:spPr>
        <a:xfrm>
          <a:off x="1356" y="0"/>
          <a:ext cx="1653277" cy="387350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1</a:t>
          </a:r>
        </a:p>
      </dsp:txBody>
      <dsp:txXfrm>
        <a:off x="195031" y="0"/>
        <a:ext cx="1265927" cy="387350"/>
      </dsp:txXfrm>
    </dsp:sp>
    <dsp:sp modelId="{4E10C990-6A6E-4A01-84F7-7E857C8CAA37}">
      <dsp:nvSpPr>
        <dsp:cNvPr id="0" name=""/>
        <dsp:cNvSpPr/>
      </dsp:nvSpPr>
      <dsp:spPr>
        <a:xfrm>
          <a:off x="1489306" y="0"/>
          <a:ext cx="1653277" cy="387350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2</a:t>
          </a:r>
        </a:p>
      </dsp:txBody>
      <dsp:txXfrm>
        <a:off x="1682981" y="0"/>
        <a:ext cx="1265927" cy="387350"/>
      </dsp:txXfrm>
    </dsp:sp>
    <dsp:sp modelId="{743591B4-2D8B-4F0A-B562-18597AEFFD3B}">
      <dsp:nvSpPr>
        <dsp:cNvPr id="0" name=""/>
        <dsp:cNvSpPr/>
      </dsp:nvSpPr>
      <dsp:spPr>
        <a:xfrm>
          <a:off x="2977256" y="0"/>
          <a:ext cx="1653277" cy="387350"/>
        </a:xfrm>
        <a:prstGeom prst="chevron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3</a:t>
          </a:r>
        </a:p>
      </dsp:txBody>
      <dsp:txXfrm>
        <a:off x="3170931" y="0"/>
        <a:ext cx="1265927" cy="387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1E2E-B60B-453B-802B-B3FE2D972E3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B21B82-1C70-426D-BCDB-B9FA0A31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6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Marsal</dc:creator>
  <cp:keywords/>
  <dc:description/>
  <cp:lastModifiedBy>Paul Bowerman (DTF)</cp:lastModifiedBy>
  <cp:revision>7</cp:revision>
  <cp:lastPrinted>2019-10-31T05:20:00Z</cp:lastPrinted>
  <dcterms:created xsi:type="dcterms:W3CDTF">2019-11-28T21:54:00Z</dcterms:created>
  <dcterms:modified xsi:type="dcterms:W3CDTF">2019-12-04T00:10:00Z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bb4ee517-5ca4-4fff-98d2-ed4f906edd6d_Enabled">
    <vt:lpwstr>True</vt:lpwstr>
  </property>
  <property fmtid="{D5CDD505-2E9C-101B-9397-08002B2CF9AE}" pid="5" name="MSIP_Label_bb4ee517-5ca4-4fff-98d2-ed4f906edd6d_SiteId">
    <vt:lpwstr>722ea0be-3e1c-4b11-ad6f-9401d6856e24</vt:lpwstr>
  </property>
  <property fmtid="{D5CDD505-2E9C-101B-9397-08002B2CF9AE}" pid="6" name="MSIP_Label_bb4ee517-5ca4-4fff-98d2-ed4f906edd6d_Owner">
    <vt:lpwstr>paul.bowerman@dtf.vic.gov.au</vt:lpwstr>
  </property>
  <property fmtid="{D5CDD505-2E9C-101B-9397-08002B2CF9AE}" pid="7" name="MSIP_Label_bb4ee517-5ca4-4fff-98d2-ed4f906edd6d_SetDate">
    <vt:lpwstr>2019-12-04T00:09:42.4864729Z</vt:lpwstr>
  </property>
  <property fmtid="{D5CDD505-2E9C-101B-9397-08002B2CF9AE}" pid="8" name="MSIP_Label_bb4ee517-5ca4-4fff-98d2-ed4f906edd6d_Name">
    <vt:lpwstr>DoNotMark</vt:lpwstr>
  </property>
  <property fmtid="{D5CDD505-2E9C-101B-9397-08002B2CF9AE}" pid="9" name="MSIP_Label_bb4ee517-5ca4-4fff-98d2-ed4f906edd6d_Application">
    <vt:lpwstr>Microsoft Azure Information Protection</vt:lpwstr>
  </property>
  <property fmtid="{D5CDD505-2E9C-101B-9397-08002B2CF9AE}" pid="10" name="MSIP_Label_bb4ee517-5ca4-4fff-98d2-ed4f906edd6d_Extended_MSFT_Method">
    <vt:lpwstr>Manual</vt:lpwstr>
  </property>
  <property fmtid="{D5CDD505-2E9C-101B-9397-08002B2CF9AE}" pid="11" name="Sensitivity">
    <vt:lpwstr>DoNotMark</vt:lpwstr>
  </property>
</Properties>
</file>