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C32" w:rsidRPr="006A75A2" w:rsidRDefault="004E6C32" w:rsidP="00160ABB">
      <w:pPr>
        <w:spacing w:before="2400" w:after="0"/>
        <w:jc w:val="center"/>
        <w:rPr>
          <w:rFonts w:ascii="Calibri" w:hAnsi="Calibri"/>
          <w:b/>
          <w:sz w:val="56"/>
          <w:szCs w:val="48"/>
        </w:rPr>
      </w:pPr>
      <w:bookmarkStart w:id="0" w:name="_GoBack"/>
      <w:bookmarkEnd w:id="0"/>
      <w:r w:rsidRPr="006A75A2">
        <w:rPr>
          <w:rFonts w:ascii="Calibri" w:hAnsi="Calibri"/>
          <w:b/>
          <w:sz w:val="56"/>
          <w:szCs w:val="48"/>
        </w:rPr>
        <w:t>Financial Report</w:t>
      </w:r>
    </w:p>
    <w:p w:rsidR="004E6C32" w:rsidRPr="006A75A2" w:rsidRDefault="004E6C32" w:rsidP="00160ABB">
      <w:pPr>
        <w:pBdr>
          <w:bottom w:val="single" w:sz="12" w:space="1" w:color="auto"/>
        </w:pBdr>
        <w:jc w:val="center"/>
        <w:rPr>
          <w:rFonts w:ascii="Calibri" w:hAnsi="Calibri"/>
          <w:b/>
          <w:sz w:val="40"/>
          <w:szCs w:val="40"/>
        </w:rPr>
      </w:pPr>
      <w:r w:rsidRPr="006A75A2">
        <w:rPr>
          <w:rFonts w:ascii="Calibri" w:hAnsi="Calibri"/>
          <w:b/>
          <w:sz w:val="40"/>
          <w:szCs w:val="40"/>
        </w:rPr>
        <w:t>(incorporating Quarterly Financial Report No. 4)</w:t>
      </w:r>
    </w:p>
    <w:p w:rsidR="004E6C32" w:rsidRPr="006A75A2" w:rsidRDefault="004E6C32" w:rsidP="00160ABB">
      <w:pPr>
        <w:jc w:val="center"/>
        <w:rPr>
          <w:rFonts w:ascii="Calibri" w:hAnsi="Calibri"/>
          <w:b/>
          <w:sz w:val="56"/>
          <w:szCs w:val="48"/>
        </w:rPr>
      </w:pPr>
      <w:r w:rsidRPr="006A75A2">
        <w:rPr>
          <w:rFonts w:ascii="Calibri" w:hAnsi="Calibri"/>
          <w:b/>
          <w:sz w:val="56"/>
          <w:szCs w:val="48"/>
        </w:rPr>
        <w:t>2013</w:t>
      </w:r>
      <w:r w:rsidRPr="006A75A2">
        <w:rPr>
          <w:rFonts w:ascii="Calibri" w:hAnsi="Calibri"/>
          <w:b/>
          <w:sz w:val="56"/>
          <w:szCs w:val="48"/>
        </w:rPr>
        <w:noBreakHyphen/>
        <w:t>14</w:t>
      </w:r>
    </w:p>
    <w:p w:rsidR="004E6C32" w:rsidRPr="006A75A2" w:rsidRDefault="004E6C32" w:rsidP="00160ABB">
      <w:pPr>
        <w:jc w:val="center"/>
        <w:rPr>
          <w:rFonts w:ascii="Calibri" w:hAnsi="Calibri"/>
          <w:b/>
          <w:szCs w:val="24"/>
        </w:rPr>
      </w:pPr>
    </w:p>
    <w:p w:rsidR="004E6C32" w:rsidRPr="006A75A2" w:rsidRDefault="004E6C32" w:rsidP="00160ABB">
      <w:pPr>
        <w:jc w:val="center"/>
        <w:rPr>
          <w:rFonts w:ascii="Calibri" w:hAnsi="Calibri"/>
          <w:szCs w:val="24"/>
        </w:rPr>
      </w:pPr>
      <w:r w:rsidRPr="006A75A2">
        <w:rPr>
          <w:noProof/>
          <w:lang w:eastAsia="en-AU"/>
        </w:rPr>
        <w:drawing>
          <wp:inline distT="0" distB="0" distL="0" distR="0" wp14:anchorId="5AA420BE" wp14:editId="658900B9">
            <wp:extent cx="942975" cy="1143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p>
    <w:p w:rsidR="004E6C32" w:rsidRPr="006A75A2" w:rsidRDefault="004E6C32" w:rsidP="00160ABB">
      <w:pPr>
        <w:jc w:val="center"/>
        <w:rPr>
          <w:rFonts w:ascii="Calibri" w:hAnsi="Calibri"/>
        </w:rPr>
      </w:pPr>
    </w:p>
    <w:p w:rsidR="004E6C32" w:rsidRPr="006A75A2" w:rsidRDefault="004E6C32" w:rsidP="00160ABB">
      <w:pPr>
        <w:jc w:val="center"/>
        <w:rPr>
          <w:rFonts w:ascii="Calibri" w:hAnsi="Calibri"/>
        </w:rPr>
      </w:pPr>
    </w:p>
    <w:p w:rsidR="004E6C32" w:rsidRPr="006A75A2" w:rsidRDefault="004E6C32" w:rsidP="00160ABB">
      <w:pPr>
        <w:jc w:val="center"/>
        <w:rPr>
          <w:rFonts w:ascii="Calibri" w:hAnsi="Calibri"/>
        </w:rPr>
      </w:pPr>
    </w:p>
    <w:p w:rsidR="004E6C32" w:rsidRPr="006A75A2" w:rsidRDefault="004E6C32" w:rsidP="00160ABB">
      <w:pPr>
        <w:jc w:val="center"/>
        <w:rPr>
          <w:rFonts w:ascii="Calibri" w:hAnsi="Calibri"/>
          <w:sz w:val="28"/>
          <w:szCs w:val="28"/>
        </w:rPr>
      </w:pPr>
      <w:r w:rsidRPr="006A75A2">
        <w:rPr>
          <w:rFonts w:ascii="Calibri" w:hAnsi="Calibri"/>
          <w:sz w:val="28"/>
          <w:szCs w:val="28"/>
        </w:rPr>
        <w:t>Presented by</w:t>
      </w:r>
    </w:p>
    <w:p w:rsidR="004E6C32" w:rsidRPr="006A75A2" w:rsidRDefault="004E6C32" w:rsidP="00160ABB">
      <w:pPr>
        <w:jc w:val="center"/>
        <w:rPr>
          <w:rFonts w:ascii="Calibri" w:hAnsi="Calibri"/>
          <w:b/>
          <w:sz w:val="48"/>
          <w:szCs w:val="40"/>
        </w:rPr>
      </w:pPr>
      <w:r w:rsidRPr="006A75A2">
        <w:rPr>
          <w:rFonts w:ascii="Calibri" w:hAnsi="Calibri"/>
          <w:b/>
          <w:sz w:val="48"/>
          <w:szCs w:val="40"/>
        </w:rPr>
        <w:t>The Hon. Michael O</w:t>
      </w:r>
      <w:r w:rsidR="00C96101" w:rsidRPr="006A75A2">
        <w:rPr>
          <w:rFonts w:ascii="Calibri" w:hAnsi="Calibri"/>
          <w:b/>
          <w:sz w:val="48"/>
          <w:szCs w:val="40"/>
        </w:rPr>
        <w:t>’</w:t>
      </w:r>
      <w:r w:rsidRPr="006A75A2">
        <w:rPr>
          <w:rFonts w:ascii="Calibri" w:hAnsi="Calibri"/>
          <w:b/>
          <w:sz w:val="48"/>
          <w:szCs w:val="40"/>
        </w:rPr>
        <w:t>Brien MP</w:t>
      </w:r>
    </w:p>
    <w:p w:rsidR="004E6C32" w:rsidRPr="006A75A2" w:rsidRDefault="004E6C32" w:rsidP="00160ABB">
      <w:pPr>
        <w:jc w:val="center"/>
        <w:rPr>
          <w:rFonts w:ascii="Calibri" w:hAnsi="Calibri"/>
          <w:sz w:val="36"/>
          <w:szCs w:val="32"/>
        </w:rPr>
      </w:pPr>
      <w:r w:rsidRPr="006A75A2">
        <w:rPr>
          <w:rFonts w:ascii="Calibri" w:hAnsi="Calibri"/>
          <w:sz w:val="36"/>
          <w:szCs w:val="32"/>
        </w:rPr>
        <w:t>Treasurer of the State of Victoria</w:t>
      </w:r>
    </w:p>
    <w:p w:rsidR="004E6C32" w:rsidRPr="006A75A2" w:rsidRDefault="004E6C32" w:rsidP="00160ABB">
      <w:pPr>
        <w:jc w:val="center"/>
        <w:rPr>
          <w:rFonts w:ascii="Calibri" w:hAnsi="Calibri"/>
          <w:sz w:val="32"/>
          <w:szCs w:val="32"/>
        </w:rPr>
      </w:pPr>
      <w:r w:rsidRPr="006A75A2">
        <w:rPr>
          <w:rFonts w:ascii="Calibri" w:hAnsi="Calibri"/>
          <w:sz w:val="32"/>
          <w:szCs w:val="32"/>
        </w:rPr>
        <w:t>for the information of Honourable Members</w:t>
      </w:r>
    </w:p>
    <w:p w:rsidR="004E6C32" w:rsidRPr="006A75A2" w:rsidRDefault="004E6C32" w:rsidP="00160ABB">
      <w:pPr>
        <w:spacing w:after="0"/>
        <w:jc w:val="center"/>
        <w:rPr>
          <w:rFonts w:ascii="Calibri" w:hAnsi="Calibri"/>
        </w:rPr>
      </w:pPr>
      <w:r w:rsidRPr="006A75A2">
        <w:rPr>
          <w:rFonts w:ascii="Calibri" w:hAnsi="Calibri"/>
        </w:rPr>
        <w:t>_______________________</w:t>
      </w:r>
    </w:p>
    <w:p w:rsidR="004E6C32" w:rsidRPr="006A75A2" w:rsidRDefault="004E6C32" w:rsidP="00160ABB">
      <w:pPr>
        <w:spacing w:after="0"/>
        <w:jc w:val="center"/>
        <w:rPr>
          <w:rFonts w:ascii="Calibri" w:hAnsi="Calibri"/>
        </w:rPr>
      </w:pPr>
    </w:p>
    <w:p w:rsidR="004E6C32" w:rsidRPr="006A75A2" w:rsidRDefault="004E6C32" w:rsidP="00160ABB">
      <w:pPr>
        <w:spacing w:after="0"/>
        <w:jc w:val="center"/>
        <w:rPr>
          <w:rFonts w:ascii="Calibri" w:hAnsi="Calibri"/>
        </w:rPr>
      </w:pPr>
      <w:r w:rsidRPr="006A75A2">
        <w:rPr>
          <w:rFonts w:ascii="Calibri" w:hAnsi="Calibri"/>
        </w:rPr>
        <w:t>Ordered to be printed</w:t>
      </w:r>
    </w:p>
    <w:p w:rsidR="004E6C32" w:rsidRPr="006A75A2" w:rsidRDefault="004E6C32" w:rsidP="00160ABB">
      <w:pPr>
        <w:spacing w:after="0"/>
        <w:jc w:val="center"/>
        <w:rPr>
          <w:rFonts w:ascii="Calibri" w:hAnsi="Calibri"/>
        </w:rPr>
      </w:pPr>
      <w:r w:rsidRPr="006A75A2">
        <w:rPr>
          <w:rFonts w:ascii="Calibri" w:hAnsi="Calibri"/>
        </w:rPr>
        <w:t>_______________________</w:t>
      </w:r>
    </w:p>
    <w:p w:rsidR="004E6C32" w:rsidRPr="006A75A2" w:rsidRDefault="004E6C32" w:rsidP="00160ABB">
      <w:pPr>
        <w:jc w:val="center"/>
        <w:rPr>
          <w:rFonts w:ascii="Calibri" w:hAnsi="Calibri"/>
        </w:rPr>
      </w:pPr>
    </w:p>
    <w:p w:rsidR="004E6C32" w:rsidRPr="006A75A2" w:rsidRDefault="004E6C32" w:rsidP="00160ABB">
      <w:pPr>
        <w:jc w:val="center"/>
        <w:rPr>
          <w:rFonts w:ascii="Calibri" w:hAnsi="Calibri"/>
        </w:rPr>
      </w:pPr>
      <w:r w:rsidRPr="006A75A2">
        <w:rPr>
          <w:rFonts w:ascii="Calibri" w:hAnsi="Calibri"/>
        </w:rPr>
        <w:t>October 2014</w:t>
      </w:r>
    </w:p>
    <w:p w:rsidR="004E6C32" w:rsidRPr="006A75A2" w:rsidRDefault="004E6C32" w:rsidP="00160ABB">
      <w:pPr>
        <w:jc w:val="center"/>
      </w:pPr>
    </w:p>
    <w:p w:rsidR="004E6C32" w:rsidRPr="006A75A2" w:rsidRDefault="004E6C32" w:rsidP="00160ABB">
      <w:pPr>
        <w:rPr>
          <w:highlight w:val="yellow"/>
        </w:rPr>
      </w:pPr>
    </w:p>
    <w:p w:rsidR="004E6C32" w:rsidRPr="006A75A2" w:rsidRDefault="004E6C32" w:rsidP="00160ABB">
      <w:pPr>
        <w:rPr>
          <w:highlight w:val="yellow"/>
        </w:rPr>
      </w:pPr>
    </w:p>
    <w:p w:rsidR="004E6C32" w:rsidRPr="006A75A2" w:rsidRDefault="00E51259" w:rsidP="00160ABB">
      <w:pPr>
        <w:spacing w:before="400"/>
        <w:rPr>
          <w:rFonts w:ascii="Calibri" w:hAnsi="Calibri"/>
        </w:rPr>
      </w:pPr>
      <w:r w:rsidRPr="006A75A2">
        <w:rPr>
          <w:rFonts w:ascii="Calibri" w:hAnsi="Calibri"/>
        </w:rPr>
        <w:t xml:space="preserve">No </w:t>
      </w:r>
      <w:r w:rsidR="00D53A94" w:rsidRPr="006A75A2">
        <w:rPr>
          <w:rFonts w:ascii="Calibri" w:hAnsi="Calibri"/>
        </w:rPr>
        <w:t>382</w:t>
      </w:r>
      <w:r w:rsidR="004E6C32" w:rsidRPr="006A75A2">
        <w:rPr>
          <w:rFonts w:ascii="Calibri" w:hAnsi="Calibri"/>
        </w:rPr>
        <w:t>, Session 201</w:t>
      </w:r>
      <w:r w:rsidR="007B63E3" w:rsidRPr="006A75A2">
        <w:rPr>
          <w:rFonts w:ascii="Calibri" w:hAnsi="Calibri"/>
        </w:rPr>
        <w:t>0</w:t>
      </w:r>
      <w:r w:rsidR="004E6C32" w:rsidRPr="006A75A2">
        <w:rPr>
          <w:rFonts w:ascii="Calibri" w:hAnsi="Calibri"/>
        </w:rPr>
        <w:noBreakHyphen/>
        <w:t>14</w:t>
      </w:r>
    </w:p>
    <w:p w:rsidR="004E6C32" w:rsidRPr="006A75A2" w:rsidRDefault="004E6C32" w:rsidP="00160ABB">
      <w:pPr>
        <w:spacing w:before="400"/>
        <w:rPr>
          <w:rFonts w:ascii="Calibri" w:hAnsi="Calibri"/>
        </w:rPr>
      </w:pPr>
    </w:p>
    <w:p w:rsidR="004E6C32" w:rsidRPr="006A75A2" w:rsidRDefault="004E6C32" w:rsidP="00160ABB">
      <w:pPr>
        <w:sectPr w:rsidR="004E6C32" w:rsidRPr="006A75A2" w:rsidSect="004B5CB1">
          <w:type w:val="oddPage"/>
          <w:pgSz w:w="11906" w:h="16838" w:code="9"/>
          <w:pgMar w:top="1152" w:right="1152" w:bottom="1152" w:left="1152" w:header="720" w:footer="576" w:gutter="0"/>
          <w:cols w:space="708"/>
          <w:docGrid w:linePitch="360"/>
        </w:sectPr>
      </w:pPr>
    </w:p>
    <w:p w:rsidR="004E6C32" w:rsidRPr="006A75A2" w:rsidRDefault="004E6C32" w:rsidP="00160ABB">
      <w:pPr>
        <w:pStyle w:val="TableofContentsheading"/>
      </w:pPr>
      <w:r w:rsidRPr="006A75A2">
        <w:lastRenderedPageBreak/>
        <w:t>Table of contents</w:t>
      </w:r>
    </w:p>
    <w:p w:rsidR="002D4EAB" w:rsidRPr="006A75A2" w:rsidRDefault="004E6C32">
      <w:pPr>
        <w:pStyle w:val="TOC1"/>
        <w:rPr>
          <w:rFonts w:asciiTheme="minorHAnsi" w:eastAsiaTheme="minorEastAsia" w:hAnsiTheme="minorHAnsi" w:cstheme="minorBidi"/>
          <w:b w:val="0"/>
          <w:noProof/>
          <w:sz w:val="22"/>
          <w:szCs w:val="22"/>
          <w:lang w:eastAsia="en-AU"/>
        </w:rPr>
      </w:pPr>
      <w:r w:rsidRPr="006A75A2">
        <w:fldChar w:fldCharType="begin"/>
      </w:r>
      <w:r w:rsidRPr="006A75A2">
        <w:instrText xml:space="preserve"> TOC \h \z \t "Heading 1,2,Chapter Heading,1" </w:instrText>
      </w:r>
      <w:r w:rsidRPr="006A75A2">
        <w:fldChar w:fldCharType="separate"/>
      </w:r>
      <w:hyperlink w:anchor="_Toc400040226" w:history="1">
        <w:r w:rsidR="002D4EAB" w:rsidRPr="006A75A2">
          <w:rPr>
            <w:rStyle w:val="Hyperlink"/>
            <w:noProof/>
          </w:rPr>
          <w:t>Chapter 1 – Foreword</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_Toc400040226 \h </w:instrText>
        </w:r>
        <w:r w:rsidR="002D4EAB" w:rsidRPr="006A75A2">
          <w:rPr>
            <w:noProof/>
            <w:webHidden/>
          </w:rPr>
        </w:r>
        <w:r w:rsidR="002D4EAB" w:rsidRPr="006A75A2">
          <w:rPr>
            <w:noProof/>
            <w:webHidden/>
          </w:rPr>
          <w:fldChar w:fldCharType="separate"/>
        </w:r>
        <w:r w:rsidR="00EA20C8" w:rsidRPr="006A75A2">
          <w:rPr>
            <w:noProof/>
            <w:webHidden/>
          </w:rPr>
          <w:t>1</w:t>
        </w:r>
        <w:r w:rsidR="002D4EAB" w:rsidRPr="006A75A2">
          <w:rPr>
            <w:noProof/>
            <w:webHidden/>
          </w:rPr>
          <w:fldChar w:fldCharType="end"/>
        </w:r>
      </w:hyperlink>
    </w:p>
    <w:p w:rsidR="002D4EAB" w:rsidRPr="006A75A2" w:rsidRDefault="00E25333">
      <w:pPr>
        <w:pStyle w:val="TOC1"/>
        <w:rPr>
          <w:rFonts w:asciiTheme="minorHAnsi" w:eastAsiaTheme="minorEastAsia" w:hAnsiTheme="minorHAnsi" w:cstheme="minorBidi"/>
          <w:b w:val="0"/>
          <w:noProof/>
          <w:sz w:val="22"/>
          <w:szCs w:val="22"/>
          <w:lang w:eastAsia="en-AU"/>
        </w:rPr>
      </w:pPr>
      <w:hyperlink w:anchor="_Toc400040227" w:history="1">
        <w:r w:rsidR="002D4EAB" w:rsidRPr="006A75A2">
          <w:rPr>
            <w:rStyle w:val="Hyperlink"/>
            <w:noProof/>
          </w:rPr>
          <w:t>Chapter 2 – General government sector outcome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_Toc400040227 \h </w:instrText>
        </w:r>
        <w:r w:rsidR="002D4EAB" w:rsidRPr="006A75A2">
          <w:rPr>
            <w:noProof/>
            <w:webHidden/>
          </w:rPr>
        </w:r>
        <w:r w:rsidR="002D4EAB" w:rsidRPr="006A75A2">
          <w:rPr>
            <w:noProof/>
            <w:webHidden/>
          </w:rPr>
          <w:fldChar w:fldCharType="separate"/>
        </w:r>
        <w:r w:rsidR="00EA20C8" w:rsidRPr="006A75A2">
          <w:rPr>
            <w:noProof/>
            <w:webHidden/>
          </w:rPr>
          <w:t>5</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28" w:history="1">
        <w:r w:rsidR="002D4EAB" w:rsidRPr="006A75A2">
          <w:rPr>
            <w:rStyle w:val="Hyperlink"/>
            <w:noProof/>
          </w:rPr>
          <w:t>Fiscal objectives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_Toc400040228 \h </w:instrText>
        </w:r>
        <w:r w:rsidR="002D4EAB" w:rsidRPr="006A75A2">
          <w:rPr>
            <w:noProof/>
            <w:webHidden/>
          </w:rPr>
        </w:r>
        <w:r w:rsidR="002D4EAB" w:rsidRPr="006A75A2">
          <w:rPr>
            <w:noProof/>
            <w:webHidden/>
          </w:rPr>
          <w:fldChar w:fldCharType="separate"/>
        </w:r>
        <w:r w:rsidR="00EA20C8" w:rsidRPr="006A75A2">
          <w:rPr>
            <w:noProof/>
            <w:webHidden/>
          </w:rPr>
          <w:t>5</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29" w:history="1">
        <w:r w:rsidR="002D4EAB" w:rsidRPr="006A75A2">
          <w:rPr>
            <w:rStyle w:val="Hyperlink"/>
            <w:noProof/>
          </w:rPr>
          <w:t>Financial performance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_Toc400040229 \h </w:instrText>
        </w:r>
        <w:r w:rsidR="002D4EAB" w:rsidRPr="006A75A2">
          <w:rPr>
            <w:noProof/>
            <w:webHidden/>
          </w:rPr>
        </w:r>
        <w:r w:rsidR="002D4EAB" w:rsidRPr="006A75A2">
          <w:rPr>
            <w:noProof/>
            <w:webHidden/>
          </w:rPr>
          <w:fldChar w:fldCharType="separate"/>
        </w:r>
        <w:r w:rsidR="00EA20C8" w:rsidRPr="006A75A2">
          <w:rPr>
            <w:noProof/>
            <w:webHidden/>
          </w:rPr>
          <w:t>8</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30" w:history="1">
        <w:r w:rsidR="002D4EAB" w:rsidRPr="006A75A2">
          <w:rPr>
            <w:rStyle w:val="Hyperlink"/>
            <w:noProof/>
          </w:rPr>
          <w:t>Financial position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_Toc400040230 \h </w:instrText>
        </w:r>
        <w:r w:rsidR="002D4EAB" w:rsidRPr="006A75A2">
          <w:rPr>
            <w:noProof/>
            <w:webHidden/>
          </w:rPr>
        </w:r>
        <w:r w:rsidR="002D4EAB" w:rsidRPr="006A75A2">
          <w:rPr>
            <w:noProof/>
            <w:webHidden/>
          </w:rPr>
          <w:fldChar w:fldCharType="separate"/>
        </w:r>
        <w:r w:rsidR="00EA20C8" w:rsidRPr="006A75A2">
          <w:rPr>
            <w:noProof/>
            <w:webHidden/>
          </w:rPr>
          <w:t>11</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31" w:history="1">
        <w:r w:rsidR="002D4EAB" w:rsidRPr="006A75A2">
          <w:rPr>
            <w:rStyle w:val="Hyperlink"/>
            <w:noProof/>
          </w:rPr>
          <w:t>Cash flows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_Toc400040231 \h </w:instrText>
        </w:r>
        <w:r w:rsidR="002D4EAB" w:rsidRPr="006A75A2">
          <w:rPr>
            <w:noProof/>
            <w:webHidden/>
          </w:rPr>
        </w:r>
        <w:r w:rsidR="002D4EAB" w:rsidRPr="006A75A2">
          <w:rPr>
            <w:noProof/>
            <w:webHidden/>
          </w:rPr>
          <w:fldChar w:fldCharType="separate"/>
        </w:r>
        <w:r w:rsidR="00EA20C8" w:rsidRPr="006A75A2">
          <w:rPr>
            <w:noProof/>
            <w:webHidden/>
          </w:rPr>
          <w:t>13</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32" w:history="1">
        <w:r w:rsidR="002D4EAB" w:rsidRPr="006A75A2">
          <w:rPr>
            <w:rStyle w:val="Hyperlink"/>
            <w:noProof/>
          </w:rPr>
          <w:t>Infrastructure investment</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_Toc400040232 \h </w:instrText>
        </w:r>
        <w:r w:rsidR="002D4EAB" w:rsidRPr="006A75A2">
          <w:rPr>
            <w:noProof/>
            <w:webHidden/>
          </w:rPr>
        </w:r>
        <w:r w:rsidR="002D4EAB" w:rsidRPr="006A75A2">
          <w:rPr>
            <w:noProof/>
            <w:webHidden/>
          </w:rPr>
          <w:fldChar w:fldCharType="separate"/>
        </w:r>
        <w:r w:rsidR="00EA20C8" w:rsidRPr="006A75A2">
          <w:rPr>
            <w:noProof/>
            <w:webHidden/>
          </w:rPr>
          <w:t>14</w:t>
        </w:r>
        <w:r w:rsidR="002D4EAB" w:rsidRPr="006A75A2">
          <w:rPr>
            <w:noProof/>
            <w:webHidden/>
          </w:rPr>
          <w:fldChar w:fldCharType="end"/>
        </w:r>
      </w:hyperlink>
    </w:p>
    <w:p w:rsidR="002D4EAB" w:rsidRPr="006A75A2" w:rsidRDefault="00E25333">
      <w:pPr>
        <w:pStyle w:val="TOC1"/>
        <w:rPr>
          <w:rFonts w:asciiTheme="minorHAnsi" w:eastAsiaTheme="minorEastAsia" w:hAnsiTheme="minorHAnsi" w:cstheme="minorBidi"/>
          <w:b w:val="0"/>
          <w:noProof/>
          <w:sz w:val="22"/>
          <w:szCs w:val="22"/>
          <w:lang w:eastAsia="en-AU"/>
        </w:rPr>
      </w:pPr>
      <w:hyperlink w:anchor="_Toc400040233" w:history="1">
        <w:r w:rsidR="002D4EAB" w:rsidRPr="006A75A2">
          <w:rPr>
            <w:rStyle w:val="Hyperlink"/>
            <w:noProof/>
          </w:rPr>
          <w:t>Chapter 3 – State of Victoria outcome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_Toc400040233 \h </w:instrText>
        </w:r>
        <w:r w:rsidR="002D4EAB" w:rsidRPr="006A75A2">
          <w:rPr>
            <w:noProof/>
            <w:webHidden/>
          </w:rPr>
        </w:r>
        <w:r w:rsidR="002D4EAB" w:rsidRPr="006A75A2">
          <w:rPr>
            <w:noProof/>
            <w:webHidden/>
          </w:rPr>
          <w:fldChar w:fldCharType="separate"/>
        </w:r>
        <w:r w:rsidR="00EA20C8" w:rsidRPr="006A75A2">
          <w:rPr>
            <w:noProof/>
            <w:webHidden/>
          </w:rPr>
          <w:t>17</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34" w:history="1">
        <w:r w:rsidR="002D4EAB" w:rsidRPr="006A75A2">
          <w:rPr>
            <w:rStyle w:val="Hyperlink"/>
            <w:noProof/>
          </w:rPr>
          <w:t>Financial performance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_Toc400040234 \h </w:instrText>
        </w:r>
        <w:r w:rsidR="002D4EAB" w:rsidRPr="006A75A2">
          <w:rPr>
            <w:noProof/>
            <w:webHidden/>
          </w:rPr>
        </w:r>
        <w:r w:rsidR="002D4EAB" w:rsidRPr="006A75A2">
          <w:rPr>
            <w:noProof/>
            <w:webHidden/>
          </w:rPr>
          <w:fldChar w:fldCharType="separate"/>
        </w:r>
        <w:r w:rsidR="00EA20C8" w:rsidRPr="006A75A2">
          <w:rPr>
            <w:noProof/>
            <w:webHidden/>
          </w:rPr>
          <w:t>17</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35" w:history="1">
        <w:r w:rsidR="002D4EAB" w:rsidRPr="006A75A2">
          <w:rPr>
            <w:rStyle w:val="Hyperlink"/>
            <w:noProof/>
          </w:rPr>
          <w:t>Financial position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_Toc400040235 \h </w:instrText>
        </w:r>
        <w:r w:rsidR="002D4EAB" w:rsidRPr="006A75A2">
          <w:rPr>
            <w:noProof/>
            <w:webHidden/>
          </w:rPr>
        </w:r>
        <w:r w:rsidR="002D4EAB" w:rsidRPr="006A75A2">
          <w:rPr>
            <w:noProof/>
            <w:webHidden/>
          </w:rPr>
          <w:fldChar w:fldCharType="separate"/>
        </w:r>
        <w:r w:rsidR="00EA20C8" w:rsidRPr="006A75A2">
          <w:rPr>
            <w:noProof/>
            <w:webHidden/>
          </w:rPr>
          <w:t>21</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36" w:history="1">
        <w:r w:rsidR="002D4EAB" w:rsidRPr="006A75A2">
          <w:rPr>
            <w:rStyle w:val="Hyperlink"/>
            <w:noProof/>
          </w:rPr>
          <w:t>Cash flows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_Toc400040236 \h </w:instrText>
        </w:r>
        <w:r w:rsidR="002D4EAB" w:rsidRPr="006A75A2">
          <w:rPr>
            <w:noProof/>
            <w:webHidden/>
          </w:rPr>
        </w:r>
        <w:r w:rsidR="002D4EAB" w:rsidRPr="006A75A2">
          <w:rPr>
            <w:noProof/>
            <w:webHidden/>
          </w:rPr>
          <w:fldChar w:fldCharType="separate"/>
        </w:r>
        <w:r w:rsidR="00EA20C8" w:rsidRPr="006A75A2">
          <w:rPr>
            <w:noProof/>
            <w:webHidden/>
          </w:rPr>
          <w:t>22</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37" w:history="1">
        <w:r w:rsidR="002D4EAB" w:rsidRPr="006A75A2">
          <w:rPr>
            <w:rStyle w:val="Hyperlink"/>
            <w:noProof/>
          </w:rPr>
          <w:t>Financial sustainability (non</w:t>
        </w:r>
        <w:r w:rsidR="002D4EAB" w:rsidRPr="006A75A2">
          <w:rPr>
            <w:rStyle w:val="Hyperlink"/>
            <w:noProof/>
          </w:rPr>
          <w:noBreakHyphen/>
          <w:t>financial public sector)</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_Toc400040237 \h </w:instrText>
        </w:r>
        <w:r w:rsidR="002D4EAB" w:rsidRPr="006A75A2">
          <w:rPr>
            <w:noProof/>
            <w:webHidden/>
          </w:rPr>
        </w:r>
        <w:r w:rsidR="002D4EAB" w:rsidRPr="006A75A2">
          <w:rPr>
            <w:noProof/>
            <w:webHidden/>
          </w:rPr>
          <w:fldChar w:fldCharType="separate"/>
        </w:r>
        <w:r w:rsidR="00EA20C8" w:rsidRPr="006A75A2">
          <w:rPr>
            <w:noProof/>
            <w:webHidden/>
          </w:rPr>
          <w:t>23</w:t>
        </w:r>
        <w:r w:rsidR="002D4EAB" w:rsidRPr="006A75A2">
          <w:rPr>
            <w:noProof/>
            <w:webHidden/>
          </w:rPr>
          <w:fldChar w:fldCharType="end"/>
        </w:r>
      </w:hyperlink>
    </w:p>
    <w:p w:rsidR="002D4EAB" w:rsidRPr="006A75A2" w:rsidRDefault="00E25333">
      <w:pPr>
        <w:pStyle w:val="TOC1"/>
        <w:rPr>
          <w:rFonts w:asciiTheme="minorHAnsi" w:eastAsiaTheme="minorEastAsia" w:hAnsiTheme="minorHAnsi" w:cstheme="minorBidi"/>
          <w:b w:val="0"/>
          <w:noProof/>
          <w:sz w:val="22"/>
          <w:szCs w:val="22"/>
          <w:lang w:eastAsia="en-AU"/>
        </w:rPr>
      </w:pPr>
      <w:hyperlink w:anchor="_Toc400040238" w:history="1">
        <w:r w:rsidR="002D4EAB" w:rsidRPr="006A75A2">
          <w:rPr>
            <w:rStyle w:val="Hyperlink"/>
            <w:noProof/>
          </w:rPr>
          <w:t>Chapter 4 – Annual Financial Report</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_Toc400040238 \h </w:instrText>
        </w:r>
        <w:r w:rsidR="002D4EAB" w:rsidRPr="006A75A2">
          <w:rPr>
            <w:noProof/>
            <w:webHidden/>
          </w:rPr>
        </w:r>
        <w:r w:rsidR="002D4EAB" w:rsidRPr="006A75A2">
          <w:rPr>
            <w:noProof/>
            <w:webHidden/>
          </w:rPr>
          <w:fldChar w:fldCharType="separate"/>
        </w:r>
        <w:r w:rsidR="00EA20C8" w:rsidRPr="006A75A2">
          <w:rPr>
            <w:noProof/>
            <w:webHidden/>
          </w:rPr>
          <w:t>25</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39" w:history="1">
        <w:r w:rsidR="002D4EAB" w:rsidRPr="006A75A2">
          <w:rPr>
            <w:rStyle w:val="Hyperlink"/>
            <w:noProof/>
          </w:rPr>
          <w:t>Report of the Auditor General</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_Toc400040239 \h </w:instrText>
        </w:r>
        <w:r w:rsidR="002D4EAB" w:rsidRPr="006A75A2">
          <w:rPr>
            <w:noProof/>
            <w:webHidden/>
          </w:rPr>
        </w:r>
        <w:r w:rsidR="002D4EAB" w:rsidRPr="006A75A2">
          <w:rPr>
            <w:noProof/>
            <w:webHidden/>
          </w:rPr>
          <w:fldChar w:fldCharType="separate"/>
        </w:r>
        <w:r w:rsidR="00EA20C8" w:rsidRPr="006A75A2">
          <w:rPr>
            <w:noProof/>
            <w:webHidden/>
          </w:rPr>
          <w:t>26</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40" w:history="1">
        <w:r w:rsidR="002D4EAB" w:rsidRPr="006A75A2">
          <w:rPr>
            <w:rStyle w:val="Hyperlink"/>
            <w:noProof/>
          </w:rPr>
          <w:t>Notes to the financial statements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_Toc400040240 \h </w:instrText>
        </w:r>
        <w:r w:rsidR="002D4EAB" w:rsidRPr="006A75A2">
          <w:rPr>
            <w:noProof/>
            <w:webHidden/>
          </w:rPr>
        </w:r>
        <w:r w:rsidR="002D4EAB" w:rsidRPr="006A75A2">
          <w:rPr>
            <w:noProof/>
            <w:webHidden/>
          </w:rPr>
          <w:fldChar w:fldCharType="separate"/>
        </w:r>
        <w:r w:rsidR="00EA20C8" w:rsidRPr="006A75A2">
          <w:rPr>
            <w:noProof/>
            <w:webHidden/>
          </w:rPr>
          <w:t>36</w:t>
        </w:r>
        <w:r w:rsidR="002D4EAB" w:rsidRPr="006A75A2">
          <w:rPr>
            <w:noProof/>
            <w:webHidden/>
          </w:rPr>
          <w:fldChar w:fldCharType="end"/>
        </w:r>
      </w:hyperlink>
    </w:p>
    <w:p w:rsidR="002D4EAB" w:rsidRPr="006A75A2" w:rsidRDefault="00E25333">
      <w:pPr>
        <w:pStyle w:val="TOC1"/>
        <w:rPr>
          <w:rFonts w:asciiTheme="minorHAnsi" w:eastAsiaTheme="minorEastAsia" w:hAnsiTheme="minorHAnsi" w:cstheme="minorBidi"/>
          <w:b w:val="0"/>
          <w:noProof/>
          <w:sz w:val="22"/>
          <w:szCs w:val="22"/>
          <w:lang w:eastAsia="en-AU"/>
        </w:rPr>
      </w:pPr>
      <w:hyperlink w:anchor="_Toc400040241" w:history="1">
        <w:r w:rsidR="002D4EAB" w:rsidRPr="006A75A2">
          <w:rPr>
            <w:rStyle w:val="Hyperlink"/>
            <w:noProof/>
          </w:rPr>
          <w:t>Chapter 5 – Supplementary Uniform Presentation Framework tables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_Toc400040241 \h </w:instrText>
        </w:r>
        <w:r w:rsidR="002D4EAB" w:rsidRPr="006A75A2">
          <w:rPr>
            <w:noProof/>
            <w:webHidden/>
          </w:rPr>
        </w:r>
        <w:r w:rsidR="002D4EAB" w:rsidRPr="006A75A2">
          <w:rPr>
            <w:noProof/>
            <w:webHidden/>
          </w:rPr>
          <w:fldChar w:fldCharType="separate"/>
        </w:r>
        <w:r w:rsidR="00EA20C8" w:rsidRPr="006A75A2">
          <w:rPr>
            <w:noProof/>
            <w:webHidden/>
          </w:rPr>
          <w:t>225</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42" w:history="1">
        <w:r w:rsidR="002D4EAB" w:rsidRPr="006A75A2">
          <w:rPr>
            <w:rStyle w:val="Hyperlink"/>
            <w:noProof/>
          </w:rPr>
          <w:t>The accrual Government Finance Statistics presentation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_Toc400040242 \h </w:instrText>
        </w:r>
        <w:r w:rsidR="002D4EAB" w:rsidRPr="006A75A2">
          <w:rPr>
            <w:noProof/>
            <w:webHidden/>
          </w:rPr>
        </w:r>
        <w:r w:rsidR="002D4EAB" w:rsidRPr="006A75A2">
          <w:rPr>
            <w:noProof/>
            <w:webHidden/>
          </w:rPr>
          <w:fldChar w:fldCharType="separate"/>
        </w:r>
        <w:r w:rsidR="00EA20C8" w:rsidRPr="006A75A2">
          <w:rPr>
            <w:noProof/>
            <w:webHidden/>
          </w:rPr>
          <w:t>225</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43" w:history="1">
        <w:r w:rsidR="002D4EAB" w:rsidRPr="006A75A2">
          <w:rPr>
            <w:rStyle w:val="Hyperlink"/>
            <w:noProof/>
          </w:rPr>
          <w:t>Generally accepted accounting principles/Government Finance Statistics harmonisation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_Toc400040243 \h </w:instrText>
        </w:r>
        <w:r w:rsidR="002D4EAB" w:rsidRPr="006A75A2">
          <w:rPr>
            <w:noProof/>
            <w:webHidden/>
          </w:rPr>
        </w:r>
        <w:r w:rsidR="002D4EAB" w:rsidRPr="006A75A2">
          <w:rPr>
            <w:noProof/>
            <w:webHidden/>
          </w:rPr>
          <w:fldChar w:fldCharType="separate"/>
        </w:r>
        <w:r w:rsidR="00EA20C8" w:rsidRPr="006A75A2">
          <w:rPr>
            <w:noProof/>
            <w:webHidden/>
          </w:rPr>
          <w:t>225</w:t>
        </w:r>
        <w:r w:rsidR="002D4EAB" w:rsidRPr="006A75A2">
          <w:rPr>
            <w:noProof/>
            <w:webHidden/>
          </w:rPr>
          <w:fldChar w:fldCharType="end"/>
        </w:r>
      </w:hyperlink>
    </w:p>
    <w:p w:rsidR="002D4EAB" w:rsidRPr="006A75A2" w:rsidRDefault="00E25333">
      <w:pPr>
        <w:pStyle w:val="TOC2"/>
        <w:rPr>
          <w:rFonts w:asciiTheme="minorHAnsi" w:eastAsiaTheme="minorEastAsia" w:hAnsiTheme="minorHAnsi" w:cstheme="minorBidi"/>
          <w:noProof/>
          <w:szCs w:val="22"/>
          <w:lang w:eastAsia="en-AU"/>
        </w:rPr>
      </w:pPr>
      <w:hyperlink w:anchor="_Toc400040244" w:history="1">
        <w:r w:rsidR="002D4EAB" w:rsidRPr="006A75A2">
          <w:rPr>
            <w:rStyle w:val="Hyperlink"/>
            <w:noProof/>
          </w:rPr>
          <w:t>Victoria’s 2013</w:t>
        </w:r>
        <w:r w:rsidR="002D4EAB" w:rsidRPr="006A75A2">
          <w:rPr>
            <w:rStyle w:val="Hyperlink"/>
            <w:noProof/>
          </w:rPr>
          <w:noBreakHyphen/>
          <w:t>14 Loan Council Allocation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_Toc400040244 \h </w:instrText>
        </w:r>
        <w:r w:rsidR="002D4EAB" w:rsidRPr="006A75A2">
          <w:rPr>
            <w:noProof/>
            <w:webHidden/>
          </w:rPr>
        </w:r>
        <w:r w:rsidR="002D4EAB" w:rsidRPr="006A75A2">
          <w:rPr>
            <w:noProof/>
            <w:webHidden/>
          </w:rPr>
          <w:fldChar w:fldCharType="separate"/>
        </w:r>
        <w:r w:rsidR="00EA20C8" w:rsidRPr="006A75A2">
          <w:rPr>
            <w:noProof/>
            <w:webHidden/>
          </w:rPr>
          <w:t>235</w:t>
        </w:r>
        <w:r w:rsidR="002D4EAB" w:rsidRPr="006A75A2">
          <w:rPr>
            <w:noProof/>
            <w:webHidden/>
          </w:rPr>
          <w:fldChar w:fldCharType="end"/>
        </w:r>
      </w:hyperlink>
    </w:p>
    <w:p w:rsidR="002D4EAB" w:rsidRPr="006A75A2" w:rsidRDefault="00E25333">
      <w:pPr>
        <w:pStyle w:val="TOC1"/>
        <w:rPr>
          <w:rFonts w:asciiTheme="minorHAnsi" w:eastAsiaTheme="minorEastAsia" w:hAnsiTheme="minorHAnsi" w:cstheme="minorBidi"/>
          <w:b w:val="0"/>
          <w:noProof/>
          <w:sz w:val="22"/>
          <w:szCs w:val="22"/>
          <w:lang w:eastAsia="en-AU"/>
        </w:rPr>
      </w:pPr>
      <w:hyperlink w:anchor="_Toc400040245" w:history="1">
        <w:r w:rsidR="002D4EAB" w:rsidRPr="006A75A2">
          <w:rPr>
            <w:rStyle w:val="Hyperlink"/>
            <w:noProof/>
          </w:rPr>
          <w:t>Appendix A – General government sector quarterly financial report</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_Toc400040245 \h </w:instrText>
        </w:r>
        <w:r w:rsidR="002D4EAB" w:rsidRPr="006A75A2">
          <w:rPr>
            <w:noProof/>
            <w:webHidden/>
          </w:rPr>
        </w:r>
        <w:r w:rsidR="002D4EAB" w:rsidRPr="006A75A2">
          <w:rPr>
            <w:noProof/>
            <w:webHidden/>
          </w:rPr>
          <w:fldChar w:fldCharType="separate"/>
        </w:r>
        <w:r w:rsidR="00EA20C8" w:rsidRPr="006A75A2">
          <w:rPr>
            <w:noProof/>
            <w:webHidden/>
          </w:rPr>
          <w:t>237</w:t>
        </w:r>
        <w:r w:rsidR="002D4EAB" w:rsidRPr="006A75A2">
          <w:rPr>
            <w:noProof/>
            <w:webHidden/>
          </w:rPr>
          <w:fldChar w:fldCharType="end"/>
        </w:r>
      </w:hyperlink>
    </w:p>
    <w:p w:rsidR="002D4EAB" w:rsidRPr="006A75A2" w:rsidRDefault="00E25333">
      <w:pPr>
        <w:pStyle w:val="TOC1"/>
        <w:rPr>
          <w:rFonts w:asciiTheme="minorHAnsi" w:eastAsiaTheme="minorEastAsia" w:hAnsiTheme="minorHAnsi" w:cstheme="minorBidi"/>
          <w:b w:val="0"/>
          <w:noProof/>
          <w:sz w:val="22"/>
          <w:szCs w:val="22"/>
          <w:lang w:eastAsia="en-AU"/>
        </w:rPr>
      </w:pPr>
      <w:hyperlink w:anchor="_Toc400040246" w:history="1">
        <w:r w:rsidR="002D4EAB" w:rsidRPr="006A75A2">
          <w:rPr>
            <w:rStyle w:val="Hyperlink"/>
            <w:noProof/>
          </w:rPr>
          <w:t xml:space="preserve">Appendix B – </w:t>
        </w:r>
        <w:r w:rsidR="002D4EAB" w:rsidRPr="006A75A2">
          <w:rPr>
            <w:rStyle w:val="Hyperlink"/>
            <w:i/>
            <w:noProof/>
          </w:rPr>
          <w:t>Financial Management Act 1994</w:t>
        </w:r>
        <w:r w:rsidR="002D4EAB" w:rsidRPr="006A75A2">
          <w:rPr>
            <w:rStyle w:val="Hyperlink"/>
            <w:noProof/>
          </w:rPr>
          <w:t xml:space="preserve"> – Compliance index</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_Toc400040246 \h </w:instrText>
        </w:r>
        <w:r w:rsidR="002D4EAB" w:rsidRPr="006A75A2">
          <w:rPr>
            <w:noProof/>
            <w:webHidden/>
          </w:rPr>
        </w:r>
        <w:r w:rsidR="002D4EAB" w:rsidRPr="006A75A2">
          <w:rPr>
            <w:noProof/>
            <w:webHidden/>
          </w:rPr>
          <w:fldChar w:fldCharType="separate"/>
        </w:r>
        <w:r w:rsidR="00EA20C8" w:rsidRPr="006A75A2">
          <w:rPr>
            <w:noProof/>
            <w:webHidden/>
          </w:rPr>
          <w:t>241</w:t>
        </w:r>
        <w:r w:rsidR="002D4EAB" w:rsidRPr="006A75A2">
          <w:rPr>
            <w:noProof/>
            <w:webHidden/>
          </w:rPr>
          <w:fldChar w:fldCharType="end"/>
        </w:r>
      </w:hyperlink>
    </w:p>
    <w:p w:rsidR="002D4EAB" w:rsidRPr="006A75A2" w:rsidRDefault="00E25333">
      <w:pPr>
        <w:pStyle w:val="TOC1"/>
        <w:rPr>
          <w:rFonts w:asciiTheme="minorHAnsi" w:eastAsiaTheme="minorEastAsia" w:hAnsiTheme="minorHAnsi" w:cstheme="minorBidi"/>
          <w:b w:val="0"/>
          <w:noProof/>
          <w:sz w:val="22"/>
          <w:szCs w:val="22"/>
          <w:lang w:eastAsia="en-AU"/>
        </w:rPr>
      </w:pPr>
      <w:hyperlink w:anchor="_Toc400040247" w:history="1">
        <w:r w:rsidR="002D4EAB" w:rsidRPr="006A75A2">
          <w:rPr>
            <w:rStyle w:val="Hyperlink"/>
            <w:noProof/>
          </w:rPr>
          <w:t>Appendix C – Scope and style conventions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_Toc400040247 \h </w:instrText>
        </w:r>
        <w:r w:rsidR="002D4EAB" w:rsidRPr="006A75A2">
          <w:rPr>
            <w:noProof/>
            <w:webHidden/>
          </w:rPr>
        </w:r>
        <w:r w:rsidR="002D4EAB" w:rsidRPr="006A75A2">
          <w:rPr>
            <w:noProof/>
            <w:webHidden/>
          </w:rPr>
          <w:fldChar w:fldCharType="separate"/>
        </w:r>
        <w:r w:rsidR="00EA20C8" w:rsidRPr="006A75A2">
          <w:rPr>
            <w:noProof/>
            <w:webHidden/>
          </w:rPr>
          <w:t>245</w:t>
        </w:r>
        <w:r w:rsidR="002D4EAB" w:rsidRPr="006A75A2">
          <w:rPr>
            <w:noProof/>
            <w:webHidden/>
          </w:rPr>
          <w:fldChar w:fldCharType="end"/>
        </w:r>
      </w:hyperlink>
    </w:p>
    <w:p w:rsidR="004E6C32" w:rsidRPr="006A75A2" w:rsidRDefault="004E6C32" w:rsidP="00160ABB">
      <w:r w:rsidRPr="006A75A2">
        <w:fldChar w:fldCharType="end"/>
      </w:r>
    </w:p>
    <w:p w:rsidR="004E6C32" w:rsidRPr="006A75A2" w:rsidRDefault="004E6C32" w:rsidP="00C723F1"/>
    <w:p w:rsidR="004E6C32" w:rsidRPr="006A75A2" w:rsidRDefault="004E6C32" w:rsidP="00C723F1"/>
    <w:p w:rsidR="004E6C32" w:rsidRPr="006A75A2" w:rsidRDefault="004E6C32" w:rsidP="00C723F1"/>
    <w:p w:rsidR="004E6C32" w:rsidRPr="006A75A2" w:rsidRDefault="004E6C32" w:rsidP="007A44BF">
      <w:pPr>
        <w:sectPr w:rsidR="004E6C32" w:rsidRPr="006A75A2" w:rsidSect="00160ABB">
          <w:footerReference w:type="even" r:id="rId9"/>
          <w:footerReference w:type="default" r:id="rId10"/>
          <w:type w:val="oddPage"/>
          <w:pgSz w:w="11906" w:h="16838" w:code="9"/>
          <w:pgMar w:top="1152" w:right="1152" w:bottom="1152" w:left="1152" w:header="720" w:footer="720" w:gutter="0"/>
          <w:pgNumType w:fmt="lowerRoman" w:start="1"/>
          <w:cols w:space="708"/>
          <w:docGrid w:linePitch="360"/>
        </w:sectPr>
      </w:pPr>
    </w:p>
    <w:p w:rsidR="004E6C32" w:rsidRPr="006A75A2" w:rsidRDefault="004E6C32" w:rsidP="004B5CB1">
      <w:pPr>
        <w:pStyle w:val="ChapterHeading"/>
      </w:pPr>
      <w:bookmarkStart w:id="1" w:name="_Toc400040226"/>
      <w:r w:rsidRPr="006A75A2">
        <w:lastRenderedPageBreak/>
        <w:t>Chapter</w:t>
      </w:r>
      <w:r w:rsidRPr="006A75A2">
        <w:rPr>
          <w:caps w:val="0"/>
        </w:rPr>
        <w:t xml:space="preserve"> </w:t>
      </w:r>
      <w:r w:rsidRPr="006A75A2">
        <w:t>1 – Foreword</w:t>
      </w:r>
      <w:bookmarkEnd w:id="1"/>
    </w:p>
    <w:p w:rsidR="004E6C32" w:rsidRPr="006A75A2" w:rsidRDefault="004E6C32" w:rsidP="004B5CB1">
      <w:pPr>
        <w:pStyle w:val="Heading2"/>
        <w:rPr>
          <w:kern w:val="0"/>
        </w:rPr>
      </w:pPr>
      <w:r w:rsidRPr="006A75A2">
        <w:rPr>
          <w:kern w:val="0"/>
        </w:rPr>
        <w:t>Purpose</w:t>
      </w:r>
    </w:p>
    <w:p w:rsidR="004E6C32" w:rsidRPr="006A75A2" w:rsidRDefault="004E6C32" w:rsidP="004B5CB1">
      <w:r w:rsidRPr="006A75A2">
        <w:t xml:space="preserve">The </w:t>
      </w:r>
      <w:r w:rsidRPr="006A75A2">
        <w:rPr>
          <w:i/>
        </w:rPr>
        <w:t>2013</w:t>
      </w:r>
      <w:r w:rsidRPr="006A75A2">
        <w:rPr>
          <w:i/>
        </w:rPr>
        <w:noBreakHyphen/>
        <w:t>14 Financial Report for the State of Victoria</w:t>
      </w:r>
      <w:r w:rsidRPr="006A75A2">
        <w:t xml:space="preserve"> presents the consolidated financial outcomes for the State of Victoria, including the general government sector, the public non</w:t>
      </w:r>
      <w:r w:rsidRPr="006A75A2">
        <w:noBreakHyphen/>
        <w:t>financial corporations sector and the public financial corporations sector.</w:t>
      </w:r>
    </w:p>
    <w:p w:rsidR="004E6C32" w:rsidRPr="006A75A2" w:rsidRDefault="004E6C32" w:rsidP="004B5CB1">
      <w:r w:rsidRPr="006A75A2">
        <w:t>This chapter outlines the economic and fiscal context for the State</w:t>
      </w:r>
      <w:r w:rsidR="00C96101" w:rsidRPr="006A75A2">
        <w:t>’</w:t>
      </w:r>
      <w:r w:rsidRPr="006A75A2">
        <w:t>s financial performance and position, and summarises the 2013</w:t>
      </w:r>
      <w:r w:rsidRPr="006A75A2">
        <w:noBreakHyphen/>
        <w:t xml:space="preserve">14 results. Chapter 2 analyses the results for the general government sector, comparing them with the revised estimates for the year presented in the </w:t>
      </w:r>
      <w:r w:rsidRPr="006A75A2">
        <w:rPr>
          <w:i/>
        </w:rPr>
        <w:t>2014</w:t>
      </w:r>
      <w:r w:rsidRPr="006A75A2">
        <w:rPr>
          <w:i/>
        </w:rPr>
        <w:noBreakHyphen/>
        <w:t>15 Budget</w:t>
      </w:r>
      <w:r w:rsidRPr="006A75A2">
        <w:t>. Chapter 3 presents the 2013</w:t>
      </w:r>
      <w:r w:rsidRPr="006A75A2">
        <w:noBreakHyphen/>
        <w:t>14 results for the State of Victoria.</w:t>
      </w:r>
    </w:p>
    <w:p w:rsidR="004E6C32" w:rsidRPr="006A75A2" w:rsidRDefault="004E6C32" w:rsidP="004B5CB1">
      <w:r w:rsidRPr="006A75A2">
        <w:t xml:space="preserve">Chapter 4 contains the audited financial statements as required under the </w:t>
      </w:r>
      <w:r w:rsidRPr="006A75A2">
        <w:rPr>
          <w:i/>
        </w:rPr>
        <w:t>Financial Management Act 1994</w:t>
      </w:r>
      <w:r w:rsidRPr="006A75A2">
        <w:t xml:space="preserve">. These are presented in line with applicable Australian accounting standards and pronouncements, in particular AASB 1049 </w:t>
      </w:r>
      <w:r w:rsidRPr="006A75A2">
        <w:rPr>
          <w:i/>
        </w:rPr>
        <w:t>Whole of Government and General Government Sector Financial Reporting</w:t>
      </w:r>
      <w:r w:rsidRPr="006A75A2">
        <w:t xml:space="preserve">. Chapter 5 provides supplementary information required under the Uniform Presentation Framework, as agreed under the Australian Loan Council arrangements. Appendix A includes the Quarterly Financial Report for the general government sector as required by Section 26 of the </w:t>
      </w:r>
      <w:r w:rsidRPr="006A75A2">
        <w:rPr>
          <w:i/>
        </w:rPr>
        <w:t>Financial Management Act 1994</w:t>
      </w:r>
      <w:r w:rsidRPr="006A75A2">
        <w:t>.</w:t>
      </w:r>
    </w:p>
    <w:p w:rsidR="004E6C32" w:rsidRPr="006A75A2" w:rsidRDefault="004E6C32" w:rsidP="004B5CB1">
      <w:pPr>
        <w:rPr>
          <w:szCs w:val="24"/>
        </w:rPr>
      </w:pPr>
      <w:r w:rsidRPr="006A75A2">
        <w:rPr>
          <w:rFonts w:cs="Helv"/>
          <w:szCs w:val="24"/>
          <w:lang w:eastAsia="en-AU"/>
        </w:rPr>
        <w:t xml:space="preserve">The </w:t>
      </w:r>
      <w:r w:rsidRPr="006A75A2">
        <w:rPr>
          <w:rFonts w:cs="Helv"/>
          <w:i/>
          <w:iCs/>
          <w:szCs w:val="24"/>
          <w:lang w:eastAsia="en-AU"/>
        </w:rPr>
        <w:t>Financial Management Act 1994</w:t>
      </w:r>
      <w:r w:rsidRPr="006A75A2">
        <w:rPr>
          <w:rFonts w:cs="Helv"/>
          <w:szCs w:val="24"/>
          <w:lang w:eastAsia="en-AU"/>
        </w:rPr>
        <w:t xml:space="preserve"> requires the relevant Minister to prepare an annual financial report for each financial year. Since the first audited annual financial statements for the State of Victoria prepared in 1996-97 under the </w:t>
      </w:r>
      <w:r w:rsidRPr="006A75A2">
        <w:rPr>
          <w:rFonts w:cs="Helv"/>
          <w:i/>
          <w:iCs/>
          <w:szCs w:val="24"/>
          <w:lang w:eastAsia="en-AU"/>
        </w:rPr>
        <w:t>Financial Management Act 1994</w:t>
      </w:r>
      <w:r w:rsidRPr="006A75A2">
        <w:rPr>
          <w:rFonts w:cs="Helv"/>
          <w:szCs w:val="24"/>
          <w:lang w:eastAsia="en-AU"/>
        </w:rPr>
        <w:t xml:space="preserve">, they have been prepared and certified by the Department of Treasury and Finance for the relevant Minister(s), given the highly technical nature of the document. This long-standing administrative arrangement was formalised in 2009 by the then Treasurer and Minister for Finance under delegation authority provided by the Act. Notwithstanding this arrangement, the </w:t>
      </w:r>
      <w:r w:rsidRPr="006A75A2">
        <w:rPr>
          <w:rFonts w:cs="Helv"/>
          <w:i/>
          <w:szCs w:val="24"/>
          <w:lang w:eastAsia="en-AU"/>
        </w:rPr>
        <w:t>2013-14</w:t>
      </w:r>
      <w:r w:rsidRPr="006A75A2">
        <w:rPr>
          <w:rFonts w:cs="Helv"/>
          <w:szCs w:val="24"/>
          <w:lang w:eastAsia="en-AU"/>
        </w:rPr>
        <w:t xml:space="preserve"> </w:t>
      </w:r>
      <w:r w:rsidRPr="006A75A2">
        <w:rPr>
          <w:rFonts w:cs="Helv"/>
          <w:i/>
          <w:iCs/>
          <w:szCs w:val="24"/>
          <w:lang w:eastAsia="en-AU"/>
        </w:rPr>
        <w:t>Financial Report for the State of Victoria</w:t>
      </w:r>
      <w:r w:rsidRPr="006A75A2">
        <w:rPr>
          <w:rFonts w:cs="Helv"/>
          <w:szCs w:val="24"/>
          <w:lang w:eastAsia="en-AU"/>
        </w:rPr>
        <w:t xml:space="preserve"> remains a document within the Treasurer</w:t>
      </w:r>
      <w:r w:rsidR="00C96101" w:rsidRPr="006A75A2">
        <w:rPr>
          <w:rFonts w:cs="Helv"/>
          <w:szCs w:val="24"/>
          <w:lang w:eastAsia="en-AU"/>
        </w:rPr>
        <w:t>’</w:t>
      </w:r>
      <w:r w:rsidRPr="006A75A2">
        <w:rPr>
          <w:rFonts w:cs="Helv"/>
          <w:szCs w:val="24"/>
          <w:lang w:eastAsia="en-AU"/>
        </w:rPr>
        <w:t xml:space="preserve">s responsibility and accountability, duly prepared in accordance with the requirements of the </w:t>
      </w:r>
      <w:r w:rsidRPr="006A75A2">
        <w:rPr>
          <w:rFonts w:cs="Helv"/>
          <w:i/>
          <w:iCs/>
          <w:szCs w:val="24"/>
          <w:lang w:eastAsia="en-AU"/>
        </w:rPr>
        <w:t>Financial Management Act 1994</w:t>
      </w:r>
      <w:r w:rsidRPr="006A75A2">
        <w:rPr>
          <w:rFonts w:cs="Helv"/>
          <w:szCs w:val="24"/>
          <w:lang w:eastAsia="en-AU"/>
        </w:rPr>
        <w:t>.</w:t>
      </w:r>
    </w:p>
    <w:p w:rsidR="004E6C32" w:rsidRPr="006A75A2" w:rsidRDefault="004E6C32" w:rsidP="004B5CB1">
      <w:pPr>
        <w:pStyle w:val="Heading2"/>
        <w:rPr>
          <w:kern w:val="0"/>
        </w:rPr>
      </w:pPr>
      <w:r w:rsidRPr="006A75A2">
        <w:rPr>
          <w:kern w:val="0"/>
        </w:rPr>
        <w:t>Economic context</w:t>
      </w:r>
    </w:p>
    <w:p w:rsidR="004E6C32" w:rsidRPr="006A75A2" w:rsidRDefault="004E6C32" w:rsidP="004B5CB1">
      <w:r w:rsidRPr="006A75A2">
        <w:t>Victoria</w:t>
      </w:r>
      <w:r w:rsidR="00C96101" w:rsidRPr="006A75A2">
        <w:t>’</w:t>
      </w:r>
      <w:r w:rsidRPr="006A75A2">
        <w:t>s economy grew steadily in 2013</w:t>
      </w:r>
      <w:r w:rsidRPr="006A75A2">
        <w:noBreakHyphen/>
        <w:t>14 despite challenging conditions.</w:t>
      </w:r>
    </w:p>
    <w:p w:rsidR="004E6C32" w:rsidRPr="006A75A2" w:rsidRDefault="004E6C32" w:rsidP="004B5CB1">
      <w:r w:rsidRPr="006A75A2">
        <w:t>State final demand grew by 2.5 per cent over the year to June 2014. This growth was driven by improved business investment and household consumption, including stronger retail trade underpinned by higher consumer sentiment and a moderation in households</w:t>
      </w:r>
      <w:r w:rsidR="00C96101" w:rsidRPr="006A75A2">
        <w:t>’</w:t>
      </w:r>
      <w:r w:rsidRPr="006A75A2">
        <w:t xml:space="preserve"> savings rate over the first half of the year. Rising property and stock prices in a low interest rate environment buoyed household wealth.</w:t>
      </w:r>
    </w:p>
    <w:p w:rsidR="004E6C32" w:rsidRPr="006A75A2" w:rsidRDefault="004E6C32" w:rsidP="004B5CB1">
      <w:r w:rsidRPr="006A75A2">
        <w:t>Demand for new housing increased in 2013</w:t>
      </w:r>
      <w:r w:rsidRPr="006A75A2">
        <w:noBreakHyphen/>
        <w:t>14, consistent with rising property prices. Residential building approvals rose markedly in the first half of 2013</w:t>
      </w:r>
      <w:r w:rsidRPr="006A75A2">
        <w:noBreakHyphen/>
        <w:t>14 and remained at elevated levels throughout the year. While dwelling investment was unchanged in 2013-14 overall, it was stronger over the second half of the year as the rise in approvals flowed through to increased construction.</w:t>
      </w:r>
    </w:p>
    <w:p w:rsidR="004E6C32" w:rsidRPr="006A75A2" w:rsidRDefault="004E6C32" w:rsidP="004B5CB1">
      <w:pPr>
        <w:rPr>
          <w:shd w:val="clear" w:color="auto" w:fill="FFC000"/>
        </w:rPr>
      </w:pPr>
      <w:r w:rsidRPr="006A75A2">
        <w:t>Employment expanded modestly in 2013-14, and Victoria</w:t>
      </w:r>
      <w:r w:rsidR="00C96101" w:rsidRPr="006A75A2">
        <w:t>’</w:t>
      </w:r>
      <w:r w:rsidRPr="006A75A2">
        <w:t>s growth exceeded that of the other non</w:t>
      </w:r>
      <w:r w:rsidRPr="006A75A2">
        <w:noBreakHyphen/>
        <w:t>mining states. The national unemployment rate rose, and the rise in the year-average unemployment rate in Victoria was consistent with the national trend. Victoria</w:t>
      </w:r>
      <w:r w:rsidR="00C96101" w:rsidRPr="006A75A2">
        <w:t>’</w:t>
      </w:r>
      <w:r w:rsidRPr="006A75A2">
        <w:t>s participation rate continued to be the highest of the non-mining states.</w:t>
      </w:r>
    </w:p>
    <w:p w:rsidR="004E6C32" w:rsidRPr="006A75A2" w:rsidRDefault="004E6C32" w:rsidP="004B5CB1">
      <w:r w:rsidRPr="006A75A2">
        <w:lastRenderedPageBreak/>
        <w:t>Population growth was strong over the year to December 2013, with Victoria seeing the largest gains from net interstate migration in over three decades.</w:t>
      </w:r>
      <w:r w:rsidRPr="006A75A2">
        <w:rPr>
          <w:shd w:val="clear" w:color="auto" w:fill="FFC000"/>
        </w:rPr>
        <w:t xml:space="preserve"> </w:t>
      </w:r>
    </w:p>
    <w:p w:rsidR="004E6C32" w:rsidRPr="006A75A2" w:rsidRDefault="004E6C32" w:rsidP="004B5CB1">
      <w:r w:rsidRPr="006A75A2">
        <w:t xml:space="preserve">Business investment activity strengthened towards the end of 2013-14, consistent with higher levels of business conditions and confidence reported over the year. </w:t>
      </w:r>
    </w:p>
    <w:p w:rsidR="004E6C32" w:rsidRPr="006A75A2" w:rsidRDefault="004E6C32" w:rsidP="004B5CB1">
      <w:r w:rsidRPr="006A75A2">
        <w:t>A lower exchange rate provided some relief for Victoria</w:t>
      </w:r>
      <w:r w:rsidR="00C96101" w:rsidRPr="006A75A2">
        <w:t>’</w:t>
      </w:r>
      <w:r w:rsidRPr="006A75A2">
        <w:t>s merchandise exporters in 2013</w:t>
      </w:r>
      <w:r w:rsidRPr="006A75A2">
        <w:noBreakHyphen/>
        <w:t>14, but remained high compared with historical levels. Victoria is benefiting from rising demand from Asia, particularly for agricultural goods. Improving economic conditions in the US also led to a sharp increase in demand for Victorian products over the year.</w:t>
      </w:r>
    </w:p>
    <w:p w:rsidR="004E6C32" w:rsidRPr="006A75A2" w:rsidRDefault="004E6C32" w:rsidP="004B5CB1">
      <w:pPr>
        <w:tabs>
          <w:tab w:val="left" w:pos="3402"/>
        </w:tabs>
      </w:pPr>
      <w:r w:rsidRPr="006A75A2">
        <w:t>Victoria is the only state holding both a triple-A credit rating with a stable outlook from both major international credit rating agencies and also forecasting strong budget surpluses each year over the budget and forward estimates. A strong ongoing financial position allows more of the State</w:t>
      </w:r>
      <w:r w:rsidR="00C96101" w:rsidRPr="006A75A2">
        <w:t>’</w:t>
      </w:r>
      <w:r w:rsidRPr="006A75A2">
        <w:t>s investment in infrastructure to be funded through cash surpluses, rather than unsustainable levels of debt.</w:t>
      </w:r>
    </w:p>
    <w:p w:rsidR="004E6C32" w:rsidRPr="006A75A2" w:rsidRDefault="004E6C32" w:rsidP="004B5CB1">
      <w:pPr>
        <w:pStyle w:val="Heading2"/>
        <w:rPr>
          <w:kern w:val="0"/>
        </w:rPr>
      </w:pPr>
      <w:r w:rsidRPr="006A75A2">
        <w:rPr>
          <w:kern w:val="0"/>
        </w:rPr>
        <w:t>Fiscal outcomes</w:t>
      </w:r>
    </w:p>
    <w:p w:rsidR="004E6C32" w:rsidRPr="006A75A2" w:rsidRDefault="004E6C32" w:rsidP="004B5CB1">
      <w:r w:rsidRPr="006A75A2">
        <w:t>The net result from transactions for the general government sector was a surplus of $2.0 billion in 2013</w:t>
      </w:r>
      <w:r w:rsidRPr="006A75A2">
        <w:noBreakHyphen/>
        <w:t>14, $1.0 billion higher than the revised estimate for the year. The difference was mainly due to the early receipt of Commonwealth grants payments which were not known or reflected in the revised estimate for 2013</w:t>
      </w:r>
      <w:r w:rsidRPr="006A75A2">
        <w:noBreakHyphen/>
        <w:t>14 prepared at the time of the State</w:t>
      </w:r>
      <w:r w:rsidR="00C96101" w:rsidRPr="006A75A2">
        <w:t>’</w:t>
      </w:r>
      <w:r w:rsidRPr="006A75A2">
        <w:t xml:space="preserve">s </w:t>
      </w:r>
      <w:r w:rsidRPr="006A75A2">
        <w:rPr>
          <w:i/>
        </w:rPr>
        <w:t>2014-15 Budget</w:t>
      </w:r>
      <w:r w:rsidRPr="006A75A2">
        <w:t>.</w:t>
      </w:r>
    </w:p>
    <w:p w:rsidR="004E6C32" w:rsidRPr="006A75A2" w:rsidRDefault="004E6C32" w:rsidP="004B5CB1">
      <w:r w:rsidRPr="006A75A2">
        <w:t>Total revenue from transactions for the year was $52.4 billion, which represents growth of 7.7 per cent compared with 2012</w:t>
      </w:r>
      <w:r w:rsidRPr="006A75A2">
        <w:noBreakHyphen/>
        <w:t>13. State taxation revenue was $16.9 billion, consistent with the revised 2013</w:t>
      </w:r>
      <w:r w:rsidRPr="006A75A2">
        <w:noBreakHyphen/>
        <w:t>14 estimate and $1.4 billion more than in 2012</w:t>
      </w:r>
      <w:r w:rsidRPr="006A75A2">
        <w:noBreakHyphen/>
        <w:t>13. This increase was partly due to higher land transfer duty reflecting a stronger property market, and higher payroll tax due to growth in aggregate employment and wages over the year. Grants revenue was $3.2 billion higher in 2013-14 than in 2012</w:t>
      </w:r>
      <w:r w:rsidRPr="006A75A2">
        <w:noBreakHyphen/>
        <w:t>13, mainly reflecting higher specific purpose grants from the Commonwealth, including for the East West Link and Regional Rail Link projects.</w:t>
      </w:r>
    </w:p>
    <w:p w:rsidR="004E6C32" w:rsidRPr="006A75A2" w:rsidRDefault="004E6C32" w:rsidP="004B5CB1">
      <w:r w:rsidRPr="006A75A2">
        <w:t>Grants revenue was $1.1 billion higher than the revised estimate. The variance is largely due to the early receipt of grants revenue from the Commonwealth for the East West Link.</w:t>
      </w:r>
    </w:p>
    <w:p w:rsidR="004E6C32" w:rsidRPr="006A75A2" w:rsidRDefault="004E6C32" w:rsidP="004B5CB1">
      <w:r w:rsidRPr="006A75A2">
        <w:t>Total expenses for the year were $50.4 billion, $229.6 million higher than the revised estimate. This represents an increase of 3.0 per cent compared with the previous year.</w:t>
      </w:r>
    </w:p>
    <w:p w:rsidR="004E6C32" w:rsidRPr="006A75A2" w:rsidRDefault="004E6C32" w:rsidP="004B5CB1">
      <w:r w:rsidRPr="006A75A2">
        <w:t>Net investment in infrastructure by the general government sector of $5.2 billion in 2013</w:t>
      </w:r>
      <w:r w:rsidRPr="006A75A2">
        <w:noBreakHyphen/>
        <w:t>14 was equal to 1.5 per cent of gross state product (GSP)</w:t>
      </w:r>
      <w:r w:rsidRPr="006A75A2">
        <w:rPr>
          <w:rStyle w:val="FootnoteReference"/>
        </w:rPr>
        <w:footnoteReference w:id="1"/>
      </w:r>
      <w:r w:rsidRPr="006A75A2">
        <w:t xml:space="preserve">. Net debt for the general government sector increased moderately by 6.8 per cent to $21.2 billion, in line with the </w:t>
      </w:r>
      <w:r w:rsidRPr="006A75A2">
        <w:rPr>
          <w:i/>
        </w:rPr>
        <w:t>2014-15 Budget</w:t>
      </w:r>
      <w:r w:rsidRPr="006A75A2">
        <w:t xml:space="preserve"> estimates. Non-financial public sector net debt to GSP remained at 10.2 per cent, the same ratio as 2012-13.</w:t>
      </w:r>
    </w:p>
    <w:p w:rsidR="004E6C32" w:rsidRPr="006A75A2" w:rsidRDefault="004E6C32">
      <w:pPr>
        <w:spacing w:after="0"/>
        <w:rPr>
          <w:rFonts w:ascii="Calibri" w:hAnsi="Calibri"/>
          <w:i/>
          <w:sz w:val="26"/>
          <w:szCs w:val="22"/>
        </w:rPr>
      </w:pPr>
      <w:r w:rsidRPr="006A75A2">
        <w:br w:type="page"/>
      </w:r>
    </w:p>
    <w:p w:rsidR="004E6C32" w:rsidRPr="006A75A2" w:rsidRDefault="004E6C32" w:rsidP="004B5CB1">
      <w:pPr>
        <w:pStyle w:val="Heading4"/>
      </w:pPr>
      <w:r w:rsidRPr="006A75A2">
        <w:lastRenderedPageBreak/>
        <w:t>Valuation of education assets</w:t>
      </w:r>
    </w:p>
    <w:p w:rsidR="004E6C32" w:rsidRPr="006A75A2" w:rsidRDefault="004E6C32" w:rsidP="004B5CB1">
      <w:r w:rsidRPr="006A75A2">
        <w:t>The Victorian Auditor-General has issued a modified audit report on the State</w:t>
      </w:r>
      <w:r w:rsidR="00C96101" w:rsidRPr="006A75A2">
        <w:t>’</w:t>
      </w:r>
      <w:r w:rsidRPr="006A75A2">
        <w:t xml:space="preserve">s 2013-14 </w:t>
      </w:r>
      <w:r w:rsidRPr="006A75A2">
        <w:rPr>
          <w:i/>
        </w:rPr>
        <w:t>Annual Financial Report</w:t>
      </w:r>
      <w:r w:rsidRPr="006A75A2">
        <w:t xml:space="preserve"> (per Chapter 4), reflecting a difference in opinion on the valuation of the State</w:t>
      </w:r>
      <w:r w:rsidR="00C96101" w:rsidRPr="006A75A2">
        <w:t>’</w:t>
      </w:r>
      <w:r w:rsidRPr="006A75A2">
        <w:t>s school building assets.</w:t>
      </w:r>
    </w:p>
    <w:p w:rsidR="004E6C32" w:rsidRPr="006A75A2" w:rsidRDefault="004E6C32" w:rsidP="004B5CB1">
      <w:r w:rsidRPr="006A75A2">
        <w:t>The State</w:t>
      </w:r>
      <w:r w:rsidR="00C96101" w:rsidRPr="006A75A2">
        <w:t>’</w:t>
      </w:r>
      <w:r w:rsidRPr="006A75A2">
        <w:t xml:space="preserve">s school building assets are measured at fair value in accordance with Australian Accounting Standard AASB 13 </w:t>
      </w:r>
      <w:r w:rsidRPr="006A75A2">
        <w:rPr>
          <w:i/>
        </w:rPr>
        <w:t>Fair Value Measurement</w:t>
      </w:r>
      <w:r w:rsidRPr="006A75A2">
        <w:t>, taking into account the direct relationship between the assets required to deliver educational outcomes and the number of students expected to benefit from the education services provided by the State at each school. This underlying principle has remained unchanged since 2005 and is also supported by the Victorian Valuer-General, the State</w:t>
      </w:r>
      <w:r w:rsidR="00C96101" w:rsidRPr="006A75A2">
        <w:t>’</w:t>
      </w:r>
      <w:r w:rsidRPr="006A75A2">
        <w:t>s valuation specialist, and external accounting expert advice.</w:t>
      </w:r>
    </w:p>
    <w:p w:rsidR="004E6C32" w:rsidRPr="006A75A2" w:rsidRDefault="004E6C32" w:rsidP="004B5CB1">
      <w:r w:rsidRPr="006A75A2">
        <w:t>The State</w:t>
      </w:r>
      <w:r w:rsidR="00C96101" w:rsidRPr="006A75A2">
        <w:t>’</w:t>
      </w:r>
      <w:r w:rsidRPr="006A75A2">
        <w:t>s valuation methodology also reflects the key objective of its school assets – to educate Victoria</w:t>
      </w:r>
      <w:r w:rsidR="00C96101" w:rsidRPr="006A75A2">
        <w:t>’</w:t>
      </w:r>
      <w:r w:rsidRPr="006A75A2">
        <w:t>s children. Current and forecast student enrolment data provides information on the capacity required of the school buildings to fulfil this objective, and the enrolment data used as part of the valuation is consistently tested and applied by the State for key planning, project and funding initiatives. This also ensures schools in growth areas are appropriately valued to reflect their service potential to the community for the delivery of educational outcomes.</w:t>
      </w:r>
    </w:p>
    <w:p w:rsidR="004E6C32" w:rsidRPr="006A75A2" w:rsidRDefault="004E6C32" w:rsidP="004B5CB1">
      <w:r w:rsidRPr="006A75A2">
        <w:t>The Auditor-General has expressed an opinion that the State</w:t>
      </w:r>
      <w:r w:rsidR="00C96101" w:rsidRPr="006A75A2">
        <w:t>’</w:t>
      </w:r>
      <w:r w:rsidRPr="006A75A2">
        <w:t>s valuation methodology is not appropriate. On the contrary, the State is firmly of the view that its valuation methodology fairly represents the realisable benefits these assets provide for achieving the State</w:t>
      </w:r>
      <w:r w:rsidR="00C96101" w:rsidRPr="006A75A2">
        <w:t>’</w:t>
      </w:r>
      <w:r w:rsidRPr="006A75A2">
        <w:t>s objective of providing educational outcomes to the Victorian community, as required by Australian Accounting Standards and other mandatory professional reporting requirements.</w:t>
      </w:r>
    </w:p>
    <w:p w:rsidR="004E6C32" w:rsidRPr="006A75A2" w:rsidRDefault="004E6C32" w:rsidP="004B5CB1">
      <w:r w:rsidRPr="006A75A2">
        <w:t>The State further believes that without the appropriate valuation adjustment, the State</w:t>
      </w:r>
      <w:r w:rsidR="00C96101" w:rsidRPr="006A75A2">
        <w:t>’</w:t>
      </w:r>
      <w:r w:rsidRPr="006A75A2">
        <w:t>s school building assets, and consequently the State</w:t>
      </w:r>
      <w:r w:rsidR="00C96101" w:rsidRPr="006A75A2">
        <w:t>’</w:t>
      </w:r>
      <w:r w:rsidRPr="006A75A2">
        <w:t>s net assets position, would be overstated by approximately $1.6 billion as at 30 June 2014. It is important to note that the materiality of this valuation adjustment represents less than one per cent of the relevant asset class</w:t>
      </w:r>
      <w:r w:rsidR="00C96101" w:rsidRPr="006A75A2">
        <w:t>’</w:t>
      </w:r>
      <w:r w:rsidRPr="006A75A2">
        <w:t xml:space="preserve"> total value of $197.1 billion as at 30 June 2014.</w:t>
      </w:r>
    </w:p>
    <w:p w:rsidR="004E6C32" w:rsidRPr="006A75A2" w:rsidRDefault="004E6C32" w:rsidP="004B5CB1"/>
    <w:p w:rsidR="004E6C32" w:rsidRPr="006A75A2" w:rsidRDefault="004E6C32" w:rsidP="004B5CB1"/>
    <w:p w:rsidR="004E6C32" w:rsidRPr="006A75A2" w:rsidRDefault="004E6C32" w:rsidP="004B5CB1"/>
    <w:p w:rsidR="004E6C32" w:rsidRPr="006A75A2" w:rsidRDefault="004E6C32" w:rsidP="004B5CB1"/>
    <w:p w:rsidR="004E6C32" w:rsidRPr="006A75A2" w:rsidRDefault="004E6C32" w:rsidP="007A44BF">
      <w:pPr>
        <w:sectPr w:rsidR="004E6C32" w:rsidRPr="006A75A2" w:rsidSect="00160ABB">
          <w:footerReference w:type="even" r:id="rId11"/>
          <w:footerReference w:type="default" r:id="rId12"/>
          <w:type w:val="oddPage"/>
          <w:pgSz w:w="11906" w:h="16838" w:code="9"/>
          <w:pgMar w:top="1151" w:right="1151" w:bottom="1151" w:left="1151" w:header="720" w:footer="720" w:gutter="0"/>
          <w:pgNumType w:start="1"/>
          <w:cols w:space="708"/>
          <w:docGrid w:linePitch="360"/>
        </w:sectPr>
      </w:pPr>
    </w:p>
    <w:p w:rsidR="004E6C32" w:rsidRPr="006A75A2" w:rsidRDefault="004E6C32" w:rsidP="004B5CB1">
      <w:pPr>
        <w:pStyle w:val="ChapterHeading"/>
      </w:pPr>
      <w:bookmarkStart w:id="2" w:name="_Toc400040227"/>
      <w:r w:rsidRPr="006A75A2">
        <w:lastRenderedPageBreak/>
        <w:t>Chapter 2 – General government sector outcome</w:t>
      </w:r>
      <w:bookmarkEnd w:id="2"/>
    </w:p>
    <w:p w:rsidR="004E6C32" w:rsidRPr="006A75A2" w:rsidRDefault="004E6C32" w:rsidP="004B5CB1">
      <w:pPr>
        <w:pStyle w:val="HighlightBoxBullet"/>
        <w:keepLines/>
      </w:pPr>
      <w:r w:rsidRPr="006A75A2">
        <w:t>The operating surplus for 2013</w:t>
      </w:r>
      <w:r w:rsidRPr="006A75A2">
        <w:noBreakHyphen/>
        <w:t>14 was $1 976 million. Victoria is forecasting a surplus in every year over the budget and forward estimates.</w:t>
      </w:r>
    </w:p>
    <w:p w:rsidR="004E6C32" w:rsidRPr="006A75A2" w:rsidRDefault="004E6C32" w:rsidP="004B5CB1">
      <w:pPr>
        <w:pStyle w:val="HighlightBoxBullet"/>
        <w:keepLines/>
      </w:pPr>
      <w:r w:rsidRPr="006A75A2">
        <w:t>Strong fiscal discipline has led to a modest increase in expenses of 3.0 per cent since 2012</w:t>
      </w:r>
      <w:r w:rsidRPr="006A75A2">
        <w:noBreakHyphen/>
        <w:t>13, contributing to the year</w:t>
      </w:r>
      <w:r w:rsidR="00C96101" w:rsidRPr="006A75A2">
        <w:t>’</w:t>
      </w:r>
      <w:r w:rsidRPr="006A75A2">
        <w:t>s strong operating outcome.</w:t>
      </w:r>
    </w:p>
    <w:p w:rsidR="004E6C32" w:rsidRPr="006A75A2" w:rsidRDefault="004E6C32" w:rsidP="004B5CB1">
      <w:pPr>
        <w:pStyle w:val="HighlightBoxBullet"/>
        <w:keepLines/>
      </w:pPr>
      <w:r w:rsidRPr="006A75A2">
        <w:t xml:space="preserve">Net debt for the general government sector of $21.2 billion at 30 June 2014 was in line with the revised budget estimates published in the </w:t>
      </w:r>
      <w:r w:rsidRPr="006A75A2">
        <w:rPr>
          <w:i/>
        </w:rPr>
        <w:t>2014</w:t>
      </w:r>
      <w:r w:rsidRPr="006A75A2">
        <w:rPr>
          <w:i/>
        </w:rPr>
        <w:noBreakHyphen/>
        <w:t>15 Budget</w:t>
      </w:r>
      <w:r w:rsidRPr="006A75A2">
        <w:t xml:space="preserve">. </w:t>
      </w:r>
    </w:p>
    <w:p w:rsidR="004E6C32" w:rsidRPr="006A75A2" w:rsidRDefault="004E6C32" w:rsidP="004B5CB1">
      <w:pPr>
        <w:pStyle w:val="HighlightBoxBullet"/>
        <w:keepLines/>
      </w:pPr>
      <w:r w:rsidRPr="006A75A2">
        <w:t>General government net infrastructure investment was $5.2 billion for 2013</w:t>
      </w:r>
      <w:r w:rsidRPr="006A75A2">
        <w:noBreakHyphen/>
        <w:t>14, $356 million higher than the revised budget expectations, and comparable to the previous year.</w:t>
      </w:r>
    </w:p>
    <w:p w:rsidR="004E6C32" w:rsidRPr="006A75A2" w:rsidRDefault="004E6C32" w:rsidP="004B5CB1">
      <w:pPr>
        <w:pStyle w:val="HighlightBoxBullet"/>
        <w:keepLines/>
      </w:pPr>
      <w:r w:rsidRPr="006A75A2">
        <w:t>Victoria is the only Australian state to hold a triple</w:t>
      </w:r>
      <w:r w:rsidRPr="006A75A2">
        <w:noBreakHyphen/>
        <w:t>A credit rating with a stable outlook from both major international credit rating agencies.</w:t>
      </w:r>
    </w:p>
    <w:p w:rsidR="004E6C32" w:rsidRPr="006A75A2" w:rsidRDefault="004E6C32" w:rsidP="004B5CB1">
      <w:pPr>
        <w:pStyle w:val="Heading1"/>
      </w:pPr>
      <w:bookmarkStart w:id="3" w:name="_Toc367967884"/>
      <w:bookmarkStart w:id="4" w:name="_Toc400040228"/>
      <w:r w:rsidRPr="006A75A2">
        <w:t>Fiscal objectives</w:t>
      </w:r>
      <w:bookmarkEnd w:id="3"/>
      <w:bookmarkEnd w:id="4"/>
    </w:p>
    <w:p w:rsidR="004E6C32" w:rsidRPr="006A75A2" w:rsidRDefault="004E6C32" w:rsidP="004B5CB1">
      <w:r w:rsidRPr="006A75A2">
        <w:t>The Government established a medium term fiscal strategy in 2010 to set Victoria</w:t>
      </w:r>
      <w:r w:rsidR="00C96101" w:rsidRPr="006A75A2">
        <w:t>’</w:t>
      </w:r>
      <w:r w:rsidRPr="006A75A2">
        <w:t>s finances on a sustainable path, to enable investment in new infrastructure and services, while keeping taxes competitive and sustainably managing debt. The Government has met the goals it set in each of the past four years. Victoria is now in a strong financial position, the strongest of all the states and territories. Victoria is the only Australian state to hold a triple</w:t>
      </w:r>
      <w:r w:rsidRPr="006A75A2">
        <w:noBreakHyphen/>
        <w:t>A credit rating with a stable outlook from both major international credit rating agencies, recognising the Government</w:t>
      </w:r>
      <w:r w:rsidR="00C96101" w:rsidRPr="006A75A2">
        <w:t>’</w:t>
      </w:r>
      <w:r w:rsidRPr="006A75A2">
        <w:t>s disciplined approach to fiscal management. Since November 2010, there have been 11 ratings downgrades amongst the Australian states, affecting every state except Victoria.</w:t>
      </w:r>
    </w:p>
    <w:p w:rsidR="004E6C32" w:rsidRPr="006A75A2" w:rsidRDefault="004E6C32" w:rsidP="004B5CB1">
      <w:r w:rsidRPr="006A75A2">
        <w:t>Fiscal aggregates are useful for assessing the impact of the financial transactions of government and its controlled agencies on the economy. These measures, derived from the audited financial statements in Chapter 4, are shown in Table 2.1.</w:t>
      </w:r>
    </w:p>
    <w:p w:rsidR="004E6C32" w:rsidRPr="006A75A2" w:rsidRDefault="004E6C32">
      <w:pPr>
        <w:spacing w:after="0"/>
        <w:rPr>
          <w:rFonts w:ascii="Calibri" w:hAnsi="Calibri"/>
          <w:b/>
          <w:sz w:val="25"/>
        </w:rPr>
      </w:pPr>
      <w:r w:rsidRPr="006A75A2">
        <w:br w:type="page"/>
      </w:r>
    </w:p>
    <w:p w:rsidR="004E6C32" w:rsidRPr="006A75A2" w:rsidRDefault="004E6C32" w:rsidP="004B5CB1">
      <w:pPr>
        <w:pStyle w:val="Tableheading"/>
      </w:pPr>
      <w:r w:rsidRPr="006A75A2">
        <w:lastRenderedPageBreak/>
        <w:t>Table 2.1:</w:t>
      </w:r>
      <w:r w:rsidRPr="006A75A2">
        <w:tab/>
        <w:t>Key fiscal aggregates for general government sector</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6280"/>
        <w:gridCol w:w="1120"/>
        <w:gridCol w:w="1120"/>
        <w:gridCol w:w="1120"/>
      </w:tblGrid>
      <w:tr w:rsidR="004E6C32" w:rsidRPr="006A75A2" w:rsidTr="004B5CB1">
        <w:tc>
          <w:tcPr>
            <w:tcW w:w="628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2012-13 Actual</w:t>
            </w:r>
          </w:p>
        </w:tc>
        <w:tc>
          <w:tcPr>
            <w:tcW w:w="112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2013-14  Actual</w:t>
            </w: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2013-14 Revised</w:t>
            </w:r>
          </w:p>
        </w:tc>
      </w:tr>
      <w:tr w:rsidR="004E6C32" w:rsidRPr="006A75A2" w:rsidTr="004B5CB1">
        <w:tc>
          <w:tcPr>
            <w:tcW w:w="6280" w:type="dxa"/>
            <w:tcBorders>
              <w:top w:val="single" w:sz="6" w:space="0" w:color="auto"/>
              <w:left w:val="nil"/>
              <w:bottom w:val="nil"/>
              <w:right w:val="nil"/>
            </w:tcBorders>
          </w:tcPr>
          <w:p w:rsidR="004E6C32" w:rsidRPr="006A75A2" w:rsidRDefault="004E6C32" w:rsidP="00C96101">
            <w:pPr>
              <w:pStyle w:val="Tabletext"/>
              <w:rPr>
                <w:rFonts w:eastAsiaTheme="minorEastAsia" w:cs="Calibri"/>
                <w:b/>
                <w:bCs/>
                <w:szCs w:val="22"/>
                <w:vertAlign w:val="superscript"/>
                <w:lang w:eastAsia="en-AU"/>
              </w:rPr>
            </w:pPr>
            <w:r w:rsidRPr="006A75A2">
              <w:rPr>
                <w:rFonts w:eastAsiaTheme="minorEastAsia"/>
                <w:b/>
                <w:bCs/>
                <w:sz w:val="20"/>
                <w:szCs w:val="20"/>
                <w:lang w:eastAsia="en-AU"/>
              </w:rPr>
              <w:t>Net result from transactions – net operating balance as published in accordance with the accounting standards applying at the time of publication</w:t>
            </w:r>
            <w:r w:rsidRPr="006A75A2">
              <w:rPr>
                <w:rFonts w:eastAsiaTheme="minorEastAsia"/>
                <w:b/>
                <w:bCs/>
                <w:sz w:val="20"/>
                <w:szCs w:val="20"/>
                <w:vertAlign w:val="superscript"/>
                <w:lang w:eastAsia="en-AU"/>
              </w:rPr>
              <w:t>(a</w:t>
            </w:r>
            <w:r w:rsidRPr="006A75A2">
              <w:rPr>
                <w:rFonts w:eastAsiaTheme="minorEastAsia"/>
                <w:b/>
                <w:bCs/>
                <w:szCs w:val="22"/>
                <w:vertAlign w:val="superscript"/>
                <w:lang w:eastAsia="en-AU"/>
              </w:rPr>
              <w:t>)</w:t>
            </w:r>
          </w:p>
        </w:tc>
        <w:tc>
          <w:tcPr>
            <w:tcW w:w="1120" w:type="dxa"/>
            <w:tcBorders>
              <w:top w:val="single" w:sz="6" w:space="0" w:color="auto"/>
              <w:left w:val="nil"/>
              <w:bottom w:val="nil"/>
              <w:right w:val="nil"/>
            </w:tcBorders>
          </w:tcPr>
          <w:p w:rsidR="004E6C32" w:rsidRPr="006A75A2" w:rsidRDefault="004E6C32" w:rsidP="00C96101">
            <w:pPr>
              <w:pStyle w:val="TableofFigures"/>
              <w:rPr>
                <w:rFonts w:eastAsiaTheme="minorEastAsia"/>
                <w:b/>
                <w:sz w:val="20"/>
                <w:szCs w:val="20"/>
                <w:vertAlign w:val="superscript"/>
                <w:lang w:eastAsia="en-AU"/>
              </w:rPr>
            </w:pPr>
            <w:r w:rsidRPr="006A75A2">
              <w:rPr>
                <w:rFonts w:eastAsiaTheme="minorEastAsia"/>
                <w:b/>
                <w:sz w:val="20"/>
                <w:szCs w:val="20"/>
                <w:lang w:eastAsia="en-AU"/>
              </w:rPr>
              <w:t>316.4</w:t>
            </w:r>
            <w:r w:rsidRPr="006A75A2">
              <w:rPr>
                <w:rFonts w:eastAsiaTheme="minorEastAsia"/>
                <w:b/>
                <w:sz w:val="20"/>
                <w:szCs w:val="20"/>
                <w:vertAlign w:val="superscript"/>
                <w:lang w:eastAsia="en-AU"/>
              </w:rPr>
              <w:t>(a)</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highlight w:val="cyan"/>
                <w:lang w:eastAsia="en-AU"/>
              </w:rPr>
            </w:pPr>
            <w:r w:rsidRPr="006A75A2">
              <w:rPr>
                <w:rFonts w:eastAsiaTheme="minorEastAsia"/>
                <w:b/>
                <w:sz w:val="20"/>
                <w:szCs w:val="20"/>
                <w:highlight w:val="cyan"/>
                <w:lang w:eastAsia="en-AU"/>
              </w:rPr>
              <w:t xml:space="preserve"> </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Less impact of the revised accounting standard, AASB 119 </w:t>
            </w:r>
            <w:r w:rsidRPr="006A75A2">
              <w:rPr>
                <w:rFonts w:eastAsiaTheme="minorEastAsia"/>
                <w:i/>
                <w:iCs/>
                <w:sz w:val="20"/>
                <w:szCs w:val="20"/>
                <w:lang w:eastAsia="en-AU"/>
              </w:rPr>
              <w:t>Employee Benefits</w:t>
            </w:r>
            <w:r w:rsidRPr="006A75A2">
              <w:rPr>
                <w:rFonts w:eastAsiaTheme="minorEastAsia"/>
                <w:sz w:val="20"/>
                <w:szCs w:val="20"/>
                <w:lang w:eastAsia="en-AU"/>
              </w:rPr>
              <w:t xml:space="preserve"> applied in 2013-14, which changed the way defined benefit superannuation expenses are presented in the comparative year</w:t>
            </w:r>
          </w:p>
        </w:tc>
        <w:tc>
          <w:tcPr>
            <w:tcW w:w="1120" w:type="dxa"/>
            <w:tcBorders>
              <w:top w:val="nil"/>
              <w:left w:val="nil"/>
              <w:bottom w:val="single" w:sz="6" w:space="0" w:color="auto"/>
              <w:right w:val="nil"/>
            </w:tcBorders>
          </w:tcPr>
          <w:p w:rsidR="004E6C32" w:rsidRPr="006A75A2" w:rsidRDefault="004E6C32" w:rsidP="00C96101">
            <w:pPr>
              <w:pStyle w:val="TableofFigures"/>
              <w:rPr>
                <w:rFonts w:eastAsiaTheme="minorEastAsia"/>
                <w:sz w:val="20"/>
                <w:szCs w:val="20"/>
                <w:vertAlign w:val="superscript"/>
                <w:lang w:eastAsia="en-AU"/>
              </w:rPr>
            </w:pPr>
            <w:r w:rsidRPr="006A75A2">
              <w:rPr>
                <w:rFonts w:eastAsiaTheme="minorEastAsia"/>
                <w:sz w:val="20"/>
                <w:szCs w:val="20"/>
                <w:lang w:eastAsia="en-AU"/>
              </w:rPr>
              <w:t>(633.0)</w:t>
            </w:r>
            <w:r w:rsidRPr="006A75A2">
              <w:rPr>
                <w:rFonts w:eastAsiaTheme="minorEastAsia"/>
                <w:sz w:val="20"/>
                <w:szCs w:val="20"/>
                <w:vertAlign w:val="superscript"/>
                <w:lang w:eastAsia="en-AU"/>
              </w:rPr>
              <w:t>(a)</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4E6C32" w:rsidRPr="006A75A2" w:rsidTr="004B5CB1">
        <w:trPr>
          <w:trHeight w:val="65"/>
        </w:trPr>
        <w:tc>
          <w:tcPr>
            <w:tcW w:w="6280" w:type="dxa"/>
            <w:tcBorders>
              <w:top w:val="nil"/>
              <w:left w:val="nil"/>
              <w:bottom w:val="nil"/>
              <w:right w:val="nil"/>
            </w:tcBorders>
          </w:tcPr>
          <w:p w:rsidR="004E6C32" w:rsidRPr="006A75A2" w:rsidRDefault="004E6C32" w:rsidP="00C96101">
            <w:pPr>
              <w:pStyle w:val="Tabletext"/>
              <w:rPr>
                <w:rFonts w:eastAsiaTheme="minorEastAsia" w:cs="Calibri"/>
                <w:szCs w:val="22"/>
                <w:vertAlign w:val="superscript"/>
                <w:lang w:eastAsia="en-AU"/>
              </w:rPr>
            </w:pPr>
            <w:r w:rsidRPr="006A75A2">
              <w:rPr>
                <w:rFonts w:eastAsiaTheme="minorEastAsia"/>
                <w:sz w:val="20"/>
                <w:szCs w:val="20"/>
                <w:lang w:eastAsia="en-AU"/>
              </w:rPr>
              <w:t>Restated net result from transactions – net operating balance</w:t>
            </w:r>
            <w:r w:rsidRPr="006A75A2">
              <w:rPr>
                <w:rFonts w:eastAsiaTheme="minorEastAsia"/>
                <w:sz w:val="20"/>
                <w:szCs w:val="20"/>
                <w:vertAlign w:val="superscript"/>
                <w:lang w:eastAsia="en-AU"/>
              </w:rPr>
              <w:t>(</w:t>
            </w:r>
            <w:r w:rsidRPr="006A75A2">
              <w:rPr>
                <w:rFonts w:eastAsiaTheme="minorEastAsia" w:cs="Calibri"/>
                <w:szCs w:val="22"/>
                <w:vertAlign w:val="superscript"/>
                <w:lang w:eastAsia="en-AU"/>
              </w:rPr>
              <w:t>a)</w:t>
            </w:r>
          </w:p>
        </w:tc>
        <w:tc>
          <w:tcPr>
            <w:tcW w:w="1120" w:type="dxa"/>
            <w:tcBorders>
              <w:top w:val="nil"/>
              <w:left w:val="nil"/>
              <w:bottom w:val="nil"/>
              <w:right w:val="nil"/>
            </w:tcBorders>
          </w:tcPr>
          <w:p w:rsidR="004E6C32" w:rsidRPr="006A75A2" w:rsidRDefault="004E6C32" w:rsidP="00C96101">
            <w:pPr>
              <w:pStyle w:val="TableofFigures"/>
              <w:rPr>
                <w:rFonts w:eastAsiaTheme="minorEastAsia"/>
                <w:sz w:val="20"/>
                <w:szCs w:val="20"/>
                <w:vertAlign w:val="superscript"/>
                <w:lang w:eastAsia="en-AU"/>
              </w:rPr>
            </w:pPr>
            <w:r w:rsidRPr="006A75A2">
              <w:rPr>
                <w:rFonts w:eastAsiaTheme="minorEastAsia"/>
                <w:sz w:val="20"/>
                <w:szCs w:val="20"/>
                <w:lang w:eastAsia="en-AU"/>
              </w:rPr>
              <w:t>(316.6)</w:t>
            </w:r>
            <w:r w:rsidRPr="006A75A2">
              <w:rPr>
                <w:rFonts w:eastAsiaTheme="minorEastAsia"/>
                <w:sz w:val="20"/>
                <w:szCs w:val="20"/>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1 976.2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934.7</w:t>
            </w:r>
          </w:p>
        </w:tc>
      </w:tr>
      <w:tr w:rsidR="004E6C32" w:rsidRPr="006A75A2" w:rsidTr="004B5CB1">
        <w:tc>
          <w:tcPr>
            <w:tcW w:w="6280" w:type="dxa"/>
            <w:tcBorders>
              <w:top w:val="nil"/>
              <w:left w:val="nil"/>
              <w:bottom w:val="nil"/>
              <w:right w:val="nil"/>
            </w:tcBorders>
          </w:tcPr>
          <w:p w:rsidR="004E6C32" w:rsidRPr="006A75A2" w:rsidRDefault="004E6C32" w:rsidP="00C96101">
            <w:pPr>
              <w:pStyle w:val="Tabletext"/>
              <w:rPr>
                <w:rFonts w:eastAsiaTheme="minorEastAsia" w:cs="Calibri"/>
                <w:szCs w:val="22"/>
                <w:vertAlign w:val="superscript"/>
                <w:lang w:eastAsia="en-AU"/>
              </w:rPr>
            </w:pPr>
            <w:r w:rsidRPr="006A75A2">
              <w:rPr>
                <w:rFonts w:eastAsiaTheme="minorEastAsia"/>
                <w:sz w:val="20"/>
                <w:szCs w:val="20"/>
                <w:lang w:eastAsia="en-AU"/>
              </w:rPr>
              <w:t>Net result</w:t>
            </w:r>
            <w:r w:rsidRPr="006A75A2">
              <w:rPr>
                <w:rFonts w:eastAsiaTheme="minorEastAsia"/>
                <w:sz w:val="20"/>
                <w:szCs w:val="20"/>
                <w:vertAlign w:val="superscript"/>
                <w:lang w:eastAsia="en-AU"/>
              </w:rPr>
              <w:t>(a</w:t>
            </w:r>
            <w:r w:rsidRPr="006A75A2">
              <w:rPr>
                <w:rFonts w:eastAsiaTheme="minorEastAsia" w:cs="Calibri"/>
                <w:szCs w:val="22"/>
                <w:vertAlign w:val="superscript"/>
                <w:lang w:eastAsia="en-AU"/>
              </w:rPr>
              <w:t>)</w:t>
            </w:r>
          </w:p>
        </w:tc>
        <w:tc>
          <w:tcPr>
            <w:tcW w:w="1120" w:type="dxa"/>
            <w:tcBorders>
              <w:top w:val="nil"/>
              <w:left w:val="nil"/>
              <w:bottom w:val="nil"/>
              <w:right w:val="nil"/>
            </w:tcBorders>
          </w:tcPr>
          <w:p w:rsidR="004E6C32" w:rsidRPr="006A75A2" w:rsidRDefault="00C96101" w:rsidP="004B5CB1">
            <w:pPr>
              <w:pStyle w:val="TableofFigures"/>
              <w:rPr>
                <w:rFonts w:eastAsiaTheme="minorEastAsia"/>
                <w:sz w:val="20"/>
                <w:szCs w:val="20"/>
                <w:lang w:eastAsia="en-AU"/>
              </w:rPr>
            </w:pPr>
            <w:r w:rsidRPr="006A75A2">
              <w:rPr>
                <w:rFonts w:eastAsiaTheme="minorEastAsia"/>
                <w:sz w:val="20"/>
                <w:szCs w:val="20"/>
                <w:lang w:eastAsia="en-AU"/>
              </w:rPr>
              <w:t>(533.9)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773.1</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0"/>
                <w:szCs w:val="20"/>
                <w:lang w:eastAsia="en-AU"/>
              </w:rPr>
              <w:t>(106.9)</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Net lending (borrowing)</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(1 832.9)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1 259.0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310.6</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Comprehensive result – total change in net worth</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8 506.0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7 304.5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5 191.5</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Cash surplus/(deficit)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(2 192.9)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216.2</w:t>
            </w:r>
          </w:p>
        </w:tc>
        <w:tc>
          <w:tcPr>
            <w:tcW w:w="1120" w:type="dxa"/>
            <w:tcBorders>
              <w:top w:val="nil"/>
              <w:left w:val="nil"/>
              <w:bottom w:val="single" w:sz="6" w:space="0" w:color="auto"/>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0"/>
                <w:szCs w:val="20"/>
                <w:lang w:eastAsia="en-AU"/>
              </w:rPr>
              <w:t>(377.2)</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Balance sheet aggregates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Net worth</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120 182.6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127 486.9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125 359.4</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Net financial worth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18 090.1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22 318.8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22 640.6</w:t>
            </w:r>
          </w:p>
        </w:tc>
      </w:tr>
      <w:tr w:rsidR="004E6C32" w:rsidRPr="006A75A2" w:rsidTr="004B5CB1">
        <w:tc>
          <w:tcPr>
            <w:tcW w:w="6280" w:type="dxa"/>
            <w:tcBorders>
              <w:top w:val="nil"/>
              <w:left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Net financial liabilities</w:t>
            </w:r>
          </w:p>
        </w:tc>
        <w:tc>
          <w:tcPr>
            <w:tcW w:w="1120" w:type="dxa"/>
            <w:tcBorders>
              <w:top w:val="nil"/>
              <w:left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51 624.7</w:t>
            </w:r>
          </w:p>
        </w:tc>
        <w:tc>
          <w:tcPr>
            <w:tcW w:w="1120" w:type="dxa"/>
            <w:tcBorders>
              <w:top w:val="nil"/>
              <w:left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53 550.4</w:t>
            </w:r>
          </w:p>
        </w:tc>
        <w:tc>
          <w:tcPr>
            <w:tcW w:w="1120" w:type="dxa"/>
            <w:tcBorders>
              <w:top w:val="nil"/>
              <w:left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51 452.7</w:t>
            </w:r>
          </w:p>
        </w:tc>
      </w:tr>
      <w:tr w:rsidR="004E6C32" w:rsidRPr="006A75A2" w:rsidTr="004B5CB1">
        <w:tc>
          <w:tcPr>
            <w:tcW w:w="6280"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Net debt</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19 822.1</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21 174.6</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21 515.0</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are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r w:rsidRPr="006A75A2">
        <w:rPr>
          <w:rFonts w:asciiTheme="minorHAnsi" w:hAnsiTheme="minorHAnsi" w:cstheme="minorHAnsi"/>
          <w:szCs w:val="16"/>
          <w:shd w:val="clear" w:color="auto" w:fill="FFC000"/>
        </w:rPr>
        <w:t xml:space="preserve"> </w:t>
      </w:r>
    </w:p>
    <w:p w:rsidR="004E6C32" w:rsidRPr="006A75A2" w:rsidRDefault="004E6C32" w:rsidP="004B5CB1"/>
    <w:p w:rsidR="004E6C32" w:rsidRPr="006A75A2" w:rsidRDefault="004E6C32" w:rsidP="004B5CB1">
      <w:r w:rsidRPr="006A75A2">
        <w:t xml:space="preserve">The Government achieved a </w:t>
      </w:r>
      <w:r w:rsidRPr="006A75A2">
        <w:rPr>
          <w:b/>
        </w:rPr>
        <w:t>net result</w:t>
      </w:r>
      <w:r w:rsidRPr="006A75A2">
        <w:t xml:space="preserve"> </w:t>
      </w:r>
      <w:r w:rsidRPr="006A75A2">
        <w:rPr>
          <w:b/>
        </w:rPr>
        <w:t>from transactions</w:t>
      </w:r>
      <w:r w:rsidRPr="006A75A2">
        <w:t xml:space="preserve"> of a surplus of $2.0 billion, $1.0 billion higher than the revised 2013</w:t>
      </w:r>
      <w:r w:rsidRPr="006A75A2">
        <w:noBreakHyphen/>
        <w:t>14 estimate. The difference was mainly due to the early unexpected receipt of Commonwealth grants payments which were not known or reflected in the revised estimate for 2013</w:t>
      </w:r>
      <w:r w:rsidRPr="006A75A2">
        <w:noBreakHyphen/>
        <w:t>14 at the time of the state</w:t>
      </w:r>
      <w:r w:rsidR="00C96101" w:rsidRPr="006A75A2">
        <w:t>’</w:t>
      </w:r>
      <w:r w:rsidRPr="006A75A2">
        <w:t xml:space="preserve">s </w:t>
      </w:r>
      <w:r w:rsidRPr="006A75A2">
        <w:rPr>
          <w:i/>
        </w:rPr>
        <w:t>2014-15 Budget</w:t>
      </w:r>
      <w:r w:rsidRPr="006A75A2">
        <w:t xml:space="preserve">. </w:t>
      </w:r>
    </w:p>
    <w:p w:rsidR="004E6C32" w:rsidRPr="006A75A2" w:rsidRDefault="004E6C32" w:rsidP="004B5CB1">
      <w:r w:rsidRPr="006A75A2">
        <w:t xml:space="preserve">The </w:t>
      </w:r>
      <w:r w:rsidRPr="006A75A2">
        <w:rPr>
          <w:b/>
        </w:rPr>
        <w:t>net result</w:t>
      </w:r>
      <w:r w:rsidRPr="006A75A2">
        <w:t xml:space="preserve"> is a further measure of financial performance for the period, including the impact of financial market movements on the valuation of assets and liabilities. The net result improved from a deficit of $533.9 million in 2012-13 to a surplus of $773.1 million in 2013-14. This was mainly due to the improvement in the net result from transactions largely reflecting an increase in Commonwealth grants, partially offset by the accounting impact of deconsolidating four dual sector TAFE divisions of universities from 1 January 2014. The control of these reporting entities was transferred from the State to the relevant universities.</w:t>
      </w:r>
    </w:p>
    <w:p w:rsidR="004E6C32" w:rsidRPr="006A75A2" w:rsidRDefault="004E6C32" w:rsidP="004B5CB1">
      <w:r w:rsidRPr="006A75A2">
        <w:t xml:space="preserve">The </w:t>
      </w:r>
      <w:r w:rsidRPr="006A75A2">
        <w:rPr>
          <w:b/>
        </w:rPr>
        <w:t>net lending (borrowing)</w:t>
      </w:r>
      <w:r w:rsidRPr="006A75A2">
        <w:t xml:space="preserve"> measure broadly reflects the net impact of the general government sector on the economy and financial markets, including the impact of operating and capital investing transactions. This measure has moved from a net borrowing position of $1.8 billion in 2012</w:t>
      </w:r>
      <w:r w:rsidRPr="006A75A2">
        <w:noBreakHyphen/>
        <w:t>13 to a net lending position of $1.3 billion in 2013</w:t>
      </w:r>
      <w:r w:rsidRPr="006A75A2">
        <w:noBreakHyphen/>
        <w:t>14, mainly due to the significant improvement in the operating result of the general government sector in 2013</w:t>
      </w:r>
      <w:r w:rsidRPr="006A75A2">
        <w:noBreakHyphen/>
        <w:t xml:space="preserve">14. </w:t>
      </w:r>
    </w:p>
    <w:p w:rsidR="004E6C32" w:rsidRPr="006A75A2" w:rsidRDefault="004E6C32" w:rsidP="004B5CB1">
      <w:pPr>
        <w:rPr>
          <w:rFonts w:cs="Garamond"/>
          <w:szCs w:val="24"/>
          <w:lang w:eastAsia="en-AU"/>
        </w:rPr>
      </w:pPr>
      <w:r w:rsidRPr="006A75A2">
        <w:rPr>
          <w:rFonts w:cs="Garamond"/>
          <w:szCs w:val="24"/>
          <w:lang w:eastAsia="en-AU"/>
        </w:rPr>
        <w:t xml:space="preserve">The 2013-14 </w:t>
      </w:r>
      <w:r w:rsidRPr="006A75A2">
        <w:rPr>
          <w:rFonts w:cs="Garamond"/>
          <w:b/>
          <w:bCs/>
          <w:szCs w:val="24"/>
          <w:lang w:eastAsia="en-AU"/>
        </w:rPr>
        <w:t>comprehensive result – total change in net worth</w:t>
      </w:r>
      <w:r w:rsidRPr="006A75A2">
        <w:rPr>
          <w:rFonts w:cs="Garamond"/>
          <w:szCs w:val="24"/>
          <w:lang w:eastAsia="en-AU"/>
        </w:rPr>
        <w:t xml:space="preserve"> was a gain of $7.3 billion, compared with $8.5 billion for the 2012-13 financial year, a decrease of $1.2 billion across the years. The movement was attributed to an $8.2 billion reduction in the remeasurement gain on superannuation due to lower bond yields, partially offset by a $4.3 billion net gain in equity investments in other sectors reflecting revaluation gains of the housing assets in the public non</w:t>
      </w:r>
      <w:r w:rsidRPr="006A75A2">
        <w:rPr>
          <w:rFonts w:cs="Garamond"/>
          <w:szCs w:val="24"/>
          <w:lang w:eastAsia="en-AU"/>
        </w:rPr>
        <w:noBreakHyphen/>
        <w:t xml:space="preserve">financial corporation sector and an improved net asset position of the public financial corporation sector. The non-financial assets revaluation surplus also increased by $1.5 billion mainly due to the building revaluation gains in the health sector. The improvement in the net result as explained above also affected this measure. </w:t>
      </w:r>
    </w:p>
    <w:p w:rsidR="004E6C32" w:rsidRPr="006A75A2" w:rsidRDefault="004E6C32" w:rsidP="004B5CB1">
      <w:r w:rsidRPr="006A75A2">
        <w:lastRenderedPageBreak/>
        <w:t xml:space="preserve">The </w:t>
      </w:r>
      <w:r w:rsidRPr="006A75A2">
        <w:rPr>
          <w:b/>
        </w:rPr>
        <w:t>cash surplus/(deficit)</w:t>
      </w:r>
      <w:r w:rsidRPr="006A75A2">
        <w:t xml:space="preserve"> reflects the sum of net cash flows from operating and capital investing activities. The improvement from deficit positions in both the 2012-13 actual outcome and the 2013-14 revised estimate to a surplus position in the 2013-14 actual outcome was due to higher Commonwealth grants and taxation revenue.</w:t>
      </w:r>
    </w:p>
    <w:p w:rsidR="004E6C32" w:rsidRPr="006A75A2" w:rsidRDefault="004E6C32" w:rsidP="004B5CB1">
      <w:r w:rsidRPr="006A75A2">
        <w:rPr>
          <w:b/>
        </w:rPr>
        <w:t>Net worth</w:t>
      </w:r>
      <w:r w:rsidRPr="006A75A2">
        <w:t xml:space="preserve"> is a measure of economic wealth and is equal to net assets outlined in Table 2.4. The general government sector net worth increased by $7.3 billion since 30 June 2013. The increase in net worth was mainly caused by the increase in </w:t>
      </w:r>
      <w:r w:rsidRPr="006A75A2">
        <w:rPr>
          <w:b/>
        </w:rPr>
        <w:t>net financial worth</w:t>
      </w:r>
      <w:r w:rsidRPr="006A75A2">
        <w:t>, which is equal to total financial assets less total liabilities. During 2013</w:t>
      </w:r>
      <w:r w:rsidRPr="006A75A2">
        <w:noBreakHyphen/>
        <w:t>14, net financial worth increased by $4.2 billion to $22.3 billion. This was primarily due to an increase in the value of investments in the non-financial public sector relating to revaluation gains of housing assets and the transfer of rail infrastructure assets to Victorian Rail Track by Public Transport Victoria, partially offset by increased borrowings in 2013</w:t>
      </w:r>
      <w:r w:rsidRPr="006A75A2">
        <w:noBreakHyphen/>
        <w:t>14 to fund capital expenditure programs. Further to net financial worth, net worth reflected an additional increase of $2.8 billion mainly reflecting new infrastructure investments and revaluation gains on hospital land and buildings in the general government sector.</w:t>
      </w:r>
    </w:p>
    <w:p w:rsidR="004E6C32" w:rsidRPr="006A75A2" w:rsidRDefault="004E6C32" w:rsidP="004B5CB1">
      <w:r w:rsidRPr="006A75A2">
        <w:rPr>
          <w:b/>
        </w:rPr>
        <w:t>Net financial liabilities</w:t>
      </w:r>
      <w:r w:rsidRPr="006A75A2">
        <w:t xml:space="preserve"> are total liabilities less financial assets (excluding investments in other sector entities). Net financial liabilities were $53.6 billion as at 30 June 2014, increasing by $1.9 billion compared with 2012</w:t>
      </w:r>
      <w:r w:rsidRPr="006A75A2">
        <w:noBreakHyphen/>
        <w:t>13. This was due largely to the same factors that affected on the net financial worth and net debt.</w:t>
      </w:r>
    </w:p>
    <w:p w:rsidR="004E6C32" w:rsidRPr="006A75A2" w:rsidRDefault="004E6C32" w:rsidP="004B5CB1">
      <w:r w:rsidRPr="006A75A2">
        <w:rPr>
          <w:b/>
        </w:rPr>
        <w:t>Net debt</w:t>
      </w:r>
      <w:r w:rsidRPr="006A75A2">
        <w:rPr>
          <w:i/>
        </w:rPr>
        <w:t xml:space="preserve"> </w:t>
      </w:r>
      <w:r w:rsidRPr="006A75A2">
        <w:t>is gross debt less liquid financial assets. Net debt for 2013-14 was consistent with the revised budget expectations at $21.2 billion. The increase in net debt year on year was driven by additional borrowings required to finance the Government</w:t>
      </w:r>
      <w:r w:rsidR="00C96101" w:rsidRPr="006A75A2">
        <w:t>’</w:t>
      </w:r>
      <w:r w:rsidRPr="006A75A2">
        <w:t xml:space="preserve">s infrastructure program. </w:t>
      </w:r>
    </w:p>
    <w:p w:rsidR="004E6C32" w:rsidRPr="006A75A2" w:rsidRDefault="004E6C32">
      <w:pPr>
        <w:spacing w:after="0"/>
        <w:rPr>
          <w:rFonts w:ascii="Calibri" w:hAnsi="Calibri"/>
          <w:b/>
          <w:caps/>
          <w:sz w:val="28"/>
          <w:szCs w:val="22"/>
        </w:rPr>
      </w:pPr>
      <w:bookmarkStart w:id="5" w:name="_Toc367967885"/>
      <w:r w:rsidRPr="006A75A2">
        <w:br w:type="page"/>
      </w:r>
    </w:p>
    <w:p w:rsidR="004E6C32" w:rsidRPr="006A75A2" w:rsidRDefault="004E6C32" w:rsidP="004B5CB1">
      <w:pPr>
        <w:pStyle w:val="Heading1"/>
      </w:pPr>
      <w:bookmarkStart w:id="6" w:name="_Toc400040229"/>
      <w:r w:rsidRPr="006A75A2">
        <w:lastRenderedPageBreak/>
        <w:t>Financial performance</w:t>
      </w:r>
      <w:bookmarkEnd w:id="5"/>
      <w:bookmarkEnd w:id="6"/>
    </w:p>
    <w:p w:rsidR="004E6C32" w:rsidRPr="006A75A2" w:rsidRDefault="004E6C32" w:rsidP="004B5CB1">
      <w:r w:rsidRPr="006A75A2">
        <w:t>Table 2.2 shows that the Government delivered an operating surplus of $2.0 billion in 2013</w:t>
      </w:r>
      <w:r w:rsidRPr="006A75A2">
        <w:noBreakHyphen/>
        <w:t>14, compared with the revised 2013</w:t>
      </w:r>
      <w:r w:rsidRPr="006A75A2">
        <w:noBreakHyphen/>
        <w:t xml:space="preserve">14 estimate of $935 million. </w:t>
      </w:r>
    </w:p>
    <w:p w:rsidR="004E6C32" w:rsidRPr="006A75A2" w:rsidRDefault="004E6C32" w:rsidP="004B5CB1">
      <w:pPr>
        <w:pStyle w:val="Tableheading"/>
      </w:pPr>
      <w:r w:rsidRPr="006A75A2">
        <w:t>Table 2.2:</w:t>
      </w:r>
      <w:r w:rsidRPr="006A75A2">
        <w:tab/>
        <w:t>Summary of operating statement</w:t>
      </w:r>
    </w:p>
    <w:p w:rsidR="004E6C32" w:rsidRPr="006A75A2" w:rsidRDefault="004E6C32" w:rsidP="004B5CB1">
      <w:pPr>
        <w:pStyle w:val="million"/>
        <w:rPr>
          <w:rFonts w:ascii="Times New Roman" w:hAnsi="Times New Roman"/>
          <w:lang w:eastAsia="en-AU"/>
        </w:rPr>
      </w:pPr>
      <w:r w:rsidRPr="006A75A2">
        <w:t>($ million)</w:t>
      </w:r>
    </w:p>
    <w:tbl>
      <w:tblPr>
        <w:tblW w:w="9640" w:type="dxa"/>
        <w:tblInd w:w="29" w:type="dxa"/>
        <w:tblLayout w:type="fixed"/>
        <w:tblCellMar>
          <w:left w:w="43" w:type="dxa"/>
          <w:right w:w="43" w:type="dxa"/>
        </w:tblCellMar>
        <w:tblLook w:val="0000" w:firstRow="0" w:lastRow="0" w:firstColumn="0" w:lastColumn="0" w:noHBand="0" w:noVBand="0"/>
      </w:tblPr>
      <w:tblGrid>
        <w:gridCol w:w="4040"/>
        <w:gridCol w:w="1120"/>
        <w:gridCol w:w="1120"/>
        <w:gridCol w:w="1120"/>
        <w:gridCol w:w="1120"/>
        <w:gridCol w:w="1120"/>
      </w:tblGrid>
      <w:tr w:rsidR="004E6C32" w:rsidRPr="006A75A2" w:rsidTr="004B5CB1">
        <w:tc>
          <w:tcPr>
            <w:tcW w:w="4040" w:type="dxa"/>
            <w:tcBorders>
              <w:top w:val="single" w:sz="6" w:space="0" w:color="000000"/>
              <w:left w:val="single" w:sz="6" w:space="0" w:color="000000"/>
              <w:bottom w:val="single" w:sz="6" w:space="0" w:color="000000"/>
              <w:right w:val="nil"/>
            </w:tcBorders>
            <w:shd w:val="clear" w:color="auto" w:fill="000000"/>
          </w:tcPr>
          <w:p w:rsidR="004E6C32" w:rsidRPr="006A75A2" w:rsidRDefault="004E6C32" w:rsidP="004B5CB1">
            <w:pPr>
              <w:pStyle w:val="Tabletext"/>
              <w:rPr>
                <w:rFonts w:eastAsiaTheme="minorEastAsia"/>
                <w:sz w:val="20"/>
                <w:szCs w:val="20"/>
              </w:rPr>
            </w:pPr>
            <w:r w:rsidRPr="006A75A2">
              <w:rPr>
                <w:rFonts w:eastAsiaTheme="minorEastAsia"/>
                <w:sz w:val="20"/>
                <w:szCs w:val="20"/>
              </w:rPr>
              <w:t xml:space="preserve"> </w:t>
            </w:r>
          </w:p>
        </w:tc>
        <w:tc>
          <w:tcPr>
            <w:tcW w:w="1120" w:type="dxa"/>
            <w:tcBorders>
              <w:top w:val="single" w:sz="6" w:space="0" w:color="000000"/>
              <w:left w:val="nil"/>
              <w:bottom w:val="single" w:sz="6" w:space="0" w:color="000000"/>
              <w:right w:val="nil"/>
            </w:tcBorders>
            <w:shd w:val="clear" w:color="auto" w:fill="000000"/>
          </w:tcPr>
          <w:p w:rsidR="004E6C32" w:rsidRPr="006A75A2" w:rsidRDefault="004E6C32" w:rsidP="004B5CB1">
            <w:pPr>
              <w:pStyle w:val="Tabletextheading"/>
              <w:rPr>
                <w:rFonts w:eastAsiaTheme="minorEastAsia"/>
                <w:sz w:val="20"/>
                <w:szCs w:val="20"/>
              </w:rPr>
            </w:pPr>
            <w:r w:rsidRPr="006A75A2">
              <w:rPr>
                <w:rFonts w:eastAsiaTheme="minorEastAsia"/>
                <w:sz w:val="20"/>
                <w:szCs w:val="20"/>
              </w:rPr>
              <w:t>2013-14  Actual</w:t>
            </w:r>
          </w:p>
        </w:tc>
        <w:tc>
          <w:tcPr>
            <w:tcW w:w="1120" w:type="dxa"/>
            <w:tcBorders>
              <w:top w:val="single" w:sz="6" w:space="0" w:color="000000"/>
              <w:left w:val="nil"/>
              <w:bottom w:val="single" w:sz="6" w:space="0" w:color="000000"/>
              <w:right w:val="nil"/>
            </w:tcBorders>
            <w:shd w:val="clear" w:color="auto" w:fill="000000"/>
          </w:tcPr>
          <w:p w:rsidR="004E6C32" w:rsidRPr="006A75A2" w:rsidRDefault="004E6C32" w:rsidP="004B5CB1">
            <w:pPr>
              <w:pStyle w:val="Tabletextheading"/>
              <w:rPr>
                <w:rFonts w:eastAsiaTheme="minorEastAsia"/>
                <w:sz w:val="20"/>
                <w:szCs w:val="20"/>
              </w:rPr>
            </w:pPr>
            <w:r w:rsidRPr="006A75A2">
              <w:rPr>
                <w:rFonts w:eastAsiaTheme="minorEastAsia"/>
                <w:sz w:val="20"/>
                <w:szCs w:val="20"/>
              </w:rPr>
              <w:t>2013-14 Revised</w:t>
            </w:r>
          </w:p>
        </w:tc>
        <w:tc>
          <w:tcPr>
            <w:tcW w:w="1120" w:type="dxa"/>
            <w:tcBorders>
              <w:top w:val="single" w:sz="6" w:space="0" w:color="000000"/>
              <w:left w:val="nil"/>
              <w:bottom w:val="single" w:sz="6" w:space="0" w:color="000000"/>
              <w:right w:val="nil"/>
            </w:tcBorders>
            <w:shd w:val="clear" w:color="auto" w:fill="000000"/>
          </w:tcPr>
          <w:p w:rsidR="004E6C32" w:rsidRPr="006A75A2" w:rsidRDefault="004E6C32" w:rsidP="004B5CB1">
            <w:pPr>
              <w:pStyle w:val="Tabletextheading"/>
              <w:rPr>
                <w:rFonts w:eastAsiaTheme="minorEastAsia"/>
                <w:sz w:val="20"/>
                <w:szCs w:val="20"/>
              </w:rPr>
            </w:pPr>
            <w:r w:rsidRPr="006A75A2">
              <w:rPr>
                <w:rFonts w:eastAsiaTheme="minorEastAsia"/>
                <w:sz w:val="20"/>
                <w:szCs w:val="20"/>
              </w:rPr>
              <w:t>Revised variance</w:t>
            </w:r>
          </w:p>
        </w:tc>
        <w:tc>
          <w:tcPr>
            <w:tcW w:w="1120" w:type="dxa"/>
            <w:tcBorders>
              <w:top w:val="single" w:sz="6" w:space="0" w:color="000000"/>
              <w:left w:val="nil"/>
              <w:bottom w:val="single" w:sz="6" w:space="0" w:color="000000"/>
              <w:right w:val="nil"/>
            </w:tcBorders>
            <w:shd w:val="clear" w:color="auto" w:fill="000000"/>
          </w:tcPr>
          <w:p w:rsidR="004E6C32" w:rsidRPr="006A75A2" w:rsidRDefault="004E6C32" w:rsidP="004B5CB1">
            <w:pPr>
              <w:pStyle w:val="Tabletextheading"/>
              <w:rPr>
                <w:rFonts w:eastAsiaTheme="minorEastAsia" w:cs="Calibri"/>
                <w:iCs/>
                <w:sz w:val="20"/>
                <w:szCs w:val="20"/>
                <w:lang w:eastAsia="en-AU"/>
              </w:rPr>
            </w:pPr>
            <w:r w:rsidRPr="006A75A2">
              <w:rPr>
                <w:rFonts w:eastAsiaTheme="minorEastAsia"/>
                <w:sz w:val="20"/>
                <w:szCs w:val="20"/>
              </w:rPr>
              <w:t>% Revised</w:t>
            </w:r>
            <w:r w:rsidRPr="006A75A2">
              <w:rPr>
                <w:rFonts w:eastAsiaTheme="minorEastAsia" w:cs="Calibri"/>
                <w:iCs/>
                <w:sz w:val="20"/>
                <w:szCs w:val="20"/>
                <w:lang w:eastAsia="en-AU"/>
              </w:rPr>
              <w:t xml:space="preserve"> variance</w:t>
            </w:r>
          </w:p>
        </w:tc>
        <w:tc>
          <w:tcPr>
            <w:tcW w:w="1120" w:type="dxa"/>
            <w:tcBorders>
              <w:top w:val="single" w:sz="6" w:space="0" w:color="000000"/>
              <w:left w:val="nil"/>
              <w:bottom w:val="single" w:sz="6" w:space="0" w:color="000000"/>
              <w:right w:val="single" w:sz="6" w:space="0" w:color="000000"/>
            </w:tcBorders>
            <w:shd w:val="clear" w:color="auto" w:fill="000000"/>
          </w:tcPr>
          <w:p w:rsidR="004E6C32" w:rsidRPr="006A75A2" w:rsidRDefault="004E6C32" w:rsidP="004B5CB1">
            <w:pPr>
              <w:pStyle w:val="Tabletextheading"/>
              <w:rPr>
                <w:rFonts w:eastAsiaTheme="minorEastAsia"/>
                <w:sz w:val="20"/>
                <w:szCs w:val="20"/>
              </w:rPr>
            </w:pPr>
            <w:r w:rsidRPr="006A75A2">
              <w:rPr>
                <w:rFonts w:eastAsiaTheme="minorEastAsia"/>
                <w:sz w:val="20"/>
                <w:szCs w:val="20"/>
              </w:rPr>
              <w:t>2012-13 Actual</w:t>
            </w:r>
          </w:p>
        </w:tc>
      </w:tr>
      <w:tr w:rsidR="004E6C32" w:rsidRPr="006A75A2" w:rsidTr="004B5CB1">
        <w:tc>
          <w:tcPr>
            <w:tcW w:w="4040" w:type="dxa"/>
            <w:tcBorders>
              <w:top w:val="single" w:sz="6" w:space="0" w:color="000000"/>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Revenue from transactions</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Taxation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16 900.9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16 857.5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43.4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0.3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15 530.7</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Interest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831.2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843.7</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(12.5)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700.7</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Dividends and income tax equivalent and rate equivalent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445.9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646.0</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(200.1)</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(31.0)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1 341.7</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Sales of goods and services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6 724.8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6 569.9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154.9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6 869.3</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Grants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25 144.9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24 082.3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1 062.6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21 902.2</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Other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2 316.9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2 094.1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222.8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10.6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2 268.3</w:t>
            </w:r>
          </w:p>
        </w:tc>
      </w:tr>
      <w:tr w:rsidR="004E6C32" w:rsidRPr="006A75A2" w:rsidTr="004B5CB1">
        <w:tc>
          <w:tcPr>
            <w:tcW w:w="4040" w:type="dxa"/>
            <w:tcBorders>
              <w:top w:val="single" w:sz="6" w:space="0" w:color="auto"/>
              <w:left w:val="nil"/>
              <w:bottom w:val="nil"/>
              <w:right w:val="nil"/>
            </w:tcBorders>
          </w:tcPr>
          <w:p w:rsidR="004E6C32" w:rsidRPr="006A75A2" w:rsidRDefault="004E6C32" w:rsidP="004B5CB1">
            <w:pPr>
              <w:pStyle w:val="Tabletext"/>
              <w:rPr>
                <w:rFonts w:eastAsiaTheme="minorEastAsia"/>
                <w:b/>
                <w:sz w:val="20"/>
                <w:szCs w:val="20"/>
              </w:rPr>
            </w:pPr>
            <w:r w:rsidRPr="006A75A2">
              <w:rPr>
                <w:rFonts w:eastAsiaTheme="minorEastAsia"/>
                <w:b/>
                <w:sz w:val="20"/>
                <w:szCs w:val="20"/>
              </w:rPr>
              <w:t>Total revenue from transactions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52 364.7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51 093.5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1 271.2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48 612.9</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Expenses from transactions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Employee expenses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18 012.0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18 106.5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(94.5)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(0.5)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17 788.5</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rPr>
            </w:pPr>
            <w:r w:rsidRPr="006A75A2">
              <w:rPr>
                <w:rFonts w:eastAsiaTheme="minorEastAsia"/>
                <w:sz w:val="20"/>
                <w:szCs w:val="20"/>
              </w:rPr>
              <w:t>Superannuation interest expense</w:t>
            </w:r>
            <w:r w:rsidRPr="006A75A2">
              <w:rPr>
                <w:rFonts w:eastAsiaTheme="minorEastAsia"/>
                <w:sz w:val="20"/>
                <w:szCs w:val="20"/>
                <w:vertAlign w:val="superscript"/>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1 052.1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1 052.1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1 079.3</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Other superannuation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1 876.4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1 823.4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53.0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1 924.0</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Depreciation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2 363.8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2 418.1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(54.4)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2 254.3</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Interest expense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2 138.5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2 171.5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(33.0)</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1 775.3</w:t>
            </w:r>
          </w:p>
        </w:tc>
      </w:tr>
      <w:tr w:rsidR="004E6C32" w:rsidRPr="006A75A2" w:rsidTr="004B5CB1">
        <w:tc>
          <w:tcPr>
            <w:tcW w:w="404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0"/>
                <w:szCs w:val="20"/>
              </w:rPr>
            </w:pPr>
            <w:r w:rsidRPr="006A75A2">
              <w:rPr>
                <w:rFonts w:eastAsiaTheme="minorEastAsia"/>
                <w:sz w:val="20"/>
                <w:szCs w:val="20"/>
              </w:rPr>
              <w:t>Other operating expenses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17 360.1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16 687.8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672.4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16 094.1</w:t>
            </w:r>
          </w:p>
        </w:tc>
      </w:tr>
      <w:tr w:rsidR="004E6C32" w:rsidRPr="006A75A2" w:rsidTr="004B5CB1">
        <w:tc>
          <w:tcPr>
            <w:tcW w:w="4040"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rPr>
              <w:t xml:space="preserve">Grants and other </w:t>
            </w:r>
            <w:r w:rsidRPr="006A75A2">
              <w:rPr>
                <w:rFonts w:eastAsiaTheme="minorEastAsia" w:cs="Calibri"/>
                <w:sz w:val="20"/>
                <w:szCs w:val="20"/>
                <w:lang w:eastAsia="en-AU"/>
              </w:rPr>
              <w:t>transfers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7 585.6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7 899.5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(313.8)</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 w:val="20"/>
                <w:szCs w:val="20"/>
                <w:lang w:eastAsia="en-AU"/>
              </w:rPr>
            </w:pPr>
            <w:r w:rsidRPr="006A75A2">
              <w:rPr>
                <w:rFonts w:eastAsiaTheme="minorEastAsia"/>
                <w:sz w:val="20"/>
                <w:szCs w:val="20"/>
                <w:lang w:eastAsia="en-AU"/>
              </w:rPr>
              <w:t>(4.0)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8 013.9</w:t>
            </w:r>
          </w:p>
        </w:tc>
      </w:tr>
      <w:tr w:rsidR="004E6C32" w:rsidRPr="006A75A2" w:rsidTr="004B5CB1">
        <w:tc>
          <w:tcPr>
            <w:tcW w:w="4040" w:type="dxa"/>
            <w:tcBorders>
              <w:top w:val="single" w:sz="6" w:space="0" w:color="auto"/>
              <w:left w:val="nil"/>
              <w:bottom w:val="nil"/>
              <w:right w:val="nil"/>
            </w:tcBorders>
          </w:tcPr>
          <w:p w:rsidR="004E6C32" w:rsidRPr="006A75A2" w:rsidRDefault="004E6C32" w:rsidP="00C96101">
            <w:pPr>
              <w:pStyle w:val="Tabletext"/>
              <w:rPr>
                <w:rFonts w:eastAsiaTheme="minorEastAsia"/>
                <w:b/>
                <w:sz w:val="20"/>
                <w:szCs w:val="20"/>
                <w:vertAlign w:val="superscript"/>
              </w:rPr>
            </w:pPr>
            <w:r w:rsidRPr="006A75A2">
              <w:rPr>
                <w:rFonts w:eastAsiaTheme="minorEastAsia"/>
                <w:b/>
                <w:sz w:val="20"/>
                <w:szCs w:val="20"/>
              </w:rPr>
              <w:t>Total expenses from transactions</w:t>
            </w:r>
            <w:r w:rsidRPr="006A75A2">
              <w:rPr>
                <w:rFonts w:eastAsiaTheme="minorEastAsia"/>
                <w:b/>
                <w:sz w:val="20"/>
                <w:szCs w:val="20"/>
                <w:vertAlign w:val="superscript"/>
              </w:rPr>
              <w:t>(a)</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50 388.5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50 158.8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229.6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0.5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48 929.4</w:t>
            </w:r>
          </w:p>
        </w:tc>
      </w:tr>
      <w:tr w:rsidR="00C96101" w:rsidRPr="006A75A2" w:rsidTr="004B5CB1">
        <w:tc>
          <w:tcPr>
            <w:tcW w:w="4040" w:type="dxa"/>
            <w:tcBorders>
              <w:top w:val="single" w:sz="6" w:space="0" w:color="auto"/>
              <w:left w:val="nil"/>
              <w:bottom w:val="single" w:sz="6" w:space="0" w:color="auto"/>
              <w:right w:val="nil"/>
            </w:tcBorders>
          </w:tcPr>
          <w:p w:rsidR="004E6C32" w:rsidRPr="006A75A2" w:rsidRDefault="004E6C32" w:rsidP="00C96101">
            <w:pPr>
              <w:pStyle w:val="Tabletext"/>
              <w:rPr>
                <w:rFonts w:eastAsiaTheme="minorEastAsia"/>
                <w:sz w:val="20"/>
                <w:szCs w:val="20"/>
              </w:rPr>
            </w:pPr>
            <w:r w:rsidRPr="006A75A2">
              <w:rPr>
                <w:rFonts w:eastAsiaTheme="minorEastAsia"/>
                <w:sz w:val="20"/>
                <w:szCs w:val="20"/>
              </w:rPr>
              <w:t>Net result from transactions – net operating balance</w:t>
            </w:r>
            <w:r w:rsidRPr="006A75A2">
              <w:rPr>
                <w:rFonts w:eastAsiaTheme="minorEastAsia"/>
                <w:sz w:val="20"/>
                <w:szCs w:val="20"/>
                <w:vertAlign w:val="superscript"/>
              </w:rPr>
              <w:t>(a)</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1 976.2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934.7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1 041.5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111.4</w:t>
            </w:r>
          </w:p>
        </w:tc>
        <w:tc>
          <w:tcPr>
            <w:tcW w:w="1120" w:type="dxa"/>
            <w:tcBorders>
              <w:top w:val="single" w:sz="6" w:space="0" w:color="auto"/>
              <w:left w:val="nil"/>
              <w:bottom w:val="single" w:sz="6" w:space="0" w:color="auto"/>
              <w:right w:val="nil"/>
            </w:tcBorders>
          </w:tcPr>
          <w:p w:rsidR="004E6C32" w:rsidRPr="006A75A2" w:rsidRDefault="004E6C32" w:rsidP="00C96101">
            <w:pPr>
              <w:pStyle w:val="TableofFigures"/>
              <w:rPr>
                <w:rFonts w:eastAsiaTheme="minorEastAsia"/>
                <w:b/>
                <w:bCs/>
                <w:sz w:val="20"/>
                <w:szCs w:val="20"/>
                <w:vertAlign w:val="superscript"/>
                <w:lang w:eastAsia="en-AU"/>
              </w:rPr>
            </w:pPr>
            <w:r w:rsidRPr="006A75A2">
              <w:rPr>
                <w:rFonts w:eastAsiaTheme="minorEastAsia"/>
                <w:b/>
                <w:bCs/>
                <w:sz w:val="20"/>
                <w:szCs w:val="20"/>
                <w:lang w:eastAsia="en-AU"/>
              </w:rPr>
              <w:t>(316.6)</w:t>
            </w:r>
            <w:r w:rsidRPr="006A75A2">
              <w:rPr>
                <w:rFonts w:eastAsiaTheme="minorEastAsia"/>
                <w:b/>
                <w:bCs/>
                <w:sz w:val="20"/>
                <w:szCs w:val="20"/>
                <w:vertAlign w:val="superscript"/>
                <w:lang w:eastAsia="en-AU"/>
              </w:rPr>
              <w:t>(a)</w:t>
            </w:r>
          </w:p>
        </w:tc>
      </w:tr>
      <w:tr w:rsidR="004E6C32" w:rsidRPr="006A75A2" w:rsidTr="004B5CB1">
        <w:tc>
          <w:tcPr>
            <w:tcW w:w="4040" w:type="dxa"/>
            <w:tcBorders>
              <w:top w:val="nil"/>
              <w:left w:val="nil"/>
              <w:bottom w:val="single" w:sz="6" w:space="0" w:color="auto"/>
              <w:right w:val="nil"/>
            </w:tcBorders>
          </w:tcPr>
          <w:p w:rsidR="004E6C32" w:rsidRPr="006A75A2" w:rsidRDefault="004E6C32" w:rsidP="00C96101">
            <w:pPr>
              <w:pStyle w:val="Tabletext"/>
              <w:rPr>
                <w:rFonts w:eastAsiaTheme="minorEastAsia"/>
                <w:b/>
                <w:sz w:val="20"/>
                <w:szCs w:val="20"/>
                <w:vertAlign w:val="superscript"/>
              </w:rPr>
            </w:pPr>
            <w:r w:rsidRPr="006A75A2">
              <w:rPr>
                <w:rFonts w:eastAsiaTheme="minorEastAsia"/>
                <w:b/>
                <w:sz w:val="20"/>
                <w:szCs w:val="20"/>
              </w:rPr>
              <w:t>Total other economic flows included in net result</w:t>
            </w:r>
            <w:r w:rsidRPr="006A75A2">
              <w:rPr>
                <w:rFonts w:eastAsiaTheme="minorEastAsia"/>
                <w:b/>
                <w:sz w:val="20"/>
                <w:szCs w:val="20"/>
                <w:vertAlign w:val="superscript"/>
              </w:rPr>
              <w:t>(a)</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(1 203.1)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(1 041.6)</w:t>
            </w:r>
          </w:p>
        </w:tc>
        <w:tc>
          <w:tcPr>
            <w:tcW w:w="1120" w:type="dxa"/>
            <w:tcBorders>
              <w:top w:val="nil"/>
              <w:left w:val="nil"/>
              <w:bottom w:val="single" w:sz="6" w:space="0" w:color="auto"/>
              <w:right w:val="nil"/>
            </w:tcBorders>
          </w:tcPr>
          <w:p w:rsidR="004E6C32" w:rsidRPr="006A75A2" w:rsidRDefault="00C96101"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(161.5)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15.5</w:t>
            </w:r>
          </w:p>
        </w:tc>
        <w:tc>
          <w:tcPr>
            <w:tcW w:w="1120" w:type="dxa"/>
            <w:tcBorders>
              <w:top w:val="nil"/>
              <w:left w:val="nil"/>
              <w:bottom w:val="single" w:sz="6" w:space="0" w:color="auto"/>
              <w:right w:val="nil"/>
            </w:tcBorders>
          </w:tcPr>
          <w:p w:rsidR="004E6C32" w:rsidRPr="006A75A2" w:rsidRDefault="00C96101"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(217.4)</w:t>
            </w:r>
          </w:p>
        </w:tc>
      </w:tr>
      <w:tr w:rsidR="004E6C32" w:rsidRPr="006A75A2" w:rsidTr="004B5CB1">
        <w:tc>
          <w:tcPr>
            <w:tcW w:w="4040" w:type="dxa"/>
            <w:tcBorders>
              <w:top w:val="single" w:sz="6" w:space="0" w:color="auto"/>
              <w:left w:val="nil"/>
              <w:bottom w:val="single" w:sz="12" w:space="0" w:color="000000"/>
              <w:right w:val="nil"/>
            </w:tcBorders>
            <w:shd w:val="clear" w:color="auto" w:fill="auto"/>
          </w:tcPr>
          <w:p w:rsidR="004E6C32" w:rsidRPr="006A75A2" w:rsidRDefault="004E6C32" w:rsidP="00C96101">
            <w:pPr>
              <w:pStyle w:val="Tabletext"/>
              <w:rPr>
                <w:rFonts w:eastAsiaTheme="minorEastAsia" w:cs="Calibri"/>
                <w:b/>
                <w:bCs/>
                <w:sz w:val="20"/>
                <w:szCs w:val="20"/>
                <w:vertAlign w:val="superscript"/>
                <w:lang w:eastAsia="en-AU"/>
              </w:rPr>
            </w:pPr>
            <w:r w:rsidRPr="006A75A2">
              <w:rPr>
                <w:rFonts w:eastAsiaTheme="minorEastAsia"/>
                <w:b/>
                <w:sz w:val="20"/>
                <w:szCs w:val="20"/>
              </w:rPr>
              <w:t>Net result</w:t>
            </w:r>
            <w:r w:rsidRPr="006A75A2">
              <w:rPr>
                <w:rFonts w:eastAsiaTheme="minorEastAsia" w:cs="Calibri"/>
                <w:b/>
                <w:bCs/>
                <w:sz w:val="20"/>
                <w:szCs w:val="20"/>
                <w:vertAlign w:val="superscript"/>
                <w:lang w:eastAsia="en-AU"/>
              </w:rPr>
              <w:t>(a)</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773.1</w:t>
            </w:r>
          </w:p>
        </w:tc>
        <w:tc>
          <w:tcPr>
            <w:tcW w:w="1120" w:type="dxa"/>
            <w:tcBorders>
              <w:top w:val="single" w:sz="6" w:space="0" w:color="auto"/>
              <w:left w:val="nil"/>
              <w:bottom w:val="single" w:sz="12" w:space="0" w:color="000000"/>
              <w:right w:val="nil"/>
            </w:tcBorders>
            <w:shd w:val="clear" w:color="auto" w:fill="auto"/>
          </w:tcPr>
          <w:p w:rsidR="004E6C32" w:rsidRPr="006A75A2" w:rsidRDefault="00C96101"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(106.9)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880.0</w:t>
            </w:r>
          </w:p>
        </w:tc>
        <w:tc>
          <w:tcPr>
            <w:tcW w:w="1120" w:type="dxa"/>
            <w:tcBorders>
              <w:top w:val="single" w:sz="6" w:space="0" w:color="auto"/>
              <w:left w:val="nil"/>
              <w:bottom w:val="single" w:sz="12" w:space="0" w:color="000000"/>
              <w:right w:val="nil"/>
            </w:tcBorders>
            <w:shd w:val="clear" w:color="auto" w:fill="auto"/>
          </w:tcPr>
          <w:p w:rsidR="004E6C32" w:rsidRPr="006A75A2" w:rsidRDefault="00C96101"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(823.0)</w:t>
            </w:r>
          </w:p>
        </w:tc>
        <w:tc>
          <w:tcPr>
            <w:tcW w:w="1120" w:type="dxa"/>
            <w:tcBorders>
              <w:top w:val="single" w:sz="6" w:space="0" w:color="auto"/>
              <w:left w:val="nil"/>
              <w:bottom w:val="single" w:sz="12" w:space="0" w:color="000000"/>
              <w:right w:val="nil"/>
            </w:tcBorders>
            <w:shd w:val="clear" w:color="auto" w:fill="auto"/>
          </w:tcPr>
          <w:p w:rsidR="004E6C32" w:rsidRPr="006A75A2" w:rsidRDefault="00C96101"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(533.9)</w:t>
            </w:r>
          </w:p>
        </w:tc>
      </w:tr>
    </w:tbl>
    <w:p w:rsidR="004E6C32" w:rsidRPr="006A75A2" w:rsidRDefault="004E6C32" w:rsidP="004B5CB1">
      <w:pPr>
        <w:pStyle w:val="Notes"/>
      </w:pPr>
      <w:r w:rsidRPr="006A75A2">
        <w:t>Source: Department of Treasury and Finance</w:t>
      </w:r>
    </w:p>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impacted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Pr>
        <w:pStyle w:val="Heading2"/>
        <w:rPr>
          <w:kern w:val="0"/>
        </w:rPr>
      </w:pPr>
      <w:r w:rsidRPr="006A75A2">
        <w:rPr>
          <w:kern w:val="0"/>
        </w:rPr>
        <w:t>Revenue</w:t>
      </w:r>
    </w:p>
    <w:p w:rsidR="004E6C32" w:rsidRPr="006A75A2" w:rsidRDefault="004E6C32" w:rsidP="004B5CB1">
      <w:r w:rsidRPr="006A75A2">
        <w:t xml:space="preserve">Total revenue from transactions for the year was $52.4 billion, $1.3 billion (2.5 per cent) higher than the revised estimate and $3.8 billion (7.7 per cent) more than the previous year. </w:t>
      </w:r>
    </w:p>
    <w:p w:rsidR="004E6C32" w:rsidRPr="006A75A2" w:rsidRDefault="004E6C32" w:rsidP="004B5CB1">
      <w:r w:rsidRPr="006A75A2">
        <w:t>Table 2.3 shows that in 2013</w:t>
      </w:r>
      <w:r w:rsidRPr="006A75A2">
        <w:noBreakHyphen/>
        <w:t>14, taxation revenue was consistent with the revised estimates, with the slightly stronger outcome due to property and payroll taxes.</w:t>
      </w:r>
    </w:p>
    <w:p w:rsidR="004E6C32" w:rsidRPr="006A75A2" w:rsidRDefault="004E6C32" w:rsidP="004B5CB1">
      <w:r w:rsidRPr="006A75A2">
        <w:t>Taxation revenue increased by $1.4 billion compared to 2012</w:t>
      </w:r>
      <w:r w:rsidRPr="006A75A2">
        <w:noBreakHyphen/>
        <w:t>13. This was mainly due to higher land transfer duty reflecting a stronger property market, and higher payroll tax due to growth in aggregate employment and wages over the year.</w:t>
      </w:r>
    </w:p>
    <w:p w:rsidR="004E6C32" w:rsidRPr="006A75A2" w:rsidRDefault="004E6C32">
      <w:pPr>
        <w:spacing w:after="0"/>
        <w:rPr>
          <w:rFonts w:ascii="Calibri" w:hAnsi="Calibri"/>
          <w:b/>
          <w:sz w:val="25"/>
        </w:rPr>
      </w:pPr>
      <w:r w:rsidRPr="006A75A2">
        <w:br w:type="page"/>
      </w:r>
    </w:p>
    <w:p w:rsidR="004E6C32" w:rsidRPr="006A75A2" w:rsidRDefault="004E6C32" w:rsidP="004B5CB1">
      <w:pPr>
        <w:pStyle w:val="Tableheading"/>
      </w:pPr>
      <w:r w:rsidRPr="006A75A2">
        <w:lastRenderedPageBreak/>
        <w:t>Table 2.3:</w:t>
      </w:r>
      <w:r w:rsidRPr="006A75A2">
        <w:tab/>
        <w:t>Taxation</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669"/>
        <w:gridCol w:w="451"/>
        <w:gridCol w:w="1120"/>
        <w:gridCol w:w="1120"/>
        <w:gridCol w:w="1120"/>
      </w:tblGrid>
      <w:tr w:rsidR="00C21642" w:rsidRPr="006A75A2" w:rsidTr="00C21642">
        <w:trPr>
          <w:trHeight w:val="552"/>
        </w:trPr>
        <w:tc>
          <w:tcPr>
            <w:tcW w:w="5160" w:type="dxa"/>
            <w:tcBorders>
              <w:top w:val="single" w:sz="6" w:space="0" w:color="000000"/>
              <w:left w:val="single" w:sz="6" w:space="0" w:color="000000"/>
              <w:right w:val="nil"/>
            </w:tcBorders>
            <w:shd w:val="clear" w:color="000000" w:fill="000000"/>
          </w:tcPr>
          <w:p w:rsidR="00C21642" w:rsidRPr="006A75A2" w:rsidRDefault="00C21642" w:rsidP="004B5CB1">
            <w:pPr>
              <w:pStyle w:val="Tabletext"/>
              <w:rPr>
                <w:rFonts w:eastAsiaTheme="minorEastAsia"/>
              </w:rPr>
            </w:pPr>
          </w:p>
        </w:tc>
        <w:tc>
          <w:tcPr>
            <w:tcW w:w="1120" w:type="dxa"/>
            <w:gridSpan w:val="2"/>
            <w:tcBorders>
              <w:top w:val="single" w:sz="6" w:space="0" w:color="000000"/>
              <w:left w:val="nil"/>
              <w:right w:val="nil"/>
            </w:tcBorders>
            <w:shd w:val="clear" w:color="000000" w:fill="000000"/>
          </w:tcPr>
          <w:p w:rsidR="00C21642" w:rsidRPr="006A75A2" w:rsidRDefault="00C21642" w:rsidP="00C21642">
            <w:pPr>
              <w:pStyle w:val="Tabletextheading"/>
              <w:rPr>
                <w:rFonts w:eastAsiaTheme="minorEastAsia"/>
                <w:lang w:eastAsia="en-AU"/>
              </w:rPr>
            </w:pPr>
            <w:r w:rsidRPr="006A75A2">
              <w:rPr>
                <w:rFonts w:eastAsiaTheme="minorEastAsia"/>
                <w:lang w:eastAsia="en-AU"/>
              </w:rPr>
              <w:t>2013-14 Actual</w:t>
            </w:r>
          </w:p>
        </w:tc>
        <w:tc>
          <w:tcPr>
            <w:tcW w:w="1120" w:type="dxa"/>
            <w:tcBorders>
              <w:top w:val="single" w:sz="6" w:space="0" w:color="000000"/>
              <w:left w:val="nil"/>
              <w:right w:val="nil"/>
            </w:tcBorders>
            <w:shd w:val="clear" w:color="000000" w:fill="000000"/>
          </w:tcPr>
          <w:p w:rsidR="00C21642" w:rsidRPr="006A75A2" w:rsidRDefault="00C21642" w:rsidP="00C21642">
            <w:pPr>
              <w:pStyle w:val="Tabletextheading"/>
              <w:rPr>
                <w:rFonts w:eastAsiaTheme="minorEastAsia"/>
                <w:lang w:eastAsia="en-AU"/>
              </w:rPr>
            </w:pPr>
            <w:r w:rsidRPr="006A75A2">
              <w:rPr>
                <w:rFonts w:eastAsiaTheme="minorEastAsia"/>
                <w:lang w:eastAsia="en-AU"/>
              </w:rPr>
              <w:t>2013-14 Revised</w:t>
            </w:r>
          </w:p>
        </w:tc>
        <w:tc>
          <w:tcPr>
            <w:tcW w:w="1120" w:type="dxa"/>
            <w:tcBorders>
              <w:top w:val="single" w:sz="6" w:space="0" w:color="000000"/>
              <w:left w:val="nil"/>
              <w:right w:val="nil"/>
            </w:tcBorders>
            <w:shd w:val="clear" w:color="000000" w:fill="000000"/>
          </w:tcPr>
          <w:p w:rsidR="00C21642" w:rsidRPr="006A75A2" w:rsidRDefault="00C21642" w:rsidP="00C21642">
            <w:pPr>
              <w:pStyle w:val="Tabletextheading"/>
              <w:rPr>
                <w:rFonts w:eastAsiaTheme="minorEastAsia"/>
                <w:lang w:eastAsia="en-AU"/>
              </w:rPr>
            </w:pPr>
            <w:r w:rsidRPr="006A75A2">
              <w:rPr>
                <w:rFonts w:eastAsiaTheme="minorEastAsia"/>
                <w:lang w:eastAsia="en-AU"/>
              </w:rPr>
              <w:t>Revised variance</w:t>
            </w:r>
          </w:p>
        </w:tc>
        <w:tc>
          <w:tcPr>
            <w:tcW w:w="1120" w:type="dxa"/>
            <w:tcBorders>
              <w:top w:val="single" w:sz="6" w:space="0" w:color="000000"/>
              <w:left w:val="nil"/>
              <w:right w:val="single" w:sz="6" w:space="0" w:color="000000"/>
            </w:tcBorders>
            <w:shd w:val="clear" w:color="000000" w:fill="000000"/>
          </w:tcPr>
          <w:p w:rsidR="00C21642" w:rsidRPr="006A75A2" w:rsidRDefault="00C21642" w:rsidP="00C21642">
            <w:pPr>
              <w:pStyle w:val="Tabletextheading"/>
              <w:rPr>
                <w:rFonts w:eastAsiaTheme="minorEastAsia"/>
                <w:lang w:eastAsia="en-AU"/>
              </w:rPr>
            </w:pPr>
            <w:r w:rsidRPr="006A75A2">
              <w:rPr>
                <w:rFonts w:eastAsiaTheme="minorEastAsia"/>
                <w:lang w:eastAsia="en-AU"/>
              </w:rPr>
              <w:t xml:space="preserve">% </w:t>
            </w:r>
            <w:r w:rsidRPr="006A75A2">
              <w:rPr>
                <w:rFonts w:eastAsiaTheme="minorEastAsia"/>
                <w:lang w:eastAsia="en-AU"/>
              </w:rPr>
              <w:br/>
              <w:t>Change</w:t>
            </w:r>
          </w:p>
        </w:tc>
      </w:tr>
      <w:tr w:rsidR="004E6C32" w:rsidRPr="006A75A2" w:rsidTr="004B5CB1">
        <w:tc>
          <w:tcPr>
            <w:tcW w:w="5160" w:type="dxa"/>
            <w:tcBorders>
              <w:top w:val="single" w:sz="6" w:space="0" w:color="000000"/>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Taxes on employers</w:t>
            </w:r>
            <w:r w:rsidR="00C96101" w:rsidRPr="006A75A2">
              <w:rPr>
                <w:rFonts w:eastAsiaTheme="minorEastAsia"/>
                <w:b/>
              </w:rPr>
              <w:t>’</w:t>
            </w:r>
            <w:r w:rsidRPr="006A75A2">
              <w:rPr>
                <w:rFonts w:eastAsiaTheme="minorEastAsia"/>
                <w:b/>
              </w:rPr>
              <w:t xml:space="preserve"> payroll and labour force</w:t>
            </w:r>
          </w:p>
        </w:tc>
        <w:tc>
          <w:tcPr>
            <w:tcW w:w="1120" w:type="dxa"/>
            <w:gridSpan w:val="2"/>
            <w:tcBorders>
              <w:top w:val="single" w:sz="6" w:space="0" w:color="000000"/>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4 949.1</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4 930.0</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19.1</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Taxes on immovable property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Land tax</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1 658.7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1 627.8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Fire Service Property Levy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631.2</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(0.6)</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(0.1)</w:t>
            </w:r>
          </w:p>
        </w:tc>
      </w:tr>
      <w:tr w:rsidR="004E6C32" w:rsidRPr="006A75A2" w:rsidTr="004B5CB1">
        <w:tc>
          <w:tcPr>
            <w:tcW w:w="5160" w:type="dxa"/>
            <w:tcBorders>
              <w:top w:val="nil"/>
              <w:left w:val="nil"/>
              <w:right w:val="nil"/>
            </w:tcBorders>
          </w:tcPr>
          <w:p w:rsidR="004E6C32" w:rsidRPr="006A75A2" w:rsidRDefault="004E6C32" w:rsidP="004B5CB1">
            <w:pPr>
              <w:pStyle w:val="Tabletext"/>
              <w:rPr>
                <w:rFonts w:eastAsiaTheme="minorEastAsia"/>
              </w:rPr>
            </w:pPr>
            <w:r w:rsidRPr="006A75A2">
              <w:rPr>
                <w:rFonts w:eastAsiaTheme="minorEastAsia"/>
              </w:rPr>
              <w:t>Congestion Levy</w:t>
            </w:r>
          </w:p>
        </w:tc>
        <w:tc>
          <w:tcPr>
            <w:tcW w:w="1120" w:type="dxa"/>
            <w:gridSpan w:val="2"/>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83.9</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92.6</w:t>
            </w:r>
          </w:p>
        </w:tc>
        <w:tc>
          <w:tcPr>
            <w:tcW w:w="1120" w:type="dxa"/>
            <w:tcBorders>
              <w:top w:val="nil"/>
              <w:left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(8.7)</w:t>
            </w:r>
          </w:p>
        </w:tc>
        <w:tc>
          <w:tcPr>
            <w:tcW w:w="1120" w:type="dxa"/>
            <w:tcBorders>
              <w:top w:val="nil"/>
              <w:left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(9.4)</w:t>
            </w:r>
          </w:p>
        </w:tc>
      </w:tr>
      <w:tr w:rsidR="004E6C32" w:rsidRPr="006A75A2" w:rsidTr="004B5CB1">
        <w:tc>
          <w:tcPr>
            <w:tcW w:w="5160" w:type="dxa"/>
            <w:tcBorders>
              <w:top w:val="nil"/>
              <w:left w:val="nil"/>
              <w:bottom w:val="single" w:sz="4" w:space="0" w:color="auto"/>
              <w:right w:val="nil"/>
            </w:tcBorders>
          </w:tcPr>
          <w:p w:rsidR="004E6C32" w:rsidRPr="006A75A2" w:rsidRDefault="004E6C32" w:rsidP="004B5CB1">
            <w:pPr>
              <w:pStyle w:val="Tabletext"/>
              <w:rPr>
                <w:rFonts w:eastAsiaTheme="minorEastAsia"/>
              </w:rPr>
            </w:pPr>
            <w:r w:rsidRPr="006A75A2">
              <w:rPr>
                <w:rFonts w:eastAsiaTheme="minorEastAsia"/>
              </w:rPr>
              <w:t>Metropolitan improvement levy</w:t>
            </w:r>
          </w:p>
        </w:tc>
        <w:tc>
          <w:tcPr>
            <w:tcW w:w="1120" w:type="dxa"/>
            <w:gridSpan w:val="2"/>
            <w:tcBorders>
              <w:top w:val="nil"/>
              <w:left w:val="nil"/>
              <w:bottom w:val="single" w:sz="4"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151.0</w:t>
            </w:r>
          </w:p>
        </w:tc>
        <w:tc>
          <w:tcPr>
            <w:tcW w:w="1120" w:type="dxa"/>
            <w:tcBorders>
              <w:top w:val="nil"/>
              <w:left w:val="nil"/>
              <w:bottom w:val="single" w:sz="4"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147.1</w:t>
            </w:r>
          </w:p>
        </w:tc>
        <w:tc>
          <w:tcPr>
            <w:tcW w:w="1120" w:type="dxa"/>
            <w:tcBorders>
              <w:top w:val="nil"/>
              <w:left w:val="nil"/>
              <w:bottom w:val="single" w:sz="4"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3.9</w:t>
            </w:r>
          </w:p>
        </w:tc>
        <w:tc>
          <w:tcPr>
            <w:tcW w:w="1120" w:type="dxa"/>
            <w:tcBorders>
              <w:top w:val="nil"/>
              <w:left w:val="nil"/>
              <w:bottom w:val="single" w:sz="4"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2.6</w:t>
            </w:r>
          </w:p>
        </w:tc>
      </w:tr>
      <w:tr w:rsidR="004E6C32" w:rsidRPr="006A75A2" w:rsidTr="004B5CB1">
        <w:tc>
          <w:tcPr>
            <w:tcW w:w="5160" w:type="dxa"/>
            <w:tcBorders>
              <w:top w:val="single" w:sz="4" w:space="0" w:color="auto"/>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Total taxes on immovable property</w:t>
            </w:r>
          </w:p>
        </w:tc>
        <w:tc>
          <w:tcPr>
            <w:tcW w:w="1120" w:type="dxa"/>
            <w:gridSpan w:val="2"/>
            <w:tcBorders>
              <w:top w:val="single" w:sz="4"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2 524.1</w:t>
            </w:r>
          </w:p>
        </w:tc>
        <w:tc>
          <w:tcPr>
            <w:tcW w:w="1120" w:type="dxa"/>
            <w:tcBorders>
              <w:top w:val="single" w:sz="4"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2 498.7</w:t>
            </w:r>
          </w:p>
        </w:tc>
        <w:tc>
          <w:tcPr>
            <w:tcW w:w="1120" w:type="dxa"/>
            <w:tcBorders>
              <w:top w:val="single" w:sz="4"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25.4</w:t>
            </w:r>
          </w:p>
        </w:tc>
        <w:tc>
          <w:tcPr>
            <w:tcW w:w="1120" w:type="dxa"/>
            <w:tcBorders>
              <w:top w:val="single" w:sz="4"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Financial and capital transactions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Land transfer duty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4 167.5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4 189.2</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(21.7)</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(0.5)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Other property duties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(2.7)</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(40.2)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Financial accommodation levy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115.3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115.1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Growth areas infrastructure contribution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12.0</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rPr>
            </w:pPr>
            <w:r w:rsidRPr="006A75A2">
              <w:rPr>
                <w:rFonts w:eastAsiaTheme="minorEastAsia"/>
                <w:b/>
              </w:rPr>
              <w:t>Total financial and capital transactions</w:t>
            </w:r>
          </w:p>
        </w:tc>
        <w:tc>
          <w:tcPr>
            <w:tcW w:w="1120"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4 380.0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4 394.1</w:t>
            </w:r>
          </w:p>
        </w:tc>
        <w:tc>
          <w:tcPr>
            <w:tcW w:w="1120" w:type="dxa"/>
            <w:tcBorders>
              <w:top w:val="single" w:sz="6" w:space="0" w:color="auto"/>
              <w:left w:val="nil"/>
              <w:bottom w:val="single" w:sz="6"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(14.1)</w:t>
            </w:r>
          </w:p>
        </w:tc>
        <w:tc>
          <w:tcPr>
            <w:tcW w:w="1120" w:type="dxa"/>
            <w:tcBorders>
              <w:top w:val="single" w:sz="6" w:space="0" w:color="auto"/>
              <w:left w:val="nil"/>
              <w:bottom w:val="single" w:sz="6"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(0.3)</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rPr>
            </w:pPr>
            <w:r w:rsidRPr="006A75A2">
              <w:rPr>
                <w:rFonts w:eastAsiaTheme="minorEastAsia"/>
                <w:b/>
              </w:rPr>
              <w:t>Total taxes on property</w:t>
            </w:r>
          </w:p>
        </w:tc>
        <w:tc>
          <w:tcPr>
            <w:tcW w:w="1120"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6 904.1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6 892.9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11.3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Taxes on the provision of goods and services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Gambling taxes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Private lotteries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398.5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(4.4)</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Electronic gaming machines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967.1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967.2</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Casino</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Racing</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85.7</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(3.2)</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(3.7)</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rPr>
            </w:pPr>
            <w:r w:rsidRPr="006A75A2">
              <w:rPr>
                <w:rFonts w:eastAsiaTheme="minorEastAsia"/>
              </w:rPr>
              <w:t>Other</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Total gambling taxes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1 672.2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1 678.5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(6.3)</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(0.4)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Levies on statutory corporations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112.0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112.5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(0.5)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(0.5)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Taxes on insurance</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1 066.6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1 048.8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rPr>
            </w:pPr>
            <w:r w:rsidRPr="006A75A2">
              <w:rPr>
                <w:rFonts w:eastAsiaTheme="minorEastAsia"/>
                <w:b/>
              </w:rPr>
              <w:t>Total taxes on the provision of goods and services</w:t>
            </w:r>
          </w:p>
        </w:tc>
        <w:tc>
          <w:tcPr>
            <w:tcW w:w="1120"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2 850.8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2 839.8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11.1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0.4</w:t>
            </w:r>
          </w:p>
        </w:tc>
      </w:tr>
      <w:tr w:rsidR="004E6C32" w:rsidRPr="006A75A2" w:rsidTr="004B5CB1">
        <w:tc>
          <w:tcPr>
            <w:tcW w:w="5829" w:type="dxa"/>
            <w:gridSpan w:val="2"/>
            <w:tcBorders>
              <w:top w:val="nil"/>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Taxes on the use of goods and performance of activities</w:t>
            </w:r>
          </w:p>
        </w:tc>
        <w:tc>
          <w:tcPr>
            <w:tcW w:w="451"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Motor vehicle taxes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Vehicle registration fees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1 232.8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1 244.3</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(11.5)</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(0.9)</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rPr>
            </w:pPr>
            <w:r w:rsidRPr="006A75A2">
              <w:rPr>
                <w:rFonts w:eastAsiaTheme="minorEastAsia"/>
              </w:rPr>
              <w:t>Duty on vehicle registrations and transfers</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663.1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656.9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Total motor vehicle taxes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1 895.9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1 901.2</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(5.3)</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rPr>
            </w:pPr>
            <w:r w:rsidRPr="006A75A2">
              <w:rPr>
                <w:rFonts w:eastAsiaTheme="minorEastAsia"/>
                <w:b/>
              </w:rPr>
              <w:t>Liquor licence fees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23.3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23.1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0.7</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rPr>
            </w:pPr>
            <w:r w:rsidRPr="006A75A2">
              <w:rPr>
                <w:rFonts w:eastAsiaTheme="minorEastAsia"/>
                <w:b/>
              </w:rPr>
              <w:t>Other</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277.7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270.5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2.6</w:t>
            </w:r>
          </w:p>
        </w:tc>
      </w:tr>
      <w:tr w:rsidR="004E6C32" w:rsidRPr="006A75A2" w:rsidTr="004B5CB1">
        <w:tc>
          <w:tcPr>
            <w:tcW w:w="5160" w:type="dxa"/>
            <w:tcBorders>
              <w:top w:val="single" w:sz="6" w:space="0" w:color="auto"/>
              <w:left w:val="nil"/>
              <w:bottom w:val="single" w:sz="6" w:space="0" w:color="000000"/>
              <w:right w:val="nil"/>
            </w:tcBorders>
          </w:tcPr>
          <w:p w:rsidR="004E6C32" w:rsidRPr="006A75A2" w:rsidRDefault="004E6C32" w:rsidP="004B5CB1">
            <w:pPr>
              <w:pStyle w:val="Tabletext"/>
              <w:rPr>
                <w:rFonts w:eastAsiaTheme="minorEastAsia"/>
                <w:b/>
              </w:rPr>
            </w:pPr>
            <w:r w:rsidRPr="006A75A2">
              <w:rPr>
                <w:rFonts w:eastAsiaTheme="minorEastAsia"/>
                <w:b/>
              </w:rPr>
              <w:t>Total taxes on the use of goods and performance of activities</w:t>
            </w:r>
          </w:p>
        </w:tc>
        <w:tc>
          <w:tcPr>
            <w:tcW w:w="1120" w:type="dxa"/>
            <w:gridSpan w:val="2"/>
            <w:tcBorders>
              <w:top w:val="single" w:sz="6" w:space="0" w:color="auto"/>
              <w:left w:val="nil"/>
              <w:bottom w:val="single" w:sz="6" w:space="0" w:color="000000"/>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2 196.9</w:t>
            </w:r>
          </w:p>
        </w:tc>
        <w:tc>
          <w:tcPr>
            <w:tcW w:w="1120" w:type="dxa"/>
            <w:tcBorders>
              <w:top w:val="single" w:sz="6" w:space="0" w:color="auto"/>
              <w:left w:val="nil"/>
              <w:bottom w:val="single" w:sz="6" w:space="0" w:color="000000"/>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2 194.9</w:t>
            </w:r>
          </w:p>
        </w:tc>
        <w:tc>
          <w:tcPr>
            <w:tcW w:w="1120" w:type="dxa"/>
            <w:tcBorders>
              <w:top w:val="single" w:sz="6" w:space="0" w:color="auto"/>
              <w:left w:val="nil"/>
              <w:bottom w:val="single" w:sz="6" w:space="0" w:color="000000"/>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2.0</w:t>
            </w:r>
          </w:p>
        </w:tc>
        <w:tc>
          <w:tcPr>
            <w:tcW w:w="1120" w:type="dxa"/>
            <w:tcBorders>
              <w:top w:val="single" w:sz="6" w:space="0" w:color="auto"/>
              <w:left w:val="nil"/>
              <w:bottom w:val="single" w:sz="6" w:space="0" w:color="000000"/>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0.1</w:t>
            </w:r>
          </w:p>
        </w:tc>
      </w:tr>
      <w:tr w:rsidR="004E6C32" w:rsidRPr="006A75A2" w:rsidTr="004B5CB1">
        <w:tc>
          <w:tcPr>
            <w:tcW w:w="5160" w:type="dxa"/>
            <w:tcBorders>
              <w:top w:val="single" w:sz="6" w:space="0" w:color="000000"/>
              <w:left w:val="nil"/>
              <w:bottom w:val="single" w:sz="12" w:space="0" w:color="000000"/>
              <w:right w:val="nil"/>
            </w:tcBorders>
            <w:shd w:val="clear" w:color="auto" w:fill="auto"/>
          </w:tcPr>
          <w:p w:rsidR="004E6C32" w:rsidRPr="006A75A2" w:rsidRDefault="004E6C32" w:rsidP="004B5CB1">
            <w:pPr>
              <w:pStyle w:val="Tabletext"/>
              <w:rPr>
                <w:rFonts w:eastAsiaTheme="minorEastAsia"/>
                <w:b/>
              </w:rPr>
            </w:pPr>
            <w:r w:rsidRPr="006A75A2">
              <w:rPr>
                <w:rFonts w:eastAsiaTheme="minorEastAsia"/>
                <w:b/>
              </w:rPr>
              <w:t>Total taxation revenue</w:t>
            </w:r>
          </w:p>
        </w:tc>
        <w:tc>
          <w:tcPr>
            <w:tcW w:w="1120" w:type="dxa"/>
            <w:gridSpan w:val="2"/>
            <w:tcBorders>
              <w:top w:val="single" w:sz="6" w:space="0" w:color="000000"/>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16 900.9</w:t>
            </w:r>
          </w:p>
        </w:tc>
        <w:tc>
          <w:tcPr>
            <w:tcW w:w="1120" w:type="dxa"/>
            <w:tcBorders>
              <w:top w:val="single" w:sz="6" w:space="0" w:color="000000"/>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16 857.5</w:t>
            </w:r>
          </w:p>
        </w:tc>
        <w:tc>
          <w:tcPr>
            <w:tcW w:w="1120" w:type="dxa"/>
            <w:tcBorders>
              <w:top w:val="single" w:sz="6" w:space="0" w:color="000000"/>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43.4</w:t>
            </w:r>
          </w:p>
        </w:tc>
        <w:tc>
          <w:tcPr>
            <w:tcW w:w="1120" w:type="dxa"/>
            <w:tcBorders>
              <w:top w:val="single" w:sz="6" w:space="0" w:color="000000"/>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0.3</w:t>
            </w:r>
          </w:p>
        </w:tc>
      </w:tr>
    </w:tbl>
    <w:p w:rsidR="004E6C32" w:rsidRPr="006A75A2" w:rsidRDefault="004E6C32" w:rsidP="004B5CB1">
      <w:pPr>
        <w:pStyle w:val="Source"/>
      </w:pPr>
      <w:r w:rsidRPr="006A75A2">
        <w:t>Source: Department of Treasury and Finance</w:t>
      </w:r>
    </w:p>
    <w:p w:rsidR="004E6C32" w:rsidRPr="006A75A2" w:rsidRDefault="004E6C32" w:rsidP="004B5CB1"/>
    <w:p w:rsidR="004E6C32" w:rsidRPr="006A75A2" w:rsidRDefault="004E6C32" w:rsidP="004B5CB1">
      <w:r w:rsidRPr="006A75A2">
        <w:t xml:space="preserve">The </w:t>
      </w:r>
      <w:r w:rsidRPr="006A75A2">
        <w:rPr>
          <w:i/>
        </w:rPr>
        <w:t>2013</w:t>
      </w:r>
      <w:r w:rsidRPr="006A75A2">
        <w:rPr>
          <w:i/>
        </w:rPr>
        <w:noBreakHyphen/>
        <w:t>14 Financial Report</w:t>
      </w:r>
      <w:r w:rsidRPr="006A75A2">
        <w:t xml:space="preserve"> reflects the first year of the Fire Services Property Levy which replaces the previous insurance-based levy in accordance with recommendation 64 of the Victorian Bushfires Royal Commission.</w:t>
      </w:r>
    </w:p>
    <w:p w:rsidR="004E6C32" w:rsidRPr="006A75A2" w:rsidRDefault="004E6C32" w:rsidP="004B5CB1">
      <w:r w:rsidRPr="006A75A2">
        <w:t xml:space="preserve">Dividends, income tax and rate equivalent revenue was $200.1 million (31 per cent) lower than the revised estimate. This largely reflects the timing of dividends, with interim dividends from the water sector to now be paid in 2014-15. </w:t>
      </w:r>
    </w:p>
    <w:p w:rsidR="00C96101" w:rsidRPr="006A75A2" w:rsidRDefault="00C96101">
      <w:pPr>
        <w:spacing w:after="0"/>
      </w:pPr>
      <w:r w:rsidRPr="006A75A2">
        <w:br w:type="page"/>
      </w:r>
    </w:p>
    <w:p w:rsidR="004E6C32" w:rsidRPr="006A75A2" w:rsidRDefault="004E6C32" w:rsidP="00C96101">
      <w:pPr>
        <w:spacing w:after="100"/>
      </w:pPr>
      <w:r w:rsidRPr="006A75A2">
        <w:lastRenderedPageBreak/>
        <w:t>On a year-on-year basis, dividends, income tax and rate equivalent revenue declined by $896 million, to $446 million. In particular, the State</w:t>
      </w:r>
      <w:r w:rsidR="00C96101" w:rsidRPr="006A75A2">
        <w:t>’</w:t>
      </w:r>
      <w:r w:rsidRPr="006A75A2">
        <w:t>s insurance agencies paid lower dividends as a result of their reduced profitability in 2012</w:t>
      </w:r>
      <w:r w:rsidRPr="006A75A2">
        <w:noBreakHyphen/>
        <w:t>13, which was largely attributed to adverse claims experiences. The 2012</w:t>
      </w:r>
      <w:r w:rsidRPr="006A75A2">
        <w:noBreakHyphen/>
        <w:t>13 financial year also included a one</w:t>
      </w:r>
      <w:r w:rsidRPr="006A75A2">
        <w:noBreakHyphen/>
        <w:t xml:space="preserve">off dividend paid from the State Electricity Commission of Victoria. </w:t>
      </w:r>
    </w:p>
    <w:p w:rsidR="004E6C32" w:rsidRPr="006A75A2" w:rsidRDefault="004E6C32" w:rsidP="00C96101">
      <w:pPr>
        <w:spacing w:after="100"/>
      </w:pPr>
      <w:r w:rsidRPr="006A75A2">
        <w:t>Revenue from the sale of goods and services was $155 million higher than the revised estimates, mainly due to a higher than expected increase in land registration title revenue. The result was slightly lower than in 2012</w:t>
      </w:r>
      <w:r w:rsidRPr="006A75A2">
        <w:noBreakHyphen/>
        <w:t>13 by $144 million (2.1 per cent), mainly due to higher one-off revenue recognised in 2012-13 associated with the commissioning of the desalination plant, partially offset by a higher capital asset charge for increased capital asset holdings in Victorian Rail Track in 2013-14.</w:t>
      </w:r>
    </w:p>
    <w:p w:rsidR="004E6C32" w:rsidRPr="006A75A2" w:rsidRDefault="004E6C32" w:rsidP="00C96101">
      <w:pPr>
        <w:spacing w:after="100"/>
      </w:pPr>
      <w:r w:rsidRPr="006A75A2">
        <w:t>Grants revenue was $1.1 billion higher than the revised estimate. The variance was largely due to the earlier than expected receipt of grants revenue from the Commonwealth for East West Link.</w:t>
      </w:r>
    </w:p>
    <w:p w:rsidR="004E6C32" w:rsidRPr="006A75A2" w:rsidRDefault="004E6C32" w:rsidP="00C96101">
      <w:pPr>
        <w:spacing w:after="100"/>
      </w:pPr>
      <w:r w:rsidRPr="006A75A2">
        <w:t xml:space="preserve">Other revenue was $223 million higher than the revised estimate. This was in part due to the recognition of resources received free of charge by Public Transport Victoria for its use of the </w:t>
      </w:r>
      <w:r w:rsidRPr="006A75A2">
        <w:rPr>
          <w:i/>
        </w:rPr>
        <w:t>myki</w:t>
      </w:r>
      <w:r w:rsidRPr="006A75A2">
        <w:t xml:space="preserve"> assets held by Victorian Rail Track and higher than expected other revenue from retail activities in hospitals.</w:t>
      </w:r>
    </w:p>
    <w:p w:rsidR="004E6C32" w:rsidRPr="006A75A2" w:rsidRDefault="004E6C32" w:rsidP="004B5CB1">
      <w:pPr>
        <w:pStyle w:val="Heading2"/>
        <w:rPr>
          <w:kern w:val="0"/>
        </w:rPr>
      </w:pPr>
      <w:r w:rsidRPr="006A75A2">
        <w:rPr>
          <w:kern w:val="0"/>
        </w:rPr>
        <w:t>Expenses</w:t>
      </w:r>
    </w:p>
    <w:p w:rsidR="004E6C32" w:rsidRPr="006A75A2" w:rsidRDefault="004E6C32" w:rsidP="00C96101">
      <w:pPr>
        <w:spacing w:after="100"/>
      </w:pPr>
      <w:r w:rsidRPr="006A75A2">
        <w:t xml:space="preserve">Total expenses for the year were $50.4 billion, $230 million (0.5 per cent) higher than the revised estimate and $1.5 billion (3.0 per cent) more than the previous year. </w:t>
      </w:r>
    </w:p>
    <w:p w:rsidR="004E6C32" w:rsidRPr="006A75A2" w:rsidRDefault="004E6C32" w:rsidP="00C96101">
      <w:pPr>
        <w:spacing w:after="100"/>
      </w:pPr>
      <w:r w:rsidRPr="006A75A2">
        <w:t>Employee expenses for 2013</w:t>
      </w:r>
      <w:r w:rsidRPr="006A75A2">
        <w:noBreakHyphen/>
        <w:t>14 were broadly consistent with the revised budget and $224 million (1.3 per cent) higher than in 2012</w:t>
      </w:r>
      <w:r w:rsidRPr="006A75A2">
        <w:noBreakHyphen/>
        <w:t>13. The growth since 2012</w:t>
      </w:r>
      <w:r w:rsidRPr="006A75A2">
        <w:noBreakHyphen/>
        <w:t xml:space="preserve">13 was driven mainly by a general increase in enterprise bargaining agreement wages and increased activity in health agencies. </w:t>
      </w:r>
    </w:p>
    <w:p w:rsidR="004E6C32" w:rsidRPr="006A75A2" w:rsidRDefault="004E6C32" w:rsidP="00C96101">
      <w:pPr>
        <w:spacing w:after="100"/>
      </w:pPr>
      <w:r w:rsidRPr="006A75A2">
        <w:t>Superannuation interest expense for 2013</w:t>
      </w:r>
      <w:r w:rsidRPr="006A75A2">
        <w:noBreakHyphen/>
        <w:t>14 was consistent with expectations in the revised budget and $27 million lower than in 2012</w:t>
      </w:r>
      <w:r w:rsidRPr="006A75A2">
        <w:noBreakHyphen/>
        <w:t>13. This decrease was primarily attributable to increases in the bond yields that underlie the key superannuation valuation assumptions.</w:t>
      </w:r>
    </w:p>
    <w:p w:rsidR="004E6C32" w:rsidRPr="006A75A2" w:rsidRDefault="004E6C32" w:rsidP="00C96101">
      <w:pPr>
        <w:spacing w:after="100"/>
      </w:pPr>
      <w:r w:rsidRPr="006A75A2">
        <w:t>Other superannuation expenses for 2013</w:t>
      </w:r>
      <w:r w:rsidRPr="006A75A2">
        <w:noBreakHyphen/>
        <w:t>14 were $53 million higher than expected in the revised budget due to an increase in employer contributions to defined contribution funds. However, this expense was $48 million lower than in 2012</w:t>
      </w:r>
      <w:r w:rsidRPr="006A75A2">
        <w:noBreakHyphen/>
        <w:t>13 due to a reduction in the defined benefit service cost that arose as a result of an increase in the bond yields that underlie the key superannuation valuation assumptions. This reduction in the service cost more than offset the increase in employer contributions to defined contribution funds.</w:t>
      </w:r>
    </w:p>
    <w:p w:rsidR="004E6C32" w:rsidRPr="006A75A2" w:rsidRDefault="004E6C32" w:rsidP="00C96101">
      <w:pPr>
        <w:spacing w:after="100"/>
      </w:pPr>
      <w:r w:rsidRPr="006A75A2">
        <w:t>Depreciation expense was slightly lower than the revised budget and relatively consistent with the 2012</w:t>
      </w:r>
      <w:r w:rsidRPr="006A75A2">
        <w:noBreakHyphen/>
        <w:t>13 outcome. This decrease relative to the revised budget was due to lower than expected depreciation of hospital buildings.</w:t>
      </w:r>
    </w:p>
    <w:p w:rsidR="004E6C32" w:rsidRPr="006A75A2" w:rsidRDefault="004E6C32" w:rsidP="00C96101">
      <w:pPr>
        <w:spacing w:after="100"/>
      </w:pPr>
      <w:r w:rsidRPr="006A75A2">
        <w:t>Interest expense was consistent with the revised budget, and reflected an increase of $363 million compared to the 2012</w:t>
      </w:r>
      <w:r w:rsidRPr="006A75A2">
        <w:noBreakHyphen/>
        <w:t>13 outcome. This year</w:t>
      </w:r>
      <w:r w:rsidRPr="006A75A2">
        <w:noBreakHyphen/>
        <w:t>on</w:t>
      </w:r>
      <w:r w:rsidRPr="006A75A2">
        <w:noBreakHyphen/>
        <w:t>year increase was driven by the full</w:t>
      </w:r>
      <w:r w:rsidRPr="006A75A2">
        <w:noBreakHyphen/>
        <w:t>year recognition of the desalination plant and Peninsula Link finance leases and higher borrowings in 2013</w:t>
      </w:r>
      <w:r w:rsidRPr="006A75A2">
        <w:noBreakHyphen/>
        <w:t>14, in line with 2014-15 Budget estimates, to support funding the Government</w:t>
      </w:r>
      <w:r w:rsidR="00C96101" w:rsidRPr="006A75A2">
        <w:t>’</w:t>
      </w:r>
      <w:r w:rsidRPr="006A75A2">
        <w:t>s capital expenditure program.</w:t>
      </w:r>
    </w:p>
    <w:p w:rsidR="004E6C32" w:rsidRPr="006A75A2" w:rsidRDefault="004E6C32" w:rsidP="00C96101">
      <w:pPr>
        <w:spacing w:after="100"/>
      </w:pPr>
      <w:r w:rsidRPr="006A75A2">
        <w:t>Other operating expenses for 2013</w:t>
      </w:r>
      <w:r w:rsidRPr="006A75A2">
        <w:noBreakHyphen/>
        <w:t>14 were $17.4 billion, $672 million (4.0 per cent) higher than the revised budget and $1.3 billion (7.9 per cent) higher than 2012</w:t>
      </w:r>
      <w:r w:rsidRPr="006A75A2">
        <w:noBreakHyphen/>
        <w:t>13. The reason for the increase over the revised budget was the payment to Tatts Group of $540 million in satisfaction of a Supreme Court judgement. The increase since the 2012</w:t>
      </w:r>
      <w:r w:rsidRPr="006A75A2">
        <w:noBreakHyphen/>
        <w:t xml:space="preserve">13 result was predominantly due to the payment to Tatts Group and the spending on health service activities. </w:t>
      </w:r>
    </w:p>
    <w:p w:rsidR="004E6C32" w:rsidRPr="006A75A2" w:rsidRDefault="004E6C32" w:rsidP="00C96101">
      <w:pPr>
        <w:spacing w:after="100"/>
      </w:pPr>
      <w:r w:rsidRPr="006A75A2">
        <w:t>Grants and other transfers expense was broadly in line with the revised budget. Compared with 2012</w:t>
      </w:r>
      <w:r w:rsidRPr="006A75A2">
        <w:noBreakHyphen/>
        <w:t>13, grant and other transfer expenses decreased by $428 million (5.3 per cent), mainly driven by a decrease in grants to local government. The reduction in Commonwealth grants on-passed to local government was due to the advance payment of 2013-14 grants in the 2012-13 year in line with timing of Commonwealth payments to the State.</w:t>
      </w:r>
    </w:p>
    <w:p w:rsidR="004E6C32" w:rsidRPr="006A75A2" w:rsidRDefault="004E6C32" w:rsidP="004B5CB1">
      <w:pPr>
        <w:pStyle w:val="Heading2"/>
        <w:rPr>
          <w:kern w:val="0"/>
        </w:rPr>
      </w:pPr>
      <w:r w:rsidRPr="006A75A2">
        <w:rPr>
          <w:kern w:val="0"/>
        </w:rPr>
        <w:lastRenderedPageBreak/>
        <w:t>Other economic flows included in the net result</w:t>
      </w:r>
    </w:p>
    <w:p w:rsidR="004E6C32" w:rsidRPr="006A75A2" w:rsidRDefault="004E6C32" w:rsidP="004B5CB1">
      <w:r w:rsidRPr="006A75A2">
        <w:t>The net result from transactions is the Government</w:t>
      </w:r>
      <w:r w:rsidR="00C96101" w:rsidRPr="006A75A2">
        <w:t>’</w:t>
      </w:r>
      <w:r w:rsidRPr="006A75A2">
        <w:t>s net surplus measure for the purposes of its fiscal strategy.</w:t>
      </w:r>
    </w:p>
    <w:p w:rsidR="004E6C32" w:rsidRPr="006A75A2" w:rsidRDefault="004E6C32" w:rsidP="004B5CB1">
      <w:r w:rsidRPr="006A75A2">
        <w:t xml:space="preserve">The overall net result is a different measure. The net result and the net result from transactions differ due to other economic flows, which includes various revaluation gains and losses recognised for the period. </w:t>
      </w:r>
    </w:p>
    <w:p w:rsidR="004E6C32" w:rsidRPr="006A75A2" w:rsidRDefault="004E6C32" w:rsidP="004B5CB1">
      <w:r w:rsidRPr="006A75A2">
        <w:t>Other economic flows included in the net result for 2013</w:t>
      </w:r>
      <w:r w:rsidRPr="006A75A2">
        <w:noBreakHyphen/>
        <w:t xml:space="preserve">14 totalled a net loss of $1.2 billion, mainly driven by the deconsolidation of the four dual sector TAFE divisions of universities from 1 January 2014, as reflected in the revised estimates. </w:t>
      </w:r>
    </w:p>
    <w:p w:rsidR="004E6C32" w:rsidRPr="006A75A2" w:rsidRDefault="004E6C32" w:rsidP="004B5CB1">
      <w:pPr>
        <w:pStyle w:val="Heading1"/>
      </w:pPr>
      <w:bookmarkStart w:id="7" w:name="_Toc367967886"/>
      <w:bookmarkStart w:id="8" w:name="_Toc400040230"/>
      <w:r w:rsidRPr="006A75A2">
        <w:t>Financial position</w:t>
      </w:r>
      <w:bookmarkEnd w:id="7"/>
      <w:bookmarkEnd w:id="8"/>
    </w:p>
    <w:p w:rsidR="004E6C32" w:rsidRPr="006A75A2" w:rsidRDefault="004E6C32" w:rsidP="004B5CB1">
      <w:r w:rsidRPr="006A75A2">
        <w:t>Table 2.4 shows that general government sector net assets increased by $7.3 billion (6.1 per cent) to $127 billion in the 2013</w:t>
      </w:r>
      <w:r w:rsidRPr="006A75A2">
        <w:noBreakHyphen/>
        <w:t>14 financial year. This was $2.1 billion (1.7 per cent) higher than expected in the 2013</w:t>
      </w:r>
      <w:r w:rsidRPr="006A75A2">
        <w:noBreakHyphen/>
        <w:t>14 revised budget.</w:t>
      </w:r>
    </w:p>
    <w:p w:rsidR="004E6C32" w:rsidRPr="006A75A2" w:rsidRDefault="004E6C32" w:rsidP="004B5CB1">
      <w:pPr>
        <w:pStyle w:val="Tableheading"/>
      </w:pPr>
      <w:r w:rsidRPr="006A75A2">
        <w:t>Table 2.4:</w:t>
      </w:r>
      <w:r w:rsidRPr="006A75A2">
        <w:tab/>
        <w:t>Summary balance sheet</w:t>
      </w:r>
    </w:p>
    <w:p w:rsidR="004E6C32" w:rsidRPr="006A75A2" w:rsidRDefault="004E6C32" w:rsidP="004B5CB1">
      <w:pPr>
        <w:pStyle w:val="million"/>
        <w:rPr>
          <w:rFonts w:ascii="Times New Roman" w:hAnsi="Times New Roman"/>
          <w:lang w:eastAsia="en-AU"/>
        </w:rPr>
      </w:pPr>
      <w:r w:rsidRPr="006A75A2">
        <w:t>($ million)</w:t>
      </w:r>
    </w:p>
    <w:tbl>
      <w:tblPr>
        <w:tblW w:w="9640" w:type="dxa"/>
        <w:tblInd w:w="29" w:type="dxa"/>
        <w:tblLayout w:type="fixed"/>
        <w:tblCellMar>
          <w:left w:w="43" w:type="dxa"/>
          <w:right w:w="43" w:type="dxa"/>
        </w:tblCellMar>
        <w:tblLook w:val="0000" w:firstRow="0" w:lastRow="0" w:firstColumn="0" w:lastColumn="0" w:noHBand="0" w:noVBand="0"/>
      </w:tblPr>
      <w:tblGrid>
        <w:gridCol w:w="4040"/>
        <w:gridCol w:w="1120"/>
        <w:gridCol w:w="1120"/>
        <w:gridCol w:w="1120"/>
        <w:gridCol w:w="1120"/>
        <w:gridCol w:w="1120"/>
      </w:tblGrid>
      <w:tr w:rsidR="00C21642" w:rsidRPr="006A75A2" w:rsidTr="00C21642">
        <w:trPr>
          <w:trHeight w:val="552"/>
        </w:trPr>
        <w:tc>
          <w:tcPr>
            <w:tcW w:w="4040" w:type="dxa"/>
            <w:tcBorders>
              <w:top w:val="single" w:sz="6" w:space="0" w:color="000000"/>
              <w:left w:val="single" w:sz="6" w:space="0" w:color="000000"/>
              <w:right w:val="nil"/>
            </w:tcBorders>
            <w:shd w:val="clear" w:color="auto" w:fill="000000"/>
          </w:tcPr>
          <w:p w:rsidR="00C21642" w:rsidRPr="006A75A2" w:rsidRDefault="00C21642" w:rsidP="004B5CB1">
            <w:pPr>
              <w:pStyle w:val="Tabletext"/>
              <w:rPr>
                <w:rFonts w:eastAsiaTheme="minorEastAsia"/>
              </w:rPr>
            </w:pPr>
            <w:r w:rsidRPr="006A75A2">
              <w:rPr>
                <w:rFonts w:eastAsiaTheme="minorEastAsia"/>
              </w:rPr>
              <w:t xml:space="preserve"> </w:t>
            </w:r>
          </w:p>
          <w:p w:rsidR="00C21642" w:rsidRPr="006A75A2" w:rsidRDefault="00C21642" w:rsidP="004B5CB1">
            <w:pPr>
              <w:pStyle w:val="Tabletext"/>
              <w:rPr>
                <w:rFonts w:eastAsiaTheme="minorEastAsia"/>
              </w:rPr>
            </w:pPr>
            <w:r w:rsidRPr="006A75A2">
              <w:rPr>
                <w:rFonts w:eastAsiaTheme="minorEastAsia"/>
              </w:rPr>
              <w:t xml:space="preserve"> </w:t>
            </w:r>
          </w:p>
        </w:tc>
        <w:tc>
          <w:tcPr>
            <w:tcW w:w="1120" w:type="dxa"/>
            <w:tcBorders>
              <w:top w:val="single" w:sz="6" w:space="0" w:color="000000"/>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p w:rsidR="00C21642" w:rsidRPr="006A75A2" w:rsidRDefault="00C21642" w:rsidP="004B5CB1">
            <w:pPr>
              <w:pStyle w:val="Tabletextheading"/>
              <w:rPr>
                <w:rFonts w:eastAsiaTheme="minorEastAsia"/>
                <w:lang w:eastAsia="en-AU"/>
              </w:rPr>
            </w:pPr>
            <w:r w:rsidRPr="006A75A2">
              <w:rPr>
                <w:rFonts w:eastAsiaTheme="minorEastAsia"/>
                <w:lang w:eastAsia="en-AU"/>
              </w:rPr>
              <w:t>2013-14</w:t>
            </w:r>
          </w:p>
        </w:tc>
        <w:tc>
          <w:tcPr>
            <w:tcW w:w="1120" w:type="dxa"/>
            <w:tcBorders>
              <w:top w:val="single" w:sz="6" w:space="0" w:color="000000"/>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Revised</w:t>
            </w:r>
          </w:p>
          <w:p w:rsidR="00C21642" w:rsidRPr="006A75A2" w:rsidRDefault="00C21642" w:rsidP="004B5CB1">
            <w:pPr>
              <w:pStyle w:val="Tabletextheading"/>
              <w:rPr>
                <w:rFonts w:eastAsiaTheme="minorEastAsia"/>
                <w:lang w:eastAsia="en-AU"/>
              </w:rPr>
            </w:pPr>
            <w:r w:rsidRPr="006A75A2">
              <w:rPr>
                <w:rFonts w:eastAsiaTheme="minorEastAsia"/>
                <w:lang w:eastAsia="en-AU"/>
              </w:rPr>
              <w:t>variance</w:t>
            </w:r>
          </w:p>
        </w:tc>
        <w:tc>
          <w:tcPr>
            <w:tcW w:w="1120" w:type="dxa"/>
            <w:tcBorders>
              <w:top w:val="single" w:sz="6" w:space="0" w:color="000000"/>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Revised</w:t>
            </w:r>
          </w:p>
          <w:p w:rsidR="00C21642" w:rsidRPr="006A75A2" w:rsidRDefault="00C21642" w:rsidP="004B5CB1">
            <w:pPr>
              <w:pStyle w:val="Tabletextheading"/>
              <w:rPr>
                <w:rFonts w:eastAsiaTheme="minorEastAsia"/>
                <w:lang w:eastAsia="en-AU"/>
              </w:rPr>
            </w:pPr>
            <w:r w:rsidRPr="006A75A2">
              <w:rPr>
                <w:rFonts w:eastAsiaTheme="minorEastAsia"/>
                <w:lang w:eastAsia="en-AU"/>
              </w:rPr>
              <w:t>2013-14</w:t>
            </w:r>
          </w:p>
        </w:tc>
        <w:tc>
          <w:tcPr>
            <w:tcW w:w="1120" w:type="dxa"/>
            <w:tcBorders>
              <w:top w:val="single" w:sz="6" w:space="0" w:color="000000"/>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p w:rsidR="00C21642" w:rsidRPr="006A75A2" w:rsidRDefault="00C21642" w:rsidP="004B5CB1">
            <w:pPr>
              <w:pStyle w:val="Tabletextheading"/>
              <w:rPr>
                <w:rFonts w:eastAsiaTheme="minorEastAsia"/>
                <w:lang w:eastAsia="en-AU"/>
              </w:rPr>
            </w:pPr>
            <w:r w:rsidRPr="006A75A2">
              <w:rPr>
                <w:rFonts w:eastAsiaTheme="minorEastAsia"/>
                <w:lang w:eastAsia="en-AU"/>
              </w:rPr>
              <w:t>movement</w:t>
            </w:r>
          </w:p>
        </w:tc>
        <w:tc>
          <w:tcPr>
            <w:tcW w:w="1120" w:type="dxa"/>
            <w:tcBorders>
              <w:top w:val="single" w:sz="6" w:space="0" w:color="000000"/>
              <w:left w:val="nil"/>
              <w:right w:val="single" w:sz="6" w:space="0" w:color="000000"/>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p w:rsidR="00C21642" w:rsidRPr="006A75A2" w:rsidRDefault="00C21642" w:rsidP="004B5CB1">
            <w:pPr>
              <w:pStyle w:val="Tabletextheading"/>
              <w:rPr>
                <w:rFonts w:eastAsiaTheme="minorEastAsia"/>
                <w:lang w:eastAsia="en-AU"/>
              </w:rPr>
            </w:pPr>
            <w:r w:rsidRPr="006A75A2">
              <w:rPr>
                <w:rFonts w:eastAsiaTheme="minorEastAsia"/>
                <w:lang w:eastAsia="en-AU"/>
              </w:rPr>
              <w:t>2012-13</w:t>
            </w:r>
          </w:p>
        </w:tc>
      </w:tr>
      <w:tr w:rsidR="004E6C32" w:rsidRPr="006A75A2" w:rsidTr="004B5CB1">
        <w:tc>
          <w:tcPr>
            <w:tcW w:w="4040" w:type="dxa"/>
            <w:tcBorders>
              <w:top w:val="single" w:sz="6" w:space="0" w:color="000000"/>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Assets</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rPr>
              <w:t>Financial assets</w:t>
            </w:r>
            <w:r w:rsidRPr="006A75A2">
              <w:rPr>
                <w:rFonts w:eastAsiaTheme="minorEastAsia"/>
                <w:sz w:val="20"/>
                <w:szCs w:val="20"/>
                <w:vertAlign w:val="superscript"/>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17 190.1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16 980.2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17 082.6</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Non-financial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105 168.0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2 449.3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102 718.8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3 075.5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102 092.5</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Investments in other sector entities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4040" w:type="dxa"/>
            <w:tcBorders>
              <w:top w:val="nil"/>
              <w:left w:val="nil"/>
              <w:bottom w:val="nil"/>
              <w:right w:val="nil"/>
            </w:tcBorders>
          </w:tcPr>
          <w:p w:rsidR="004E6C32" w:rsidRPr="006A75A2" w:rsidRDefault="004E6C32" w:rsidP="00C96101">
            <w:pPr>
              <w:pStyle w:val="Tabletext"/>
              <w:rPr>
                <w:rFonts w:eastAsiaTheme="minorEastAsia" w:cs="Calibri"/>
                <w:szCs w:val="22"/>
                <w:vertAlign w:val="superscript"/>
                <w:lang w:eastAsia="en-AU"/>
              </w:rPr>
            </w:pPr>
            <w:r w:rsidRPr="006A75A2">
              <w:rPr>
                <w:rFonts w:eastAsiaTheme="minorEastAsia"/>
              </w:rPr>
              <w:t>Public non-financial corporations</w:t>
            </w:r>
            <w:r w:rsidRPr="006A75A2">
              <w:rPr>
                <w:rFonts w:eastAsiaTheme="minorEastAsia" w:cs="Calibri"/>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72 973.2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1 594.7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71 378.5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5 207.7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67 765.5</w:t>
            </w:r>
          </w:p>
        </w:tc>
      </w:tr>
      <w:tr w:rsidR="004E6C32" w:rsidRPr="006A75A2" w:rsidTr="004B5CB1">
        <w:tc>
          <w:tcPr>
            <w:tcW w:w="404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vertAlign w:val="superscript"/>
              </w:rPr>
            </w:pPr>
            <w:r w:rsidRPr="006A75A2">
              <w:rPr>
                <w:rFonts w:eastAsiaTheme="minorEastAsia"/>
              </w:rPr>
              <w:t>Public financial corporations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2 896.1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181.2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2 714.8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946.8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1 949.3</w:t>
            </w:r>
          </w:p>
        </w:tc>
      </w:tr>
      <w:tr w:rsidR="004E6C32" w:rsidRPr="006A75A2" w:rsidTr="004B5CB1">
        <w:tc>
          <w:tcPr>
            <w:tcW w:w="4040" w:type="dxa"/>
            <w:tcBorders>
              <w:top w:val="nil"/>
              <w:left w:val="nil"/>
              <w:bottom w:val="nil"/>
              <w:right w:val="nil"/>
            </w:tcBorders>
          </w:tcPr>
          <w:p w:rsidR="004E6C32" w:rsidRPr="006A75A2" w:rsidRDefault="004E6C32" w:rsidP="00C96101">
            <w:pPr>
              <w:pStyle w:val="Tabletext"/>
              <w:rPr>
                <w:rFonts w:eastAsiaTheme="minorEastAsia" w:cs="Calibri"/>
                <w:b/>
                <w:bCs/>
                <w:szCs w:val="22"/>
                <w:vertAlign w:val="superscript"/>
                <w:lang w:eastAsia="en-AU"/>
              </w:rPr>
            </w:pPr>
            <w:r w:rsidRPr="006A75A2">
              <w:rPr>
                <w:rFonts w:eastAsiaTheme="minorEastAsia"/>
                <w:b/>
                <w:bCs/>
                <w:lang w:eastAsia="en-AU"/>
              </w:rPr>
              <w:t>Total assets</w:t>
            </w:r>
            <w:r w:rsidRPr="006A75A2">
              <w:rPr>
                <w:rFonts w:eastAsiaTheme="minorEastAsia" w:cs="Calibri"/>
                <w:b/>
                <w:bCs/>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198 227.4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4 435.2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193 792.2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9 337.5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188 889.9</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Superannuation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25 680.7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2 453.3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23 227.4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25 142.5</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rPr>
              <w:t>Borrowings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32 953.6</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(178.5)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33 132.1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1 608.3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31 345.3</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Other liabilities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12 106.3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12 073.4</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(113.3)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12 219.6</w:t>
            </w:r>
          </w:p>
        </w:tc>
      </w:tr>
      <w:tr w:rsidR="004E6C32" w:rsidRPr="006A75A2" w:rsidTr="004B5CB1">
        <w:tc>
          <w:tcPr>
            <w:tcW w:w="404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70 740.6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2 307.7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68 432.9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2 033.2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68 707.4</w:t>
            </w:r>
          </w:p>
        </w:tc>
      </w:tr>
      <w:tr w:rsidR="004E6C32" w:rsidRPr="006A75A2" w:rsidTr="004B5CB1">
        <w:tc>
          <w:tcPr>
            <w:tcW w:w="4040" w:type="dxa"/>
            <w:tcBorders>
              <w:top w:val="single" w:sz="6" w:space="0" w:color="auto"/>
              <w:left w:val="nil"/>
              <w:bottom w:val="single" w:sz="12" w:space="0" w:color="000000"/>
              <w:right w:val="nil"/>
            </w:tcBorders>
            <w:shd w:val="clear" w:color="auto" w:fill="auto"/>
          </w:tcPr>
          <w:p w:rsidR="004E6C32" w:rsidRPr="006A75A2" w:rsidRDefault="004E6C32" w:rsidP="00C96101">
            <w:pPr>
              <w:pStyle w:val="Tabletext"/>
              <w:rPr>
                <w:rFonts w:eastAsiaTheme="minorEastAsia" w:cs="Calibri"/>
                <w:b/>
                <w:bCs/>
                <w:szCs w:val="22"/>
                <w:vertAlign w:val="superscript"/>
                <w:lang w:eastAsia="en-AU"/>
              </w:rPr>
            </w:pPr>
            <w:r w:rsidRPr="006A75A2">
              <w:rPr>
                <w:rFonts w:eastAsiaTheme="minorEastAsia"/>
                <w:b/>
                <w:bCs/>
                <w:lang w:eastAsia="en-AU"/>
              </w:rPr>
              <w:t>Net assets</w:t>
            </w:r>
            <w:r w:rsidRPr="006A75A2">
              <w:rPr>
                <w:rFonts w:eastAsiaTheme="minorEastAsia"/>
                <w:b/>
                <w:bCs/>
                <w:szCs w:val="19"/>
                <w:vertAlign w:val="superscript"/>
                <w:lang w:eastAsia="en-AU"/>
              </w:rPr>
              <w:t>(a</w:t>
            </w:r>
            <w:r w:rsidRPr="006A75A2">
              <w:rPr>
                <w:rFonts w:eastAsiaTheme="minorEastAsia"/>
                <w:b/>
                <w:bCs/>
                <w:vertAlign w:val="superscript"/>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127 486.9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2 127.5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125 359.4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7 304.3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120 182.6</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Chapter 4 Note 37.</w:t>
      </w:r>
    </w:p>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
        <w:rPr>
          <w:kern w:val="0"/>
        </w:rPr>
      </w:pPr>
      <w:r w:rsidRPr="006A75A2">
        <w:rPr>
          <w:kern w:val="0"/>
        </w:rPr>
        <w:lastRenderedPageBreak/>
        <w:t>Assets</w:t>
      </w:r>
    </w:p>
    <w:p w:rsidR="004E6C32" w:rsidRPr="006A75A2" w:rsidRDefault="004E6C32" w:rsidP="004B5CB1">
      <w:r w:rsidRPr="006A75A2">
        <w:t>Financial assets in Table 2.4 include cash assets, investments and loans and placements. The value of the financial assets held by the general government sector was relatively constant with a slight increase of $108 million to $17.2 billion during the financial year. The actual outcome was also in line with revised estimates.</w:t>
      </w:r>
    </w:p>
    <w:p w:rsidR="004E6C32" w:rsidRPr="006A75A2" w:rsidRDefault="004E6C32" w:rsidP="004B5CB1">
      <w:r w:rsidRPr="006A75A2">
        <w:t>Non</w:t>
      </w:r>
      <w:r w:rsidRPr="006A75A2">
        <w:noBreakHyphen/>
        <w:t>financial assets increased by $3.1 billion during the year which is mainly due to the revaluation increase of land and buildings in the health sector.</w:t>
      </w:r>
    </w:p>
    <w:p w:rsidR="004E6C32" w:rsidRPr="006A75A2" w:rsidRDefault="004E6C32" w:rsidP="004B5CB1">
      <w:r w:rsidRPr="006A75A2">
        <w:t xml:space="preserve">General government investments in other sector entities increased by $6.2 billion in the year. This included investments in: </w:t>
      </w:r>
    </w:p>
    <w:p w:rsidR="004E6C32" w:rsidRPr="006A75A2" w:rsidRDefault="004E6C32" w:rsidP="004B5CB1">
      <w:pPr>
        <w:pStyle w:val="BulletText"/>
        <w:keepLines/>
      </w:pPr>
      <w:r w:rsidRPr="006A75A2">
        <w:t>public non</w:t>
      </w:r>
      <w:r w:rsidRPr="006A75A2">
        <w:noBreakHyphen/>
        <w:t xml:space="preserve">financial corporations of $5.2 billion, which was primarily the revaluation gains on housing assets and the transfer of infrastructure assets and funding to Victorian Rail Track by Public Transport Victoria; and </w:t>
      </w:r>
    </w:p>
    <w:p w:rsidR="004E6C32" w:rsidRPr="006A75A2" w:rsidRDefault="004E6C32" w:rsidP="004B5CB1">
      <w:pPr>
        <w:pStyle w:val="BulletText"/>
        <w:keepLines/>
      </w:pPr>
      <w:r w:rsidRPr="006A75A2">
        <w:t>public financial corporations of $947 million reflecting an improved net asset position associated with strong investment returns achieved by the Victorian WorkCover Authority and Traffic Accident Commission.</w:t>
      </w:r>
    </w:p>
    <w:p w:rsidR="004E6C32" w:rsidRPr="006A75A2" w:rsidRDefault="004E6C32" w:rsidP="004B5CB1">
      <w:pPr>
        <w:pStyle w:val="Heading2"/>
        <w:rPr>
          <w:kern w:val="0"/>
        </w:rPr>
      </w:pPr>
      <w:r w:rsidRPr="006A75A2">
        <w:rPr>
          <w:kern w:val="0"/>
        </w:rPr>
        <w:t>Liabilities</w:t>
      </w:r>
    </w:p>
    <w:p w:rsidR="004E6C32" w:rsidRPr="006A75A2" w:rsidRDefault="004E6C32" w:rsidP="004B5CB1">
      <w:r w:rsidRPr="006A75A2">
        <w:t>Total liabilities as at 30 June 2014 were $2.3 billion higher than the 2013</w:t>
      </w:r>
      <w:r w:rsidRPr="006A75A2">
        <w:noBreakHyphen/>
        <w:t>14 revised budget. This increase was largely attributable to an increase in the reported value of the superannuation liability due to reduced bond yields. The superannuation liability relates to public sector defined benefit superannuation schemes and represents the present value of expected future benefits that scheme members have accrued to date, less the value of superannuation assets.</w:t>
      </w:r>
    </w:p>
    <w:p w:rsidR="004E6C32" w:rsidRPr="006A75A2" w:rsidRDefault="004E6C32" w:rsidP="004B5CB1">
      <w:r w:rsidRPr="006A75A2">
        <w:t>Total general government sector liabilities increased by $2.0 billion to $70.7 billion in 2013</w:t>
      </w:r>
      <w:r w:rsidRPr="006A75A2">
        <w:noBreakHyphen/>
        <w:t>14, mainly as a result of borrowings required to finance the Government</w:t>
      </w:r>
      <w:r w:rsidR="00C96101" w:rsidRPr="006A75A2">
        <w:t>’</w:t>
      </w:r>
      <w:r w:rsidRPr="006A75A2">
        <w:t>s infrastructure investment. Additionally, a $538 million increase in the superannuation liability between 30 June 2013 and 30 June 2014 was attributable to a net remeasurement loss on superannuation in 2013-14 of $286 million. This loss was primarily attributable to a reduction in the bond yields that underlie the key superannuation valuation assumptions, partially offset by the investment return on superannuation assets exceeding that allowed for in interest income.</w:t>
      </w:r>
    </w:p>
    <w:p w:rsidR="004E6C32" w:rsidRPr="006A75A2" w:rsidRDefault="004E6C32">
      <w:pPr>
        <w:spacing w:after="0"/>
        <w:rPr>
          <w:rFonts w:ascii="Calibri" w:hAnsi="Calibri"/>
          <w:b/>
          <w:caps/>
          <w:sz w:val="28"/>
          <w:szCs w:val="22"/>
        </w:rPr>
      </w:pPr>
      <w:bookmarkStart w:id="9" w:name="_Toc367967887"/>
      <w:r w:rsidRPr="006A75A2">
        <w:br w:type="page"/>
      </w:r>
    </w:p>
    <w:p w:rsidR="004E6C32" w:rsidRPr="006A75A2" w:rsidRDefault="004E6C32" w:rsidP="004B5CB1">
      <w:pPr>
        <w:pStyle w:val="Heading1"/>
      </w:pPr>
      <w:bookmarkStart w:id="10" w:name="_Toc400040231"/>
      <w:r w:rsidRPr="006A75A2">
        <w:lastRenderedPageBreak/>
        <w:t>Cash flows</w:t>
      </w:r>
      <w:bookmarkEnd w:id="9"/>
      <w:bookmarkEnd w:id="10"/>
    </w:p>
    <w:p w:rsidR="004E6C32" w:rsidRPr="006A75A2" w:rsidRDefault="004E6C32" w:rsidP="004B5CB1">
      <w:r w:rsidRPr="006A75A2">
        <w:t>Table 2.5 outlines the use of cash resources to fund Victoria</w:t>
      </w:r>
      <w:r w:rsidR="00C96101" w:rsidRPr="006A75A2">
        <w:t>’</w:t>
      </w:r>
      <w:r w:rsidRPr="006A75A2">
        <w:t>s infrastructure investment program. It summarises cash generated through the operations of Victorian government departments and other general government sector agencies, and how that cash is invested in infrastructure.</w:t>
      </w:r>
    </w:p>
    <w:p w:rsidR="004E6C32" w:rsidRPr="006A75A2" w:rsidRDefault="004E6C32" w:rsidP="004B5CB1">
      <w:r w:rsidRPr="006A75A2">
        <w:t>A detailed cash flow statement is provided in Chapter 4. In the 2013</w:t>
      </w:r>
      <w:r w:rsidRPr="006A75A2">
        <w:noBreakHyphen/>
        <w:t xml:space="preserve">14 financial year, approximately 76 per cent of the general government sector infrastructure investment program of $5.2 billion was funded from net cash flows from operating activities. </w:t>
      </w:r>
    </w:p>
    <w:p w:rsidR="004E6C32" w:rsidRPr="006A75A2" w:rsidRDefault="004E6C32" w:rsidP="004B5CB1">
      <w:pPr>
        <w:pStyle w:val="Tableheading"/>
      </w:pPr>
      <w:r w:rsidRPr="006A75A2">
        <w:t>Table 2.5:</w:t>
      </w:r>
      <w:r w:rsidRPr="006A75A2">
        <w:tab/>
        <w:t>Application of cash resources</w:t>
      </w:r>
    </w:p>
    <w:p w:rsidR="004E6C32" w:rsidRPr="006A75A2" w:rsidRDefault="004E6C32" w:rsidP="004B5CB1">
      <w:pPr>
        <w:pStyle w:val="million"/>
        <w:rPr>
          <w:rFonts w:ascii="Times New Roman" w:hAnsi="Times New Roman"/>
          <w:lang w:eastAsia="en-AU"/>
        </w:rPr>
      </w:pPr>
      <w:r w:rsidRPr="006A75A2">
        <w:t>($ million)</w:t>
      </w:r>
    </w:p>
    <w:tbl>
      <w:tblPr>
        <w:tblW w:w="9640" w:type="dxa"/>
        <w:tblInd w:w="29" w:type="dxa"/>
        <w:tblLayout w:type="fixed"/>
        <w:tblCellMar>
          <w:left w:w="43" w:type="dxa"/>
          <w:right w:w="43" w:type="dxa"/>
        </w:tblCellMar>
        <w:tblLook w:val="0000" w:firstRow="0" w:lastRow="0" w:firstColumn="0" w:lastColumn="0" w:noHBand="0" w:noVBand="0"/>
      </w:tblPr>
      <w:tblGrid>
        <w:gridCol w:w="7400"/>
        <w:gridCol w:w="1120"/>
        <w:gridCol w:w="1120"/>
      </w:tblGrid>
      <w:tr w:rsidR="00C21642" w:rsidRPr="006A75A2" w:rsidTr="00C21642">
        <w:trPr>
          <w:trHeight w:val="552"/>
        </w:trPr>
        <w:tc>
          <w:tcPr>
            <w:tcW w:w="7400" w:type="dxa"/>
            <w:tcBorders>
              <w:top w:val="single" w:sz="6" w:space="0" w:color="000000"/>
              <w:left w:val="single" w:sz="6" w:space="0" w:color="000000"/>
              <w:right w:val="nil"/>
            </w:tcBorders>
            <w:shd w:val="clear" w:color="auto" w:fill="000000"/>
          </w:tcPr>
          <w:p w:rsidR="00C21642" w:rsidRPr="006A75A2" w:rsidRDefault="00C21642" w:rsidP="004B5CB1">
            <w:pPr>
              <w:pStyle w:val="Tabletext"/>
              <w:rPr>
                <w:rFonts w:eastAsiaTheme="minorEastAsia"/>
              </w:rPr>
            </w:pPr>
            <w:r w:rsidRPr="006A75A2">
              <w:rPr>
                <w:rFonts w:eastAsiaTheme="minorEastAsia"/>
              </w:rPr>
              <w:t xml:space="preserve"> </w:t>
            </w:r>
          </w:p>
          <w:p w:rsidR="00C21642" w:rsidRPr="006A75A2" w:rsidRDefault="00C21642" w:rsidP="004B5CB1">
            <w:pPr>
              <w:pStyle w:val="Tabletext"/>
              <w:rPr>
                <w:rFonts w:eastAsiaTheme="minorEastAsia"/>
              </w:rPr>
            </w:pPr>
            <w:r w:rsidRPr="006A75A2">
              <w:rPr>
                <w:rFonts w:eastAsiaTheme="minorEastAsia"/>
              </w:rPr>
              <w:t xml:space="preserve"> </w:t>
            </w:r>
          </w:p>
        </w:tc>
        <w:tc>
          <w:tcPr>
            <w:tcW w:w="1120" w:type="dxa"/>
            <w:tcBorders>
              <w:top w:val="single" w:sz="6" w:space="0" w:color="000000"/>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2013-14</w:t>
            </w:r>
          </w:p>
          <w:p w:rsidR="00C21642" w:rsidRPr="006A75A2" w:rsidRDefault="00C21642" w:rsidP="004B5CB1">
            <w:pPr>
              <w:pStyle w:val="Tabletextheading"/>
              <w:rPr>
                <w:rFonts w:eastAsiaTheme="minorEastAsia"/>
                <w:lang w:eastAsia="en-AU"/>
              </w:rPr>
            </w:pPr>
            <w:r w:rsidRPr="006A75A2">
              <w:rPr>
                <w:rFonts w:eastAsiaTheme="minorEastAsia"/>
                <w:iCs/>
                <w:lang w:eastAsia="en-AU"/>
              </w:rPr>
              <w:t>Actual</w:t>
            </w:r>
          </w:p>
        </w:tc>
        <w:tc>
          <w:tcPr>
            <w:tcW w:w="1120" w:type="dxa"/>
            <w:tcBorders>
              <w:top w:val="single" w:sz="6" w:space="0" w:color="000000"/>
              <w:left w:val="nil"/>
              <w:right w:val="single" w:sz="6" w:space="0" w:color="000000"/>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2013-14</w:t>
            </w:r>
          </w:p>
          <w:p w:rsidR="00C21642" w:rsidRPr="006A75A2" w:rsidRDefault="00C21642" w:rsidP="004B5CB1">
            <w:pPr>
              <w:pStyle w:val="Tabletextheading"/>
              <w:rPr>
                <w:rFonts w:eastAsiaTheme="minorEastAsia"/>
                <w:lang w:eastAsia="en-AU"/>
              </w:rPr>
            </w:pPr>
            <w:r w:rsidRPr="006A75A2">
              <w:rPr>
                <w:rFonts w:eastAsiaTheme="minorEastAsia"/>
                <w:iCs/>
                <w:lang w:eastAsia="en-AU"/>
              </w:rPr>
              <w:t>Revised</w:t>
            </w:r>
          </w:p>
        </w:tc>
      </w:tr>
      <w:tr w:rsidR="004E6C32" w:rsidRPr="006A75A2" w:rsidTr="004B5CB1">
        <w:tc>
          <w:tcPr>
            <w:tcW w:w="7400" w:type="dxa"/>
            <w:tcBorders>
              <w:top w:val="single" w:sz="6" w:space="0" w:color="000000"/>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Net result from transactions – net operating balance</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1 976.2</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934.7</w:t>
            </w:r>
          </w:p>
        </w:tc>
      </w:tr>
      <w:tr w:rsidR="004E6C32" w:rsidRPr="006A75A2" w:rsidTr="004B5CB1">
        <w:tc>
          <w:tcPr>
            <w:tcW w:w="7400" w:type="dxa"/>
            <w:tcBorders>
              <w:top w:val="nil"/>
              <w:left w:val="nil"/>
              <w:bottom w:val="single" w:sz="6" w:space="0" w:color="auto"/>
              <w:right w:val="nil"/>
            </w:tcBorders>
          </w:tcPr>
          <w:p w:rsidR="004E6C32" w:rsidRPr="006A75A2" w:rsidRDefault="004E6C32" w:rsidP="00C96101">
            <w:pPr>
              <w:pStyle w:val="Tabletext"/>
              <w:rPr>
                <w:rFonts w:eastAsiaTheme="minorEastAsia"/>
              </w:rPr>
            </w:pPr>
            <w:r w:rsidRPr="006A75A2">
              <w:rPr>
                <w:rFonts w:eastAsiaTheme="minorEastAsia"/>
              </w:rPr>
              <w:t>Add back: Non-cash revenues and expenses (net)</w:t>
            </w:r>
            <w:r w:rsidRPr="006A75A2">
              <w:rPr>
                <w:rFonts w:eastAsiaTheme="minorEastAsia"/>
                <w:vertAlign w:val="superscript"/>
              </w:rPr>
              <w:t>(a)</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1 966.3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2 348.0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cash flow from operating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3 942.5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3 282.7</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Less: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investment in fixed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rPr>
            </w:pPr>
            <w:r w:rsidRPr="006A75A2">
              <w:rPr>
                <w:rFonts w:eastAsiaTheme="minorEastAsia"/>
              </w:rPr>
              <w:t>Expenditure on approved projects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5 475.6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5 152.8</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rPr>
            </w:pPr>
            <w:r w:rsidRPr="006A75A2">
              <w:rPr>
                <w:rFonts w:eastAsiaTheme="minorEastAsia"/>
              </w:rPr>
              <w:t>Sale of non-financial assets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270.9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304.2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Net investment in fixed assets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5 204.7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4 848.6</w:t>
            </w:r>
          </w:p>
        </w:tc>
      </w:tr>
      <w:tr w:rsidR="004E6C32" w:rsidRPr="006A75A2" w:rsidTr="004B5CB1">
        <w:tc>
          <w:tcPr>
            <w:tcW w:w="7400" w:type="dxa"/>
            <w:tcBorders>
              <w:top w:val="nil"/>
              <w:left w:val="nil"/>
              <w:bottom w:val="nil"/>
              <w:right w:val="nil"/>
            </w:tcBorders>
          </w:tcPr>
          <w:p w:rsidR="004E6C32" w:rsidRPr="006A75A2" w:rsidRDefault="004E6C32" w:rsidP="00C96101">
            <w:pPr>
              <w:pStyle w:val="Tabletext"/>
              <w:rPr>
                <w:rFonts w:eastAsiaTheme="minorEastAsia"/>
              </w:rPr>
            </w:pPr>
            <w:r w:rsidRPr="006A75A2">
              <w:rPr>
                <w:rFonts w:eastAsiaTheme="minorEastAsia"/>
              </w:rPr>
              <w:t>Finance leases</w:t>
            </w:r>
            <w:r w:rsidRPr="006A75A2">
              <w:rPr>
                <w:rFonts w:eastAsiaTheme="minorEastAsia"/>
                <w:vertAlign w:val="superscript"/>
              </w:rPr>
              <w:t>(b)</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109.5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111.0</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rPr>
            </w:pPr>
            <w:r w:rsidRPr="006A75A2">
              <w:rPr>
                <w:rFonts w:eastAsiaTheme="minorEastAsia"/>
              </w:rPr>
              <w:t>Other investment activities (net)</w:t>
            </w:r>
          </w:p>
        </w:tc>
        <w:tc>
          <w:tcPr>
            <w:tcW w:w="1120" w:type="dxa"/>
            <w:tcBorders>
              <w:top w:val="nil"/>
              <w:left w:val="nil"/>
              <w:bottom w:val="single" w:sz="6" w:space="0" w:color="auto"/>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(18.2)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16.0</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(Increase) in net debt </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(1 353.4)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(1 692.9)</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Includes depreciation and movements in liabilities such as superannuation and employee benefits.</w:t>
      </w:r>
    </w:p>
    <w:p w:rsidR="004E6C32" w:rsidRPr="006A75A2" w:rsidRDefault="004E6C32" w:rsidP="004B5CB1">
      <w:pPr>
        <w:pStyle w:val="Notes"/>
      </w:pPr>
      <w:r w:rsidRPr="006A75A2">
        <w:t>(b)</w:t>
      </w:r>
      <w:r w:rsidRPr="006A75A2">
        <w:tab/>
        <w:t xml:space="preserve">Reflects the recognition of new finance lease arrangements in the general government sector, which are being delivered under the </w:t>
      </w:r>
      <w:r w:rsidRPr="006A75A2">
        <w:rPr>
          <w:i w:val="0"/>
        </w:rPr>
        <w:t>Partnerships Victoria</w:t>
      </w:r>
      <w:r w:rsidRPr="006A75A2">
        <w:t xml:space="preserve"> model, with an equivalent increase in fixed assets following completion and commissioning of the assets.</w:t>
      </w:r>
      <w:r w:rsidRPr="006A75A2">
        <w:rPr>
          <w:highlight w:val="yellow"/>
        </w:rPr>
        <w:t xml:space="preserve"> </w:t>
      </w:r>
    </w:p>
    <w:p w:rsidR="004E6C32" w:rsidRPr="006A75A2" w:rsidRDefault="004E6C32">
      <w:pPr>
        <w:spacing w:after="0"/>
        <w:rPr>
          <w:rFonts w:ascii="Calibri" w:hAnsi="Calibri"/>
          <w:b/>
          <w:caps/>
          <w:sz w:val="28"/>
          <w:szCs w:val="22"/>
        </w:rPr>
      </w:pPr>
      <w:bookmarkStart w:id="11" w:name="_Toc367967888"/>
      <w:r w:rsidRPr="006A75A2">
        <w:br w:type="page"/>
      </w:r>
    </w:p>
    <w:p w:rsidR="004E6C32" w:rsidRPr="006A75A2" w:rsidRDefault="004E6C32" w:rsidP="004B5CB1">
      <w:pPr>
        <w:pStyle w:val="Heading1"/>
      </w:pPr>
      <w:bookmarkStart w:id="12" w:name="_Toc400040232"/>
      <w:r w:rsidRPr="006A75A2">
        <w:lastRenderedPageBreak/>
        <w:t>Infrastructure investment</w:t>
      </w:r>
      <w:bookmarkEnd w:id="11"/>
      <w:bookmarkEnd w:id="12"/>
    </w:p>
    <w:p w:rsidR="004E6C32" w:rsidRPr="006A75A2" w:rsidRDefault="004E6C32" w:rsidP="004B5CB1">
      <w:r w:rsidRPr="006A75A2">
        <w:t>Infrastructure enables high-quality services to be delivered to the community. It has a significant impact on state and national productivity and has the ability to generate significant direct and indirect employment, and wider economic benefits.</w:t>
      </w:r>
    </w:p>
    <w:p w:rsidR="004E6C32" w:rsidRPr="006A75A2" w:rsidRDefault="004E6C32" w:rsidP="004B5CB1">
      <w:r w:rsidRPr="006A75A2">
        <w:t>Chart 2.1 shows the trend in net infrastructure investment by the general government sector since 1994-95. General government net infrastructure investment was $5.2 billion for 2013</w:t>
      </w:r>
      <w:r w:rsidRPr="006A75A2">
        <w:noBreakHyphen/>
        <w:t>14, which was broadly consistent with revised 2013-14 budget.</w:t>
      </w:r>
    </w:p>
    <w:p w:rsidR="004E6C32" w:rsidRPr="006A75A2" w:rsidRDefault="004E6C32" w:rsidP="004B5CB1">
      <w:pPr>
        <w:pStyle w:val="Chartheading"/>
      </w:pPr>
      <w:r w:rsidRPr="006A75A2">
        <w:t>Chart 2.1:</w:t>
      </w:r>
      <w:r w:rsidRPr="006A75A2">
        <w:tab/>
        <w:t>Net infrastructure investment</w:t>
      </w:r>
      <w:r w:rsidRPr="006A75A2">
        <w:rPr>
          <w:vertAlign w:val="superscript"/>
        </w:rPr>
        <w:t>(a)</w:t>
      </w:r>
    </w:p>
    <w:p w:rsidR="004E6C32" w:rsidRPr="006A75A2" w:rsidRDefault="004E6C32" w:rsidP="004B5CB1">
      <w:pPr>
        <w:pStyle w:val="Notes"/>
      </w:pPr>
      <w:r w:rsidRPr="006A75A2">
        <w:rPr>
          <w:noProof/>
          <w:lang w:eastAsia="en-AU"/>
        </w:rPr>
        <w:drawing>
          <wp:inline distT="0" distB="0" distL="0" distR="0" wp14:anchorId="53EDA208" wp14:editId="5E6DEB2A">
            <wp:extent cx="5943600" cy="3598545"/>
            <wp:effectExtent l="0" t="0" r="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Fiscal stimulus infrastructure investment ceased in 2013-14. The fiscal stimulus package included infrastructure investment under Social Housing and Building the Education Revolution programs for which the State of Victoria received funding from the Commonwealth. </w:t>
      </w:r>
    </w:p>
    <w:p w:rsidR="004E6C32" w:rsidRPr="006A75A2" w:rsidRDefault="004E6C32" w:rsidP="004B5CB1"/>
    <w:p w:rsidR="004E6C32" w:rsidRPr="006A75A2" w:rsidRDefault="004E6C32" w:rsidP="004B5CB1">
      <w:r w:rsidRPr="006A75A2">
        <w:t>The general government sector</w:t>
      </w:r>
      <w:r w:rsidR="00C96101" w:rsidRPr="006A75A2">
        <w:t>’</w:t>
      </w:r>
      <w:r w:rsidRPr="006A75A2">
        <w:t>s infrastructure investment program in 2013</w:t>
      </w:r>
      <w:r w:rsidRPr="006A75A2">
        <w:noBreakHyphen/>
        <w:t>14, which included capital purchases by the general government sector and contributions by the general government sector to other sectors of government for capital purposes (net of assets sales), was $5.2 billion, with the majority invested in the health and transport sectors.</w:t>
      </w:r>
    </w:p>
    <w:p w:rsidR="004E6C32" w:rsidRPr="006A75A2" w:rsidRDefault="004E6C32" w:rsidP="004B5CB1"/>
    <w:p w:rsidR="004E6C32" w:rsidRPr="006A75A2" w:rsidRDefault="004E6C32" w:rsidP="004B5CB1">
      <w:pPr>
        <w:rPr>
          <w:rFonts w:ascii="Calibri" w:hAnsi="Calibri"/>
          <w:sz w:val="23"/>
        </w:rPr>
      </w:pPr>
      <w:r w:rsidRPr="006A75A2">
        <w:br w:type="page"/>
      </w:r>
    </w:p>
    <w:p w:rsidR="004E6C32" w:rsidRPr="006A75A2" w:rsidRDefault="004E6C32" w:rsidP="0067336F">
      <w:pPr>
        <w:pStyle w:val="HighlightBoxHeading"/>
      </w:pPr>
      <w:r w:rsidRPr="006A75A2">
        <w:lastRenderedPageBreak/>
        <w:t>The Government</w:t>
      </w:r>
      <w:r w:rsidR="00C96101" w:rsidRPr="006A75A2">
        <w:t>’</w:t>
      </w:r>
      <w:r w:rsidRPr="006A75A2">
        <w:t>s infrastructure scorecard 2013</w:t>
      </w:r>
      <w:r w:rsidRPr="006A75A2">
        <w:noBreakHyphen/>
        <w:t>14</w:t>
      </w:r>
    </w:p>
    <w:p w:rsidR="004E6C32" w:rsidRPr="006A75A2" w:rsidRDefault="004E6C32" w:rsidP="004B5CB1">
      <w:pPr>
        <w:pStyle w:val="HighlightBoxText"/>
      </w:pPr>
      <w:r w:rsidRPr="006A75A2">
        <w:t>Major projects completed during the year include:</w:t>
      </w:r>
    </w:p>
    <w:p w:rsidR="004E6C32" w:rsidRPr="006A75A2" w:rsidRDefault="004E6C32" w:rsidP="004B5CB1">
      <w:pPr>
        <w:pStyle w:val="HighlightBoxBullet"/>
        <w:keepLines/>
      </w:pPr>
      <w:r w:rsidRPr="006A75A2">
        <w:t xml:space="preserve">Dandenong Hospital – mental health redevelopment and expansion; </w:t>
      </w:r>
    </w:p>
    <w:p w:rsidR="004E6C32" w:rsidRPr="006A75A2" w:rsidRDefault="004E6C32" w:rsidP="004B5CB1">
      <w:pPr>
        <w:pStyle w:val="HighlightBoxBullet"/>
        <w:keepLines/>
      </w:pPr>
      <w:r w:rsidRPr="006A75A2">
        <w:t>Geelong Hospital;</w:t>
      </w:r>
    </w:p>
    <w:p w:rsidR="004E6C32" w:rsidRPr="006A75A2" w:rsidRDefault="004E6C32" w:rsidP="004B5CB1">
      <w:pPr>
        <w:pStyle w:val="HighlightBoxBullet"/>
        <w:keepLines/>
      </w:pPr>
      <w:r w:rsidRPr="006A75A2">
        <w:t>Mitcham Road and Rooks Road, Mitcham level crossing removal project;</w:t>
      </w:r>
    </w:p>
    <w:p w:rsidR="004E6C32" w:rsidRPr="006A75A2" w:rsidRDefault="004E6C32" w:rsidP="004B5CB1">
      <w:pPr>
        <w:pStyle w:val="HighlightBoxBullet"/>
        <w:keepLines/>
      </w:pPr>
      <w:r w:rsidRPr="006A75A2">
        <w:t>Olivia Newton</w:t>
      </w:r>
      <w:r w:rsidRPr="006A75A2">
        <w:noBreakHyphen/>
        <w:t xml:space="preserve">John Cancer and Wellness Centre – Stage 2A and 2B; </w:t>
      </w:r>
    </w:p>
    <w:p w:rsidR="004E6C32" w:rsidRPr="006A75A2" w:rsidRDefault="004E6C32" w:rsidP="004B5CB1">
      <w:pPr>
        <w:pStyle w:val="HighlightBoxBullet"/>
        <w:keepLines/>
      </w:pPr>
      <w:r w:rsidRPr="006A75A2">
        <w:t>Springvale Road, Springvale level crossing removal project; and</w:t>
      </w:r>
    </w:p>
    <w:p w:rsidR="004E6C32" w:rsidRPr="006A75A2" w:rsidRDefault="004E6C32" w:rsidP="004B5CB1">
      <w:pPr>
        <w:pStyle w:val="HighlightBoxBullet"/>
        <w:keepLines/>
      </w:pPr>
      <w:r w:rsidRPr="006A75A2">
        <w:t>Sunshine Hospital – expansion and redevelopment – Stage 3.</w:t>
      </w:r>
    </w:p>
    <w:p w:rsidR="004E6C32" w:rsidRPr="006A75A2" w:rsidRDefault="004E6C32" w:rsidP="004B5CB1">
      <w:pPr>
        <w:pStyle w:val="HighlightBoxText"/>
      </w:pPr>
      <w:r w:rsidRPr="006A75A2">
        <w:t>Major projects in progress include:</w:t>
      </w:r>
    </w:p>
    <w:p w:rsidR="004E6C32" w:rsidRPr="006A75A2" w:rsidRDefault="004E6C32" w:rsidP="004B5CB1">
      <w:pPr>
        <w:pStyle w:val="HighlightBoxBullet"/>
        <w:keepLines/>
      </w:pPr>
      <w:r w:rsidRPr="006A75A2">
        <w:t>Box Hill Hospital;</w:t>
      </w:r>
    </w:p>
    <w:p w:rsidR="004E6C32" w:rsidRPr="006A75A2" w:rsidRDefault="004E6C32" w:rsidP="004B5CB1">
      <w:pPr>
        <w:pStyle w:val="HighlightBoxBullet"/>
        <w:keepLines/>
      </w:pPr>
      <w:r w:rsidRPr="006A75A2">
        <w:t>Bendigo Hospital;</w:t>
      </w:r>
    </w:p>
    <w:p w:rsidR="004E6C32" w:rsidRPr="006A75A2" w:rsidRDefault="004E6C32" w:rsidP="004B5CB1">
      <w:pPr>
        <w:pStyle w:val="HighlightBoxBullet"/>
        <w:keepLines/>
      </w:pPr>
      <w:r w:rsidRPr="006A75A2">
        <w:t>Victorian Comprehensive Cancer Centre;</w:t>
      </w:r>
    </w:p>
    <w:p w:rsidR="004E6C32" w:rsidRPr="006A75A2" w:rsidRDefault="004E6C32" w:rsidP="004B5CB1">
      <w:pPr>
        <w:pStyle w:val="HighlightBoxBullet"/>
        <w:keepLines/>
      </w:pPr>
      <w:r w:rsidRPr="006A75A2">
        <w:t>redevelopment of Melbourne Park;</w:t>
      </w:r>
    </w:p>
    <w:p w:rsidR="004E6C32" w:rsidRPr="006A75A2" w:rsidRDefault="004E6C32" w:rsidP="004B5CB1">
      <w:pPr>
        <w:pStyle w:val="HighlightBoxBullet"/>
        <w:keepLines/>
      </w:pPr>
      <w:r w:rsidRPr="006A75A2">
        <w:t>Koo Wee Rup bypass;</w:t>
      </w:r>
    </w:p>
    <w:p w:rsidR="004E6C32" w:rsidRPr="006A75A2" w:rsidRDefault="004E6C32" w:rsidP="004B5CB1">
      <w:pPr>
        <w:pStyle w:val="HighlightBoxBullet"/>
        <w:keepLines/>
      </w:pPr>
      <w:r w:rsidRPr="006A75A2">
        <w:t>M80 upgrade;</w:t>
      </w:r>
    </w:p>
    <w:p w:rsidR="004E6C32" w:rsidRPr="006A75A2" w:rsidRDefault="004E6C32" w:rsidP="004B5CB1">
      <w:pPr>
        <w:pStyle w:val="HighlightBoxBullet"/>
        <w:keepLines/>
      </w:pPr>
      <w:r w:rsidRPr="006A75A2">
        <w:t>new trains, trams and associated infrastructure for Melbourne commuters;</w:t>
      </w:r>
    </w:p>
    <w:p w:rsidR="004E6C32" w:rsidRPr="006A75A2" w:rsidRDefault="004E6C32" w:rsidP="004B5CB1">
      <w:pPr>
        <w:pStyle w:val="HighlightBoxBullet"/>
        <w:keepLines/>
      </w:pPr>
      <w:r w:rsidRPr="006A75A2">
        <w:t>regional rolling stock;</w:t>
      </w:r>
    </w:p>
    <w:p w:rsidR="004E6C32" w:rsidRPr="006A75A2" w:rsidRDefault="004E6C32" w:rsidP="004B5CB1">
      <w:pPr>
        <w:pStyle w:val="HighlightBoxBullet"/>
        <w:keepLines/>
      </w:pPr>
      <w:r w:rsidRPr="006A75A2">
        <w:t>Regional Rail Link;</w:t>
      </w:r>
    </w:p>
    <w:p w:rsidR="004E6C32" w:rsidRPr="006A75A2" w:rsidRDefault="004E6C32" w:rsidP="004B5CB1">
      <w:pPr>
        <w:pStyle w:val="HighlightBoxBullet"/>
        <w:keepLines/>
      </w:pPr>
      <w:r w:rsidRPr="006A75A2">
        <w:t>Ravenhall Prison;</w:t>
      </w:r>
    </w:p>
    <w:p w:rsidR="004E6C32" w:rsidRPr="006A75A2" w:rsidRDefault="004E6C32" w:rsidP="004B5CB1">
      <w:pPr>
        <w:pStyle w:val="HighlightBoxBullet"/>
        <w:keepLines/>
      </w:pPr>
      <w:r w:rsidRPr="006A75A2">
        <w:t>Melbourne Wholesale Markets – redevelopment; and</w:t>
      </w:r>
    </w:p>
    <w:p w:rsidR="004E6C32" w:rsidRPr="006A75A2" w:rsidRDefault="004E6C32" w:rsidP="004B5CB1">
      <w:pPr>
        <w:pStyle w:val="HighlightBoxBullet"/>
        <w:keepLines/>
      </w:pPr>
      <w:r w:rsidRPr="006A75A2">
        <w:t>Shrine of Remembrance.</w:t>
      </w:r>
    </w:p>
    <w:p w:rsidR="004E6C32" w:rsidRPr="006A75A2" w:rsidRDefault="004E6C32" w:rsidP="004B5CB1">
      <w:pPr>
        <w:pStyle w:val="HighlightBoxText"/>
      </w:pPr>
      <w:r w:rsidRPr="006A75A2">
        <w:t>Major projects started in 2013</w:t>
      </w:r>
      <w:r w:rsidRPr="006A75A2">
        <w:noBreakHyphen/>
        <w:t>14:</w:t>
      </w:r>
    </w:p>
    <w:p w:rsidR="004E6C32" w:rsidRPr="006A75A2" w:rsidRDefault="004E6C32" w:rsidP="004B5CB1">
      <w:pPr>
        <w:pStyle w:val="HighlightBoxBullet"/>
        <w:keepLines/>
      </w:pPr>
      <w:r w:rsidRPr="006A75A2">
        <w:t>Monash Children</w:t>
      </w:r>
      <w:r w:rsidR="00C96101" w:rsidRPr="006A75A2">
        <w:t>’</w:t>
      </w:r>
      <w:r w:rsidRPr="006A75A2">
        <w:t xml:space="preserve">s Hospital; </w:t>
      </w:r>
    </w:p>
    <w:p w:rsidR="004E6C32" w:rsidRPr="006A75A2" w:rsidRDefault="004E6C32" w:rsidP="004B5CB1">
      <w:pPr>
        <w:pStyle w:val="HighlightBoxBullet"/>
        <w:keepLines/>
      </w:pPr>
      <w:r w:rsidRPr="006A75A2">
        <w:t>Royal Victorian Eye and Ear Hospital; and</w:t>
      </w:r>
    </w:p>
    <w:p w:rsidR="004E6C32" w:rsidRPr="006A75A2" w:rsidRDefault="004E6C32" w:rsidP="004B5CB1">
      <w:pPr>
        <w:pStyle w:val="HighlightBoxBullet"/>
        <w:keepLines/>
      </w:pPr>
      <w:r w:rsidRPr="006A75A2">
        <w:t>Road Safety Strategy 2013</w:t>
      </w:r>
      <w:r w:rsidRPr="006A75A2">
        <w:noBreakHyphen/>
        <w:t>2022.</w:t>
      </w:r>
    </w:p>
    <w:p w:rsidR="004E6C32" w:rsidRPr="006A75A2" w:rsidRDefault="004E6C32" w:rsidP="004B5CB1"/>
    <w:p w:rsidR="004E6C32" w:rsidRPr="006A75A2" w:rsidRDefault="004E6C32" w:rsidP="007A44BF">
      <w:pPr>
        <w:sectPr w:rsidR="004E6C32" w:rsidRPr="006A75A2" w:rsidSect="00160ABB">
          <w:footerReference w:type="even" r:id="rId14"/>
          <w:footerReference w:type="default" r:id="rId15"/>
          <w:type w:val="oddPage"/>
          <w:pgSz w:w="11906" w:h="16838" w:code="9"/>
          <w:pgMar w:top="1151" w:right="1151" w:bottom="1151" w:left="1151" w:header="720" w:footer="720" w:gutter="0"/>
          <w:cols w:space="708"/>
          <w:docGrid w:linePitch="360"/>
        </w:sectPr>
      </w:pPr>
    </w:p>
    <w:p w:rsidR="004E6C32" w:rsidRPr="006A75A2" w:rsidRDefault="004E6C32" w:rsidP="004B5CB1">
      <w:pPr>
        <w:pStyle w:val="ChapterHeading"/>
      </w:pPr>
      <w:bookmarkStart w:id="13" w:name="_Toc367967889"/>
      <w:bookmarkStart w:id="14" w:name="_Toc400040233"/>
      <w:r w:rsidRPr="006A75A2">
        <w:lastRenderedPageBreak/>
        <w:t>Chapter 3 – State of Victoria outcome</w:t>
      </w:r>
      <w:bookmarkEnd w:id="13"/>
      <w:bookmarkEnd w:id="14"/>
    </w:p>
    <w:p w:rsidR="004E6C32" w:rsidRPr="006A75A2" w:rsidRDefault="004E6C32" w:rsidP="004B5CB1">
      <w:pPr>
        <w:pStyle w:val="HighlightBoxBullet"/>
      </w:pPr>
      <w:r w:rsidRPr="006A75A2">
        <w:t>The State of Victoria net result from transactions for 2013</w:t>
      </w:r>
      <w:r w:rsidRPr="006A75A2">
        <w:noBreakHyphen/>
        <w:t xml:space="preserve">14 was a surplus of $857 million. </w:t>
      </w:r>
    </w:p>
    <w:p w:rsidR="004E6C32" w:rsidRPr="006A75A2" w:rsidRDefault="004E6C32" w:rsidP="004B5CB1">
      <w:pPr>
        <w:pStyle w:val="HighlightBoxBullet"/>
      </w:pPr>
      <w:r w:rsidRPr="006A75A2">
        <w:t>The overall net result for the State for 2013</w:t>
      </w:r>
      <w:r w:rsidRPr="006A75A2">
        <w:noBreakHyphen/>
        <w:t>14 was a surplus of $1.7 billion. This included significant gains on the State</w:t>
      </w:r>
      <w:r w:rsidR="00C96101" w:rsidRPr="006A75A2">
        <w:t>’</w:t>
      </w:r>
      <w:r w:rsidRPr="006A75A2">
        <w:t xml:space="preserve">s financial assets which were mainly driven by favourable conditions in global equity markets. </w:t>
      </w:r>
    </w:p>
    <w:p w:rsidR="004E6C32" w:rsidRPr="006A75A2" w:rsidRDefault="004E6C32" w:rsidP="004B5CB1">
      <w:pPr>
        <w:pStyle w:val="HighlightBoxBullet"/>
      </w:pPr>
      <w:r w:rsidRPr="006A75A2">
        <w:t>The State</w:t>
      </w:r>
      <w:r w:rsidR="00C96101" w:rsidRPr="006A75A2">
        <w:t>’</w:t>
      </w:r>
      <w:r w:rsidRPr="006A75A2">
        <w:t>s finances remain in a strong and sustainable position. The State</w:t>
      </w:r>
      <w:r w:rsidR="00C96101" w:rsidRPr="006A75A2">
        <w:t>’</w:t>
      </w:r>
      <w:r w:rsidRPr="006A75A2">
        <w:t>s balance sheet has strengthened, as the $6.9 billion operating cash flow surplus has largely funded the State</w:t>
      </w:r>
      <w:r w:rsidR="00C96101" w:rsidRPr="006A75A2">
        <w:t>’</w:t>
      </w:r>
      <w:r w:rsidRPr="006A75A2">
        <w:t>s investment in infrastructure, reducing the reliance on debt funding.</w:t>
      </w:r>
    </w:p>
    <w:p w:rsidR="004E6C32" w:rsidRPr="006A75A2" w:rsidRDefault="004E6C32" w:rsidP="004B5CB1"/>
    <w:p w:rsidR="004E6C32" w:rsidRPr="006A75A2" w:rsidRDefault="004E6C32" w:rsidP="004B5CB1">
      <w:r w:rsidRPr="006A75A2">
        <w:t>This chapter sets out the financial results for the State of Victoria for 2013</w:t>
      </w:r>
      <w:r w:rsidRPr="006A75A2">
        <w:noBreakHyphen/>
        <w:t xml:space="preserve">14. </w:t>
      </w:r>
    </w:p>
    <w:p w:rsidR="004E6C32" w:rsidRPr="006A75A2" w:rsidRDefault="004E6C32" w:rsidP="004B5CB1">
      <w:r w:rsidRPr="006A75A2">
        <w:t>The State comprises the general government sector, which has been discussed in Chapter 2, the public non</w:t>
      </w:r>
      <w:r w:rsidRPr="006A75A2">
        <w:noBreakHyphen/>
        <w:t xml:space="preserve">financial corporations (PNFC) sector and the public financial corporations (PFC) sector. </w:t>
      </w:r>
    </w:p>
    <w:p w:rsidR="004E6C32" w:rsidRPr="006A75A2" w:rsidRDefault="004E6C32" w:rsidP="004B5CB1">
      <w:r w:rsidRPr="006A75A2">
        <w:t>The PNFC and PFC sectors, which are discussed in this chapter, comprise a wide range of entities that generally provide goods and services on a commercial basis, primarily funded from user charges and fees.</w:t>
      </w:r>
    </w:p>
    <w:p w:rsidR="004E6C32" w:rsidRPr="006A75A2" w:rsidRDefault="004E6C32" w:rsidP="004B5CB1">
      <w:r w:rsidRPr="006A75A2">
        <w:t>When considering the State of Victoria results, it is important to note that transactions between the sectors are eliminated in arriving at the consolidated position. These eliminations mean that the State of Victoria result is not necessarily the sum of results and variations from each individual sector.</w:t>
      </w:r>
    </w:p>
    <w:p w:rsidR="004E6C32" w:rsidRPr="006A75A2" w:rsidRDefault="004E6C32" w:rsidP="004B5CB1">
      <w:r w:rsidRPr="006A75A2">
        <w:t>The full financial statements for the State of Victoria are provided in Chapter 4. Sector contributions to the State</w:t>
      </w:r>
      <w:r w:rsidR="00C96101" w:rsidRPr="006A75A2">
        <w:t>’</w:t>
      </w:r>
      <w:r w:rsidRPr="006A75A2">
        <w:t>s outcome are also shown.</w:t>
      </w:r>
    </w:p>
    <w:p w:rsidR="004E6C32" w:rsidRPr="006A75A2" w:rsidRDefault="004E6C32" w:rsidP="004B5CB1">
      <w:pPr>
        <w:pStyle w:val="Heading1"/>
      </w:pPr>
      <w:bookmarkStart w:id="15" w:name="_Toc367967890"/>
      <w:bookmarkStart w:id="16" w:name="_Toc400040234"/>
      <w:r w:rsidRPr="006A75A2">
        <w:t>Financial performance</w:t>
      </w:r>
      <w:bookmarkEnd w:id="15"/>
      <w:bookmarkEnd w:id="16"/>
    </w:p>
    <w:p w:rsidR="004E6C32" w:rsidRPr="006A75A2" w:rsidRDefault="004E6C32" w:rsidP="004B5CB1">
      <w:r w:rsidRPr="006A75A2">
        <w:t>Table 3.1 summarises the operating performance for the State of Victoria. This table shows that the State recorded a net surplus from transactions of $857 million, significantly improving on both the 2012</w:t>
      </w:r>
      <w:r w:rsidRPr="006A75A2">
        <w:noBreakHyphen/>
        <w:t xml:space="preserve">13 result, and also the revised estimate in the </w:t>
      </w:r>
      <w:r w:rsidRPr="006A75A2">
        <w:rPr>
          <w:i/>
        </w:rPr>
        <w:t>2014</w:t>
      </w:r>
      <w:r w:rsidRPr="006A75A2">
        <w:rPr>
          <w:i/>
        </w:rPr>
        <w:noBreakHyphen/>
        <w:t>15 Budget</w:t>
      </w:r>
      <w:r w:rsidRPr="006A75A2">
        <w:t>.</w:t>
      </w:r>
    </w:p>
    <w:p w:rsidR="004E6C32" w:rsidRPr="006A75A2" w:rsidRDefault="004E6C32" w:rsidP="004B5CB1">
      <w:pPr>
        <w:pStyle w:val="Heading2"/>
        <w:rPr>
          <w:kern w:val="0"/>
        </w:rPr>
      </w:pPr>
      <w:r w:rsidRPr="006A75A2">
        <w:rPr>
          <w:kern w:val="0"/>
        </w:rPr>
        <w:br w:type="page"/>
      </w:r>
      <w:r w:rsidRPr="006A75A2">
        <w:rPr>
          <w:kern w:val="0"/>
        </w:rPr>
        <w:lastRenderedPageBreak/>
        <w:t xml:space="preserve">Operating statement </w:t>
      </w:r>
    </w:p>
    <w:p w:rsidR="004E6C32" w:rsidRPr="006A75A2" w:rsidRDefault="004E6C32" w:rsidP="004B5CB1">
      <w:pPr>
        <w:pStyle w:val="Tableheading"/>
      </w:pPr>
      <w:r w:rsidRPr="006A75A2">
        <w:t>Table 3.1:</w:t>
      </w:r>
      <w:r w:rsidRPr="006A75A2">
        <w:tab/>
        <w:t>2013</w:t>
      </w:r>
      <w:r w:rsidRPr="006A75A2">
        <w:noBreakHyphen/>
        <w:t>14 summary operating statement – State of Victoria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040"/>
        <w:gridCol w:w="1120"/>
        <w:gridCol w:w="1120"/>
        <w:gridCol w:w="1120"/>
        <w:gridCol w:w="1120"/>
        <w:gridCol w:w="1120"/>
      </w:tblGrid>
      <w:tr w:rsidR="00C21642" w:rsidRPr="006A75A2" w:rsidTr="00C21642">
        <w:trPr>
          <w:trHeight w:val="552"/>
        </w:trPr>
        <w:tc>
          <w:tcPr>
            <w:tcW w:w="4040" w:type="dxa"/>
            <w:tcBorders>
              <w:top w:val="single" w:sz="6" w:space="0" w:color="auto"/>
              <w:left w:val="single" w:sz="6" w:space="0" w:color="auto"/>
              <w:right w:val="nil"/>
            </w:tcBorders>
            <w:shd w:val="clear" w:color="000000" w:fill="000000"/>
          </w:tcPr>
          <w:p w:rsidR="00C21642" w:rsidRPr="006A75A2" w:rsidRDefault="00C21642" w:rsidP="004B5CB1">
            <w:pPr>
              <w:pStyle w:val="Tabletext"/>
              <w:rPr>
                <w:rFonts w:eastAsiaTheme="minorEastAsia"/>
                <w:lang w:eastAsia="en-AU"/>
              </w:rPr>
            </w:pPr>
          </w:p>
        </w:tc>
        <w:tc>
          <w:tcPr>
            <w:tcW w:w="1120" w:type="dxa"/>
            <w:tcBorders>
              <w:top w:val="single" w:sz="6" w:space="0" w:color="auto"/>
              <w:left w:val="nil"/>
              <w:right w:val="nil"/>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2013-14</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c>
          <w:tcPr>
            <w:tcW w:w="1120" w:type="dxa"/>
            <w:tcBorders>
              <w:top w:val="single" w:sz="6" w:space="0" w:color="auto"/>
              <w:left w:val="nil"/>
              <w:right w:val="nil"/>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2013-14</w:t>
            </w:r>
          </w:p>
          <w:p w:rsidR="00C21642" w:rsidRPr="006A75A2" w:rsidRDefault="00C21642" w:rsidP="004B5CB1">
            <w:pPr>
              <w:pStyle w:val="Tabletextheading"/>
              <w:rPr>
                <w:rFonts w:eastAsiaTheme="minorEastAsia"/>
                <w:lang w:eastAsia="en-AU"/>
              </w:rPr>
            </w:pPr>
            <w:r w:rsidRPr="006A75A2">
              <w:rPr>
                <w:rFonts w:eastAsiaTheme="minorEastAsia"/>
                <w:lang w:eastAsia="en-AU"/>
              </w:rPr>
              <w:t>Revised</w:t>
            </w:r>
          </w:p>
        </w:tc>
        <w:tc>
          <w:tcPr>
            <w:tcW w:w="1120" w:type="dxa"/>
            <w:tcBorders>
              <w:top w:val="single" w:sz="6" w:space="0" w:color="auto"/>
              <w:left w:val="nil"/>
              <w:right w:val="nil"/>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Revised</w:t>
            </w:r>
          </w:p>
          <w:p w:rsidR="00C21642" w:rsidRPr="006A75A2" w:rsidRDefault="00C21642" w:rsidP="004B5CB1">
            <w:pPr>
              <w:pStyle w:val="Tabletextheading"/>
              <w:rPr>
                <w:rFonts w:eastAsiaTheme="minorEastAsia"/>
                <w:lang w:eastAsia="en-AU"/>
              </w:rPr>
            </w:pPr>
            <w:r w:rsidRPr="006A75A2">
              <w:rPr>
                <w:rFonts w:eastAsiaTheme="minorEastAsia"/>
                <w:lang w:eastAsia="en-AU"/>
              </w:rPr>
              <w:t>variance</w:t>
            </w:r>
          </w:p>
        </w:tc>
        <w:tc>
          <w:tcPr>
            <w:tcW w:w="1120" w:type="dxa"/>
            <w:tcBorders>
              <w:top w:val="single" w:sz="6" w:space="0" w:color="auto"/>
              <w:left w:val="nil"/>
              <w:right w:val="nil"/>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 Revised</w:t>
            </w:r>
          </w:p>
          <w:p w:rsidR="00C21642" w:rsidRPr="006A75A2" w:rsidRDefault="00C21642" w:rsidP="004B5CB1">
            <w:pPr>
              <w:pStyle w:val="Tabletextheading"/>
              <w:rPr>
                <w:rFonts w:eastAsiaTheme="minorEastAsia"/>
                <w:lang w:eastAsia="en-AU"/>
              </w:rPr>
            </w:pPr>
            <w:r w:rsidRPr="006A75A2">
              <w:rPr>
                <w:rFonts w:eastAsiaTheme="minorEastAsia"/>
                <w:lang w:eastAsia="en-AU"/>
              </w:rPr>
              <w:t>variance</w:t>
            </w:r>
          </w:p>
        </w:tc>
        <w:tc>
          <w:tcPr>
            <w:tcW w:w="1120" w:type="dxa"/>
            <w:tcBorders>
              <w:top w:val="single" w:sz="6" w:space="0" w:color="auto"/>
              <w:left w:val="nil"/>
              <w:right w:val="single" w:sz="6" w:space="0" w:color="auto"/>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2012-13</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r>
      <w:tr w:rsidR="004E6C32" w:rsidRPr="006A75A2" w:rsidTr="004B5CB1">
        <w:tc>
          <w:tcPr>
            <w:tcW w:w="404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Revenue from transactions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Taxation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16 490.4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16 447.5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15 184.7</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938.6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1 128.6</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(190.0)</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(16.8)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970.4</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income tax and rate equivalent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380.3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610.9</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Sales of goods and services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14 233.3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13 821.5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411.8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12 896.9</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25 019.1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24 000.3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1 018.8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21 790.4</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2 750.2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2 510.4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239.8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2 749.6</w:t>
            </w:r>
          </w:p>
        </w:tc>
      </w:tr>
      <w:tr w:rsidR="004E6C32" w:rsidRPr="006A75A2" w:rsidTr="004B5CB1">
        <w:tc>
          <w:tcPr>
            <w:tcW w:w="404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revenue from transactions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60 346.3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58 442.6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1 903.6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54 203.0</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Expenses from transactions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Employee expenses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19 037.6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19 114.3</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(76.7)</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18 794.9</w:t>
            </w:r>
          </w:p>
        </w:tc>
      </w:tr>
      <w:tr w:rsidR="004E6C32" w:rsidRPr="006A75A2" w:rsidTr="004B5CB1">
        <w:tc>
          <w:tcPr>
            <w:tcW w:w="4040" w:type="dxa"/>
            <w:tcBorders>
              <w:top w:val="nil"/>
              <w:left w:val="nil"/>
              <w:bottom w:val="nil"/>
              <w:right w:val="nil"/>
            </w:tcBorders>
          </w:tcPr>
          <w:p w:rsidR="004E6C32" w:rsidRPr="006A75A2" w:rsidRDefault="004E6C32" w:rsidP="00C96101">
            <w:pPr>
              <w:pStyle w:val="Tabletext"/>
              <w:rPr>
                <w:rFonts w:eastAsiaTheme="minorEastAsia"/>
                <w:vertAlign w:val="superscript"/>
                <w:lang w:eastAsia="en-AU"/>
              </w:rPr>
            </w:pPr>
            <w:r w:rsidRPr="006A75A2">
              <w:rPr>
                <w:rFonts w:eastAsiaTheme="minorEastAsia"/>
                <w:lang w:eastAsia="en-AU"/>
              </w:rPr>
              <w:t>Superannuation interest expense</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1 054.7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1 052.1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1 076.8</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superannuation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1 998.9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1 933.1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2 040.1</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Depreciation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4 294.1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4 359.6</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(65.4)</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4 131.6</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expense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2 954.4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2 870.4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2 538.6</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operating expenses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25 113.5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24 532.7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580.8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23 342.6</w:t>
            </w:r>
          </w:p>
        </w:tc>
      </w:tr>
      <w:tr w:rsidR="004E6C32" w:rsidRPr="006A75A2" w:rsidTr="004B5CB1">
        <w:tc>
          <w:tcPr>
            <w:tcW w:w="404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 and other transfers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5 036.5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5 099.2</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(62.8)</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5 398.3</w:t>
            </w:r>
          </w:p>
        </w:tc>
      </w:tr>
      <w:tr w:rsidR="004E6C32" w:rsidRPr="006A75A2" w:rsidTr="004B5CB1">
        <w:tc>
          <w:tcPr>
            <w:tcW w:w="4040" w:type="dxa"/>
            <w:tcBorders>
              <w:top w:val="single" w:sz="6" w:space="0" w:color="auto"/>
              <w:left w:val="nil"/>
              <w:bottom w:val="single" w:sz="6" w:space="0" w:color="auto"/>
              <w:right w:val="nil"/>
            </w:tcBorders>
          </w:tcPr>
          <w:p w:rsidR="004E6C32" w:rsidRPr="006A75A2" w:rsidRDefault="004E6C32" w:rsidP="00C96101">
            <w:pPr>
              <w:pStyle w:val="Tabletext"/>
              <w:rPr>
                <w:rFonts w:eastAsiaTheme="minorEastAsia"/>
                <w:b/>
                <w:bCs/>
                <w:vertAlign w:val="superscript"/>
                <w:lang w:eastAsia="en-AU"/>
              </w:rPr>
            </w:pPr>
            <w:r w:rsidRPr="006A75A2">
              <w:rPr>
                <w:rFonts w:eastAsiaTheme="minorEastAsia"/>
                <w:b/>
                <w:bCs/>
                <w:lang w:eastAsia="en-AU"/>
              </w:rPr>
              <w:t>Total expenses from transactions</w:t>
            </w:r>
            <w:r w:rsidRPr="006A75A2">
              <w:rPr>
                <w:rFonts w:eastAsiaTheme="minorEastAsia"/>
                <w:b/>
                <w:bCs/>
                <w:vertAlign w:val="superscript"/>
                <w:lang w:eastAsia="en-AU"/>
              </w:rPr>
              <w:t>(a)</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59 489.7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58 961.3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528.4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57 322.8</w:t>
            </w:r>
          </w:p>
        </w:tc>
      </w:tr>
      <w:tr w:rsidR="004E6C32" w:rsidRPr="006A75A2" w:rsidTr="004B5CB1">
        <w:tc>
          <w:tcPr>
            <w:tcW w:w="4040" w:type="dxa"/>
            <w:tcBorders>
              <w:top w:val="nil"/>
              <w:left w:val="nil"/>
              <w:bottom w:val="single" w:sz="12" w:space="0" w:color="auto"/>
              <w:right w:val="nil"/>
            </w:tcBorders>
          </w:tcPr>
          <w:p w:rsidR="004E6C32" w:rsidRPr="006A75A2" w:rsidRDefault="004E6C32" w:rsidP="00C96101">
            <w:pPr>
              <w:pStyle w:val="Tabletext"/>
              <w:rPr>
                <w:rFonts w:eastAsiaTheme="minorEastAsia"/>
                <w:b/>
                <w:bCs/>
                <w:vertAlign w:val="superscript"/>
                <w:lang w:eastAsia="en-AU"/>
              </w:rPr>
            </w:pPr>
            <w:r w:rsidRPr="006A75A2">
              <w:rPr>
                <w:rFonts w:eastAsiaTheme="minorEastAsia"/>
                <w:b/>
                <w:bCs/>
                <w:lang w:eastAsia="en-AU"/>
              </w:rPr>
              <w:t>Net result from transactions – net operating balance</w:t>
            </w:r>
            <w:r w:rsidRPr="006A75A2">
              <w:rPr>
                <w:rFonts w:eastAsiaTheme="minorEastAsia"/>
                <w:b/>
                <w:bCs/>
                <w:vertAlign w:val="superscript"/>
                <w:lang w:eastAsia="en-AU"/>
              </w:rPr>
              <w:t>(a)</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856.6</w:t>
            </w:r>
          </w:p>
        </w:tc>
        <w:tc>
          <w:tcPr>
            <w:tcW w:w="1120" w:type="dxa"/>
            <w:tcBorders>
              <w:top w:val="nil"/>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(518.7)</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1 375.2</w:t>
            </w:r>
          </w:p>
        </w:tc>
        <w:tc>
          <w:tcPr>
            <w:tcW w:w="1120" w:type="dxa"/>
            <w:tcBorders>
              <w:top w:val="nil"/>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(265.1)</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(3 119.8)</w:t>
            </w:r>
          </w:p>
        </w:tc>
      </w:tr>
      <w:tr w:rsidR="004E6C32" w:rsidRPr="006A75A2" w:rsidTr="004B5CB1">
        <w:tc>
          <w:tcPr>
            <w:tcW w:w="4040" w:type="dxa"/>
            <w:tcBorders>
              <w:top w:val="single" w:sz="6" w:space="0" w:color="auto"/>
              <w:left w:val="nil"/>
              <w:bottom w:val="single" w:sz="6" w:space="0" w:color="auto"/>
              <w:right w:val="nil"/>
            </w:tcBorders>
          </w:tcPr>
          <w:p w:rsidR="004E6C32" w:rsidRPr="006A75A2" w:rsidRDefault="004E6C32" w:rsidP="00C96101">
            <w:pPr>
              <w:pStyle w:val="Tabletext"/>
              <w:rPr>
                <w:rFonts w:eastAsiaTheme="minorEastAsia"/>
                <w:b/>
                <w:bCs/>
                <w:vertAlign w:val="superscript"/>
                <w:lang w:eastAsia="en-AU"/>
              </w:rPr>
            </w:pPr>
            <w:r w:rsidRPr="006A75A2">
              <w:rPr>
                <w:rFonts w:eastAsiaTheme="minorEastAsia"/>
                <w:b/>
                <w:bCs/>
                <w:lang w:eastAsia="en-AU"/>
              </w:rPr>
              <w:t>Total other economic flows included in net result</w:t>
            </w:r>
            <w:r w:rsidRPr="006A75A2">
              <w:rPr>
                <w:rFonts w:eastAsiaTheme="minorEastAsia"/>
                <w:b/>
                <w:bCs/>
                <w:vertAlign w:val="superscript"/>
                <w:lang w:eastAsia="en-AU"/>
              </w:rPr>
              <w:t>(a)</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802.7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2 426.8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(1 624.1)</w:t>
            </w:r>
          </w:p>
        </w:tc>
        <w:tc>
          <w:tcPr>
            <w:tcW w:w="1120" w:type="dxa"/>
            <w:tcBorders>
              <w:top w:val="single" w:sz="6" w:space="0" w:color="auto"/>
              <w:left w:val="nil"/>
              <w:bottom w:val="single" w:sz="6"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(66.9)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4 655.8</w:t>
            </w:r>
          </w:p>
        </w:tc>
      </w:tr>
      <w:tr w:rsidR="004E6C32" w:rsidRPr="006A75A2" w:rsidTr="004B5CB1">
        <w:tc>
          <w:tcPr>
            <w:tcW w:w="4040" w:type="dxa"/>
            <w:tcBorders>
              <w:top w:val="single" w:sz="6" w:space="0" w:color="auto"/>
              <w:left w:val="nil"/>
              <w:bottom w:val="single" w:sz="12" w:space="0" w:color="000000"/>
              <w:right w:val="nil"/>
            </w:tcBorders>
            <w:shd w:val="clear" w:color="auto" w:fill="auto"/>
          </w:tcPr>
          <w:p w:rsidR="004E6C32" w:rsidRPr="006A75A2" w:rsidRDefault="004E6C32" w:rsidP="00C96101">
            <w:pPr>
              <w:pStyle w:val="Tabletext"/>
              <w:rPr>
                <w:rFonts w:eastAsiaTheme="minorEastAsia"/>
                <w:b/>
                <w:bCs/>
                <w:vertAlign w:val="superscript"/>
                <w:lang w:eastAsia="en-AU"/>
              </w:rPr>
            </w:pPr>
            <w:r w:rsidRPr="006A75A2">
              <w:rPr>
                <w:rFonts w:eastAsiaTheme="minorEastAsia"/>
                <w:b/>
                <w:bCs/>
                <w:lang w:eastAsia="en-AU"/>
              </w:rPr>
              <w:t>Net result</w:t>
            </w:r>
            <w:r w:rsidRPr="006A75A2">
              <w:rPr>
                <w:rFonts w:eastAsiaTheme="minorEastAsia"/>
                <w:b/>
                <w:bCs/>
                <w:vertAlign w:val="superscript"/>
                <w:lang w:eastAsia="en-AU"/>
              </w:rPr>
              <w:t>(a)</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1 659.3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1 908.2</w:t>
            </w:r>
          </w:p>
        </w:tc>
        <w:tc>
          <w:tcPr>
            <w:tcW w:w="1120" w:type="dxa"/>
            <w:tcBorders>
              <w:top w:val="single" w:sz="6" w:space="0" w:color="auto"/>
              <w:left w:val="nil"/>
              <w:bottom w:val="single" w:sz="12" w:space="0" w:color="000000"/>
              <w:right w:val="nil"/>
            </w:tcBorders>
            <w:shd w:val="clear" w:color="auto" w:fill="auto"/>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(248.9)</w:t>
            </w:r>
          </w:p>
        </w:tc>
        <w:tc>
          <w:tcPr>
            <w:tcW w:w="1120" w:type="dxa"/>
            <w:tcBorders>
              <w:top w:val="single" w:sz="6" w:space="0" w:color="auto"/>
              <w:left w:val="nil"/>
              <w:bottom w:val="single" w:sz="12" w:space="0" w:color="000000"/>
              <w:right w:val="nil"/>
            </w:tcBorders>
            <w:shd w:val="clear" w:color="auto" w:fill="auto"/>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(13.0)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1 536.0</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continues to have no impact on the State</w:t>
      </w:r>
      <w:r w:rsidR="00C96101" w:rsidRPr="006A75A2">
        <w:t>’</w:t>
      </w:r>
      <w:r w:rsidRPr="006A75A2">
        <w:t>s cash requirements or net debt.</w:t>
      </w:r>
    </w:p>
    <w:p w:rsidR="004E6C32" w:rsidRPr="006A75A2" w:rsidRDefault="004E6C32" w:rsidP="004B5CB1">
      <w:pPr>
        <w:pStyle w:val="Notes"/>
      </w:pPr>
    </w:p>
    <w:p w:rsidR="004E6C32" w:rsidRPr="006A75A2" w:rsidRDefault="004E6C32">
      <w:pPr>
        <w:spacing w:after="0"/>
        <w:rPr>
          <w:rFonts w:ascii="Calibri" w:hAnsi="Calibri"/>
          <w:b/>
          <w:i/>
          <w:sz w:val="26"/>
          <w:szCs w:val="22"/>
        </w:rPr>
      </w:pPr>
      <w:r w:rsidRPr="006A75A2">
        <w:br w:type="page"/>
      </w:r>
    </w:p>
    <w:p w:rsidR="004E6C32" w:rsidRPr="006A75A2" w:rsidRDefault="004E6C32" w:rsidP="004B5CB1">
      <w:pPr>
        <w:pStyle w:val="Heading3"/>
        <w:rPr>
          <w:kern w:val="0"/>
        </w:rPr>
      </w:pPr>
      <w:r w:rsidRPr="006A75A2">
        <w:rPr>
          <w:kern w:val="0"/>
        </w:rPr>
        <w:lastRenderedPageBreak/>
        <w:t>Revenue</w:t>
      </w:r>
    </w:p>
    <w:p w:rsidR="004E6C32" w:rsidRPr="006A75A2" w:rsidRDefault="004E6C32" w:rsidP="004B5CB1">
      <w:r w:rsidRPr="006A75A2">
        <w:t>Total state revenue increased by 11.3 per cent during 2013</w:t>
      </w:r>
      <w:r w:rsidRPr="006A75A2">
        <w:noBreakHyphen/>
        <w:t xml:space="preserve">14 to $60.3 billion. This was $1.9 billion higher than the revised estimate reflected in the </w:t>
      </w:r>
      <w:r w:rsidRPr="006A75A2">
        <w:rPr>
          <w:i/>
        </w:rPr>
        <w:t>2014</w:t>
      </w:r>
      <w:r w:rsidRPr="006A75A2">
        <w:rPr>
          <w:i/>
        </w:rPr>
        <w:noBreakHyphen/>
        <w:t>15 Budget</w:t>
      </w:r>
      <w:r w:rsidRPr="006A75A2">
        <w:t xml:space="preserve">. The general government sector, which accounts for 87 per cent of total state revenue, was the main contributor towards this increase. The performance of the general government sector has been discussed in Chapter 2. </w:t>
      </w:r>
    </w:p>
    <w:p w:rsidR="004E6C32" w:rsidRPr="006A75A2" w:rsidRDefault="004E6C32" w:rsidP="004B5CB1">
      <w:r w:rsidRPr="006A75A2">
        <w:t>As shown in Chart 3.1, both the PNFC and PFC sectors also achieved strong growth in revenue.</w:t>
      </w:r>
    </w:p>
    <w:p w:rsidR="004E6C32" w:rsidRPr="006A75A2" w:rsidRDefault="004E6C32" w:rsidP="004B5CB1">
      <w:pPr>
        <w:pStyle w:val="Tableheading"/>
      </w:pPr>
      <w:r w:rsidRPr="006A75A2">
        <w:t>Chart 3.1:</w:t>
      </w:r>
      <w:r w:rsidRPr="006A75A2">
        <w:tab/>
        <w:t>Revenue contributions by sector</w:t>
      </w:r>
    </w:p>
    <w:p w:rsidR="004E6C32" w:rsidRPr="006A75A2" w:rsidRDefault="00A2267E" w:rsidP="004B5CB1">
      <w:pPr>
        <w:pStyle w:val="Note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1pt;height:264.9pt">
            <v:imagedata r:id="rId16" o:title="" cropbottom="2601f"/>
          </v:shape>
        </w:pict>
      </w:r>
    </w:p>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State of Victoria will not equal the sum of the general government, PNFC and PFC sectors due to inter</w:t>
      </w:r>
      <w:r w:rsidRPr="006A75A2">
        <w:noBreakHyphen/>
        <w:t>sector eliminations.</w:t>
      </w:r>
    </w:p>
    <w:p w:rsidR="004E6C32" w:rsidRPr="006A75A2" w:rsidRDefault="004E6C32" w:rsidP="004B5CB1"/>
    <w:p w:rsidR="004E6C32" w:rsidRPr="006A75A2" w:rsidRDefault="004E6C32" w:rsidP="004B5CB1">
      <w:r w:rsidRPr="006A75A2">
        <w:t>Within the PNFC sector, total revenue increased by $1.1 billion to $9.4 billion in 2013</w:t>
      </w:r>
      <w:r w:rsidRPr="006A75A2">
        <w:noBreakHyphen/>
        <w:t xml:space="preserve">14, which was $204 million higher than estimated in the </w:t>
      </w:r>
      <w:r w:rsidRPr="006A75A2">
        <w:rPr>
          <w:i/>
        </w:rPr>
        <w:t>2014</w:t>
      </w:r>
      <w:r w:rsidRPr="006A75A2">
        <w:rPr>
          <w:i/>
        </w:rPr>
        <w:noBreakHyphen/>
        <w:t>15 Budget</w:t>
      </w:r>
      <w:r w:rsidRPr="006A75A2">
        <w:t>. The increase since 2012</w:t>
      </w:r>
      <w:r w:rsidRPr="006A75A2">
        <w:noBreakHyphen/>
        <w:t>13 largely reflects:</w:t>
      </w:r>
    </w:p>
    <w:p w:rsidR="004E6C32" w:rsidRPr="006A75A2" w:rsidRDefault="004E6C32" w:rsidP="004B5CB1">
      <w:pPr>
        <w:pStyle w:val="BulletText"/>
      </w:pPr>
      <w:r w:rsidRPr="006A75A2">
        <w:t>growth in sales of goods and services within the water sector, attributed to growth in sales volumes associated with the relatively warm and dry conditions, as well as the impact of higher water, sewerage, and waterways prices consistent with the 2013 Essential Services Commission price decisions. This is compared with the price freeze and rebates in 2012</w:t>
      </w:r>
      <w:r w:rsidRPr="006A75A2">
        <w:noBreakHyphen/>
        <w:t>13 which were implemented to achieve the return of early recovered desalination plant costs; and</w:t>
      </w:r>
    </w:p>
    <w:p w:rsidR="004E6C32" w:rsidRPr="006A75A2" w:rsidRDefault="004E6C32" w:rsidP="004B5CB1">
      <w:pPr>
        <w:pStyle w:val="BulletText"/>
      </w:pPr>
      <w:r w:rsidRPr="006A75A2">
        <w:t>strong sales at Places Victoria</w:t>
      </w:r>
      <w:r w:rsidR="00C96101" w:rsidRPr="006A75A2">
        <w:t>’</w:t>
      </w:r>
      <w:r w:rsidRPr="006A75A2">
        <w:t>s residential estates, stage releases at the Dandenong LOGIS eco</w:t>
      </w:r>
      <w:r w:rsidRPr="006A75A2">
        <w:noBreakHyphen/>
        <w:t>industrial park, as well as divestment of the entity</w:t>
      </w:r>
      <w:r w:rsidR="00C96101" w:rsidRPr="006A75A2">
        <w:t>’</w:t>
      </w:r>
      <w:r w:rsidRPr="006A75A2">
        <w:t>s non</w:t>
      </w:r>
      <w:r w:rsidRPr="006A75A2">
        <w:noBreakHyphen/>
        <w:t>core assets.</w:t>
      </w:r>
    </w:p>
    <w:p w:rsidR="004E6C32" w:rsidRPr="006A75A2" w:rsidRDefault="004E6C32" w:rsidP="004B5CB1">
      <w:r w:rsidRPr="006A75A2">
        <w:t>In the PFC sector, revenue increased by 9.5 per cent to $7.2 billion during 2013</w:t>
      </w:r>
      <w:r w:rsidRPr="006A75A2">
        <w:noBreakHyphen/>
        <w:t xml:space="preserve">14, $107 million higher than estimated in the </w:t>
      </w:r>
      <w:r w:rsidRPr="006A75A2">
        <w:rPr>
          <w:i/>
        </w:rPr>
        <w:t>2014</w:t>
      </w:r>
      <w:r w:rsidRPr="006A75A2">
        <w:rPr>
          <w:i/>
        </w:rPr>
        <w:noBreakHyphen/>
        <w:t>15 Budget</w:t>
      </w:r>
      <w:r w:rsidRPr="006A75A2">
        <w:t>. The increase since 2012</w:t>
      </w:r>
      <w:r w:rsidRPr="006A75A2">
        <w:noBreakHyphen/>
        <w:t xml:space="preserve">13 included steady growth in premium revenue for both the Transport Accident Commission (TAC) and the Victorian WorkCover Authority (VWA) reflecting a combination of factors, including scheduled rises in premium rates as well as growth in vehicle numbers (affecting TAC) and employment (affecting VWA). </w:t>
      </w:r>
    </w:p>
    <w:p w:rsidR="004E6C32" w:rsidRPr="006A75A2" w:rsidRDefault="004E6C32" w:rsidP="004B5CB1">
      <w:r w:rsidRPr="006A75A2">
        <w:t>The PFC sector also benefited from stronger investment returns, from favourable conditions in global equity markets, with the TAC and the VWA recording returns of 14.7 and 14.6 per cent respectively on their investment portfolios.</w:t>
      </w:r>
    </w:p>
    <w:p w:rsidR="004E6C32" w:rsidRPr="006A75A2" w:rsidRDefault="004E6C32" w:rsidP="004B5CB1">
      <w:pPr>
        <w:pStyle w:val="Heading3"/>
        <w:rPr>
          <w:kern w:val="0"/>
        </w:rPr>
      </w:pPr>
      <w:r w:rsidRPr="006A75A2">
        <w:rPr>
          <w:kern w:val="0"/>
        </w:rPr>
        <w:lastRenderedPageBreak/>
        <w:t>Expenses</w:t>
      </w:r>
    </w:p>
    <w:p w:rsidR="004E6C32" w:rsidRPr="006A75A2" w:rsidRDefault="004E6C32" w:rsidP="004B5CB1">
      <w:r w:rsidRPr="006A75A2">
        <w:t>At the consolidated state level, expenses increased by 3.8 per cent during 2013</w:t>
      </w:r>
      <w:r w:rsidRPr="006A75A2">
        <w:noBreakHyphen/>
        <w:t xml:space="preserve">14 to $59.5 billion, $528 million higher than forecast in the </w:t>
      </w:r>
      <w:r w:rsidRPr="006A75A2">
        <w:rPr>
          <w:i/>
        </w:rPr>
        <w:t>2014</w:t>
      </w:r>
      <w:r w:rsidRPr="006A75A2">
        <w:rPr>
          <w:i/>
        </w:rPr>
        <w:noBreakHyphen/>
        <w:t>15 Budget</w:t>
      </w:r>
      <w:r w:rsidRPr="006A75A2">
        <w:t>.</w:t>
      </w:r>
    </w:p>
    <w:p w:rsidR="004E6C32" w:rsidRPr="006A75A2" w:rsidRDefault="004E6C32" w:rsidP="004B5CB1">
      <w:r w:rsidRPr="006A75A2">
        <w:t>In the PNFC sector, total expenses increased by 9.0 per cent to $9.3 billion, $67 million lower than the revised budget estimates. The increase since 2012-13 includes costs associated with Places Victoria</w:t>
      </w:r>
      <w:r w:rsidR="00C96101" w:rsidRPr="006A75A2">
        <w:t>’</w:t>
      </w:r>
      <w:r w:rsidRPr="006A75A2">
        <w:t>s divestment of estates, and also includes a full 12 months of expenses associated with the Victorian Desalination Plant, which was commissioned in December 2012.</w:t>
      </w:r>
    </w:p>
    <w:p w:rsidR="004E6C32" w:rsidRPr="006A75A2" w:rsidRDefault="004E6C32" w:rsidP="004B5CB1">
      <w:r w:rsidRPr="006A75A2">
        <w:t>Within the PFC sector, total expenses increased by 9.8 per cent to $8.3 billion, and included higher claims costs incurred by the State</w:t>
      </w:r>
      <w:r w:rsidR="00C96101" w:rsidRPr="006A75A2">
        <w:t>’</w:t>
      </w:r>
      <w:r w:rsidRPr="006A75A2">
        <w:t>s insurance agencies, as well as higher interest costs on Treasury Corporation of Victoria</w:t>
      </w:r>
      <w:r w:rsidR="00C96101" w:rsidRPr="006A75A2">
        <w:t>’</w:t>
      </w:r>
      <w:r w:rsidRPr="006A75A2">
        <w:t xml:space="preserve">s external borrowings. </w:t>
      </w:r>
    </w:p>
    <w:p w:rsidR="004E6C32" w:rsidRPr="006A75A2" w:rsidRDefault="004E6C32" w:rsidP="004B5CB1">
      <w:pPr>
        <w:pStyle w:val="Heading3"/>
        <w:rPr>
          <w:kern w:val="0"/>
        </w:rPr>
      </w:pPr>
      <w:r w:rsidRPr="006A75A2">
        <w:rPr>
          <w:kern w:val="0"/>
        </w:rPr>
        <w:t>Net result from transactions</w:t>
      </w:r>
    </w:p>
    <w:p w:rsidR="004E6C32" w:rsidRPr="006A75A2" w:rsidRDefault="004E6C32" w:rsidP="004B5CB1">
      <w:r w:rsidRPr="006A75A2">
        <w:t>As shown in chart 3.2, the PNFC sector recorded a $52 million net surplus from transactions, significantly improving on the $298 million deficit incurred in 2012</w:t>
      </w:r>
      <w:r w:rsidRPr="006A75A2">
        <w:noBreakHyphen/>
        <w:t>13. This primarily reflects the improving performance across a range of entities, including:</w:t>
      </w:r>
    </w:p>
    <w:p w:rsidR="004E6C32" w:rsidRPr="006A75A2" w:rsidRDefault="004E6C32" w:rsidP="004B5CB1">
      <w:pPr>
        <w:pStyle w:val="BulletText"/>
      </w:pPr>
      <w:r w:rsidRPr="006A75A2">
        <w:t>within the water sector, from a rise in sales and also increases to water prices in line with the Essential Services Commission pricing decisions; and</w:t>
      </w:r>
    </w:p>
    <w:p w:rsidR="004E6C32" w:rsidRPr="006A75A2" w:rsidRDefault="004E6C32" w:rsidP="004B5CB1">
      <w:pPr>
        <w:pStyle w:val="BulletText"/>
      </w:pPr>
      <w:r w:rsidRPr="006A75A2">
        <w:t>a significant turnaround in the performance of Places Victoria, which benefited from strong sales at Places Victoria</w:t>
      </w:r>
      <w:r w:rsidR="00C96101" w:rsidRPr="006A75A2">
        <w:t>’</w:t>
      </w:r>
      <w:r w:rsidRPr="006A75A2">
        <w:t>s residential estates, successful stage releases at the Dandenong LOGIS eco</w:t>
      </w:r>
      <w:r w:rsidRPr="006A75A2">
        <w:noBreakHyphen/>
        <w:t>industrial park, as well as divestment of the entity</w:t>
      </w:r>
      <w:r w:rsidR="00C96101" w:rsidRPr="006A75A2">
        <w:t>’</w:t>
      </w:r>
      <w:r w:rsidRPr="006A75A2">
        <w:t>s non</w:t>
      </w:r>
      <w:r w:rsidRPr="006A75A2">
        <w:noBreakHyphen/>
        <w:t>core assets.</w:t>
      </w:r>
    </w:p>
    <w:p w:rsidR="004E6C32" w:rsidRPr="006A75A2" w:rsidRDefault="004E6C32" w:rsidP="004B5CB1">
      <w:pPr>
        <w:pStyle w:val="Chartheading"/>
      </w:pPr>
      <w:r w:rsidRPr="006A75A2">
        <w:t>Chart 3.2: Net result from transactions by sector</w:t>
      </w:r>
    </w:p>
    <w:p w:rsidR="004E6C32" w:rsidRPr="006A75A2" w:rsidRDefault="00A2267E" w:rsidP="004B5CB1">
      <w:pPr>
        <w:pStyle w:val="Notes"/>
      </w:pPr>
      <w:r>
        <w:pict>
          <v:shape id="_x0000_i1026" type="#_x0000_t75" style="width:468.7pt;height:264.9pt">
            <v:imagedata r:id="rId17" o:title="" cropbottom="1800f"/>
          </v:shape>
        </w:pict>
      </w:r>
    </w:p>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 xml:space="preserve">Note: </w:t>
      </w:r>
    </w:p>
    <w:p w:rsidR="004E6C32" w:rsidRPr="006A75A2" w:rsidRDefault="004E6C32" w:rsidP="004B5CB1">
      <w:pPr>
        <w:pStyle w:val="Notes"/>
      </w:pPr>
      <w:r w:rsidRPr="006A75A2">
        <w:t>(a)</w:t>
      </w:r>
      <w:r w:rsidRPr="006A75A2">
        <w:tab/>
        <w:t>The State of Victoria result will not equal the sum of the general government, PNFC and PFC sectors due to inter</w:t>
      </w:r>
      <w:r w:rsidRPr="006A75A2">
        <w:noBreakHyphen/>
        <w:t>sector eliminations.</w:t>
      </w:r>
    </w:p>
    <w:p w:rsidR="004E6C32" w:rsidRPr="006A75A2" w:rsidRDefault="004E6C32" w:rsidP="004B5CB1"/>
    <w:p w:rsidR="004E6C32" w:rsidRPr="006A75A2" w:rsidRDefault="004E6C32" w:rsidP="004B5CB1">
      <w:r w:rsidRPr="006A75A2">
        <w:t>While the PFC sector recorded a net deficit from transactions of $1.1 billion, it should be noted that this excludes gains in the value of the investment portfolios of the insurance agencies which will be used to fund their claims liabilities over time. After including other economic flows, the PFC sector recorded a net surplus of $675 million.</w:t>
      </w:r>
    </w:p>
    <w:p w:rsidR="004E6C32" w:rsidRPr="006A75A2" w:rsidRDefault="004E6C32" w:rsidP="004B5CB1">
      <w:pPr>
        <w:pStyle w:val="Heading3"/>
        <w:rPr>
          <w:kern w:val="0"/>
        </w:rPr>
      </w:pPr>
      <w:r w:rsidRPr="006A75A2">
        <w:rPr>
          <w:kern w:val="0"/>
        </w:rPr>
        <w:lastRenderedPageBreak/>
        <w:t>Net result</w:t>
      </w:r>
    </w:p>
    <w:p w:rsidR="004E6C32" w:rsidRPr="006A75A2" w:rsidRDefault="004E6C32" w:rsidP="004B5CB1">
      <w:r w:rsidRPr="006A75A2">
        <w:t>At the consolidated State level, the net result for 2013</w:t>
      </w:r>
      <w:r w:rsidRPr="006A75A2">
        <w:noBreakHyphen/>
        <w:t xml:space="preserve">14 was a surplus of $1.7 billion. The difference between the net result and net result from transactions comprises </w:t>
      </w:r>
      <w:r w:rsidR="00C96101" w:rsidRPr="006A75A2">
        <w:t>‘</w:t>
      </w:r>
      <w:r w:rsidRPr="006A75A2">
        <w:t>other economic flows</w:t>
      </w:r>
      <w:r w:rsidR="00C96101" w:rsidRPr="006A75A2">
        <w:t>’</w:t>
      </w:r>
      <w:r w:rsidRPr="006A75A2">
        <w:t>, and includes the impact of valuation movements and actuarial assumptions on the State</w:t>
      </w:r>
      <w:r w:rsidR="00C96101" w:rsidRPr="006A75A2">
        <w:t>’</w:t>
      </w:r>
      <w:r w:rsidRPr="006A75A2">
        <w:t>s financial assets and liabilities. Other economic flows contributed $803 million towards the State</w:t>
      </w:r>
      <w:r w:rsidR="00C96101" w:rsidRPr="006A75A2">
        <w:t>’</w:t>
      </w:r>
      <w:r w:rsidRPr="006A75A2">
        <w:t>s net surplus, and mainly comprised:</w:t>
      </w:r>
    </w:p>
    <w:p w:rsidR="004E6C32" w:rsidRPr="006A75A2" w:rsidRDefault="004E6C32" w:rsidP="004B5CB1">
      <w:pPr>
        <w:pStyle w:val="BulletText"/>
      </w:pPr>
      <w:r w:rsidRPr="006A75A2">
        <w:t>stronger investment returns for the State</w:t>
      </w:r>
      <w:r w:rsidR="00C96101" w:rsidRPr="006A75A2">
        <w:t>’</w:t>
      </w:r>
      <w:r w:rsidRPr="006A75A2">
        <w:t>s insurance agencies, attributed to the favourable conditions in global equity markets, with the TAC and the VWA recording returns of 14.7 and 14.6 per cent respectively on their investment portfolios; and</w:t>
      </w:r>
    </w:p>
    <w:p w:rsidR="004E6C32" w:rsidRPr="006A75A2" w:rsidRDefault="004E6C32" w:rsidP="004B5CB1">
      <w:pPr>
        <w:pStyle w:val="BulletText"/>
      </w:pPr>
      <w:r w:rsidRPr="006A75A2">
        <w:t>net losses arising from valuation changes on the State</w:t>
      </w:r>
      <w:r w:rsidR="00C96101" w:rsidRPr="006A75A2">
        <w:t>’</w:t>
      </w:r>
      <w:r w:rsidRPr="006A75A2">
        <w:t xml:space="preserve">s insurance, superannuation and external borrowing liabilities. </w:t>
      </w:r>
    </w:p>
    <w:p w:rsidR="004E6C32" w:rsidRPr="006A75A2" w:rsidRDefault="004E6C32" w:rsidP="004B5CB1">
      <w:pPr>
        <w:pStyle w:val="Heading1"/>
      </w:pPr>
      <w:bookmarkStart w:id="17" w:name="_Toc367967891"/>
      <w:bookmarkStart w:id="18" w:name="_Toc400040235"/>
      <w:r w:rsidRPr="006A75A2">
        <w:t>Financial position</w:t>
      </w:r>
      <w:bookmarkEnd w:id="17"/>
      <w:bookmarkEnd w:id="18"/>
    </w:p>
    <w:p w:rsidR="004E6C32" w:rsidRPr="006A75A2" w:rsidRDefault="004E6C32" w:rsidP="004B5CB1">
      <w:r w:rsidRPr="006A75A2">
        <w:t>As shown in table 3.2, the State</w:t>
      </w:r>
      <w:r w:rsidR="00C96101" w:rsidRPr="006A75A2">
        <w:t>’</w:t>
      </w:r>
      <w:r w:rsidRPr="006A75A2">
        <w:t>s net assets increased by $7.5 billion during 2013</w:t>
      </w:r>
      <w:r w:rsidRPr="006A75A2">
        <w:noBreakHyphen/>
        <w:t>14 to $131.1 billion. Non-financial assets were $3.3 billion higher than the revised estimate, mainly reflecting revaluation gains within the general government sector.</w:t>
      </w:r>
    </w:p>
    <w:p w:rsidR="004E6C32" w:rsidRPr="006A75A2" w:rsidRDefault="004E6C32" w:rsidP="004B5CB1">
      <w:r w:rsidRPr="006A75A2">
        <w:t>More than $50 billion of the State</w:t>
      </w:r>
      <w:r w:rsidR="00C96101" w:rsidRPr="006A75A2">
        <w:t>’</w:t>
      </w:r>
      <w:r w:rsidRPr="006A75A2">
        <w:t>s net assets are held within the general government sector, and were discussed in Chapter 2.</w:t>
      </w:r>
    </w:p>
    <w:p w:rsidR="004E6C32" w:rsidRPr="006A75A2" w:rsidRDefault="004E6C32" w:rsidP="004B5CB1">
      <w:pPr>
        <w:pStyle w:val="Tableheading"/>
      </w:pPr>
      <w:r w:rsidRPr="006A75A2">
        <w:t>Table 3.2:</w:t>
      </w:r>
      <w:r w:rsidRPr="006A75A2">
        <w:tab/>
        <w:t>Summary balance sheet – State of Victoria</w:t>
      </w:r>
    </w:p>
    <w:p w:rsidR="004E6C32" w:rsidRPr="006A75A2" w:rsidRDefault="004E6C32" w:rsidP="004B5CB1">
      <w:pPr>
        <w:pStyle w:val="million"/>
        <w:rPr>
          <w:rFonts w:ascii="Times New Roman" w:hAnsi="Times New Roman"/>
          <w:lang w:eastAsia="en-AU"/>
        </w:rPr>
      </w:pPr>
      <w:r w:rsidRPr="006A75A2">
        <w:t>($ million)</w:t>
      </w:r>
    </w:p>
    <w:tbl>
      <w:tblPr>
        <w:tblW w:w="9648" w:type="dxa"/>
        <w:tblInd w:w="29" w:type="dxa"/>
        <w:tblLayout w:type="fixed"/>
        <w:tblCellMar>
          <w:left w:w="43" w:type="dxa"/>
          <w:right w:w="43" w:type="dxa"/>
        </w:tblCellMar>
        <w:tblLook w:val="0000" w:firstRow="0" w:lastRow="0" w:firstColumn="0" w:lastColumn="0" w:noHBand="0" w:noVBand="0"/>
      </w:tblPr>
      <w:tblGrid>
        <w:gridCol w:w="4033"/>
        <w:gridCol w:w="1123"/>
        <w:gridCol w:w="1123"/>
        <w:gridCol w:w="1123"/>
        <w:gridCol w:w="1123"/>
        <w:gridCol w:w="1123"/>
      </w:tblGrid>
      <w:tr w:rsidR="00C21642" w:rsidRPr="006A75A2" w:rsidTr="00C21642">
        <w:trPr>
          <w:trHeight w:val="547"/>
        </w:trPr>
        <w:tc>
          <w:tcPr>
            <w:tcW w:w="4033" w:type="dxa"/>
            <w:tcBorders>
              <w:top w:val="single" w:sz="4" w:space="0" w:color="auto"/>
              <w:left w:val="single" w:sz="4" w:space="0" w:color="auto"/>
              <w:right w:val="nil"/>
            </w:tcBorders>
            <w:shd w:val="clear" w:color="auto" w:fill="000000"/>
          </w:tcPr>
          <w:p w:rsidR="00C21642" w:rsidRPr="006A75A2" w:rsidRDefault="00C21642" w:rsidP="004B5CB1">
            <w:pPr>
              <w:pStyle w:val="Tabletext"/>
              <w:rPr>
                <w:rFonts w:eastAsiaTheme="minorEastAsia"/>
                <w:lang w:eastAsia="en-AU"/>
              </w:rPr>
            </w:pPr>
          </w:p>
        </w:tc>
        <w:tc>
          <w:tcPr>
            <w:tcW w:w="1123" w:type="dxa"/>
            <w:tcBorders>
              <w:top w:val="single" w:sz="4" w:space="0" w:color="auto"/>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2014</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c>
          <w:tcPr>
            <w:tcW w:w="1123" w:type="dxa"/>
            <w:tcBorders>
              <w:top w:val="single" w:sz="4" w:space="0" w:color="auto"/>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Revised</w:t>
            </w:r>
          </w:p>
          <w:p w:rsidR="00C21642" w:rsidRPr="006A75A2" w:rsidRDefault="00C21642" w:rsidP="004B5CB1">
            <w:pPr>
              <w:pStyle w:val="Tabletextheading"/>
              <w:rPr>
                <w:rFonts w:eastAsiaTheme="minorEastAsia"/>
                <w:lang w:eastAsia="en-AU"/>
              </w:rPr>
            </w:pPr>
            <w:r w:rsidRPr="006A75A2">
              <w:rPr>
                <w:rFonts w:eastAsiaTheme="minorEastAsia"/>
                <w:lang w:eastAsia="en-AU"/>
              </w:rPr>
              <w:t>variance</w:t>
            </w:r>
          </w:p>
        </w:tc>
        <w:tc>
          <w:tcPr>
            <w:tcW w:w="1123" w:type="dxa"/>
            <w:tcBorders>
              <w:top w:val="single" w:sz="4" w:space="0" w:color="auto"/>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2014</w:t>
            </w:r>
          </w:p>
          <w:p w:rsidR="00C21642" w:rsidRPr="006A75A2" w:rsidRDefault="00C21642" w:rsidP="004B5CB1">
            <w:pPr>
              <w:pStyle w:val="Tabletextheading"/>
              <w:rPr>
                <w:rFonts w:eastAsiaTheme="minorEastAsia"/>
                <w:lang w:eastAsia="en-AU"/>
              </w:rPr>
            </w:pPr>
            <w:r w:rsidRPr="006A75A2">
              <w:rPr>
                <w:rFonts w:eastAsiaTheme="minorEastAsia"/>
                <w:lang w:eastAsia="en-AU"/>
              </w:rPr>
              <w:t>Revised</w:t>
            </w:r>
          </w:p>
        </w:tc>
        <w:tc>
          <w:tcPr>
            <w:tcW w:w="1123" w:type="dxa"/>
            <w:tcBorders>
              <w:top w:val="single" w:sz="4" w:space="0" w:color="auto"/>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p w:rsidR="00C21642" w:rsidRPr="006A75A2" w:rsidRDefault="00C21642" w:rsidP="004B5CB1">
            <w:pPr>
              <w:pStyle w:val="Tabletextheading"/>
              <w:rPr>
                <w:rFonts w:eastAsiaTheme="minorEastAsia"/>
                <w:lang w:eastAsia="en-AU"/>
              </w:rPr>
            </w:pPr>
            <w:r w:rsidRPr="006A75A2">
              <w:rPr>
                <w:rFonts w:eastAsiaTheme="minorEastAsia"/>
                <w:lang w:eastAsia="en-AU"/>
              </w:rPr>
              <w:t>movement</w:t>
            </w:r>
          </w:p>
        </w:tc>
        <w:tc>
          <w:tcPr>
            <w:tcW w:w="1123" w:type="dxa"/>
            <w:tcBorders>
              <w:top w:val="single" w:sz="4" w:space="0" w:color="auto"/>
              <w:left w:val="nil"/>
              <w:right w:val="single" w:sz="4" w:space="0" w:color="auto"/>
            </w:tcBorders>
            <w:shd w:val="clear" w:color="auto" w:fill="000000"/>
          </w:tcPr>
          <w:p w:rsidR="00C21642" w:rsidRPr="006A75A2" w:rsidRDefault="00C21642" w:rsidP="00C96101">
            <w:pPr>
              <w:pStyle w:val="Tabletextheading"/>
              <w:rPr>
                <w:rFonts w:eastAsiaTheme="minorEastAsia" w:cs="Calibri"/>
                <w:iCs/>
                <w:sz w:val="20"/>
                <w:vertAlign w:val="superscript"/>
                <w:lang w:eastAsia="en-AU"/>
              </w:rPr>
            </w:pPr>
            <w:r w:rsidRPr="006A75A2">
              <w:rPr>
                <w:rFonts w:eastAsiaTheme="minorEastAsia"/>
                <w:lang w:eastAsia="en-AU"/>
              </w:rPr>
              <w:t>2013</w:t>
            </w:r>
            <w:r w:rsidRPr="006A75A2">
              <w:rPr>
                <w:rFonts w:eastAsiaTheme="minorEastAsia" w:cs="Calibri"/>
                <w:iCs/>
                <w:sz w:val="20"/>
                <w:vertAlign w:val="superscript"/>
                <w:lang w:eastAsia="en-AU"/>
              </w:rPr>
              <w:t>(a)</w:t>
            </w:r>
          </w:p>
          <w:p w:rsidR="00C21642" w:rsidRPr="006A75A2" w:rsidRDefault="00C21642" w:rsidP="004B5CB1">
            <w:pPr>
              <w:pStyle w:val="Tabletextheading"/>
              <w:rPr>
                <w:rFonts w:eastAsiaTheme="minorEastAsia" w:cs="Calibri"/>
                <w:iCs/>
                <w:sz w:val="20"/>
                <w:vertAlign w:val="superscript"/>
                <w:lang w:eastAsia="en-AU"/>
              </w:rPr>
            </w:pPr>
            <w:r w:rsidRPr="006A75A2">
              <w:rPr>
                <w:rFonts w:eastAsiaTheme="minorEastAsia"/>
                <w:lang w:eastAsia="en-AU"/>
              </w:rPr>
              <w:t>Actual</w:t>
            </w:r>
          </w:p>
        </w:tc>
      </w:tr>
      <w:tr w:rsidR="004E6C32" w:rsidRPr="006A75A2" w:rsidTr="00C21642">
        <w:tc>
          <w:tcPr>
            <w:tcW w:w="4033" w:type="dxa"/>
            <w:tcBorders>
              <w:top w:val="single" w:sz="4"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Assets</w:t>
            </w: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C21642">
        <w:tc>
          <w:tcPr>
            <w:tcW w:w="403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Financial assets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47 716.2</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 w:val="20"/>
                <w:lang w:eastAsia="en-AU"/>
              </w:rPr>
            </w:pPr>
            <w:r w:rsidRPr="006A75A2">
              <w:rPr>
                <w:rFonts w:eastAsiaTheme="minorEastAsia"/>
                <w:lang w:eastAsia="en-AU"/>
              </w:rPr>
              <w:t>(195.1)</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47 911.3</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4 538.5</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43 177.7</w:t>
            </w:r>
          </w:p>
        </w:tc>
      </w:tr>
      <w:tr w:rsidR="004E6C32" w:rsidRPr="006A75A2" w:rsidTr="00C21642">
        <w:tc>
          <w:tcPr>
            <w:tcW w:w="4033"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szCs w:val="22"/>
                <w:lang w:eastAsia="en-AU"/>
              </w:rPr>
              <w:t>Non</w:t>
            </w:r>
            <w:r w:rsidRPr="006A75A2">
              <w:rPr>
                <w:rFonts w:eastAsiaTheme="minorEastAsia" w:cs="Calibri"/>
                <w:szCs w:val="22"/>
                <w:lang w:eastAsia="en-AU"/>
              </w:rPr>
              <w:noBreakHyphen/>
              <w:t>financial assets</w:t>
            </w:r>
          </w:p>
        </w:tc>
        <w:tc>
          <w:tcPr>
            <w:tcW w:w="112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200 563.9</w:t>
            </w:r>
          </w:p>
        </w:tc>
        <w:tc>
          <w:tcPr>
            <w:tcW w:w="112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3 349.9</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197 213.9</w:t>
            </w:r>
          </w:p>
        </w:tc>
        <w:tc>
          <w:tcPr>
            <w:tcW w:w="112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7 993.8</w:t>
            </w:r>
          </w:p>
        </w:tc>
        <w:tc>
          <w:tcPr>
            <w:tcW w:w="112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192 570.0</w:t>
            </w:r>
          </w:p>
        </w:tc>
      </w:tr>
      <w:tr w:rsidR="004E6C32" w:rsidRPr="006A75A2" w:rsidTr="00C21642">
        <w:tc>
          <w:tcPr>
            <w:tcW w:w="4033"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assets</w:t>
            </w:r>
          </w:p>
        </w:tc>
        <w:tc>
          <w:tcPr>
            <w:tcW w:w="1123"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248 280.1</w:t>
            </w:r>
          </w:p>
        </w:tc>
        <w:tc>
          <w:tcPr>
            <w:tcW w:w="1123"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3 154.8</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245 125.3</w:t>
            </w:r>
          </w:p>
        </w:tc>
        <w:tc>
          <w:tcPr>
            <w:tcW w:w="1123"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12 532.3</w:t>
            </w:r>
          </w:p>
        </w:tc>
        <w:tc>
          <w:tcPr>
            <w:tcW w:w="1123"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235 747.8</w:t>
            </w:r>
          </w:p>
        </w:tc>
      </w:tr>
      <w:tr w:rsidR="004E6C32" w:rsidRPr="006A75A2" w:rsidTr="00C21642">
        <w:tc>
          <w:tcPr>
            <w:tcW w:w="4033"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Liabilities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C21642">
        <w:tc>
          <w:tcPr>
            <w:tcW w:w="403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Superannuation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25 729.0</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2 432.5</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23 296.5</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503.5</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25 225.4</w:t>
            </w:r>
          </w:p>
        </w:tc>
      </w:tr>
      <w:tr w:rsidR="004E6C32" w:rsidRPr="006A75A2" w:rsidTr="00C21642">
        <w:tc>
          <w:tcPr>
            <w:tcW w:w="403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Borrowings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51 277.4</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 w:val="20"/>
                <w:lang w:eastAsia="en-AU"/>
              </w:rPr>
            </w:pPr>
            <w:r w:rsidRPr="006A75A2">
              <w:rPr>
                <w:rFonts w:eastAsiaTheme="minorEastAsia"/>
                <w:lang w:eastAsia="en-AU"/>
              </w:rPr>
              <w:t>(671.8)</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51 949.2</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3 840.4</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47 437.0</w:t>
            </w:r>
          </w:p>
        </w:tc>
      </w:tr>
      <w:tr w:rsidR="004E6C32" w:rsidRPr="006A75A2" w:rsidTr="00C21642">
        <w:tc>
          <w:tcPr>
            <w:tcW w:w="403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liabilities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40 181.0</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513.5</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39 667.5</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727.8</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39 453.2</w:t>
            </w:r>
          </w:p>
        </w:tc>
      </w:tr>
      <w:tr w:rsidR="004E6C32" w:rsidRPr="006A75A2" w:rsidTr="00C21642">
        <w:tc>
          <w:tcPr>
            <w:tcW w:w="4033"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117 187.4</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2 274.2</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114 913.2</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5 071.8</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112 115.7</w:t>
            </w:r>
          </w:p>
        </w:tc>
      </w:tr>
      <w:tr w:rsidR="004E6C32" w:rsidRPr="006A75A2" w:rsidTr="00C21642">
        <w:tc>
          <w:tcPr>
            <w:tcW w:w="4033"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assets</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131 092.7</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880.6</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130 212.1</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7 460.5</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123 632.1</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June 2013 comparative figures were restated to more accurately reflect the balances.</w:t>
      </w:r>
    </w:p>
    <w:p w:rsidR="004E6C32" w:rsidRPr="006A75A2" w:rsidRDefault="004E6C32" w:rsidP="004B5CB1"/>
    <w:p w:rsidR="004E6C32" w:rsidRPr="006A75A2" w:rsidRDefault="004E6C32" w:rsidP="004B5CB1">
      <w:pPr>
        <w:pStyle w:val="Chartheading"/>
      </w:pPr>
      <w:r w:rsidRPr="006A75A2">
        <w:lastRenderedPageBreak/>
        <w:t xml:space="preserve">Chart 3.3: </w:t>
      </w:r>
      <w:r w:rsidRPr="006A75A2">
        <w:tab/>
        <w:t>Net assets by sector as at 30 June</w:t>
      </w:r>
    </w:p>
    <w:p w:rsidR="004E6C32" w:rsidRPr="006A75A2" w:rsidRDefault="00A2267E" w:rsidP="004B5CB1">
      <w:pPr>
        <w:pStyle w:val="Notes"/>
      </w:pPr>
      <w:r>
        <w:pict>
          <v:shape id="_x0000_i1027" type="#_x0000_t75" style="width:471.4pt;height:267.6pt">
            <v:imagedata r:id="rId18" o:title="" cropbottom="1539f"/>
          </v:shape>
        </w:pict>
      </w:r>
    </w:p>
    <w:p w:rsidR="004E6C32" w:rsidRPr="006A75A2" w:rsidRDefault="004E6C32" w:rsidP="004B5CB1">
      <w:pPr>
        <w:pStyle w:val="Source"/>
      </w:pPr>
      <w:bookmarkStart w:id="19" w:name="_Toc367967892"/>
      <w:r w:rsidRPr="006A75A2">
        <w:t>Source: Department of Treasury and Finance</w:t>
      </w:r>
    </w:p>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General government net assets excludes investments in other sector entities.</w:t>
      </w:r>
    </w:p>
    <w:p w:rsidR="004E6C32" w:rsidRPr="006A75A2" w:rsidRDefault="004E6C32" w:rsidP="004B5CB1">
      <w:pPr>
        <w:pStyle w:val="Notes"/>
      </w:pPr>
      <w:r w:rsidRPr="006A75A2">
        <w:t xml:space="preserve">(b) </w:t>
      </w:r>
      <w:r w:rsidRPr="006A75A2">
        <w:tab/>
        <w:t>State of Victoria will not equal the sum of the general government, PNFC and PFC sectors due to the inter sector eliminations.</w:t>
      </w:r>
    </w:p>
    <w:p w:rsidR="004E6C32" w:rsidRPr="006A75A2" w:rsidRDefault="004E6C32" w:rsidP="004B5CB1">
      <w:pPr>
        <w:pStyle w:val="Notes"/>
      </w:pPr>
    </w:p>
    <w:p w:rsidR="004E6C32" w:rsidRPr="006A75A2" w:rsidRDefault="004E6C32" w:rsidP="004B5CB1">
      <w:r w:rsidRPr="006A75A2">
        <w:t>As shown in Chart 3.3, the increase in net assets was largely driven by the general government and PNFC sectors. Within the PNFC sector, the growth in net assets includes the impact of significant revaluation gains on the sector</w:t>
      </w:r>
      <w:r w:rsidR="00C96101" w:rsidRPr="006A75A2">
        <w:t>’</w:t>
      </w:r>
      <w:r w:rsidRPr="006A75A2">
        <w:t xml:space="preserve">s housing assets. </w:t>
      </w:r>
    </w:p>
    <w:p w:rsidR="004E6C32" w:rsidRPr="006A75A2" w:rsidRDefault="004E6C32" w:rsidP="004B5CB1">
      <w:r w:rsidRPr="006A75A2">
        <w:t>The net asset position for the PFC sector improved slightly, as the strong investment returns achieved by both VWA and TAC resulted in improved balance sheet positions. This was partly offset by the impact of lower interest rates on the valuation of financial liabilities of Treasury Corporation of Victoria (TCV) and the State</w:t>
      </w:r>
      <w:r w:rsidR="00C96101" w:rsidRPr="006A75A2">
        <w:t>’</w:t>
      </w:r>
      <w:r w:rsidRPr="006A75A2">
        <w:t>s insurance agencies. For reporting purposes of the AFR, the bulk of TCV</w:t>
      </w:r>
      <w:r w:rsidR="00C96101" w:rsidRPr="006A75A2">
        <w:t>’</w:t>
      </w:r>
      <w:r w:rsidRPr="006A75A2">
        <w:t xml:space="preserve">s assets are measured at book value rather than market value, whereas its liabilities are reported at market value. This creates a valuation difference that is ultimately eliminated at the whole of state level. </w:t>
      </w:r>
    </w:p>
    <w:p w:rsidR="004E6C32" w:rsidRPr="006A75A2" w:rsidRDefault="004E6C32" w:rsidP="004B5CB1">
      <w:pPr>
        <w:pStyle w:val="Heading1"/>
      </w:pPr>
      <w:bookmarkStart w:id="20" w:name="_Toc400040236"/>
      <w:r w:rsidRPr="006A75A2">
        <w:t>Cash flows</w:t>
      </w:r>
      <w:bookmarkEnd w:id="19"/>
      <w:bookmarkEnd w:id="20"/>
    </w:p>
    <w:p w:rsidR="004E6C32" w:rsidRPr="006A75A2" w:rsidRDefault="004E6C32" w:rsidP="004B5CB1">
      <w:r w:rsidRPr="006A75A2">
        <w:t>After excluding non</w:t>
      </w:r>
      <w:r w:rsidRPr="006A75A2">
        <w:noBreakHyphen/>
        <w:t>cash items such as asset revaluations and depreciation, the change in operating receipts and payments for the State broadly reflects the same factors underpinning the operating income and expense movements already discussed in this chapter.</w:t>
      </w:r>
    </w:p>
    <w:p w:rsidR="004E6C32" w:rsidRPr="006A75A2" w:rsidRDefault="004E6C32" w:rsidP="004B5CB1">
      <w:r w:rsidRPr="006A75A2">
        <w:t>Importantly, the State</w:t>
      </w:r>
      <w:r w:rsidR="00C96101" w:rsidRPr="006A75A2">
        <w:t>’</w:t>
      </w:r>
      <w:r w:rsidRPr="006A75A2">
        <w:t>s operating cash flow surplus increased to $6.9 billion compared with the $2.8 billion achieved in 2012</w:t>
      </w:r>
      <w:r w:rsidRPr="006A75A2">
        <w:noBreakHyphen/>
        <w:t>13. This has reduced the reliance of the non-financial public sector on debt to fund infrastructure investment.</w:t>
      </w:r>
    </w:p>
    <w:p w:rsidR="004E6C32" w:rsidRPr="006A75A2" w:rsidRDefault="004E6C32" w:rsidP="004B5CB1">
      <w:pPr>
        <w:pStyle w:val="Heading2"/>
        <w:rPr>
          <w:kern w:val="0"/>
        </w:rPr>
      </w:pPr>
      <w:r w:rsidRPr="006A75A2">
        <w:rPr>
          <w:kern w:val="0"/>
        </w:rPr>
        <w:t>Infrastructure investment</w:t>
      </w:r>
    </w:p>
    <w:p w:rsidR="004E6C32" w:rsidRPr="006A75A2" w:rsidRDefault="004E6C32" w:rsidP="004B5CB1">
      <w:pPr>
        <w:shd w:val="clear" w:color="auto" w:fill="FFFFFF" w:themeFill="background1"/>
      </w:pPr>
      <w:r w:rsidRPr="006A75A2">
        <w:t>Total infrastructure investment for the state was $6.8 billion, of which $3.0 billion was invested by the PNFC sector, particularly in the water and transport sectors.</w:t>
      </w:r>
    </w:p>
    <w:p w:rsidR="004E6C32" w:rsidRPr="006A75A2" w:rsidRDefault="004E6C32" w:rsidP="004B5CB1">
      <w:pPr>
        <w:shd w:val="clear" w:color="auto" w:fill="FFFFFF" w:themeFill="background1"/>
      </w:pPr>
      <w:r w:rsidRPr="006A75A2">
        <w:t>Key projects in the PNFC sector included constructing Regional Rail Link, purchasing rolling stock, water sector projects related to customer growth and renewal of existing assets, and the Goulburn Murray Water</w:t>
      </w:r>
      <w:r w:rsidR="00C96101" w:rsidRPr="006A75A2">
        <w:t>’</w:t>
      </w:r>
      <w:r w:rsidRPr="006A75A2">
        <w:t>s Connections Project, which will connect irrigators to a modernised main system of irrigation channels.</w:t>
      </w:r>
    </w:p>
    <w:p w:rsidR="004E6C32" w:rsidRPr="006A75A2" w:rsidRDefault="004E6C32" w:rsidP="004B5CB1">
      <w:pPr>
        <w:pStyle w:val="Heading1"/>
      </w:pPr>
      <w:bookmarkStart w:id="21" w:name="_Toc367967893"/>
      <w:bookmarkStart w:id="22" w:name="_Toc400040237"/>
      <w:r w:rsidRPr="006A75A2">
        <w:lastRenderedPageBreak/>
        <w:t>Financial sustainability (non</w:t>
      </w:r>
      <w:r w:rsidRPr="006A75A2">
        <w:noBreakHyphen/>
        <w:t>financial public sector)</w:t>
      </w:r>
      <w:bookmarkEnd w:id="21"/>
      <w:bookmarkEnd w:id="22"/>
    </w:p>
    <w:p w:rsidR="004E6C32" w:rsidRPr="006A75A2" w:rsidRDefault="004E6C32" w:rsidP="004B5CB1">
      <w:r w:rsidRPr="006A75A2">
        <w:t>The sustainability of the non</w:t>
      </w:r>
      <w:r w:rsidRPr="006A75A2">
        <w:noBreakHyphen/>
        <w:t>financial public sector (NFPS) is significant for the State</w:t>
      </w:r>
      <w:r w:rsidR="00C96101" w:rsidRPr="006A75A2">
        <w:t>’</w:t>
      </w:r>
      <w:r w:rsidRPr="006A75A2">
        <w:t>s credit rating. The NFPS comprises the general government sector and PNFC sector. In determining financial sustainability, the credit rating agencies consider the levels of net debt and net financial liabilities and the state</w:t>
      </w:r>
      <w:r w:rsidR="00C96101" w:rsidRPr="006A75A2">
        <w:t>’</w:t>
      </w:r>
      <w:r w:rsidRPr="006A75A2">
        <w:t>s capacity to service these liabilities.</w:t>
      </w:r>
    </w:p>
    <w:p w:rsidR="004E6C32" w:rsidRPr="006A75A2" w:rsidRDefault="004E6C32" w:rsidP="004B5CB1">
      <w:r w:rsidRPr="006A75A2">
        <w:t>As shown in Table 3.3, NFPS net debt increased by $1.3 billion in 2013</w:t>
      </w:r>
      <w:r w:rsidRPr="006A75A2">
        <w:noBreakHyphen/>
        <w:t>14 to $35.9 billion, $961 million lower than the revised estimate of $36.9 billion. This mainly reflects the stronger than expected performance within the general government and PNFC sectors, which contributed towards a reduced borrowing requirement for the year.</w:t>
      </w:r>
    </w:p>
    <w:p w:rsidR="004E6C32" w:rsidRPr="006A75A2" w:rsidRDefault="004E6C32" w:rsidP="004B5CB1">
      <w:r w:rsidRPr="006A75A2">
        <w:t>Net debt for the year was $35.9 billion. This represents an increase of 3.9 per cent compared with the previous year.</w:t>
      </w:r>
    </w:p>
    <w:p w:rsidR="004E6C32" w:rsidRPr="006A75A2" w:rsidRDefault="004E6C32" w:rsidP="004B5CB1">
      <w:pPr>
        <w:pStyle w:val="Tableheading"/>
      </w:pPr>
      <w:r w:rsidRPr="006A75A2">
        <w:t>Table 3.3:</w:t>
      </w:r>
      <w:r w:rsidRPr="006A75A2">
        <w:tab/>
        <w:t>Non</w:t>
      </w:r>
      <w:r w:rsidRPr="006A75A2">
        <w:noBreakHyphen/>
        <w:t xml:space="preserve">financial public sector net debt and net financial liabilities as at </w:t>
      </w:r>
      <w:r w:rsidRPr="006A75A2">
        <w:br/>
        <w:t>30 June 2014</w:t>
      </w:r>
    </w:p>
    <w:p w:rsidR="004E6C32" w:rsidRPr="006A75A2" w:rsidRDefault="004E6C32" w:rsidP="004B5CB1">
      <w:pPr>
        <w:pStyle w:val="million"/>
        <w:rPr>
          <w:rFonts w:ascii="Times New Roman" w:hAnsi="Times New Roman"/>
          <w:i w:val="0"/>
          <w:lang w:eastAsia="en-AU"/>
        </w:rPr>
      </w:pPr>
      <w:r w:rsidRPr="006A75A2">
        <w:t>($ million)</w:t>
      </w:r>
    </w:p>
    <w:tbl>
      <w:tblPr>
        <w:tblW w:w="9648" w:type="dxa"/>
        <w:tblInd w:w="29" w:type="dxa"/>
        <w:tblLayout w:type="fixed"/>
        <w:tblCellMar>
          <w:left w:w="43" w:type="dxa"/>
          <w:right w:w="43" w:type="dxa"/>
        </w:tblCellMar>
        <w:tblLook w:val="0000" w:firstRow="0" w:lastRow="0" w:firstColumn="0" w:lastColumn="0" w:noHBand="0" w:noVBand="0"/>
      </w:tblPr>
      <w:tblGrid>
        <w:gridCol w:w="3884"/>
        <w:gridCol w:w="1233"/>
        <w:gridCol w:w="1017"/>
        <w:gridCol w:w="1170"/>
        <w:gridCol w:w="1170"/>
        <w:gridCol w:w="1174"/>
      </w:tblGrid>
      <w:tr w:rsidR="00C21642" w:rsidRPr="006A75A2" w:rsidTr="00C21642">
        <w:trPr>
          <w:trHeight w:val="547"/>
        </w:trPr>
        <w:tc>
          <w:tcPr>
            <w:tcW w:w="3884" w:type="dxa"/>
            <w:tcBorders>
              <w:top w:val="single" w:sz="4" w:space="0" w:color="auto"/>
              <w:left w:val="single" w:sz="4" w:space="0" w:color="auto"/>
              <w:right w:val="nil"/>
            </w:tcBorders>
            <w:shd w:val="clear" w:color="auto" w:fill="000000"/>
          </w:tcPr>
          <w:p w:rsidR="00C21642" w:rsidRPr="006A75A2" w:rsidRDefault="00C21642" w:rsidP="004B5CB1">
            <w:pPr>
              <w:pStyle w:val="Tabletext"/>
              <w:rPr>
                <w:rFonts w:eastAsiaTheme="minorEastAsia"/>
                <w:lang w:eastAsia="en-AU"/>
              </w:rPr>
            </w:pPr>
          </w:p>
        </w:tc>
        <w:tc>
          <w:tcPr>
            <w:tcW w:w="1233" w:type="dxa"/>
            <w:tcBorders>
              <w:top w:val="single" w:sz="4" w:space="0" w:color="auto"/>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p w:rsidR="00C21642" w:rsidRPr="006A75A2" w:rsidRDefault="00C21642" w:rsidP="004B5CB1">
            <w:pPr>
              <w:pStyle w:val="Tabletextheading"/>
              <w:rPr>
                <w:rFonts w:eastAsiaTheme="minorEastAsia"/>
                <w:lang w:eastAsia="en-AU"/>
              </w:rPr>
            </w:pPr>
            <w:r w:rsidRPr="006A75A2">
              <w:rPr>
                <w:rFonts w:eastAsiaTheme="minorEastAsia"/>
                <w:lang w:eastAsia="en-AU"/>
              </w:rPr>
              <w:t>2014</w:t>
            </w:r>
          </w:p>
        </w:tc>
        <w:tc>
          <w:tcPr>
            <w:tcW w:w="1017" w:type="dxa"/>
            <w:tcBorders>
              <w:top w:val="single" w:sz="4" w:space="0" w:color="auto"/>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Revised</w:t>
            </w:r>
          </w:p>
          <w:p w:rsidR="00C21642" w:rsidRPr="006A75A2" w:rsidRDefault="00C21642" w:rsidP="004B5CB1">
            <w:pPr>
              <w:pStyle w:val="Tabletextheading"/>
              <w:rPr>
                <w:rFonts w:eastAsiaTheme="minorEastAsia"/>
                <w:lang w:eastAsia="en-AU"/>
              </w:rPr>
            </w:pPr>
            <w:r w:rsidRPr="006A75A2">
              <w:rPr>
                <w:rFonts w:eastAsiaTheme="minorEastAsia"/>
                <w:lang w:eastAsia="en-AU"/>
              </w:rPr>
              <w:t>variance</w:t>
            </w:r>
          </w:p>
        </w:tc>
        <w:tc>
          <w:tcPr>
            <w:tcW w:w="1170" w:type="dxa"/>
            <w:tcBorders>
              <w:top w:val="single" w:sz="4" w:space="0" w:color="auto"/>
              <w:left w:val="nil"/>
              <w:right w:val="single" w:sz="6" w:space="0" w:color="auto"/>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Revised</w:t>
            </w:r>
          </w:p>
          <w:p w:rsidR="00C21642" w:rsidRPr="006A75A2" w:rsidRDefault="00C21642" w:rsidP="004B5CB1">
            <w:pPr>
              <w:pStyle w:val="Tabletextheading"/>
              <w:rPr>
                <w:rFonts w:eastAsiaTheme="minorEastAsia"/>
                <w:lang w:eastAsia="en-AU"/>
              </w:rPr>
            </w:pPr>
            <w:r w:rsidRPr="006A75A2">
              <w:rPr>
                <w:rFonts w:eastAsiaTheme="minorEastAsia"/>
                <w:lang w:eastAsia="en-AU"/>
              </w:rPr>
              <w:t>2014</w:t>
            </w:r>
          </w:p>
        </w:tc>
        <w:tc>
          <w:tcPr>
            <w:tcW w:w="1170" w:type="dxa"/>
            <w:tcBorders>
              <w:top w:val="single" w:sz="4" w:space="0" w:color="auto"/>
              <w:left w:val="nil"/>
              <w:right w:val="nil"/>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p w:rsidR="00C21642" w:rsidRPr="006A75A2" w:rsidRDefault="00C21642" w:rsidP="004B5CB1">
            <w:pPr>
              <w:pStyle w:val="Tabletextheading"/>
              <w:rPr>
                <w:rFonts w:eastAsiaTheme="minorEastAsia"/>
                <w:lang w:eastAsia="en-AU"/>
              </w:rPr>
            </w:pPr>
            <w:r w:rsidRPr="006A75A2">
              <w:rPr>
                <w:rFonts w:eastAsiaTheme="minorEastAsia"/>
                <w:lang w:eastAsia="en-AU"/>
              </w:rPr>
              <w:t>movement</w:t>
            </w:r>
          </w:p>
        </w:tc>
        <w:tc>
          <w:tcPr>
            <w:tcW w:w="1174" w:type="dxa"/>
            <w:tcBorders>
              <w:top w:val="single" w:sz="4" w:space="0" w:color="auto"/>
              <w:left w:val="nil"/>
              <w:right w:val="single" w:sz="4" w:space="0" w:color="auto"/>
            </w:tcBorders>
            <w:shd w:val="clear" w:color="auto"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p w:rsidR="00C21642" w:rsidRPr="006A75A2" w:rsidRDefault="00C2164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3884" w:type="dxa"/>
            <w:tcBorders>
              <w:top w:val="single" w:sz="4"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Assets</w:t>
            </w:r>
          </w:p>
        </w:tc>
        <w:tc>
          <w:tcPr>
            <w:tcW w:w="1233"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c>
          <w:tcPr>
            <w:tcW w:w="1017"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c>
          <w:tcPr>
            <w:tcW w:w="1170"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c>
          <w:tcPr>
            <w:tcW w:w="1170"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c>
          <w:tcPr>
            <w:tcW w:w="1174"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4B5CB1">
        <w:tc>
          <w:tcPr>
            <w:tcW w:w="388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23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5 485.4</w:t>
            </w:r>
          </w:p>
        </w:tc>
        <w:tc>
          <w:tcPr>
            <w:tcW w:w="101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747.0</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4 738.4</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725.5</w:t>
            </w:r>
          </w:p>
        </w:tc>
        <w:tc>
          <w:tcPr>
            <w:tcW w:w="117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4 759.9</w:t>
            </w:r>
          </w:p>
        </w:tc>
      </w:tr>
      <w:tr w:rsidR="004E6C32" w:rsidRPr="006A75A2" w:rsidTr="004B5CB1">
        <w:tc>
          <w:tcPr>
            <w:tcW w:w="388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Advances paid</w:t>
            </w:r>
          </w:p>
        </w:tc>
        <w:tc>
          <w:tcPr>
            <w:tcW w:w="123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86.1</w:t>
            </w:r>
          </w:p>
        </w:tc>
        <w:tc>
          <w:tcPr>
            <w:tcW w:w="101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80.6</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14.1</w:t>
            </w:r>
          </w:p>
        </w:tc>
        <w:tc>
          <w:tcPr>
            <w:tcW w:w="117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72.1</w:t>
            </w:r>
          </w:p>
        </w:tc>
      </w:tr>
      <w:tr w:rsidR="004E6C32" w:rsidRPr="006A75A2" w:rsidTr="004B5CB1">
        <w:tc>
          <w:tcPr>
            <w:tcW w:w="388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Investments, loans and placements</w:t>
            </w:r>
          </w:p>
        </w:tc>
        <w:tc>
          <w:tcPr>
            <w:tcW w:w="123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4 096.6</w:t>
            </w:r>
          </w:p>
        </w:tc>
        <w:tc>
          <w:tcPr>
            <w:tcW w:w="1017" w:type="dxa"/>
            <w:tcBorders>
              <w:top w:val="nil"/>
              <w:left w:val="nil"/>
              <w:bottom w:val="single" w:sz="6" w:space="0" w:color="auto"/>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(196.7)</w:t>
            </w:r>
          </w:p>
        </w:tc>
        <w:tc>
          <w:tcPr>
            <w:tcW w:w="117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4 293.3</w:t>
            </w:r>
          </w:p>
        </w:tc>
        <w:tc>
          <w:tcPr>
            <w:tcW w:w="1170" w:type="dxa"/>
            <w:tcBorders>
              <w:top w:val="nil"/>
              <w:left w:val="nil"/>
              <w:bottom w:val="single" w:sz="6" w:space="0" w:color="auto"/>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(343.0)</w:t>
            </w:r>
          </w:p>
        </w:tc>
        <w:tc>
          <w:tcPr>
            <w:tcW w:w="117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4 439.6</w:t>
            </w:r>
          </w:p>
        </w:tc>
      </w:tr>
      <w:tr w:rsidR="004E6C32" w:rsidRPr="006A75A2" w:rsidTr="004B5CB1">
        <w:tc>
          <w:tcPr>
            <w:tcW w:w="3884"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Total </w:t>
            </w:r>
          </w:p>
        </w:tc>
        <w:tc>
          <w:tcPr>
            <w:tcW w:w="1233"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9 668.1</w:t>
            </w:r>
          </w:p>
        </w:tc>
        <w:tc>
          <w:tcPr>
            <w:tcW w:w="1017"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555.9</w:t>
            </w:r>
          </w:p>
        </w:tc>
        <w:tc>
          <w:tcPr>
            <w:tcW w:w="117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9 112.3</w:t>
            </w:r>
          </w:p>
        </w:tc>
        <w:tc>
          <w:tcPr>
            <w:tcW w:w="117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396.6</w:t>
            </w:r>
          </w:p>
        </w:tc>
        <w:tc>
          <w:tcPr>
            <w:tcW w:w="1174"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9 271.5</w:t>
            </w:r>
          </w:p>
        </w:tc>
      </w:tr>
      <w:tr w:rsidR="004E6C32" w:rsidRPr="006A75A2" w:rsidTr="004B5CB1">
        <w:tc>
          <w:tcPr>
            <w:tcW w:w="3884"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Liabilities</w:t>
            </w:r>
          </w:p>
        </w:tc>
        <w:tc>
          <w:tcPr>
            <w:tcW w:w="1233"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01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74"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4B5CB1">
        <w:tc>
          <w:tcPr>
            <w:tcW w:w="388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Deposits held and advances received</w:t>
            </w:r>
          </w:p>
        </w:tc>
        <w:tc>
          <w:tcPr>
            <w:tcW w:w="123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541.5</w:t>
            </w:r>
          </w:p>
        </w:tc>
        <w:tc>
          <w:tcPr>
            <w:tcW w:w="101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44.9</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496.6</w:t>
            </w:r>
          </w:p>
        </w:tc>
        <w:tc>
          <w:tcPr>
            <w:tcW w:w="117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(41.9)</w:t>
            </w:r>
          </w:p>
        </w:tc>
        <w:tc>
          <w:tcPr>
            <w:tcW w:w="117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583.4</w:t>
            </w:r>
          </w:p>
        </w:tc>
      </w:tr>
      <w:tr w:rsidR="004E6C32" w:rsidRPr="006A75A2" w:rsidTr="004B5CB1">
        <w:tc>
          <w:tcPr>
            <w:tcW w:w="388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Borrowings</w:t>
            </w:r>
          </w:p>
        </w:tc>
        <w:tc>
          <w:tcPr>
            <w:tcW w:w="123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45 052.5</w:t>
            </w:r>
          </w:p>
        </w:tc>
        <w:tc>
          <w:tcPr>
            <w:tcW w:w="1017"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(450.0)</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45 502.4</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1 779.6</w:t>
            </w:r>
          </w:p>
        </w:tc>
        <w:tc>
          <w:tcPr>
            <w:tcW w:w="117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43 272.9</w:t>
            </w:r>
          </w:p>
        </w:tc>
      </w:tr>
      <w:tr w:rsidR="004E6C32" w:rsidRPr="006A75A2" w:rsidTr="004B5CB1">
        <w:tc>
          <w:tcPr>
            <w:tcW w:w="3884"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w:t>
            </w:r>
          </w:p>
        </w:tc>
        <w:tc>
          <w:tcPr>
            <w:tcW w:w="123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45 594.0</w:t>
            </w:r>
          </w:p>
        </w:tc>
        <w:tc>
          <w:tcPr>
            <w:tcW w:w="1017" w:type="dxa"/>
            <w:tcBorders>
              <w:top w:val="single" w:sz="6" w:space="0" w:color="auto"/>
              <w:left w:val="nil"/>
              <w:bottom w:val="single" w:sz="6"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lang w:eastAsia="en-AU"/>
              </w:rPr>
              <w:t>(405.1)</w:t>
            </w:r>
          </w:p>
        </w:tc>
        <w:tc>
          <w:tcPr>
            <w:tcW w:w="117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45 999.1</w:t>
            </w:r>
          </w:p>
        </w:tc>
        <w:tc>
          <w:tcPr>
            <w:tcW w:w="117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1 737.7</w:t>
            </w:r>
          </w:p>
        </w:tc>
        <w:tc>
          <w:tcPr>
            <w:tcW w:w="117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43 856.3</w:t>
            </w:r>
          </w:p>
        </w:tc>
      </w:tr>
      <w:tr w:rsidR="004E6C32" w:rsidRPr="006A75A2" w:rsidTr="004B5CB1">
        <w:tc>
          <w:tcPr>
            <w:tcW w:w="3884"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debt</w:t>
            </w:r>
          </w:p>
        </w:tc>
        <w:tc>
          <w:tcPr>
            <w:tcW w:w="1233"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35 925.9</w:t>
            </w:r>
          </w:p>
        </w:tc>
        <w:tc>
          <w:tcPr>
            <w:tcW w:w="1017"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lang w:eastAsia="en-AU"/>
              </w:rPr>
              <w:t>(960.9)</w:t>
            </w:r>
          </w:p>
        </w:tc>
        <w:tc>
          <w:tcPr>
            <w:tcW w:w="117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36 886.8</w:t>
            </w:r>
          </w:p>
        </w:tc>
        <w:tc>
          <w:tcPr>
            <w:tcW w:w="117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1 341.1</w:t>
            </w:r>
          </w:p>
        </w:tc>
        <w:tc>
          <w:tcPr>
            <w:tcW w:w="1174"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34 584.8</w:t>
            </w:r>
          </w:p>
        </w:tc>
      </w:tr>
      <w:tr w:rsidR="004E6C32" w:rsidRPr="006A75A2" w:rsidTr="004B5CB1">
        <w:tc>
          <w:tcPr>
            <w:tcW w:w="3884"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Superannuation</w:t>
            </w:r>
          </w:p>
        </w:tc>
        <w:tc>
          <w:tcPr>
            <w:tcW w:w="123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25 729.0</w:t>
            </w:r>
          </w:p>
        </w:tc>
        <w:tc>
          <w:tcPr>
            <w:tcW w:w="101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2 432.5</w:t>
            </w:r>
          </w:p>
        </w:tc>
        <w:tc>
          <w:tcPr>
            <w:tcW w:w="117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23 296.5</w:t>
            </w:r>
          </w:p>
        </w:tc>
        <w:tc>
          <w:tcPr>
            <w:tcW w:w="117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503.5</w:t>
            </w:r>
          </w:p>
        </w:tc>
        <w:tc>
          <w:tcPr>
            <w:tcW w:w="117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25 225.4</w:t>
            </w:r>
          </w:p>
        </w:tc>
      </w:tr>
      <w:tr w:rsidR="004E6C32" w:rsidRPr="006A75A2" w:rsidTr="004B5CB1">
        <w:tc>
          <w:tcPr>
            <w:tcW w:w="3884"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debt plus superannuation liabilities</w:t>
            </w:r>
          </w:p>
        </w:tc>
        <w:tc>
          <w:tcPr>
            <w:tcW w:w="1233"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61 654.9</w:t>
            </w:r>
          </w:p>
        </w:tc>
        <w:tc>
          <w:tcPr>
            <w:tcW w:w="1017"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1 471.6</w:t>
            </w:r>
          </w:p>
        </w:tc>
        <w:tc>
          <w:tcPr>
            <w:tcW w:w="117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60 183.3</w:t>
            </w:r>
          </w:p>
        </w:tc>
        <w:tc>
          <w:tcPr>
            <w:tcW w:w="117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1 844.7</w:t>
            </w:r>
          </w:p>
        </w:tc>
        <w:tc>
          <w:tcPr>
            <w:tcW w:w="1174"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59 810.2</w:t>
            </w:r>
          </w:p>
        </w:tc>
      </w:tr>
      <w:tr w:rsidR="004E6C32" w:rsidRPr="006A75A2" w:rsidTr="004B5CB1">
        <w:tc>
          <w:tcPr>
            <w:tcW w:w="3884" w:type="dxa"/>
            <w:tcBorders>
              <w:top w:val="nil"/>
              <w:left w:val="nil"/>
              <w:bottom w:val="nil"/>
              <w:right w:val="nil"/>
            </w:tcBorders>
          </w:tcPr>
          <w:p w:rsidR="004E6C32" w:rsidRPr="006A75A2" w:rsidRDefault="004E6C32" w:rsidP="00C96101">
            <w:pPr>
              <w:pStyle w:val="Tabletext"/>
              <w:rPr>
                <w:rFonts w:eastAsiaTheme="minorEastAsia"/>
                <w:vertAlign w:val="superscript"/>
                <w:lang w:eastAsia="en-AU"/>
              </w:rPr>
            </w:pPr>
            <w:r w:rsidRPr="006A75A2">
              <w:rPr>
                <w:rFonts w:eastAsiaTheme="minorEastAsia"/>
                <w:lang w:eastAsia="en-AU"/>
              </w:rPr>
              <w:t>Other liabilities (net)</w:t>
            </w:r>
            <w:r w:rsidRPr="006A75A2">
              <w:rPr>
                <w:rFonts w:eastAsiaTheme="minorEastAsia"/>
                <w:vertAlign w:val="superscript"/>
                <w:lang w:eastAsia="en-AU"/>
              </w:rPr>
              <w:t>(a)</w:t>
            </w:r>
          </w:p>
        </w:tc>
        <w:tc>
          <w:tcPr>
            <w:tcW w:w="123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6 346.6</w:t>
            </w:r>
          </w:p>
        </w:tc>
        <w:tc>
          <w:tcPr>
            <w:tcW w:w="1017" w:type="dxa"/>
            <w:tcBorders>
              <w:top w:val="nil"/>
              <w:left w:val="nil"/>
              <w:bottom w:val="single" w:sz="6" w:space="0" w:color="auto"/>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(34.9)</w:t>
            </w:r>
          </w:p>
        </w:tc>
        <w:tc>
          <w:tcPr>
            <w:tcW w:w="117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6 381.4</w:t>
            </w:r>
          </w:p>
        </w:tc>
        <w:tc>
          <w:tcPr>
            <w:tcW w:w="1170" w:type="dxa"/>
            <w:tcBorders>
              <w:top w:val="nil"/>
              <w:left w:val="nil"/>
              <w:bottom w:val="single" w:sz="6" w:space="0" w:color="auto"/>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(246.7)</w:t>
            </w:r>
          </w:p>
        </w:tc>
        <w:tc>
          <w:tcPr>
            <w:tcW w:w="117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6 593.3</w:t>
            </w:r>
          </w:p>
        </w:tc>
      </w:tr>
      <w:tr w:rsidR="004E6C32" w:rsidRPr="006A75A2" w:rsidTr="004B5CB1">
        <w:tc>
          <w:tcPr>
            <w:tcW w:w="3884"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financial liabilities</w:t>
            </w:r>
          </w:p>
        </w:tc>
        <w:tc>
          <w:tcPr>
            <w:tcW w:w="123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68 001.5</w:t>
            </w:r>
          </w:p>
        </w:tc>
        <w:tc>
          <w:tcPr>
            <w:tcW w:w="101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1 436.7</w:t>
            </w:r>
          </w:p>
        </w:tc>
        <w:tc>
          <w:tcPr>
            <w:tcW w:w="117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66 564.7</w:t>
            </w:r>
          </w:p>
        </w:tc>
        <w:tc>
          <w:tcPr>
            <w:tcW w:w="117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1 597.9</w:t>
            </w:r>
          </w:p>
        </w:tc>
        <w:tc>
          <w:tcPr>
            <w:tcW w:w="117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66 403.5</w:t>
            </w:r>
          </w:p>
        </w:tc>
      </w:tr>
      <w:tr w:rsidR="00C21642" w:rsidRPr="006A75A2" w:rsidTr="00C21642">
        <w:tc>
          <w:tcPr>
            <w:tcW w:w="9648" w:type="dxa"/>
            <w:gridSpan w:val="6"/>
            <w:tcBorders>
              <w:top w:val="nil"/>
              <w:left w:val="nil"/>
              <w:bottom w:val="nil"/>
              <w:right w:val="nil"/>
            </w:tcBorders>
          </w:tcPr>
          <w:p w:rsidR="00C21642" w:rsidRPr="006A75A2" w:rsidRDefault="00C21642" w:rsidP="004B5CB1">
            <w:pPr>
              <w:pStyle w:val="million"/>
              <w:rPr>
                <w:rFonts w:eastAsiaTheme="minorEastAsia"/>
                <w:lang w:eastAsia="en-AU"/>
              </w:rPr>
            </w:pPr>
            <w:r w:rsidRPr="006A75A2">
              <w:rPr>
                <w:rFonts w:eastAsiaTheme="minorEastAsia"/>
                <w:lang w:eastAsia="en-AU"/>
              </w:rPr>
              <w:t>(per cent)</w:t>
            </w:r>
          </w:p>
        </w:tc>
      </w:tr>
      <w:tr w:rsidR="004E6C32" w:rsidRPr="006A75A2" w:rsidTr="004B5CB1">
        <w:tc>
          <w:tcPr>
            <w:tcW w:w="3884"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debt to GSP</w:t>
            </w:r>
          </w:p>
        </w:tc>
        <w:tc>
          <w:tcPr>
            <w:tcW w:w="1233"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10.2</w:t>
            </w:r>
          </w:p>
        </w:tc>
        <w:tc>
          <w:tcPr>
            <w:tcW w:w="1017"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7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10.4</w:t>
            </w:r>
          </w:p>
        </w:tc>
        <w:tc>
          <w:tcPr>
            <w:tcW w:w="117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74"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10.2</w:t>
            </w:r>
          </w:p>
        </w:tc>
      </w:tr>
      <w:tr w:rsidR="004E6C32" w:rsidRPr="006A75A2" w:rsidTr="004B5CB1">
        <w:tc>
          <w:tcPr>
            <w:tcW w:w="3884"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debt plus superannuation liabilities to GSP</w:t>
            </w:r>
          </w:p>
        </w:tc>
        <w:tc>
          <w:tcPr>
            <w:tcW w:w="123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17.4</w:t>
            </w:r>
          </w:p>
        </w:tc>
        <w:tc>
          <w:tcPr>
            <w:tcW w:w="101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p>
        </w:tc>
        <w:tc>
          <w:tcPr>
            <w:tcW w:w="117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17.0</w:t>
            </w:r>
          </w:p>
        </w:tc>
        <w:tc>
          <w:tcPr>
            <w:tcW w:w="117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p>
        </w:tc>
        <w:tc>
          <w:tcPr>
            <w:tcW w:w="117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17.7</w:t>
            </w:r>
          </w:p>
        </w:tc>
      </w:tr>
      <w:tr w:rsidR="004E6C32" w:rsidRPr="006A75A2" w:rsidTr="004B5CB1">
        <w:tc>
          <w:tcPr>
            <w:tcW w:w="3884"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financial liabilities to GSP</w:t>
            </w:r>
          </w:p>
        </w:tc>
        <w:tc>
          <w:tcPr>
            <w:tcW w:w="123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19.2</w:t>
            </w:r>
          </w:p>
        </w:tc>
        <w:tc>
          <w:tcPr>
            <w:tcW w:w="101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p>
        </w:tc>
        <w:tc>
          <w:tcPr>
            <w:tcW w:w="117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18.8</w:t>
            </w:r>
          </w:p>
        </w:tc>
        <w:tc>
          <w:tcPr>
            <w:tcW w:w="117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p>
        </w:tc>
        <w:tc>
          <w:tcPr>
            <w:tcW w:w="117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19.7</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Other net liabilities includes other employee entitlements, provisions and other non</w:t>
      </w:r>
      <w:r w:rsidRPr="006A75A2">
        <w:noBreakHyphen/>
        <w:t>equity liabilities, less other non</w:t>
      </w:r>
      <w:r w:rsidRPr="006A75A2">
        <w:noBreakHyphen/>
        <w:t>equity assets.</w:t>
      </w:r>
    </w:p>
    <w:p w:rsidR="004E6C32" w:rsidRPr="006A75A2" w:rsidRDefault="004E6C32" w:rsidP="004B5CB1">
      <w:pPr>
        <w:pStyle w:val="Notes"/>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
        <w:rPr>
          <w:kern w:val="0"/>
        </w:rPr>
      </w:pPr>
      <w:r w:rsidRPr="006A75A2">
        <w:rPr>
          <w:kern w:val="0"/>
        </w:rPr>
        <w:lastRenderedPageBreak/>
        <w:t xml:space="preserve">Indicators of financial condition </w:t>
      </w:r>
    </w:p>
    <w:p w:rsidR="004E6C32" w:rsidRPr="006A75A2" w:rsidRDefault="004E6C32" w:rsidP="004B5CB1">
      <w:r w:rsidRPr="006A75A2">
        <w:t xml:space="preserve">Table 3.4 shows some key financial indicators for the NFPS. These indicators are also quoted within Budget Paper No. 2 of </w:t>
      </w:r>
      <w:r w:rsidRPr="006A75A2">
        <w:rPr>
          <w:i/>
        </w:rPr>
        <w:t>2014-15 Budget</w:t>
      </w:r>
      <w:r w:rsidRPr="006A75A2">
        <w:t xml:space="preserve"> and are important benchmarks for NFPS sustainability.</w:t>
      </w:r>
    </w:p>
    <w:p w:rsidR="004E6C32" w:rsidRPr="006A75A2" w:rsidRDefault="004E6C32" w:rsidP="004B5CB1">
      <w:r w:rsidRPr="006A75A2">
        <w:t>The operating cash flow surplus to revenue ratio has improved significantly, while debt growth has fallen, as the NFPS continues to reduce its reliance on debt to fund infrastructure.</w:t>
      </w:r>
    </w:p>
    <w:p w:rsidR="004E6C32" w:rsidRPr="006A75A2" w:rsidRDefault="004E6C32" w:rsidP="004B5CB1">
      <w:pPr>
        <w:rPr>
          <w:rFonts w:ascii="Calibri" w:hAnsi="Calibri"/>
          <w:b/>
          <w:sz w:val="25"/>
        </w:rPr>
      </w:pPr>
      <w:r w:rsidRPr="006A75A2">
        <w:t>Debt servicing costs increased slightly, which reflects the full year</w:t>
      </w:r>
      <w:r w:rsidR="00C96101" w:rsidRPr="006A75A2">
        <w:t>’</w:t>
      </w:r>
      <w:r w:rsidRPr="006A75A2">
        <w:t>s contribution of the Victorian Desalination Plant which was commissioned in December 2012.</w:t>
      </w:r>
    </w:p>
    <w:p w:rsidR="004E6C32" w:rsidRPr="006A75A2" w:rsidRDefault="004E6C32" w:rsidP="004B5CB1">
      <w:pPr>
        <w:pStyle w:val="Tableheading"/>
      </w:pPr>
      <w:r w:rsidRPr="006A75A2">
        <w:t>Table 3.4:</w:t>
      </w:r>
      <w:r w:rsidRPr="006A75A2">
        <w:tab/>
        <w:t>Indicators of financial condition for NFPS</w:t>
      </w:r>
    </w:p>
    <w:p w:rsidR="004E6C32" w:rsidRPr="006A75A2" w:rsidRDefault="004E6C32" w:rsidP="004B5CB1">
      <w:pPr>
        <w:pStyle w:val="million"/>
        <w:rPr>
          <w:rFonts w:ascii="Times New Roman" w:hAnsi="Times New Roman"/>
          <w:i w:val="0"/>
          <w:szCs w:val="20"/>
          <w:lang w:eastAsia="en-AU"/>
        </w:rPr>
      </w:pPr>
      <w:r w:rsidRPr="006A75A2">
        <w:t>(per cent)</w:t>
      </w:r>
    </w:p>
    <w:tbl>
      <w:tblPr>
        <w:tblW w:w="9640" w:type="dxa"/>
        <w:tblInd w:w="28" w:type="dxa"/>
        <w:tblLayout w:type="fixed"/>
        <w:tblCellMar>
          <w:left w:w="45" w:type="dxa"/>
          <w:right w:w="45" w:type="dxa"/>
        </w:tblCellMar>
        <w:tblLook w:val="0000" w:firstRow="0" w:lastRow="0" w:firstColumn="0" w:lastColumn="0" w:noHBand="0" w:noVBand="0"/>
      </w:tblPr>
      <w:tblGrid>
        <w:gridCol w:w="3802"/>
        <w:gridCol w:w="834"/>
        <w:gridCol w:w="834"/>
        <w:gridCol w:w="834"/>
        <w:gridCol w:w="834"/>
        <w:gridCol w:w="834"/>
        <w:gridCol w:w="834"/>
        <w:gridCol w:w="834"/>
      </w:tblGrid>
      <w:tr w:rsidR="00C21642" w:rsidRPr="006A75A2" w:rsidTr="00C21642">
        <w:trPr>
          <w:trHeight w:val="552"/>
          <w:tblHeader/>
        </w:trPr>
        <w:tc>
          <w:tcPr>
            <w:tcW w:w="3802" w:type="dxa"/>
            <w:tcBorders>
              <w:top w:val="single" w:sz="6" w:space="0" w:color="000000"/>
              <w:left w:val="single" w:sz="6" w:space="0" w:color="000000"/>
            </w:tcBorders>
            <w:shd w:val="clear" w:color="000000" w:fill="000000"/>
          </w:tcPr>
          <w:p w:rsidR="00C21642" w:rsidRPr="006A75A2" w:rsidRDefault="00C21642" w:rsidP="004B5CB1">
            <w:pPr>
              <w:pStyle w:val="Tabletext"/>
              <w:rPr>
                <w:rFonts w:eastAsiaTheme="minorEastAsia"/>
                <w:lang w:eastAsia="en-AU"/>
              </w:rPr>
            </w:pPr>
          </w:p>
        </w:tc>
        <w:tc>
          <w:tcPr>
            <w:tcW w:w="834" w:type="dxa"/>
            <w:tcBorders>
              <w:top w:val="single" w:sz="6" w:space="0" w:color="000000"/>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2008</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c>
          <w:tcPr>
            <w:tcW w:w="834" w:type="dxa"/>
            <w:tcBorders>
              <w:top w:val="single" w:sz="6" w:space="0" w:color="000000"/>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2009</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c>
          <w:tcPr>
            <w:tcW w:w="834" w:type="dxa"/>
            <w:tcBorders>
              <w:top w:val="single" w:sz="6" w:space="0" w:color="000000"/>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2010</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c>
          <w:tcPr>
            <w:tcW w:w="834" w:type="dxa"/>
            <w:tcBorders>
              <w:top w:val="single" w:sz="6" w:space="0" w:color="000000"/>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2011</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c>
          <w:tcPr>
            <w:tcW w:w="834" w:type="dxa"/>
            <w:tcBorders>
              <w:top w:val="single" w:sz="6" w:space="0" w:color="000000"/>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2012</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c>
          <w:tcPr>
            <w:tcW w:w="834" w:type="dxa"/>
            <w:tcBorders>
              <w:top w:val="single" w:sz="6" w:space="0" w:color="000000"/>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2013</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c>
          <w:tcPr>
            <w:tcW w:w="834" w:type="dxa"/>
            <w:tcBorders>
              <w:top w:val="single" w:sz="6" w:space="0" w:color="000000"/>
              <w:right w:val="single" w:sz="6" w:space="0" w:color="000000"/>
            </w:tcBorders>
            <w:shd w:val="clear" w:color="000000" w:fill="000000"/>
          </w:tcPr>
          <w:p w:rsidR="00C21642" w:rsidRPr="006A75A2" w:rsidRDefault="00C21642" w:rsidP="004B5CB1">
            <w:pPr>
              <w:pStyle w:val="Tabletextheading"/>
              <w:rPr>
                <w:rFonts w:eastAsiaTheme="minorEastAsia"/>
                <w:lang w:eastAsia="en-AU"/>
              </w:rPr>
            </w:pPr>
            <w:r w:rsidRPr="006A75A2">
              <w:rPr>
                <w:rFonts w:eastAsiaTheme="minorEastAsia"/>
                <w:lang w:eastAsia="en-AU"/>
              </w:rPr>
              <w:t>2014</w:t>
            </w:r>
          </w:p>
          <w:p w:rsidR="00C21642" w:rsidRPr="006A75A2" w:rsidRDefault="00C21642" w:rsidP="004B5CB1">
            <w:pPr>
              <w:pStyle w:val="Tabletextheading"/>
              <w:rPr>
                <w:rFonts w:eastAsiaTheme="minorEastAsia"/>
                <w:lang w:eastAsia="en-AU"/>
              </w:rPr>
            </w:pPr>
            <w:r w:rsidRPr="006A75A2">
              <w:rPr>
                <w:rFonts w:eastAsiaTheme="minorEastAsia"/>
                <w:lang w:eastAsia="en-AU"/>
              </w:rPr>
              <w:t>Actual</w:t>
            </w:r>
          </w:p>
        </w:tc>
      </w:tr>
      <w:tr w:rsidR="004E6C32" w:rsidRPr="006A75A2" w:rsidTr="004B5CB1">
        <w:tc>
          <w:tcPr>
            <w:tcW w:w="3802" w:type="dxa"/>
            <w:tcBorders>
              <w:top w:val="single" w:sz="6" w:space="0" w:color="000000"/>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Financial sustainability</w:t>
            </w:r>
          </w:p>
        </w:tc>
        <w:tc>
          <w:tcPr>
            <w:tcW w:w="834"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p>
        </w:tc>
        <w:tc>
          <w:tcPr>
            <w:tcW w:w="834"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p>
        </w:tc>
        <w:tc>
          <w:tcPr>
            <w:tcW w:w="834"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p>
        </w:tc>
        <w:tc>
          <w:tcPr>
            <w:tcW w:w="834"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p>
        </w:tc>
        <w:tc>
          <w:tcPr>
            <w:tcW w:w="834"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p>
        </w:tc>
        <w:tc>
          <w:tcPr>
            <w:tcW w:w="834"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p>
        </w:tc>
        <w:tc>
          <w:tcPr>
            <w:tcW w:w="834"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38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Operating cash flow surplus to revenue</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12.1</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9.8</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8.6</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10.1</w:t>
            </w:r>
          </w:p>
        </w:tc>
      </w:tr>
      <w:tr w:rsidR="004E6C32" w:rsidRPr="006A75A2" w:rsidTr="004B5CB1">
        <w:tc>
          <w:tcPr>
            <w:tcW w:w="3802" w:type="dxa"/>
            <w:tcBorders>
              <w:top w:val="nil"/>
              <w:left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Gross debt</w:t>
            </w:r>
            <w:r w:rsidRPr="006A75A2">
              <w:rPr>
                <w:rFonts w:eastAsiaTheme="minorEastAsia"/>
                <w:vertAlign w:val="superscript"/>
                <w:lang w:eastAsia="en-AU"/>
              </w:rPr>
              <w:t xml:space="preserve">(a) </w:t>
            </w:r>
            <w:r w:rsidRPr="006A75A2">
              <w:rPr>
                <w:rFonts w:eastAsiaTheme="minorEastAsia"/>
                <w:lang w:eastAsia="en-AU"/>
              </w:rPr>
              <w:t>to revenue</w:t>
            </w:r>
          </w:p>
        </w:tc>
        <w:tc>
          <w:tcPr>
            <w:tcW w:w="834"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34.5</w:t>
            </w:r>
          </w:p>
        </w:tc>
        <w:tc>
          <w:tcPr>
            <w:tcW w:w="834"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43.8</w:t>
            </w:r>
          </w:p>
        </w:tc>
        <w:tc>
          <w:tcPr>
            <w:tcW w:w="834"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48.6</w:t>
            </w:r>
          </w:p>
        </w:tc>
        <w:tc>
          <w:tcPr>
            <w:tcW w:w="834"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57.2</w:t>
            </w:r>
          </w:p>
        </w:tc>
        <w:tc>
          <w:tcPr>
            <w:tcW w:w="834"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66.5</w:t>
            </w:r>
          </w:p>
        </w:tc>
        <w:tc>
          <w:tcPr>
            <w:tcW w:w="834"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86.5</w:t>
            </w:r>
          </w:p>
        </w:tc>
        <w:tc>
          <w:tcPr>
            <w:tcW w:w="834"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81.4</w:t>
            </w:r>
          </w:p>
        </w:tc>
      </w:tr>
      <w:tr w:rsidR="004E6C32" w:rsidRPr="006A75A2" w:rsidTr="004B5CB1">
        <w:tc>
          <w:tcPr>
            <w:tcW w:w="3802"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lang w:eastAsia="en-AU"/>
              </w:rPr>
            </w:pPr>
            <w:r w:rsidRPr="006A75A2">
              <w:rPr>
                <w:rFonts w:eastAsiaTheme="minorEastAsia"/>
                <w:lang w:eastAsia="en-AU"/>
              </w:rPr>
              <w:t>Interest expense to revenue</w:t>
            </w:r>
          </w:p>
        </w:tc>
        <w:tc>
          <w:tcPr>
            <w:tcW w:w="834"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w:t>
            </w:r>
          </w:p>
        </w:tc>
        <w:tc>
          <w:tcPr>
            <w:tcW w:w="834"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w:t>
            </w:r>
          </w:p>
        </w:tc>
        <w:tc>
          <w:tcPr>
            <w:tcW w:w="834"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w:t>
            </w:r>
          </w:p>
        </w:tc>
        <w:tc>
          <w:tcPr>
            <w:tcW w:w="834"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w:t>
            </w:r>
          </w:p>
        </w:tc>
        <w:tc>
          <w:tcPr>
            <w:tcW w:w="834"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w:t>
            </w:r>
          </w:p>
        </w:tc>
        <w:tc>
          <w:tcPr>
            <w:tcW w:w="834"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w:t>
            </w:r>
          </w:p>
        </w:tc>
        <w:tc>
          <w:tcPr>
            <w:tcW w:w="834"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Gross debt comprises borrowings and deposits held and advances received.</w:t>
      </w:r>
    </w:p>
    <w:p w:rsidR="004E6C32" w:rsidRPr="006A75A2" w:rsidRDefault="004E6C32" w:rsidP="004B5CB1"/>
    <w:p w:rsidR="004E6C32" w:rsidRPr="006A75A2" w:rsidRDefault="004E6C32" w:rsidP="004B5CB1"/>
    <w:p w:rsidR="004E6C32" w:rsidRPr="006A75A2" w:rsidRDefault="004E6C32" w:rsidP="007A44BF">
      <w:pPr>
        <w:sectPr w:rsidR="004E6C32" w:rsidRPr="006A75A2" w:rsidSect="00160ABB">
          <w:footerReference w:type="even" r:id="rId19"/>
          <w:footerReference w:type="default" r:id="rId20"/>
          <w:type w:val="oddPage"/>
          <w:pgSz w:w="11906" w:h="16838" w:code="9"/>
          <w:pgMar w:top="1151" w:right="1151" w:bottom="1151" w:left="1151" w:header="720" w:footer="720" w:gutter="0"/>
          <w:cols w:space="708"/>
          <w:docGrid w:linePitch="360"/>
        </w:sectPr>
      </w:pPr>
    </w:p>
    <w:p w:rsidR="004E6C32" w:rsidRPr="006A75A2" w:rsidRDefault="004E6C32" w:rsidP="004B5CB1">
      <w:pPr>
        <w:pStyle w:val="ChapterHeading"/>
      </w:pPr>
      <w:bookmarkStart w:id="23" w:name="_Toc400040238"/>
      <w:r w:rsidRPr="006A75A2">
        <w:lastRenderedPageBreak/>
        <w:t>Chapter 4 – Annual Financial Report</w:t>
      </w:r>
      <w:bookmarkEnd w:id="23"/>
    </w:p>
    <w:p w:rsidR="004E6C32" w:rsidRPr="006A75A2" w:rsidRDefault="004E6C32" w:rsidP="004B5CB1">
      <w:pPr>
        <w:pStyle w:val="Heading2"/>
        <w:rPr>
          <w:kern w:val="0"/>
        </w:rPr>
      </w:pPr>
      <w:r w:rsidRPr="006A75A2">
        <w:rPr>
          <w:kern w:val="0"/>
        </w:rPr>
        <w:t>This chapter contains the audited 2013-14 financial report for the State of Victoria and the Victorian general government sector.</w:t>
      </w:r>
    </w:p>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Heading1"/>
        <w:rPr>
          <w:caps w:val="0"/>
        </w:rPr>
      </w:pPr>
      <w:bookmarkStart w:id="24" w:name="_Toc391549914"/>
      <w:bookmarkStart w:id="25" w:name="_Toc400040239"/>
      <w:r w:rsidRPr="006A75A2">
        <w:rPr>
          <w:caps w:val="0"/>
        </w:rPr>
        <w:lastRenderedPageBreak/>
        <w:t>Report of the Auditor General</w:t>
      </w:r>
      <w:bookmarkEnd w:id="24"/>
      <w:bookmarkEnd w:id="25"/>
    </w:p>
    <w:p w:rsidR="00E51259" w:rsidRPr="006A75A2" w:rsidRDefault="00E51259" w:rsidP="00E51259">
      <w:pPr>
        <w:jc w:val="center"/>
      </w:pPr>
      <w:r w:rsidRPr="006A75A2">
        <w:rPr>
          <w:noProof/>
          <w:lang w:eastAsia="en-AU"/>
        </w:rPr>
        <w:drawing>
          <wp:inline distT="0" distB="0" distL="0" distR="0" wp14:anchorId="39E3976E" wp14:editId="6B352363">
            <wp:extent cx="5544000" cy="1089000"/>
            <wp:effectExtent l="0" t="0" r="0" b="0"/>
            <wp:docPr id="6" name="Picture 6" descr="R:\Budget\BP5\VAG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udget\BP5\VAGOp1-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544000" cy="1089000"/>
                    </a:xfrm>
                    <a:prstGeom prst="rect">
                      <a:avLst/>
                    </a:prstGeom>
                    <a:noFill/>
                    <a:ln>
                      <a:noFill/>
                    </a:ln>
                    <a:extLst>
                      <a:ext uri="{53640926-AAD7-44D8-BBD7-CCE9431645EC}">
                        <a14:shadowObscured xmlns:a14="http://schemas.microsoft.com/office/drawing/2010/main"/>
                      </a:ext>
                    </a:extLst>
                  </pic:spPr>
                </pic:pic>
              </a:graphicData>
            </a:graphic>
          </wp:inline>
        </w:drawing>
      </w:r>
    </w:p>
    <w:p w:rsidR="004E6C32" w:rsidRPr="006A75A2" w:rsidRDefault="00E51259" w:rsidP="00E51259">
      <w:pPr>
        <w:spacing w:after="0"/>
        <w:jc w:val="center"/>
      </w:pPr>
      <w:r w:rsidRPr="006A75A2">
        <w:rPr>
          <w:noProof/>
          <w:lang w:eastAsia="en-AU"/>
        </w:rPr>
        <w:drawing>
          <wp:inline distT="0" distB="0" distL="0" distR="0" wp14:anchorId="709B714B" wp14:editId="16562C7B">
            <wp:extent cx="5292000" cy="7707438"/>
            <wp:effectExtent l="0" t="0" r="4445" b="8255"/>
            <wp:docPr id="5" name="Picture 5" descr="H:\temp\AFR\VA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emp\AFR\VAGO-1.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292000" cy="7707438"/>
                    </a:xfrm>
                    <a:prstGeom prst="rect">
                      <a:avLst/>
                    </a:prstGeom>
                    <a:noFill/>
                    <a:ln>
                      <a:noFill/>
                    </a:ln>
                    <a:extLst>
                      <a:ext uri="{53640926-AAD7-44D8-BBD7-CCE9431645EC}">
                        <a14:shadowObscured xmlns:a14="http://schemas.microsoft.com/office/drawing/2010/main"/>
                      </a:ext>
                    </a:extLst>
                  </pic:spPr>
                </pic:pic>
              </a:graphicData>
            </a:graphic>
          </wp:inline>
        </w:drawing>
      </w:r>
    </w:p>
    <w:p w:rsidR="004E6C32" w:rsidRPr="006A75A2" w:rsidRDefault="004E6C32" w:rsidP="004B5CB1">
      <w:pPr>
        <w:pStyle w:val="Heading1Continued"/>
        <w:rPr>
          <w:i/>
        </w:rPr>
      </w:pPr>
      <w:r w:rsidRPr="006A75A2">
        <w:lastRenderedPageBreak/>
        <w:t>Report of the Auditor General</w:t>
      </w:r>
      <w:r w:rsidRPr="006A75A2">
        <w:rPr>
          <w:i/>
        </w:rPr>
        <w:t xml:space="preserve"> (continued)</w:t>
      </w:r>
    </w:p>
    <w:p w:rsidR="00E51259" w:rsidRPr="006A75A2" w:rsidRDefault="00E51259" w:rsidP="00EC73E7"/>
    <w:p w:rsidR="00EC73E7" w:rsidRPr="006A75A2" w:rsidRDefault="00EC73E7" w:rsidP="00EC73E7"/>
    <w:p w:rsidR="004E6C32" w:rsidRPr="006A75A2" w:rsidRDefault="00E51259" w:rsidP="00E51259">
      <w:pPr>
        <w:spacing w:after="0"/>
        <w:jc w:val="center"/>
      </w:pPr>
      <w:r w:rsidRPr="006A75A2">
        <w:rPr>
          <w:noProof/>
          <w:lang w:eastAsia="en-AU"/>
        </w:rPr>
        <w:drawing>
          <wp:inline distT="0" distB="0" distL="0" distR="0" wp14:anchorId="02F52342" wp14:editId="115653C6">
            <wp:extent cx="5292000" cy="7812002"/>
            <wp:effectExtent l="0" t="0" r="4445" b="0"/>
            <wp:docPr id="7" name="Picture 7" descr="H:\temp\AFR\VA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emp\AFR\VAGO-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292000" cy="7812002"/>
                    </a:xfrm>
                    <a:prstGeom prst="rect">
                      <a:avLst/>
                    </a:prstGeom>
                    <a:noFill/>
                    <a:ln>
                      <a:noFill/>
                    </a:ln>
                    <a:extLst>
                      <a:ext uri="{53640926-AAD7-44D8-BBD7-CCE9431645EC}">
                        <a14:shadowObscured xmlns:a14="http://schemas.microsoft.com/office/drawing/2010/main"/>
                      </a:ext>
                    </a:extLst>
                  </pic:spPr>
                </pic:pic>
              </a:graphicData>
            </a:graphic>
          </wp:inline>
        </w:drawing>
      </w:r>
    </w:p>
    <w:p w:rsidR="00E51259" w:rsidRPr="006A75A2" w:rsidRDefault="00E51259">
      <w:pPr>
        <w:spacing w:after="0"/>
        <w:rPr>
          <w:rFonts w:ascii="Calibri" w:hAnsi="Calibri"/>
          <w:b/>
          <w:sz w:val="28"/>
          <w:szCs w:val="22"/>
        </w:rPr>
      </w:pPr>
      <w:r w:rsidRPr="006A75A2">
        <w:br w:type="page"/>
      </w:r>
    </w:p>
    <w:p w:rsidR="004E6C32" w:rsidRPr="006A75A2" w:rsidRDefault="004E6C32" w:rsidP="004B5CB1">
      <w:pPr>
        <w:pStyle w:val="Heading1Continued"/>
        <w:rPr>
          <w:i/>
        </w:rPr>
      </w:pPr>
      <w:r w:rsidRPr="006A75A2">
        <w:lastRenderedPageBreak/>
        <w:t>Report of the Auditor General</w:t>
      </w:r>
      <w:r w:rsidRPr="006A75A2">
        <w:rPr>
          <w:i/>
        </w:rPr>
        <w:t xml:space="preserve"> (continued)</w:t>
      </w:r>
    </w:p>
    <w:p w:rsidR="00E51259" w:rsidRPr="006A75A2" w:rsidRDefault="00E51259" w:rsidP="00EC73E7"/>
    <w:p w:rsidR="00EC73E7" w:rsidRPr="006A75A2" w:rsidRDefault="00EC73E7" w:rsidP="00EC73E7"/>
    <w:p w:rsidR="00E51259" w:rsidRPr="006A75A2" w:rsidRDefault="00E51259" w:rsidP="00E51259">
      <w:pPr>
        <w:spacing w:after="0"/>
        <w:ind w:left="567"/>
      </w:pPr>
      <w:r w:rsidRPr="006A75A2">
        <w:rPr>
          <w:noProof/>
          <w:lang w:eastAsia="en-AU"/>
        </w:rPr>
        <w:drawing>
          <wp:inline distT="0" distB="0" distL="0" distR="0" wp14:anchorId="37D8A0A2" wp14:editId="0C973F32">
            <wp:extent cx="5652000" cy="7866659"/>
            <wp:effectExtent l="0" t="0" r="6350" b="1270"/>
            <wp:docPr id="8" name="Picture 8" descr="H:\temp\AFR\VA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emp\AFR\VAGO-3.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652000" cy="7866659"/>
                    </a:xfrm>
                    <a:prstGeom prst="rect">
                      <a:avLst/>
                    </a:prstGeom>
                    <a:noFill/>
                    <a:ln>
                      <a:noFill/>
                    </a:ln>
                    <a:extLst>
                      <a:ext uri="{53640926-AAD7-44D8-BBD7-CCE9431645EC}">
                        <a14:shadowObscured xmlns:a14="http://schemas.microsoft.com/office/drawing/2010/main"/>
                      </a:ext>
                    </a:extLst>
                  </pic:spPr>
                </pic:pic>
              </a:graphicData>
            </a:graphic>
          </wp:inline>
        </w:drawing>
      </w:r>
    </w:p>
    <w:p w:rsidR="004E6C32" w:rsidRPr="006A75A2" w:rsidRDefault="004E6C32">
      <w:pPr>
        <w:spacing w:after="0"/>
      </w:pPr>
      <w:r w:rsidRPr="006A75A2">
        <w:br w:type="page"/>
      </w:r>
    </w:p>
    <w:p w:rsidR="004E6C32" w:rsidRPr="006A75A2" w:rsidRDefault="004E6C32" w:rsidP="004B5CB1">
      <w:pPr>
        <w:keepNext/>
        <w:spacing w:before="360"/>
        <w:outlineLvl w:val="0"/>
        <w:rPr>
          <w:rFonts w:ascii="Calibri" w:hAnsi="Calibri"/>
          <w:b/>
          <w:sz w:val="28"/>
          <w:szCs w:val="22"/>
        </w:rPr>
      </w:pPr>
      <w:bookmarkStart w:id="26" w:name="_Toc391549915"/>
      <w:r w:rsidRPr="006A75A2">
        <w:rPr>
          <w:rFonts w:ascii="Calibri" w:hAnsi="Calibri"/>
          <w:b/>
          <w:sz w:val="28"/>
          <w:szCs w:val="22"/>
        </w:rPr>
        <w:lastRenderedPageBreak/>
        <w:t>Certification by the Department of Treasury and Finance</w:t>
      </w:r>
      <w:bookmarkEnd w:id="26"/>
    </w:p>
    <w:p w:rsidR="004E6C32" w:rsidRPr="006A75A2" w:rsidRDefault="004E6C32" w:rsidP="004B5CB1">
      <w:r w:rsidRPr="006A75A2">
        <w:t xml:space="preserve">The </w:t>
      </w:r>
      <w:r w:rsidRPr="006A75A2">
        <w:rPr>
          <w:i/>
        </w:rPr>
        <w:t>Annual Financial Report</w:t>
      </w:r>
      <w:r w:rsidRPr="006A75A2">
        <w:t xml:space="preserve"> has been prepared by the Department of Treasury and Finance through the consolidation of financial information provided by the Victorian public sector reporting entities listed herein.</w:t>
      </w:r>
    </w:p>
    <w:p w:rsidR="004E6C32" w:rsidRPr="006A75A2" w:rsidRDefault="004E6C32" w:rsidP="004B5CB1">
      <w:r w:rsidRPr="006A75A2">
        <w:t xml:space="preserve">In our opinion, the </w:t>
      </w:r>
      <w:r w:rsidRPr="006A75A2">
        <w:rPr>
          <w:i/>
        </w:rPr>
        <w:t>Annual Financial Report</w:t>
      </w:r>
      <w:r w:rsidRPr="006A75A2">
        <w:t>, which comprises of the consolidated comprehensive operating statement, consolidated balance sheet, consolidated cash flow statement, consolidated statement of changes in equity, and notes to the financial statements of the State and the Victorian general government sector as at 30 June 2014:</w:t>
      </w:r>
    </w:p>
    <w:p w:rsidR="004E6C32" w:rsidRPr="006A75A2" w:rsidRDefault="004E6C32" w:rsidP="004B5CB1">
      <w:pPr>
        <w:ind w:left="567" w:hanging="567"/>
      </w:pPr>
      <w:r w:rsidRPr="006A75A2">
        <w:t>(a)</w:t>
      </w:r>
      <w:r w:rsidRPr="006A75A2">
        <w:tab/>
        <w:t>presents fairly the State and the Victorian general government sector</w:t>
      </w:r>
      <w:r w:rsidR="00C96101" w:rsidRPr="006A75A2">
        <w:t>’</w:t>
      </w:r>
      <w:r w:rsidRPr="006A75A2">
        <w:t>s financial positions as at 30 June 2014 and their financial performance and cash flows for the financial year ended on that date; and</w:t>
      </w:r>
    </w:p>
    <w:p w:rsidR="004E6C32" w:rsidRPr="006A75A2" w:rsidRDefault="004E6C32" w:rsidP="004B5CB1">
      <w:pPr>
        <w:ind w:left="567" w:hanging="567"/>
      </w:pPr>
      <w:r w:rsidRPr="006A75A2">
        <w:t>(b)</w:t>
      </w:r>
      <w:r w:rsidRPr="006A75A2">
        <w:tab/>
        <w:t xml:space="preserve">has been prepared in accordance with Australian Accounting Standards and pronouncements, in particular AASB 1049 </w:t>
      </w:r>
      <w:r w:rsidRPr="006A75A2">
        <w:rPr>
          <w:i/>
        </w:rPr>
        <w:t xml:space="preserve">Whole of Government and General Government Sector Financial Reporting </w:t>
      </w:r>
      <w:r w:rsidRPr="006A75A2">
        <w:t xml:space="preserve">and the financial reporting requirements contained in Part 5 of the </w:t>
      </w:r>
      <w:r w:rsidRPr="006A75A2">
        <w:rPr>
          <w:i/>
        </w:rPr>
        <w:t>Financial Management Act 1994</w:t>
      </w:r>
      <w:r w:rsidRPr="006A75A2">
        <w:t>.</w:t>
      </w:r>
    </w:p>
    <w:p w:rsidR="004E6C32" w:rsidRPr="006A75A2" w:rsidRDefault="004E6C32" w:rsidP="004B5CB1">
      <w:r w:rsidRPr="006A75A2">
        <w:t xml:space="preserve">At the time of signing, we are not aware of any circumstances which would render any particulars included in the </w:t>
      </w:r>
      <w:r w:rsidRPr="006A75A2">
        <w:rPr>
          <w:i/>
        </w:rPr>
        <w:t>Annual Financial Report</w:t>
      </w:r>
      <w:r w:rsidRPr="006A75A2">
        <w:t xml:space="preserve"> to be misleading or inaccurate.</w:t>
      </w:r>
    </w:p>
    <w:p w:rsidR="004E6C32" w:rsidRPr="006A75A2" w:rsidRDefault="004E6C32" w:rsidP="0067336F">
      <w:pPr>
        <w:pStyle w:val="Heading5a"/>
      </w:pPr>
      <w:r w:rsidRPr="006A75A2">
        <w:t>Valuation of education assets</w:t>
      </w:r>
    </w:p>
    <w:p w:rsidR="004E6C32" w:rsidRPr="006A75A2" w:rsidRDefault="004E6C32" w:rsidP="004B5CB1">
      <w:r w:rsidRPr="006A75A2">
        <w:t>Particular attention is drawn to Note 1(M) to the Annual Financial Report which describes the State</w:t>
      </w:r>
      <w:r w:rsidR="00C96101" w:rsidRPr="006A75A2">
        <w:t>’</w:t>
      </w:r>
      <w:r w:rsidRPr="006A75A2">
        <w:t xml:space="preserve">s accounting policy relating to the valuation of non-financial physical assets. The State measures all its non-financial physical assets at fair value and applies this accounting policy consistently to all of its non-financial physical assets, taking into account the specific characteristics and considerations as appropriate and relevant to the asset. More specifically, the State, through the Department of Education and Early Childhood Development, recognises in its financial statements the fair value of school buildings consistent with the requirements of Australian Accounting Standard AASB 13 </w:t>
      </w:r>
      <w:r w:rsidRPr="006A75A2">
        <w:rPr>
          <w:i/>
        </w:rPr>
        <w:t xml:space="preserve">Fair Value Measurement </w:t>
      </w:r>
      <w:r w:rsidRPr="006A75A2">
        <w:t>(AASB 13),</w:t>
      </w:r>
      <w:r w:rsidRPr="006A75A2">
        <w:rPr>
          <w:i/>
        </w:rPr>
        <w:t xml:space="preserve"> </w:t>
      </w:r>
      <w:r w:rsidRPr="006A75A2">
        <w:t>with the valuation methodology affirmed by the Valuer-General of Victoria.</w:t>
      </w:r>
    </w:p>
    <w:p w:rsidR="004E6C32" w:rsidRPr="006A75A2" w:rsidRDefault="004E6C32" w:rsidP="004B5CB1">
      <w:r w:rsidRPr="006A75A2">
        <w:t>This methodology includes an adjustment for economic obsolescence as required under AASB 13 to recognise expected permanent excess capacity in the government school system measured with reference to long-term student enrolment data. The underlying principle of adjusting for obsolescence has remained unchanged since 2005 and is supported by both the Victorian Valuer-General, the State</w:t>
      </w:r>
      <w:r w:rsidR="00C96101" w:rsidRPr="006A75A2">
        <w:t>’</w:t>
      </w:r>
      <w:r w:rsidRPr="006A75A2">
        <w:t>s valuation specialist, and external professional accounting advice. The State</w:t>
      </w:r>
      <w:r w:rsidR="00C96101" w:rsidRPr="006A75A2">
        <w:t>’</w:t>
      </w:r>
      <w:r w:rsidRPr="006A75A2">
        <w:t>s valuation methodology ensures that the value of its school building assets presents fairly the realisable economic benefit and service potential for achieving the State</w:t>
      </w:r>
      <w:r w:rsidR="00C96101" w:rsidRPr="006A75A2">
        <w:t>’</w:t>
      </w:r>
      <w:r w:rsidRPr="006A75A2">
        <w:t>s objective of delivering educational outcomes to the Victorian community, with direct reference to the number of students expected to benefit from the education services provided by the State. The fair value adjustment for obsolescence in relation to school building assets amounts to $1.6 billion as at 30 June 2014. In the context of the State</w:t>
      </w:r>
      <w:r w:rsidR="00C96101" w:rsidRPr="006A75A2">
        <w:t>’</w:t>
      </w:r>
      <w:r w:rsidRPr="006A75A2">
        <w:t xml:space="preserve">s total </w:t>
      </w:r>
      <w:r w:rsidR="00C96101" w:rsidRPr="006A75A2">
        <w:t>‘</w:t>
      </w:r>
      <w:r w:rsidRPr="006A75A2">
        <w:t>land, buildings, infrastructure, plant and equipment</w:t>
      </w:r>
      <w:r w:rsidR="00C96101" w:rsidRPr="006A75A2">
        <w:t>’</w:t>
      </w:r>
      <w:r w:rsidRPr="006A75A2">
        <w:t xml:space="preserve"> of $197.1 billion as at 30 June 2014, the materiality of this valuation adjustment represents less than one per cent of the relevant asset class</w:t>
      </w:r>
      <w:r w:rsidR="00C96101" w:rsidRPr="006A75A2">
        <w:t>’</w:t>
      </w:r>
      <w:r w:rsidRPr="006A75A2">
        <w:t>s total value.</w:t>
      </w:r>
    </w:p>
    <w:p w:rsidR="004E6C32" w:rsidRPr="006A75A2" w:rsidRDefault="004E6C32" w:rsidP="004B5CB1">
      <w:r w:rsidRPr="006A75A2">
        <w:t xml:space="preserve">With the introduction of AASB 13 from 1 July 2013, the State has updated its accounting policy to recognise economic obsolescence as a fair value adjustment, rather than as an impairment adjustment as had been the policy in previous years. The retrospective application of this policy has resulted in a reclassification of the relevant comparative information for the 2012-13 reporting period, which has no impact on the </w:t>
      </w:r>
      <w:r w:rsidR="00C96101" w:rsidRPr="006A75A2">
        <w:t>‘</w:t>
      </w:r>
      <w:r w:rsidRPr="006A75A2">
        <w:t>net result from transactions</w:t>
      </w:r>
      <w:r w:rsidR="00C96101" w:rsidRPr="006A75A2">
        <w:t>’</w:t>
      </w:r>
      <w:r w:rsidRPr="006A75A2">
        <w:t xml:space="preserve"> or the financial position of the State.</w:t>
      </w:r>
    </w:p>
    <w:p w:rsidR="007F6020" w:rsidRPr="006A75A2" w:rsidRDefault="007F6020">
      <w:pPr>
        <w:spacing w:after="0"/>
      </w:pPr>
      <w:r w:rsidRPr="006A75A2">
        <w:br w:type="page"/>
      </w:r>
    </w:p>
    <w:p w:rsidR="004E6C32" w:rsidRPr="006A75A2" w:rsidRDefault="004E6C32" w:rsidP="004B5CB1">
      <w:r w:rsidRPr="006A75A2">
        <w:lastRenderedPageBreak/>
        <w:t>The Auditor-General has proposed to include in his audit report his disagreement with the State</w:t>
      </w:r>
      <w:r w:rsidR="00C96101" w:rsidRPr="006A75A2">
        <w:t>’</w:t>
      </w:r>
      <w:r w:rsidRPr="006A75A2">
        <w:t xml:space="preserve">s application of AASB 13 with regards to the methodology used to value school building assets. </w:t>
      </w:r>
    </w:p>
    <w:p w:rsidR="004E6C32" w:rsidRPr="006A75A2" w:rsidRDefault="004E6C32" w:rsidP="004B5CB1">
      <w:r w:rsidRPr="006A75A2">
        <w:t>The State is of the view that its valuation methodology of school building assets remains appropriate and is in accordance with Australian Accounting Standards and other mandatory professional reporting requirements. The State is also firmly of the view that the valuation of its school building assets fairly presents the remaining realisable service potential of these assets for achieving the State</w:t>
      </w:r>
      <w:r w:rsidR="00C96101" w:rsidRPr="006A75A2">
        <w:t>’</w:t>
      </w:r>
      <w:r w:rsidRPr="006A75A2">
        <w:t>s objective of providing education outcomes to the Victorian community, through the provision of education services to students. The State further believes that a failure to adjust for the identified economic obsolescence in its school building assets would overstate their fair value, and the State</w:t>
      </w:r>
      <w:r w:rsidR="00C96101" w:rsidRPr="006A75A2">
        <w:t>’</w:t>
      </w:r>
      <w:r w:rsidRPr="006A75A2">
        <w:t>s net assets position, by approximately $1.6 billion as at 30 June 2014.</w:t>
      </w:r>
    </w:p>
    <w:p w:rsidR="004E6C32" w:rsidRDefault="004E6C32" w:rsidP="004B5CB1"/>
    <w:p w:rsidR="00E25333" w:rsidRDefault="00E25333" w:rsidP="004B5CB1"/>
    <w:p w:rsidR="00E25333" w:rsidRPr="00E25333" w:rsidRDefault="00E25333" w:rsidP="004B5CB1">
      <w:pPr>
        <w:rPr>
          <w:b/>
        </w:rPr>
      </w:pPr>
      <w:r>
        <w:t>Steve Mitsas, FCPA</w:t>
      </w:r>
      <w:r>
        <w:br/>
      </w:r>
      <w:r>
        <w:rPr>
          <w:b/>
        </w:rPr>
        <w:t>Principal Accounting Officer</w:t>
      </w:r>
    </w:p>
    <w:p w:rsidR="004E6C32" w:rsidRDefault="004E6C32" w:rsidP="004B5CB1"/>
    <w:p w:rsidR="00E25333" w:rsidRDefault="00E25333" w:rsidP="004B5CB1"/>
    <w:p w:rsidR="00E25333" w:rsidRDefault="00E25333" w:rsidP="004B5CB1"/>
    <w:p w:rsidR="00E25333" w:rsidRPr="00E25333" w:rsidRDefault="00E25333" w:rsidP="00E25333">
      <w:pPr>
        <w:tabs>
          <w:tab w:val="left" w:pos="5040"/>
        </w:tabs>
        <w:rPr>
          <w:b/>
        </w:rPr>
      </w:pPr>
      <w:r>
        <w:t>Melissa Skilbeck</w:t>
      </w:r>
      <w:r>
        <w:tab/>
        <w:t>David Martine</w:t>
      </w:r>
      <w:r>
        <w:br/>
      </w:r>
      <w:r>
        <w:rPr>
          <w:b/>
        </w:rPr>
        <w:t>Deputy Secretary</w:t>
      </w:r>
      <w:r>
        <w:rPr>
          <w:b/>
        </w:rPr>
        <w:tab/>
        <w:t>Secretary</w:t>
      </w:r>
      <w:r>
        <w:rPr>
          <w:b/>
        </w:rPr>
        <w:br/>
        <w:t>Budget and Finance</w:t>
      </w:r>
    </w:p>
    <w:p w:rsidR="004E6C32" w:rsidRPr="006A75A2" w:rsidRDefault="004E6C32" w:rsidP="004B5CB1"/>
    <w:p w:rsidR="004E6C32" w:rsidRPr="006A75A2" w:rsidRDefault="004E6C32" w:rsidP="004B5CB1">
      <w:r w:rsidRPr="006A75A2">
        <w:t>Authorised for issue on:</w:t>
      </w:r>
    </w:p>
    <w:p w:rsidR="004E6C32" w:rsidRPr="006A75A2" w:rsidRDefault="004E6C32" w:rsidP="004B5CB1">
      <w:r w:rsidRPr="006A75A2">
        <w:t>29 September 2014</w:t>
      </w:r>
    </w:p>
    <w:p w:rsidR="004E6C32" w:rsidRPr="006A75A2" w:rsidRDefault="004E6C32">
      <w:pPr>
        <w:spacing w:after="0"/>
        <w:rPr>
          <w:rFonts w:ascii="Calibri" w:hAnsi="Calibri"/>
          <w:b/>
          <w:sz w:val="25"/>
        </w:rPr>
      </w:pPr>
      <w:r w:rsidRPr="006A75A2">
        <w:br w:type="page"/>
      </w:r>
    </w:p>
    <w:p w:rsidR="004E6C32" w:rsidRPr="006A75A2" w:rsidRDefault="004E6C32" w:rsidP="004B5CB1">
      <w:pPr>
        <w:pStyle w:val="Tableheading"/>
      </w:pPr>
      <w:r w:rsidRPr="006A75A2">
        <w:lastRenderedPageBreak/>
        <w:t>Consolidated comprehensive operating statement for the financial year ending 30 June</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337"/>
        <w:gridCol w:w="62"/>
        <w:gridCol w:w="761"/>
        <w:gridCol w:w="669"/>
        <w:gridCol w:w="142"/>
        <w:gridCol w:w="142"/>
        <w:gridCol w:w="167"/>
        <w:gridCol w:w="1120"/>
        <w:gridCol w:w="1120"/>
        <w:gridCol w:w="1120"/>
      </w:tblGrid>
      <w:tr w:rsidR="00C21642" w:rsidRPr="006A75A2" w:rsidTr="00C21642">
        <w:trPr>
          <w:tblHeader/>
        </w:trPr>
        <w:tc>
          <w:tcPr>
            <w:tcW w:w="4337" w:type="dxa"/>
            <w:tcBorders>
              <w:top w:val="single" w:sz="6" w:space="0" w:color="auto"/>
              <w:left w:val="single" w:sz="6" w:space="0" w:color="auto"/>
              <w:bottom w:val="nil"/>
              <w:right w:val="nil"/>
            </w:tcBorders>
            <w:shd w:val="clear" w:color="000000" w:fill="000000"/>
          </w:tcPr>
          <w:p w:rsidR="00C21642" w:rsidRPr="006A75A2" w:rsidRDefault="00C21642" w:rsidP="004B5CB1">
            <w:pPr>
              <w:pStyle w:val="Tabletext"/>
              <w:rPr>
                <w:rFonts w:eastAsiaTheme="minorEastAsia"/>
                <w:sz w:val="18"/>
                <w:lang w:eastAsia="en-AU"/>
              </w:rPr>
            </w:pPr>
            <w:r w:rsidRPr="006A75A2">
              <w:rPr>
                <w:rFonts w:eastAsiaTheme="minorEastAsia"/>
                <w:sz w:val="18"/>
                <w:lang w:eastAsia="en-AU"/>
              </w:rPr>
              <w:t xml:space="preserve"> </w:t>
            </w:r>
          </w:p>
        </w:tc>
        <w:tc>
          <w:tcPr>
            <w:tcW w:w="823" w:type="dxa"/>
            <w:gridSpan w:val="2"/>
            <w:tcBorders>
              <w:top w:val="single" w:sz="6" w:space="0" w:color="auto"/>
              <w:left w:val="nil"/>
              <w:bottom w:val="nil"/>
              <w:right w:val="nil"/>
            </w:tcBorders>
            <w:shd w:val="clear" w:color="000000" w:fill="000000"/>
          </w:tcPr>
          <w:p w:rsidR="00C21642" w:rsidRPr="006A75A2" w:rsidRDefault="00C21642" w:rsidP="004B5CB1">
            <w:pPr>
              <w:pStyle w:val="TabletextheadingCentred"/>
              <w:rPr>
                <w:rFonts w:eastAsiaTheme="minorEastAsia"/>
                <w:sz w:val="18"/>
                <w:lang w:eastAsia="en-AU"/>
              </w:rPr>
            </w:pPr>
            <w:r w:rsidRPr="006A75A2">
              <w:rPr>
                <w:rFonts w:eastAsiaTheme="minorEastAsia"/>
                <w:sz w:val="18"/>
                <w:lang w:eastAsia="en-AU"/>
              </w:rPr>
              <w:t xml:space="preserve"> </w:t>
            </w:r>
          </w:p>
        </w:tc>
        <w:tc>
          <w:tcPr>
            <w:tcW w:w="2240" w:type="dxa"/>
            <w:gridSpan w:val="5"/>
            <w:tcBorders>
              <w:top w:val="single" w:sz="6" w:space="0" w:color="auto"/>
              <w:left w:val="nil"/>
              <w:bottom w:val="nil"/>
              <w:right w:val="nil"/>
            </w:tcBorders>
            <w:shd w:val="clear" w:color="000000" w:fill="000000"/>
          </w:tcPr>
          <w:p w:rsidR="00C21642" w:rsidRPr="006A75A2" w:rsidRDefault="00C21642" w:rsidP="004B5CB1">
            <w:pPr>
              <w:pStyle w:val="Tabletextheading"/>
              <w:rPr>
                <w:rFonts w:eastAsiaTheme="minorEastAsia"/>
                <w:sz w:val="18"/>
                <w:lang w:eastAsia="en-AU"/>
              </w:rPr>
            </w:pPr>
            <w:r w:rsidRPr="006A75A2">
              <w:rPr>
                <w:rFonts w:eastAsiaTheme="minorEastAsia"/>
                <w:sz w:val="18"/>
                <w:lang w:eastAsia="en-AU"/>
              </w:rPr>
              <w:t xml:space="preserve"> </w:t>
            </w:r>
          </w:p>
          <w:p w:rsidR="00C21642" w:rsidRPr="006A75A2" w:rsidRDefault="00C21642" w:rsidP="004B5CB1">
            <w:pPr>
              <w:pStyle w:val="Tabletextheading"/>
              <w:jc w:val="center"/>
              <w:rPr>
                <w:rFonts w:eastAsiaTheme="minorEastAsia"/>
                <w:sz w:val="18"/>
                <w:lang w:eastAsia="en-AU"/>
              </w:rPr>
            </w:pPr>
            <w:r w:rsidRPr="006A75A2">
              <w:rPr>
                <w:rFonts w:eastAsiaTheme="minorEastAsia"/>
                <w:sz w:val="18"/>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C21642" w:rsidRPr="006A75A2" w:rsidRDefault="00C21642" w:rsidP="004B5CB1">
            <w:pPr>
              <w:pStyle w:val="Tabletextheading"/>
              <w:jc w:val="center"/>
              <w:rPr>
                <w:rFonts w:eastAsiaTheme="minorEastAsia"/>
                <w:sz w:val="18"/>
                <w:lang w:eastAsia="en-AU"/>
              </w:rPr>
            </w:pPr>
            <w:r w:rsidRPr="006A75A2">
              <w:rPr>
                <w:rFonts w:eastAsiaTheme="minorEastAsia"/>
                <w:sz w:val="18"/>
                <w:lang w:eastAsia="en-AU"/>
              </w:rPr>
              <w:t>General</w:t>
            </w:r>
          </w:p>
          <w:p w:rsidR="00C21642" w:rsidRPr="006A75A2" w:rsidRDefault="00C21642" w:rsidP="004B5CB1">
            <w:pPr>
              <w:pStyle w:val="Tabletextheading"/>
              <w:jc w:val="center"/>
              <w:rPr>
                <w:rFonts w:eastAsiaTheme="minorEastAsia"/>
                <w:sz w:val="18"/>
                <w:lang w:eastAsia="en-AU"/>
              </w:rPr>
            </w:pPr>
            <w:r w:rsidRPr="006A75A2">
              <w:rPr>
                <w:rFonts w:eastAsiaTheme="minorEastAsia"/>
                <w:sz w:val="18"/>
                <w:lang w:eastAsia="en-AU"/>
              </w:rPr>
              <w:t>government sector</w:t>
            </w:r>
          </w:p>
        </w:tc>
      </w:tr>
      <w:tr w:rsidR="004E6C32" w:rsidRPr="006A75A2" w:rsidTr="004B5CB1">
        <w:trPr>
          <w:tblHeader/>
        </w:trPr>
        <w:tc>
          <w:tcPr>
            <w:tcW w:w="4337"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 xml:space="preserve"> </w:t>
            </w:r>
          </w:p>
        </w:tc>
        <w:tc>
          <w:tcPr>
            <w:tcW w:w="823" w:type="dxa"/>
            <w:gridSpan w:val="2"/>
            <w:tcBorders>
              <w:top w:val="nil"/>
              <w:left w:val="nil"/>
              <w:bottom w:val="single" w:sz="6" w:space="0" w:color="auto"/>
              <w:right w:val="nil"/>
            </w:tcBorders>
            <w:shd w:val="clear" w:color="000000" w:fill="000000"/>
          </w:tcPr>
          <w:p w:rsidR="004E6C32" w:rsidRPr="006A75A2" w:rsidRDefault="004E6C32" w:rsidP="004B5CB1">
            <w:pPr>
              <w:pStyle w:val="TabletextheadingCentred"/>
              <w:rPr>
                <w:rFonts w:eastAsiaTheme="minorEastAsia"/>
                <w:sz w:val="18"/>
                <w:lang w:eastAsia="en-AU"/>
              </w:rPr>
            </w:pPr>
            <w:r w:rsidRPr="006A75A2">
              <w:rPr>
                <w:rFonts w:eastAsiaTheme="minorEastAsia"/>
                <w:sz w:val="18"/>
                <w:lang w:eastAsia="en-AU"/>
              </w:rPr>
              <w:t>Notes</w:t>
            </w:r>
          </w:p>
        </w:tc>
        <w:tc>
          <w:tcPr>
            <w:tcW w:w="1120" w:type="dxa"/>
            <w:gridSpan w:val="4"/>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2013</w:t>
            </w:r>
          </w:p>
        </w:tc>
      </w:tr>
      <w:tr w:rsidR="004E6C32" w:rsidRPr="006A75A2" w:rsidTr="004B5CB1">
        <w:tc>
          <w:tcPr>
            <w:tcW w:w="4337"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Revenue from transactions</w:t>
            </w:r>
          </w:p>
        </w:tc>
        <w:tc>
          <w:tcPr>
            <w:tcW w:w="823" w:type="dxa"/>
            <w:gridSpan w:val="2"/>
            <w:tcBorders>
              <w:top w:val="single" w:sz="6" w:space="0" w:color="auto"/>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 xml:space="preserve">  </w:t>
            </w:r>
          </w:p>
        </w:tc>
        <w:tc>
          <w:tcPr>
            <w:tcW w:w="1120" w:type="dxa"/>
            <w:gridSpan w:val="4"/>
            <w:tcBorders>
              <w:top w:val="single" w:sz="6" w:space="0" w:color="auto"/>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Taxation revenue</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3</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16 490.4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15 184.7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16 900.9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15 530.7</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Interest revenue</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 xml:space="preserve">  </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938.6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970.4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831.2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700.7</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vertAlign w:val="superscript"/>
                <w:lang w:eastAsia="en-AU"/>
              </w:rPr>
            </w:pPr>
            <w:r w:rsidRPr="006A75A2">
              <w:rPr>
                <w:rFonts w:eastAsiaTheme="minorEastAsia"/>
                <w:sz w:val="18"/>
                <w:lang w:eastAsia="en-AU"/>
              </w:rPr>
              <w:t>Dividends and income tax equivalent and rate equivalent revenue</w:t>
            </w:r>
            <w:r w:rsidRPr="006A75A2">
              <w:rPr>
                <w:rFonts w:eastAsiaTheme="minorEastAsia"/>
                <w:sz w:val="18"/>
                <w:vertAlign w:val="superscript"/>
                <w:lang w:eastAsia="en-AU"/>
              </w:rPr>
              <w:t xml:space="preserve"> </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4</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914.7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610.9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445.9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1 341.7</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Sales of goods and services</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5</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14 233.3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12 896.9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6 724.8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6 869.3</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Grants</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6</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25 019.1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21 790.4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25 144.9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21 902.2</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Other revenue</w:t>
            </w:r>
          </w:p>
        </w:tc>
        <w:tc>
          <w:tcPr>
            <w:tcW w:w="823" w:type="dxa"/>
            <w:gridSpan w:val="2"/>
            <w:tcBorders>
              <w:top w:val="nil"/>
              <w:left w:val="nil"/>
              <w:bottom w:val="single" w:sz="6" w:space="0" w:color="auto"/>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7</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2 750.2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2 749.6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2 316.9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2 268.3</w:t>
            </w:r>
          </w:p>
        </w:tc>
      </w:tr>
      <w:tr w:rsidR="004E6C32" w:rsidRPr="006A75A2" w:rsidTr="004B5CB1">
        <w:tc>
          <w:tcPr>
            <w:tcW w:w="4337"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Total revenue from transactions</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 xml:space="preserve">  </w:t>
            </w:r>
          </w:p>
        </w:tc>
        <w:tc>
          <w:tcPr>
            <w:tcW w:w="1120" w:type="dxa"/>
            <w:gridSpan w:val="4"/>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60 346.3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54 203.0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52 364.7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48 612.9</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Expenses from transactions</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Employee expenses</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19 037.6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18 794.9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18 012.0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17 788.5</w:t>
            </w:r>
          </w:p>
        </w:tc>
      </w:tr>
      <w:tr w:rsidR="004E6C32" w:rsidRPr="006A75A2" w:rsidTr="004B5CB1">
        <w:tc>
          <w:tcPr>
            <w:tcW w:w="4337" w:type="dxa"/>
            <w:tcBorders>
              <w:top w:val="nil"/>
              <w:left w:val="nil"/>
              <w:bottom w:val="nil"/>
              <w:right w:val="nil"/>
            </w:tcBorders>
          </w:tcPr>
          <w:p w:rsidR="004E6C32" w:rsidRPr="006A75A2" w:rsidRDefault="004E6C32" w:rsidP="00C96101">
            <w:pPr>
              <w:pStyle w:val="Tabletext"/>
              <w:rPr>
                <w:rFonts w:eastAsiaTheme="minorEastAsia" w:cs="Calibri"/>
                <w:sz w:val="18"/>
                <w:vertAlign w:val="superscript"/>
                <w:lang w:eastAsia="en-AU"/>
              </w:rPr>
            </w:pPr>
            <w:r w:rsidRPr="006A75A2">
              <w:rPr>
                <w:rFonts w:eastAsiaTheme="minorEastAsia"/>
                <w:sz w:val="18"/>
                <w:lang w:eastAsia="en-AU"/>
              </w:rPr>
              <w:t>Superannuation interest expense</w:t>
            </w:r>
            <w:r w:rsidRPr="006A75A2">
              <w:rPr>
                <w:rFonts w:eastAsiaTheme="minorEastAsia"/>
                <w:sz w:val="18"/>
                <w:vertAlign w:val="superscript"/>
                <w:lang w:eastAsia="en-AU"/>
              </w:rPr>
              <w:t>(</w:t>
            </w:r>
            <w:r w:rsidRPr="006A75A2">
              <w:rPr>
                <w:rFonts w:eastAsiaTheme="minorEastAsia" w:cs="Calibri"/>
                <w:sz w:val="18"/>
                <w:vertAlign w:val="superscript"/>
                <w:lang w:eastAsia="en-AU"/>
              </w:rPr>
              <w:t>a)</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8</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1 054.7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1 076.8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1 052.1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1 079.3</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vertAlign w:val="superscript"/>
                <w:lang w:eastAsia="en-AU"/>
              </w:rPr>
            </w:pPr>
            <w:r w:rsidRPr="006A75A2">
              <w:rPr>
                <w:rFonts w:eastAsiaTheme="minorEastAsia"/>
                <w:sz w:val="18"/>
                <w:lang w:eastAsia="en-AU"/>
              </w:rPr>
              <w:t>Other superannuation</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8</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1 998.9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2 040.1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1 876.4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1 924.0</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Depreciation</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9</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4 294.1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4 131.6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2 363.8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2 254.3</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Interest expense</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10</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2 954.4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2 538.6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2 138.5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1 775.3</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Other operating expenses</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11</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25 113.5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23 342.6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17 360.1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16 094.1</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Grants and other transfers</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12</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5 036.5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5 398.3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7 585.6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8 013.9</w:t>
            </w:r>
          </w:p>
        </w:tc>
      </w:tr>
      <w:tr w:rsidR="004E6C32" w:rsidRPr="006A75A2" w:rsidTr="004B5CB1">
        <w:tc>
          <w:tcPr>
            <w:tcW w:w="4337" w:type="dxa"/>
            <w:tcBorders>
              <w:top w:val="single" w:sz="6" w:space="0" w:color="auto"/>
              <w:left w:val="nil"/>
              <w:bottom w:val="single" w:sz="6" w:space="0" w:color="auto"/>
              <w:right w:val="nil"/>
            </w:tcBorders>
          </w:tcPr>
          <w:p w:rsidR="004E6C32" w:rsidRPr="006A75A2" w:rsidRDefault="004E6C32" w:rsidP="00C96101">
            <w:pPr>
              <w:pStyle w:val="Tabletext"/>
              <w:rPr>
                <w:rFonts w:eastAsiaTheme="minorEastAsia"/>
                <w:b/>
                <w:bCs/>
                <w:sz w:val="18"/>
                <w:vertAlign w:val="superscript"/>
                <w:lang w:eastAsia="en-AU"/>
              </w:rPr>
            </w:pPr>
            <w:r w:rsidRPr="006A75A2">
              <w:rPr>
                <w:rFonts w:eastAsiaTheme="minorEastAsia"/>
                <w:b/>
                <w:bCs/>
                <w:sz w:val="18"/>
                <w:lang w:eastAsia="en-AU"/>
              </w:rPr>
              <w:t>Total expenses from transactions</w:t>
            </w:r>
            <w:r w:rsidRPr="006A75A2">
              <w:rPr>
                <w:rFonts w:eastAsiaTheme="minorEastAsia"/>
                <w:b/>
                <w:bCs/>
                <w:sz w:val="18"/>
                <w:vertAlign w:val="superscript"/>
                <w:lang w:eastAsia="en-AU"/>
              </w:rPr>
              <w:t>(a)</w:t>
            </w:r>
          </w:p>
        </w:tc>
        <w:tc>
          <w:tcPr>
            <w:tcW w:w="823" w:type="dxa"/>
            <w:gridSpan w:val="2"/>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13</w:t>
            </w:r>
          </w:p>
        </w:tc>
        <w:tc>
          <w:tcPr>
            <w:tcW w:w="1120" w:type="dxa"/>
            <w:gridSpan w:val="4"/>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59 489.7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57 322.8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50 388.5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48 929.4</w:t>
            </w:r>
          </w:p>
        </w:tc>
      </w:tr>
      <w:tr w:rsidR="004E6C32" w:rsidRPr="006A75A2" w:rsidTr="004B5CB1">
        <w:tc>
          <w:tcPr>
            <w:tcW w:w="4337" w:type="dxa"/>
            <w:tcBorders>
              <w:top w:val="nil"/>
              <w:left w:val="nil"/>
              <w:bottom w:val="single" w:sz="12" w:space="0" w:color="auto"/>
              <w:right w:val="nil"/>
            </w:tcBorders>
          </w:tcPr>
          <w:p w:rsidR="004E6C32" w:rsidRPr="006A75A2" w:rsidRDefault="004E6C32" w:rsidP="00C96101">
            <w:pPr>
              <w:pStyle w:val="Tabletext"/>
              <w:rPr>
                <w:rFonts w:eastAsiaTheme="minorEastAsia"/>
                <w:b/>
                <w:bCs/>
                <w:sz w:val="18"/>
                <w:vertAlign w:val="superscript"/>
                <w:lang w:eastAsia="en-AU"/>
              </w:rPr>
            </w:pPr>
            <w:r w:rsidRPr="006A75A2">
              <w:rPr>
                <w:rFonts w:eastAsiaTheme="minorEastAsia"/>
                <w:b/>
                <w:bCs/>
                <w:sz w:val="18"/>
                <w:lang w:eastAsia="en-AU"/>
              </w:rPr>
              <w:t>Net result from transactions – net operating balance</w:t>
            </w:r>
            <w:r w:rsidRPr="006A75A2">
              <w:rPr>
                <w:rFonts w:eastAsiaTheme="minorEastAsia"/>
                <w:b/>
                <w:bCs/>
                <w:sz w:val="18"/>
                <w:vertAlign w:val="superscript"/>
                <w:lang w:eastAsia="en-AU"/>
              </w:rPr>
              <w:t>(a)</w:t>
            </w:r>
          </w:p>
        </w:tc>
        <w:tc>
          <w:tcPr>
            <w:tcW w:w="823" w:type="dxa"/>
            <w:gridSpan w:val="2"/>
            <w:tcBorders>
              <w:top w:val="nil"/>
              <w:left w:val="nil"/>
              <w:bottom w:val="single" w:sz="12" w:space="0" w:color="auto"/>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856.6</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18"/>
                <w:vertAlign w:val="superscript"/>
                <w:lang w:eastAsia="en-AU"/>
              </w:rPr>
            </w:pPr>
            <w:r w:rsidRPr="006A75A2">
              <w:rPr>
                <w:rFonts w:eastAsiaTheme="minorEastAsia"/>
                <w:b/>
                <w:bCs/>
                <w:sz w:val="18"/>
                <w:lang w:eastAsia="en-AU"/>
              </w:rPr>
              <w:t>(3 119.8)</w:t>
            </w:r>
            <w:r w:rsidRPr="006A75A2">
              <w:rPr>
                <w:rFonts w:eastAsiaTheme="minorEastAsia"/>
                <w:b/>
                <w:bCs/>
                <w:sz w:val="18"/>
                <w:vertAlign w:val="superscript"/>
                <w:lang w:eastAsia="en-AU"/>
              </w:rPr>
              <w:t>(a)</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1 976.2</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18"/>
                <w:vertAlign w:val="superscript"/>
                <w:lang w:eastAsia="en-AU"/>
              </w:rPr>
            </w:pPr>
            <w:r w:rsidRPr="006A75A2">
              <w:rPr>
                <w:rFonts w:eastAsiaTheme="minorEastAsia"/>
                <w:b/>
                <w:bCs/>
                <w:sz w:val="18"/>
                <w:lang w:eastAsia="en-AU"/>
              </w:rPr>
              <w:t>(316.6)</w:t>
            </w:r>
            <w:r w:rsidRPr="006A75A2">
              <w:rPr>
                <w:rFonts w:eastAsiaTheme="minorEastAsia"/>
                <w:b/>
                <w:bCs/>
                <w:sz w:val="18"/>
                <w:vertAlign w:val="superscript"/>
                <w:lang w:eastAsia="en-AU"/>
              </w:rPr>
              <w:t>(a)</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Other economic flows included in net result</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Net gain/(loss) on disposal of non-financial assets</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14</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(12.7)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21.0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(25.0)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20.8</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Net gain/(loss) on financial assets or liabilities at fair value</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1 159.0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3 168.5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52.6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19.3</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Share of net profit/(loss) from associates/joint venture entities, excluding dividends</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35.6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(83.4)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4.8</w:t>
            </w:r>
          </w:p>
        </w:tc>
      </w:tr>
      <w:tr w:rsidR="004E6C32" w:rsidRPr="006A75A2" w:rsidTr="004B5CB1">
        <w:tc>
          <w:tcPr>
            <w:tcW w:w="4399" w:type="dxa"/>
            <w:gridSpan w:val="2"/>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 xml:space="preserve">Other gains/(losses) from other economic flows </w:t>
            </w:r>
          </w:p>
        </w:tc>
        <w:tc>
          <w:tcPr>
            <w:tcW w:w="761" w:type="dxa"/>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15</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(379.2)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1 549.7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(1 230.7)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(262.3)</w:t>
            </w:r>
          </w:p>
        </w:tc>
      </w:tr>
      <w:tr w:rsidR="004E6C32" w:rsidRPr="006A75A2" w:rsidTr="004B5CB1">
        <w:tc>
          <w:tcPr>
            <w:tcW w:w="4337" w:type="dxa"/>
            <w:tcBorders>
              <w:top w:val="single" w:sz="6" w:space="0" w:color="auto"/>
              <w:left w:val="nil"/>
              <w:bottom w:val="single" w:sz="6" w:space="0" w:color="auto"/>
              <w:right w:val="nil"/>
            </w:tcBorders>
          </w:tcPr>
          <w:p w:rsidR="004E6C32" w:rsidRPr="006A75A2" w:rsidRDefault="004E6C32" w:rsidP="00C96101">
            <w:pPr>
              <w:pStyle w:val="Tabletext"/>
              <w:rPr>
                <w:rFonts w:eastAsiaTheme="minorEastAsia" w:cs="Calibri"/>
                <w:b/>
                <w:bCs/>
                <w:sz w:val="18"/>
                <w:vertAlign w:val="superscript"/>
                <w:lang w:eastAsia="en-AU"/>
              </w:rPr>
            </w:pPr>
            <w:r w:rsidRPr="006A75A2">
              <w:rPr>
                <w:rFonts w:eastAsiaTheme="minorEastAsia"/>
                <w:b/>
                <w:bCs/>
                <w:sz w:val="18"/>
                <w:lang w:eastAsia="en-AU"/>
              </w:rPr>
              <w:t>Total other economic flows included in net result</w:t>
            </w:r>
            <w:r w:rsidRPr="006A75A2">
              <w:rPr>
                <w:rFonts w:eastAsiaTheme="minorEastAsia" w:cs="Calibri"/>
                <w:b/>
                <w:bCs/>
                <w:sz w:val="18"/>
                <w:vertAlign w:val="superscript"/>
                <w:lang w:eastAsia="en-AU"/>
              </w:rPr>
              <w:t>(a)</w:t>
            </w:r>
          </w:p>
        </w:tc>
        <w:tc>
          <w:tcPr>
            <w:tcW w:w="823" w:type="dxa"/>
            <w:gridSpan w:val="2"/>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802.7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4 655.8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(1 203.1)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 w:val="18"/>
                <w:lang w:eastAsia="en-AU"/>
              </w:rPr>
            </w:pPr>
            <w:r w:rsidRPr="006A75A2">
              <w:rPr>
                <w:rFonts w:eastAsiaTheme="minorEastAsia"/>
                <w:b/>
                <w:bCs/>
                <w:sz w:val="18"/>
                <w:lang w:eastAsia="en-AU"/>
              </w:rPr>
              <w:t>(217.4)</w:t>
            </w:r>
          </w:p>
        </w:tc>
      </w:tr>
      <w:tr w:rsidR="004E6C32" w:rsidRPr="006A75A2" w:rsidTr="004B5CB1">
        <w:tc>
          <w:tcPr>
            <w:tcW w:w="4337"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8"/>
                <w:vertAlign w:val="superscript"/>
                <w:lang w:eastAsia="en-AU"/>
              </w:rPr>
            </w:pPr>
            <w:r w:rsidRPr="006A75A2">
              <w:rPr>
                <w:rFonts w:eastAsiaTheme="minorEastAsia"/>
                <w:b/>
                <w:bCs/>
                <w:sz w:val="18"/>
                <w:lang w:eastAsia="en-AU"/>
              </w:rPr>
              <w:t>Net result</w:t>
            </w:r>
            <w:r w:rsidRPr="006A75A2">
              <w:rPr>
                <w:rFonts w:eastAsiaTheme="minorEastAsia"/>
                <w:b/>
                <w:bCs/>
                <w:sz w:val="18"/>
                <w:vertAlign w:val="superscript"/>
                <w:lang w:eastAsia="en-AU"/>
              </w:rPr>
              <w:t>(a)</w:t>
            </w:r>
          </w:p>
        </w:tc>
        <w:tc>
          <w:tcPr>
            <w:tcW w:w="823" w:type="dxa"/>
            <w:gridSpan w:val="2"/>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1 659.3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1 536.0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773.1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 w:val="18"/>
                <w:lang w:eastAsia="en-AU"/>
              </w:rPr>
            </w:pPr>
            <w:r w:rsidRPr="006A75A2">
              <w:rPr>
                <w:rFonts w:eastAsiaTheme="minorEastAsia"/>
                <w:b/>
                <w:bCs/>
                <w:sz w:val="18"/>
                <w:lang w:eastAsia="en-AU"/>
              </w:rPr>
              <w:t>(533.9)</w:t>
            </w:r>
          </w:p>
        </w:tc>
      </w:tr>
      <w:tr w:rsidR="004E6C32" w:rsidRPr="006A75A2" w:rsidTr="004B5CB1">
        <w:tc>
          <w:tcPr>
            <w:tcW w:w="5829" w:type="dxa"/>
            <w:gridSpan w:val="4"/>
            <w:tcBorders>
              <w:top w:val="nil"/>
              <w:left w:val="nil"/>
              <w:bottom w:val="nil"/>
              <w:right w:val="nil"/>
            </w:tcBorders>
          </w:tcPr>
          <w:p w:rsidR="004E6C32" w:rsidRPr="006A75A2" w:rsidRDefault="004E6C32" w:rsidP="004B5CB1">
            <w:pPr>
              <w:pStyle w:val="Tabletext"/>
              <w:rPr>
                <w:rFonts w:eastAsiaTheme="minorEastAsia"/>
                <w:b/>
                <w:bCs/>
                <w:sz w:val="18"/>
                <w:vertAlign w:val="superscript"/>
                <w:lang w:eastAsia="en-AU"/>
              </w:rPr>
            </w:pPr>
            <w:r w:rsidRPr="006A75A2">
              <w:rPr>
                <w:rFonts w:eastAsiaTheme="minorEastAsia"/>
                <w:b/>
                <w:bCs/>
                <w:sz w:val="18"/>
                <w:lang w:eastAsia="en-AU"/>
              </w:rPr>
              <w:t>Other economic flows – other comprehensive income</w:t>
            </w:r>
          </w:p>
        </w:tc>
        <w:tc>
          <w:tcPr>
            <w:tcW w:w="284"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67"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Items that will not be reclassified to net result</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r>
      <w:tr w:rsidR="004E6C32" w:rsidRPr="006A75A2" w:rsidTr="004B5CB1">
        <w:tc>
          <w:tcPr>
            <w:tcW w:w="4337" w:type="dxa"/>
            <w:tcBorders>
              <w:top w:val="nil"/>
              <w:left w:val="nil"/>
              <w:bottom w:val="nil"/>
              <w:right w:val="nil"/>
            </w:tcBorders>
          </w:tcPr>
          <w:p w:rsidR="004E6C32" w:rsidRPr="006A75A2" w:rsidRDefault="004E6C32" w:rsidP="00C96101">
            <w:pPr>
              <w:pStyle w:val="Tabletext"/>
              <w:rPr>
                <w:rFonts w:eastAsiaTheme="minorEastAsia" w:cs="Calibri"/>
                <w:sz w:val="18"/>
                <w:vertAlign w:val="superscript"/>
                <w:lang w:eastAsia="en-AU"/>
              </w:rPr>
            </w:pPr>
            <w:r w:rsidRPr="006A75A2">
              <w:rPr>
                <w:rFonts w:eastAsiaTheme="minorEastAsia"/>
                <w:sz w:val="18"/>
                <w:lang w:eastAsia="en-AU"/>
              </w:rPr>
              <w:t>Changes in non-financial assets revaluation surplus</w:t>
            </w:r>
            <w:r w:rsidRPr="006A75A2">
              <w:rPr>
                <w:rFonts w:eastAsiaTheme="minorEastAsia"/>
                <w:sz w:val="18"/>
                <w:vertAlign w:val="superscript"/>
                <w:lang w:eastAsia="en-AU"/>
              </w:rPr>
              <w:t>(b)</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5 211.5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514.5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2 228.8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720.7</w:t>
            </w:r>
          </w:p>
        </w:tc>
      </w:tr>
      <w:tr w:rsidR="004E6C32" w:rsidRPr="006A75A2" w:rsidTr="004B5CB1">
        <w:tc>
          <w:tcPr>
            <w:tcW w:w="4337" w:type="dxa"/>
            <w:tcBorders>
              <w:top w:val="nil"/>
              <w:left w:val="nil"/>
              <w:bottom w:val="nil"/>
              <w:right w:val="nil"/>
            </w:tcBorders>
          </w:tcPr>
          <w:p w:rsidR="004E6C32" w:rsidRPr="006A75A2" w:rsidRDefault="004E6C32" w:rsidP="00C96101">
            <w:pPr>
              <w:pStyle w:val="Tabletext"/>
              <w:rPr>
                <w:rFonts w:eastAsiaTheme="minorEastAsia"/>
                <w:sz w:val="18"/>
                <w:vertAlign w:val="superscript"/>
                <w:lang w:eastAsia="en-AU"/>
              </w:rPr>
            </w:pPr>
            <w:r w:rsidRPr="006A75A2">
              <w:rPr>
                <w:rFonts w:eastAsiaTheme="minorEastAsia"/>
                <w:sz w:val="18"/>
                <w:lang w:eastAsia="en-AU"/>
              </w:rPr>
              <w:t>Remeasurement of superannuation defined benefits plans</w:t>
            </w:r>
            <w:r w:rsidRPr="006A75A2">
              <w:rPr>
                <w:rFonts w:eastAsiaTheme="minorEastAsia"/>
                <w:sz w:val="18"/>
                <w:vertAlign w:val="superscript"/>
                <w:lang w:eastAsia="en-AU"/>
              </w:rPr>
              <w:t>(a)</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8</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(261.9)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7 989.8</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(286.2)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7 947.8</w:t>
            </w:r>
          </w:p>
        </w:tc>
      </w:tr>
      <w:tr w:rsidR="004E6C32" w:rsidRPr="006A75A2" w:rsidTr="004B5CB1">
        <w:tc>
          <w:tcPr>
            <w:tcW w:w="4337" w:type="dxa"/>
            <w:tcBorders>
              <w:top w:val="nil"/>
              <w:left w:val="nil"/>
              <w:bottom w:val="nil"/>
              <w:right w:val="nil"/>
            </w:tcBorders>
          </w:tcPr>
          <w:p w:rsidR="004E6C32" w:rsidRPr="006A75A2" w:rsidRDefault="004E6C32" w:rsidP="00C96101">
            <w:pPr>
              <w:pStyle w:val="Tabletext"/>
              <w:rPr>
                <w:rFonts w:eastAsiaTheme="minorEastAsia"/>
                <w:sz w:val="18"/>
                <w:vertAlign w:val="superscript"/>
                <w:lang w:eastAsia="en-AU"/>
              </w:rPr>
            </w:pPr>
            <w:r w:rsidRPr="006A75A2">
              <w:rPr>
                <w:rFonts w:eastAsiaTheme="minorEastAsia"/>
                <w:sz w:val="18"/>
                <w:lang w:eastAsia="en-AU"/>
              </w:rPr>
              <w:t>Net gain/(loss) on equity investments in other sector entities at proportional share of the carrying amount of net assets</w:t>
            </w:r>
            <w:r w:rsidRPr="006A75A2">
              <w:rPr>
                <w:rFonts w:eastAsiaTheme="minorEastAsia"/>
                <w:sz w:val="18"/>
                <w:vertAlign w:val="superscript"/>
                <w:lang w:eastAsia="en-AU"/>
              </w:rPr>
              <w:t>(b)</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19</w:t>
            </w: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3 813.8</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(497.7)</w:t>
            </w:r>
          </w:p>
        </w:tc>
      </w:tr>
      <w:tr w:rsidR="004E6C32" w:rsidRPr="006A75A2" w:rsidTr="004B5CB1">
        <w:tc>
          <w:tcPr>
            <w:tcW w:w="4337" w:type="dxa"/>
            <w:tcBorders>
              <w:top w:val="nil"/>
              <w:left w:val="nil"/>
              <w:bottom w:val="nil"/>
              <w:right w:val="nil"/>
            </w:tcBorders>
          </w:tcPr>
          <w:p w:rsidR="004E6C32" w:rsidRPr="006A75A2" w:rsidRDefault="004E6C32" w:rsidP="00C96101">
            <w:pPr>
              <w:pStyle w:val="Tabletext"/>
              <w:rPr>
                <w:rFonts w:eastAsiaTheme="minorEastAsia"/>
                <w:sz w:val="18"/>
                <w:vertAlign w:val="superscript"/>
                <w:lang w:eastAsia="en-AU"/>
              </w:rPr>
            </w:pPr>
            <w:r w:rsidRPr="006A75A2">
              <w:rPr>
                <w:rFonts w:eastAsiaTheme="minorEastAsia"/>
                <w:sz w:val="18"/>
                <w:lang w:eastAsia="en-AU"/>
              </w:rPr>
              <w:t>Other movements in equity</w:t>
            </w:r>
            <w:r w:rsidRPr="006A75A2">
              <w:rPr>
                <w:rFonts w:eastAsiaTheme="minorEastAsia"/>
                <w:sz w:val="18"/>
                <w:vertAlign w:val="superscript"/>
                <w:lang w:eastAsia="en-AU"/>
              </w:rPr>
              <w:t>(b)</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860.4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650.2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780.1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849.1</w:t>
            </w:r>
          </w:p>
        </w:tc>
      </w:tr>
      <w:tr w:rsidR="004E6C32" w:rsidRPr="006A75A2" w:rsidTr="004B5CB1">
        <w:tc>
          <w:tcPr>
            <w:tcW w:w="5971" w:type="dxa"/>
            <w:gridSpan w:val="5"/>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Items that may be reclassified subsequently to net result</w:t>
            </w:r>
          </w:p>
        </w:tc>
        <w:tc>
          <w:tcPr>
            <w:tcW w:w="142" w:type="dxa"/>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67"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r>
      <w:tr w:rsidR="004E6C32" w:rsidRPr="006A75A2" w:rsidTr="004B5CB1">
        <w:tc>
          <w:tcPr>
            <w:tcW w:w="4337"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Net gain/(loss) on financial assets at fair value</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(8.6)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84.0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(5.2)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20.1</w:t>
            </w:r>
          </w:p>
        </w:tc>
      </w:tr>
      <w:tr w:rsidR="004E6C32" w:rsidRPr="006A75A2" w:rsidTr="004B5CB1">
        <w:tc>
          <w:tcPr>
            <w:tcW w:w="4337"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cs="Calibri"/>
                <w:b/>
                <w:bCs/>
                <w:sz w:val="18"/>
                <w:vertAlign w:val="superscript"/>
                <w:lang w:eastAsia="en-AU"/>
              </w:rPr>
            </w:pPr>
            <w:r w:rsidRPr="006A75A2">
              <w:rPr>
                <w:rFonts w:eastAsiaTheme="minorEastAsia"/>
                <w:b/>
                <w:bCs/>
                <w:sz w:val="18"/>
                <w:lang w:eastAsia="en-AU"/>
              </w:rPr>
              <w:t xml:space="preserve">Total other economic flows – other comprehensive income </w:t>
            </w:r>
            <w:r w:rsidRPr="006A75A2">
              <w:rPr>
                <w:rFonts w:eastAsiaTheme="minorEastAsia" w:cs="Calibri"/>
                <w:b/>
                <w:bCs/>
                <w:sz w:val="18"/>
                <w:vertAlign w:val="superscript"/>
                <w:lang w:eastAsia="en-AU"/>
              </w:rPr>
              <w:t>(a)(b)</w:t>
            </w:r>
          </w:p>
        </w:tc>
        <w:tc>
          <w:tcPr>
            <w:tcW w:w="823" w:type="dxa"/>
            <w:gridSpan w:val="2"/>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5 801.4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9 238.5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6 531.4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9 040.0</w:t>
            </w:r>
          </w:p>
        </w:tc>
      </w:tr>
      <w:tr w:rsidR="004E6C32" w:rsidRPr="006A75A2" w:rsidTr="004B5CB1">
        <w:tc>
          <w:tcPr>
            <w:tcW w:w="4337" w:type="dxa"/>
            <w:tcBorders>
              <w:top w:val="single" w:sz="6" w:space="0" w:color="auto"/>
              <w:left w:val="nil"/>
              <w:bottom w:val="single" w:sz="12" w:space="0" w:color="auto"/>
              <w:right w:val="nil"/>
            </w:tcBorders>
          </w:tcPr>
          <w:p w:rsidR="004E6C32" w:rsidRPr="006A75A2" w:rsidRDefault="004E6C32" w:rsidP="00C96101">
            <w:pPr>
              <w:pStyle w:val="Tabletext"/>
              <w:rPr>
                <w:rFonts w:eastAsiaTheme="minorEastAsia" w:cs="Calibri"/>
                <w:b/>
                <w:bCs/>
                <w:sz w:val="18"/>
                <w:vertAlign w:val="superscript"/>
                <w:lang w:eastAsia="en-AU"/>
              </w:rPr>
            </w:pPr>
            <w:r w:rsidRPr="006A75A2">
              <w:rPr>
                <w:rFonts w:eastAsiaTheme="minorEastAsia"/>
                <w:b/>
                <w:bCs/>
                <w:sz w:val="18"/>
                <w:lang w:eastAsia="en-AU"/>
              </w:rPr>
              <w:t>Comprehensive result – total change in net worth</w:t>
            </w:r>
            <w:r w:rsidRPr="006A75A2">
              <w:rPr>
                <w:rFonts w:eastAsiaTheme="minorEastAsia"/>
                <w:b/>
                <w:bCs/>
                <w:sz w:val="18"/>
                <w:vertAlign w:val="superscript"/>
                <w:lang w:eastAsia="en-AU"/>
              </w:rPr>
              <w:t>(b)</w:t>
            </w:r>
          </w:p>
        </w:tc>
        <w:tc>
          <w:tcPr>
            <w:tcW w:w="823" w:type="dxa"/>
            <w:gridSpan w:val="2"/>
            <w:tcBorders>
              <w:top w:val="single" w:sz="6" w:space="0" w:color="auto"/>
              <w:left w:val="nil"/>
              <w:bottom w:val="single" w:sz="12" w:space="0" w:color="auto"/>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7 460.7</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10 774.5</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7 304.5</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8 506.0</w:t>
            </w:r>
          </w:p>
        </w:tc>
      </w:tr>
      <w:tr w:rsidR="004E6C32" w:rsidRPr="006A75A2" w:rsidTr="004B5CB1">
        <w:tc>
          <w:tcPr>
            <w:tcW w:w="4337" w:type="dxa"/>
            <w:tcBorders>
              <w:top w:val="single" w:sz="12" w:space="0" w:color="auto"/>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KEY FISCAL AGGREGATES</w:t>
            </w:r>
          </w:p>
        </w:tc>
        <w:tc>
          <w:tcPr>
            <w:tcW w:w="823" w:type="dxa"/>
            <w:gridSpan w:val="2"/>
            <w:tcBorders>
              <w:top w:val="single" w:sz="12" w:space="0" w:color="auto"/>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single" w:sz="12" w:space="0" w:color="auto"/>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single" w:sz="12" w:space="0" w:color="auto"/>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single" w:sz="12" w:space="0" w:color="auto"/>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single" w:sz="12" w:space="0" w:color="auto"/>
              <w:left w:val="nil"/>
              <w:bottom w:val="nil"/>
              <w:right w:val="nil"/>
            </w:tcBorders>
          </w:tcPr>
          <w:p w:rsidR="004E6C32" w:rsidRPr="006A75A2" w:rsidRDefault="004E6C32" w:rsidP="004B5CB1">
            <w:pPr>
              <w:pStyle w:val="TableofFigures"/>
              <w:rPr>
                <w:rFonts w:eastAsiaTheme="minorEastAsia"/>
                <w:b/>
                <w:sz w:val="18"/>
                <w:lang w:eastAsia="en-AU"/>
              </w:rPr>
            </w:pPr>
          </w:p>
        </w:tc>
      </w:tr>
      <w:tr w:rsidR="004E6C32" w:rsidRPr="006A75A2" w:rsidTr="004B5CB1">
        <w:tc>
          <w:tcPr>
            <w:tcW w:w="4337" w:type="dxa"/>
            <w:tcBorders>
              <w:top w:val="nil"/>
              <w:left w:val="nil"/>
              <w:bottom w:val="nil"/>
              <w:right w:val="nil"/>
            </w:tcBorders>
          </w:tcPr>
          <w:p w:rsidR="004E6C32" w:rsidRPr="006A75A2" w:rsidRDefault="004E6C32" w:rsidP="00C96101">
            <w:pPr>
              <w:pStyle w:val="Tabletext"/>
              <w:rPr>
                <w:rFonts w:eastAsiaTheme="minorEastAsia"/>
                <w:b/>
                <w:bCs/>
                <w:sz w:val="18"/>
                <w:vertAlign w:val="superscript"/>
                <w:lang w:eastAsia="en-AU"/>
              </w:rPr>
            </w:pPr>
            <w:r w:rsidRPr="006A75A2">
              <w:rPr>
                <w:rFonts w:eastAsiaTheme="minorEastAsia"/>
                <w:b/>
                <w:bCs/>
                <w:sz w:val="18"/>
                <w:lang w:eastAsia="en-AU"/>
              </w:rPr>
              <w:t>Net operating balance</w:t>
            </w:r>
            <w:r w:rsidRPr="006A75A2">
              <w:rPr>
                <w:rFonts w:eastAsiaTheme="minorEastAsia"/>
                <w:b/>
                <w:bCs/>
                <w:sz w:val="18"/>
                <w:vertAlign w:val="superscript"/>
                <w:lang w:eastAsia="en-AU"/>
              </w:rPr>
              <w:t>(a)</w:t>
            </w:r>
          </w:p>
        </w:tc>
        <w:tc>
          <w:tcPr>
            <w:tcW w:w="823" w:type="dxa"/>
            <w:gridSpan w:val="2"/>
            <w:tcBorders>
              <w:top w:val="nil"/>
              <w:left w:val="nil"/>
              <w:bottom w:val="nil"/>
              <w:right w:val="nil"/>
            </w:tcBorders>
          </w:tcPr>
          <w:p w:rsidR="004E6C32" w:rsidRPr="006A75A2" w:rsidRDefault="004E6C32" w:rsidP="004B5CB1">
            <w:pPr>
              <w:pStyle w:val="TableTextCentred"/>
              <w:rPr>
                <w:rFonts w:eastAsiaTheme="minorEastAsia"/>
                <w:sz w:val="18"/>
                <w:lang w:eastAsia="en-AU"/>
              </w:rPr>
            </w:pPr>
          </w:p>
        </w:tc>
        <w:tc>
          <w:tcPr>
            <w:tcW w:w="1120" w:type="dxa"/>
            <w:gridSpan w:val="4"/>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856.6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vertAlign w:val="superscript"/>
                <w:lang w:eastAsia="en-AU"/>
              </w:rPr>
            </w:pPr>
            <w:r w:rsidRPr="006A75A2">
              <w:rPr>
                <w:rFonts w:eastAsiaTheme="minorEastAsia"/>
                <w:b/>
                <w:bCs/>
                <w:sz w:val="18"/>
                <w:lang w:eastAsia="en-AU"/>
              </w:rPr>
              <w:t>(3 119.8)</w:t>
            </w:r>
            <w:r w:rsidRPr="006A75A2">
              <w:rPr>
                <w:rFonts w:eastAsiaTheme="minorEastAsia"/>
                <w:b/>
                <w:bCs/>
                <w:sz w:val="18"/>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1 976.2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vertAlign w:val="superscript"/>
                <w:lang w:eastAsia="en-AU"/>
              </w:rPr>
            </w:pPr>
            <w:r w:rsidRPr="006A75A2">
              <w:rPr>
                <w:rFonts w:eastAsiaTheme="minorEastAsia"/>
                <w:b/>
                <w:bCs/>
                <w:sz w:val="18"/>
                <w:lang w:eastAsia="en-AU"/>
              </w:rPr>
              <w:t>(316.6)</w:t>
            </w:r>
            <w:r w:rsidRPr="006A75A2">
              <w:rPr>
                <w:rFonts w:eastAsiaTheme="minorEastAsia"/>
                <w:b/>
                <w:bCs/>
                <w:sz w:val="18"/>
                <w:vertAlign w:val="superscript"/>
                <w:lang w:eastAsia="en-AU"/>
              </w:rPr>
              <w:t>(a)</w:t>
            </w:r>
          </w:p>
        </w:tc>
      </w:tr>
      <w:tr w:rsidR="004E6C32" w:rsidRPr="006A75A2" w:rsidTr="004B5CB1">
        <w:tc>
          <w:tcPr>
            <w:tcW w:w="4337" w:type="dxa"/>
            <w:tcBorders>
              <w:top w:val="nil"/>
              <w:left w:val="nil"/>
              <w:bottom w:val="single" w:sz="6" w:space="0" w:color="auto"/>
              <w:right w:val="nil"/>
            </w:tcBorders>
          </w:tcPr>
          <w:p w:rsidR="004E6C32" w:rsidRPr="006A75A2" w:rsidRDefault="004E6C32" w:rsidP="00C96101">
            <w:pPr>
              <w:pStyle w:val="Tabletext"/>
              <w:rPr>
                <w:rFonts w:eastAsiaTheme="minorEastAsia"/>
                <w:sz w:val="18"/>
                <w:vertAlign w:val="superscript"/>
                <w:lang w:eastAsia="en-AU"/>
              </w:rPr>
            </w:pPr>
            <w:r w:rsidRPr="006A75A2">
              <w:rPr>
                <w:rFonts w:eastAsiaTheme="minorEastAsia"/>
                <w:sz w:val="18"/>
                <w:lang w:eastAsia="en-AU"/>
              </w:rPr>
              <w:t>Less: Net acquisition of non-financial assets from transactions</w:t>
            </w:r>
            <w:r w:rsidRPr="006A75A2">
              <w:rPr>
                <w:rFonts w:eastAsiaTheme="minorEastAsia"/>
                <w:sz w:val="18"/>
                <w:vertAlign w:val="superscript"/>
                <w:lang w:eastAsia="en-AU"/>
              </w:rPr>
              <w:t>(c)</w:t>
            </w:r>
          </w:p>
        </w:tc>
        <w:tc>
          <w:tcPr>
            <w:tcW w:w="823" w:type="dxa"/>
            <w:gridSpan w:val="2"/>
            <w:tcBorders>
              <w:top w:val="nil"/>
              <w:left w:val="nil"/>
              <w:bottom w:val="single" w:sz="6" w:space="0" w:color="auto"/>
              <w:right w:val="nil"/>
            </w:tcBorders>
          </w:tcPr>
          <w:p w:rsidR="004E6C32" w:rsidRPr="006A75A2" w:rsidRDefault="004E6C32" w:rsidP="004B5CB1">
            <w:pPr>
              <w:pStyle w:val="TableTextCentred"/>
              <w:rPr>
                <w:rFonts w:eastAsiaTheme="minorEastAsia"/>
                <w:sz w:val="18"/>
                <w:lang w:eastAsia="en-AU"/>
              </w:rPr>
            </w:pPr>
            <w:r w:rsidRPr="006A75A2">
              <w:rPr>
                <w:rFonts w:eastAsiaTheme="minorEastAsia"/>
                <w:sz w:val="18"/>
                <w:lang w:eastAsia="en-AU"/>
              </w:rPr>
              <w:t>2</w:t>
            </w:r>
          </w:p>
        </w:tc>
        <w:tc>
          <w:tcPr>
            <w:tcW w:w="1120" w:type="dxa"/>
            <w:gridSpan w:val="4"/>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2 861.9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8 586.3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717.2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1 516.4</w:t>
            </w:r>
          </w:p>
        </w:tc>
      </w:tr>
      <w:tr w:rsidR="004E6C32" w:rsidRPr="006A75A2" w:rsidTr="004B5CB1">
        <w:tc>
          <w:tcPr>
            <w:tcW w:w="433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8"/>
                <w:vertAlign w:val="superscript"/>
                <w:lang w:eastAsia="en-AU"/>
              </w:rPr>
            </w:pPr>
            <w:r w:rsidRPr="006A75A2">
              <w:rPr>
                <w:rFonts w:eastAsiaTheme="minorEastAsia"/>
                <w:b/>
                <w:bCs/>
                <w:sz w:val="18"/>
                <w:lang w:eastAsia="en-AU"/>
              </w:rPr>
              <w:t>Net lending/(borrowing)</w:t>
            </w:r>
          </w:p>
        </w:tc>
        <w:tc>
          <w:tcPr>
            <w:tcW w:w="823"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Centred"/>
              <w:rPr>
                <w:rFonts w:eastAsiaTheme="minorEastAsia"/>
                <w:sz w:val="18"/>
                <w:lang w:eastAsia="en-AU"/>
              </w:rPr>
            </w:pPr>
          </w:p>
        </w:tc>
        <w:tc>
          <w:tcPr>
            <w:tcW w:w="1120" w:type="dxa"/>
            <w:gridSpan w:val="4"/>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(2 005.3)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(11 706.1)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18"/>
                <w:lang w:eastAsia="en-AU"/>
              </w:rPr>
            </w:pPr>
            <w:r w:rsidRPr="006A75A2">
              <w:rPr>
                <w:rFonts w:eastAsiaTheme="minorEastAsia"/>
                <w:b/>
                <w:bCs/>
                <w:sz w:val="18"/>
                <w:lang w:eastAsia="en-AU"/>
              </w:rPr>
              <w:t>1 259.0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(1 832.9)</w:t>
            </w:r>
          </w:p>
        </w:tc>
      </w:tr>
    </w:tbl>
    <w:p w:rsidR="004E6C32" w:rsidRPr="006A75A2" w:rsidRDefault="004E6C32" w:rsidP="004B5CB1">
      <w:pPr>
        <w:pStyle w:val="Source"/>
      </w:pPr>
      <w:r w:rsidRPr="006A75A2">
        <w:t>The accompanying notes form part of these financial statements.</w:t>
      </w:r>
    </w:p>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Pr>
        <w:pStyle w:val="Notes"/>
      </w:pPr>
      <w:r w:rsidRPr="006A75A2">
        <w:t>(b)</w:t>
      </w:r>
      <w:r w:rsidRPr="006A75A2">
        <w:tab/>
        <w:t>June 2013 comparative figures have been restated. See Note 37.</w:t>
      </w:r>
    </w:p>
    <w:p w:rsidR="004E6C32" w:rsidRPr="006A75A2" w:rsidRDefault="004E6C32" w:rsidP="004B5CB1">
      <w:pPr>
        <w:pStyle w:val="Notes"/>
      </w:pPr>
      <w:r w:rsidRPr="006A75A2">
        <w:t>(c)</w:t>
      </w:r>
      <w:r w:rsidRPr="006A75A2">
        <w:tab/>
        <w:t>June 2013 comparative figures have been restated to include the fixed asset transfers to and from the general government sector.</w:t>
      </w:r>
    </w:p>
    <w:p w:rsidR="004E6C32" w:rsidRPr="006A75A2" w:rsidRDefault="004E6C32" w:rsidP="004B5CB1">
      <w:pPr>
        <w:pStyle w:val="Notes"/>
      </w:pPr>
    </w:p>
    <w:p w:rsidR="004E6C32" w:rsidRPr="006A75A2" w:rsidRDefault="004E6C32">
      <w:pPr>
        <w:spacing w:after="0"/>
        <w:rPr>
          <w:rFonts w:ascii="Calibri" w:hAnsi="Calibri"/>
          <w:b/>
          <w:sz w:val="25"/>
        </w:rPr>
      </w:pPr>
    </w:p>
    <w:p w:rsidR="004E6C32" w:rsidRPr="006A75A2" w:rsidRDefault="004E6C32" w:rsidP="004B5CB1">
      <w:pPr>
        <w:pStyle w:val="Tableheading"/>
        <w:spacing w:before="0"/>
      </w:pPr>
      <w:r w:rsidRPr="006A75A2">
        <w:lastRenderedPageBreak/>
        <w:t>Consolidated balance sheet as at 30 June</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420"/>
        <w:gridCol w:w="740"/>
        <w:gridCol w:w="1120"/>
        <w:gridCol w:w="1120"/>
        <w:gridCol w:w="1120"/>
        <w:gridCol w:w="1120"/>
      </w:tblGrid>
      <w:tr w:rsidR="00C21642" w:rsidRPr="006A75A2" w:rsidTr="00C21642">
        <w:tc>
          <w:tcPr>
            <w:tcW w:w="4420" w:type="dxa"/>
            <w:tcBorders>
              <w:top w:val="single" w:sz="6" w:space="0" w:color="auto"/>
              <w:left w:val="single" w:sz="6" w:space="0" w:color="auto"/>
              <w:bottom w:val="nil"/>
              <w:right w:val="nil"/>
            </w:tcBorders>
            <w:shd w:val="clear" w:color="000000" w:fill="000000"/>
          </w:tcPr>
          <w:p w:rsidR="00C21642" w:rsidRPr="006A75A2" w:rsidRDefault="00C21642" w:rsidP="004B5CB1">
            <w:pPr>
              <w:pStyle w:val="Tabletext"/>
              <w:rPr>
                <w:rFonts w:eastAsiaTheme="minorEastAsia"/>
                <w:sz w:val="19"/>
                <w:szCs w:val="19"/>
                <w:lang w:eastAsia="en-AU"/>
              </w:rPr>
            </w:pPr>
            <w:r w:rsidRPr="006A75A2">
              <w:rPr>
                <w:rFonts w:eastAsiaTheme="minorEastAsia"/>
                <w:sz w:val="19"/>
                <w:szCs w:val="19"/>
                <w:lang w:eastAsia="en-AU"/>
              </w:rPr>
              <w:t xml:space="preserve"> </w:t>
            </w:r>
          </w:p>
        </w:tc>
        <w:tc>
          <w:tcPr>
            <w:tcW w:w="740" w:type="dxa"/>
            <w:tcBorders>
              <w:top w:val="single" w:sz="6" w:space="0" w:color="auto"/>
              <w:left w:val="nil"/>
              <w:bottom w:val="nil"/>
              <w:right w:val="nil"/>
            </w:tcBorders>
            <w:shd w:val="clear" w:color="000000" w:fill="000000"/>
          </w:tcPr>
          <w:p w:rsidR="00C21642" w:rsidRPr="006A75A2" w:rsidRDefault="00C21642" w:rsidP="004B5CB1">
            <w:pPr>
              <w:pStyle w:val="TabletextheadingCentred"/>
              <w:rPr>
                <w:rFonts w:eastAsiaTheme="minorEastAsia"/>
                <w:sz w:val="19"/>
                <w:szCs w:val="19"/>
                <w:lang w:eastAsia="en-AU"/>
              </w:rPr>
            </w:pPr>
            <w:r w:rsidRPr="006A75A2">
              <w:rPr>
                <w:rFonts w:eastAsiaTheme="minorEastAsia"/>
                <w:sz w:val="19"/>
                <w:szCs w:val="19"/>
                <w:lang w:eastAsia="en-AU"/>
              </w:rPr>
              <w:t xml:space="preserve"> </w:t>
            </w:r>
          </w:p>
        </w:tc>
        <w:tc>
          <w:tcPr>
            <w:tcW w:w="2240" w:type="dxa"/>
            <w:gridSpan w:val="2"/>
            <w:tcBorders>
              <w:top w:val="single" w:sz="6" w:space="0" w:color="auto"/>
              <w:left w:val="nil"/>
              <w:bottom w:val="nil"/>
              <w:right w:val="nil"/>
            </w:tcBorders>
            <w:shd w:val="clear" w:color="000000" w:fill="000000"/>
          </w:tcPr>
          <w:p w:rsidR="00C21642" w:rsidRPr="006A75A2" w:rsidRDefault="00C21642" w:rsidP="004B5CB1">
            <w:pPr>
              <w:pStyle w:val="TabletextheadingCentred"/>
              <w:rPr>
                <w:rFonts w:eastAsiaTheme="minorEastAsia"/>
                <w:sz w:val="19"/>
                <w:szCs w:val="19"/>
                <w:lang w:eastAsia="en-AU"/>
              </w:rPr>
            </w:pPr>
          </w:p>
          <w:p w:rsidR="00C21642" w:rsidRPr="006A75A2" w:rsidRDefault="00C21642" w:rsidP="004B5CB1">
            <w:pPr>
              <w:pStyle w:val="TabletextheadingCentred"/>
              <w:rPr>
                <w:rFonts w:eastAsiaTheme="minorEastAsia"/>
                <w:sz w:val="19"/>
                <w:szCs w:val="19"/>
                <w:lang w:eastAsia="en-AU"/>
              </w:rPr>
            </w:pPr>
            <w:r w:rsidRPr="006A75A2">
              <w:rPr>
                <w:rFonts w:eastAsiaTheme="minorEastAsia"/>
                <w:sz w:val="19"/>
                <w:szCs w:val="19"/>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C21642" w:rsidRPr="006A75A2" w:rsidRDefault="00C21642" w:rsidP="004B5CB1">
            <w:pPr>
              <w:pStyle w:val="TabletextheadingCentred"/>
              <w:rPr>
                <w:rFonts w:eastAsiaTheme="minorEastAsia"/>
                <w:sz w:val="19"/>
                <w:szCs w:val="19"/>
                <w:lang w:eastAsia="en-AU"/>
              </w:rPr>
            </w:pPr>
            <w:r w:rsidRPr="006A75A2">
              <w:rPr>
                <w:rFonts w:eastAsiaTheme="minorEastAsia"/>
                <w:sz w:val="19"/>
                <w:szCs w:val="19"/>
                <w:lang w:eastAsia="en-AU"/>
              </w:rPr>
              <w:t xml:space="preserve">General </w:t>
            </w:r>
          </w:p>
          <w:p w:rsidR="00C21642" w:rsidRPr="006A75A2" w:rsidRDefault="00C21642" w:rsidP="004B5CB1">
            <w:pPr>
              <w:pStyle w:val="TabletextheadingCentred"/>
              <w:rPr>
                <w:rFonts w:eastAsiaTheme="minorEastAsia"/>
                <w:sz w:val="19"/>
                <w:szCs w:val="19"/>
                <w:lang w:eastAsia="en-AU"/>
              </w:rPr>
            </w:pPr>
            <w:r w:rsidRPr="006A75A2">
              <w:rPr>
                <w:rFonts w:eastAsiaTheme="minorEastAsia"/>
                <w:sz w:val="19"/>
                <w:szCs w:val="19"/>
                <w:lang w:eastAsia="en-AU"/>
              </w:rPr>
              <w:t>government sector</w:t>
            </w:r>
          </w:p>
        </w:tc>
      </w:tr>
      <w:tr w:rsidR="004E6C32" w:rsidRPr="006A75A2" w:rsidTr="004B5CB1">
        <w:tc>
          <w:tcPr>
            <w:tcW w:w="442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 xml:space="preserve"> </w:t>
            </w:r>
          </w:p>
        </w:tc>
        <w:tc>
          <w:tcPr>
            <w:tcW w:w="740" w:type="dxa"/>
            <w:tcBorders>
              <w:top w:val="nil"/>
              <w:left w:val="nil"/>
              <w:bottom w:val="single" w:sz="6" w:space="0" w:color="auto"/>
              <w:right w:val="nil"/>
            </w:tcBorders>
            <w:shd w:val="clear" w:color="000000" w:fill="000000"/>
          </w:tcPr>
          <w:p w:rsidR="004E6C32" w:rsidRPr="006A75A2" w:rsidRDefault="004E6C32" w:rsidP="004B5CB1">
            <w:pPr>
              <w:pStyle w:val="TabletextheadingCentred"/>
              <w:rPr>
                <w:rFonts w:eastAsiaTheme="minorEastAsia"/>
                <w:sz w:val="19"/>
                <w:szCs w:val="19"/>
                <w:lang w:eastAsia="en-AU"/>
              </w:rPr>
            </w:pPr>
            <w:r w:rsidRPr="006A75A2">
              <w:rPr>
                <w:rFonts w:eastAsiaTheme="minorEastAsia"/>
                <w:sz w:val="19"/>
                <w:szCs w:val="19"/>
                <w:lang w:eastAsia="en-AU"/>
              </w:rPr>
              <w:t>Notes</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9"/>
                <w:szCs w:val="19"/>
                <w:lang w:eastAsia="en-AU"/>
              </w:rPr>
            </w:pPr>
            <w:r w:rsidRPr="006A75A2">
              <w:rPr>
                <w:rFonts w:eastAsiaTheme="minorEastAsia"/>
                <w:sz w:val="19"/>
                <w:szCs w:val="19"/>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9"/>
                <w:szCs w:val="19"/>
                <w:lang w:eastAsia="en-AU"/>
              </w:rPr>
            </w:pPr>
            <w:r w:rsidRPr="006A75A2">
              <w:rPr>
                <w:rFonts w:eastAsiaTheme="minorEastAsia"/>
                <w:sz w:val="19"/>
                <w:szCs w:val="19"/>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9"/>
                <w:szCs w:val="19"/>
                <w:lang w:eastAsia="en-AU"/>
              </w:rPr>
            </w:pPr>
            <w:r w:rsidRPr="006A75A2">
              <w:rPr>
                <w:rFonts w:eastAsiaTheme="minorEastAsia"/>
                <w:sz w:val="19"/>
                <w:szCs w:val="19"/>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19"/>
                <w:szCs w:val="19"/>
                <w:lang w:eastAsia="en-AU"/>
              </w:rPr>
            </w:pPr>
            <w:r w:rsidRPr="006A75A2">
              <w:rPr>
                <w:rFonts w:eastAsiaTheme="minorEastAsia"/>
                <w:sz w:val="19"/>
                <w:szCs w:val="19"/>
                <w:lang w:eastAsia="en-AU"/>
              </w:rPr>
              <w:t>2013</w:t>
            </w:r>
          </w:p>
        </w:tc>
      </w:tr>
      <w:tr w:rsidR="004E6C32" w:rsidRPr="006A75A2" w:rsidTr="004B5CB1">
        <w:tc>
          <w:tcPr>
            <w:tcW w:w="442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9"/>
                <w:szCs w:val="19"/>
                <w:lang w:eastAsia="en-AU"/>
              </w:rPr>
            </w:pPr>
            <w:r w:rsidRPr="006A75A2">
              <w:rPr>
                <w:rFonts w:eastAsiaTheme="minorEastAsia"/>
                <w:b/>
                <w:bCs/>
                <w:sz w:val="19"/>
                <w:szCs w:val="19"/>
                <w:lang w:eastAsia="en-AU"/>
              </w:rPr>
              <w:t>Assets</w:t>
            </w:r>
          </w:p>
        </w:tc>
        <w:tc>
          <w:tcPr>
            <w:tcW w:w="740" w:type="dxa"/>
            <w:tcBorders>
              <w:top w:val="single" w:sz="6" w:space="0" w:color="auto"/>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bCs/>
                <w:sz w:val="19"/>
                <w:szCs w:val="19"/>
                <w:lang w:eastAsia="en-AU"/>
              </w:rPr>
            </w:pPr>
            <w:r w:rsidRPr="006A75A2">
              <w:rPr>
                <w:rFonts w:eastAsiaTheme="minorEastAsia"/>
                <w:b/>
                <w:bCs/>
                <w:sz w:val="19"/>
                <w:szCs w:val="19"/>
                <w:lang w:eastAsia="en-AU"/>
              </w:rPr>
              <w:t>Financial assets</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vertAlign w:val="superscript"/>
                <w:lang w:eastAsia="en-AU"/>
              </w:rPr>
            </w:pPr>
            <w:r w:rsidRPr="006A75A2">
              <w:rPr>
                <w:rFonts w:eastAsiaTheme="minorEastAsia"/>
                <w:sz w:val="19"/>
                <w:szCs w:val="19"/>
                <w:lang w:eastAsia="en-AU"/>
              </w:rPr>
              <w:t>Cash and deposits</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30(a)</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8 200.7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6 252.9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4 500.9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3 962.0</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Advances paid</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1 795.1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1 727.3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4 586.9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4 626.8</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pPr>
            <w:r w:rsidRPr="006A75A2">
              <w:rPr>
                <w:rFonts w:eastAsiaTheme="minorEastAsia"/>
                <w:sz w:val="19"/>
                <w:szCs w:val="19"/>
                <w:lang w:eastAsia="en-AU"/>
              </w:rPr>
              <w:t>Receivables</w:t>
            </w:r>
            <w:r w:rsidRPr="006A75A2">
              <w:rPr>
                <w:vertAlign w:val="superscript"/>
              </w:rPr>
              <w:t>(a)</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17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6 396.5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7 402.9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4 940.6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5 061.0</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pPr>
            <w:r w:rsidRPr="006A75A2">
              <w:rPr>
                <w:rFonts w:eastAsiaTheme="minorEastAsia"/>
                <w:sz w:val="19"/>
                <w:szCs w:val="19"/>
                <w:lang w:eastAsia="en-AU"/>
              </w:rPr>
              <w:t>Investments, loans and placements</w:t>
            </w:r>
            <w:r w:rsidRPr="006A75A2">
              <w:rPr>
                <w:sz w:val="19"/>
                <w:szCs w:val="19"/>
                <w:vertAlign w:val="superscript"/>
              </w:rPr>
              <w:t>(a)</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29 768.8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26 128.7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3 117.6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3 383.4</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Investments accounted for using the equity method</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18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1 555.1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1 666.1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44.1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49.4</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cs="Calibri"/>
                <w:sz w:val="18"/>
                <w:vertAlign w:val="superscript"/>
                <w:lang w:eastAsia="en-AU"/>
              </w:rPr>
            </w:pPr>
            <w:r w:rsidRPr="006A75A2">
              <w:rPr>
                <w:rFonts w:eastAsiaTheme="minorEastAsia"/>
                <w:sz w:val="19"/>
                <w:szCs w:val="19"/>
                <w:lang w:eastAsia="en-AU"/>
              </w:rPr>
              <w:t>Investments in other sector entities</w:t>
            </w:r>
            <w:r w:rsidRPr="006A75A2">
              <w:rPr>
                <w:rFonts w:eastAsiaTheme="minorEastAsia"/>
                <w:sz w:val="19"/>
                <w:szCs w:val="19"/>
                <w:vertAlign w:val="superscript"/>
                <w:lang w:eastAsia="en-AU"/>
              </w:rPr>
              <w:t>(a)</w:t>
            </w:r>
          </w:p>
        </w:tc>
        <w:tc>
          <w:tcPr>
            <w:tcW w:w="740" w:type="dxa"/>
            <w:tcBorders>
              <w:top w:val="nil"/>
              <w:left w:val="nil"/>
              <w:bottom w:val="single" w:sz="6" w:space="0" w:color="auto"/>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9"/>
                <w:szCs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75 869.2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69 714.8</w:t>
            </w:r>
          </w:p>
        </w:tc>
      </w:tr>
      <w:tr w:rsidR="004E6C32" w:rsidRPr="006A75A2" w:rsidTr="004B5CB1">
        <w:tc>
          <w:tcPr>
            <w:tcW w:w="4420" w:type="dxa"/>
            <w:tcBorders>
              <w:top w:val="single" w:sz="6" w:space="0" w:color="auto"/>
              <w:left w:val="nil"/>
              <w:bottom w:val="nil"/>
              <w:right w:val="nil"/>
            </w:tcBorders>
          </w:tcPr>
          <w:p w:rsidR="004E6C32" w:rsidRPr="006A75A2" w:rsidRDefault="004E6C32" w:rsidP="004B5CB1">
            <w:pPr>
              <w:pStyle w:val="Tabletext"/>
              <w:rPr>
                <w:rFonts w:eastAsiaTheme="minorEastAsia" w:cs="Calibri"/>
                <w:b/>
                <w:bCs/>
                <w:sz w:val="18"/>
                <w:vertAlign w:val="superscript"/>
                <w:lang w:eastAsia="en-AU"/>
              </w:rPr>
            </w:pPr>
            <w:r w:rsidRPr="006A75A2">
              <w:rPr>
                <w:rFonts w:eastAsiaTheme="minorEastAsia"/>
                <w:b/>
                <w:bCs/>
                <w:sz w:val="19"/>
                <w:szCs w:val="19"/>
                <w:lang w:eastAsia="en-AU"/>
              </w:rPr>
              <w:t>Total financial assets</w:t>
            </w:r>
            <w:r w:rsidRPr="006A75A2">
              <w:rPr>
                <w:rFonts w:eastAsiaTheme="minorEastAsia"/>
                <w:b/>
                <w:bCs/>
                <w:sz w:val="19"/>
                <w:szCs w:val="19"/>
                <w:vertAlign w:val="superscript"/>
                <w:lang w:eastAsia="en-AU"/>
              </w:rPr>
              <w:t>(a)</w:t>
            </w:r>
          </w:p>
        </w:tc>
        <w:tc>
          <w:tcPr>
            <w:tcW w:w="740" w:type="dxa"/>
            <w:tcBorders>
              <w:top w:val="single" w:sz="6" w:space="0" w:color="auto"/>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47 716.2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43 177.7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93 059.4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86 797.4</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bCs/>
                <w:sz w:val="19"/>
                <w:szCs w:val="19"/>
                <w:lang w:eastAsia="en-AU"/>
              </w:rPr>
            </w:pPr>
            <w:r w:rsidRPr="006A75A2">
              <w:rPr>
                <w:rFonts w:eastAsiaTheme="minorEastAsia"/>
                <w:b/>
                <w:bCs/>
                <w:sz w:val="19"/>
                <w:szCs w:val="19"/>
                <w:lang w:eastAsia="en-AU"/>
              </w:rPr>
              <w:t>Non-financial assets</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Inventories</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802.2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871.0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176.6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192.1</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Non-financial assets held for sale</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166.6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173.0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142.5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142.1</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 xml:space="preserve">Land, buildings, infrastructure, plant </w:t>
            </w:r>
          </w:p>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 xml:space="preserve">   and equipment</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197 137.0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189 473.0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103 644.2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100 804.0</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Other non-financial assets</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2 458.1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2 053.1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1 204.8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954.3</w:t>
            </w:r>
          </w:p>
        </w:tc>
      </w:tr>
      <w:tr w:rsidR="004E6C32" w:rsidRPr="006A75A2" w:rsidTr="004B5CB1">
        <w:tc>
          <w:tcPr>
            <w:tcW w:w="442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szCs w:val="19"/>
                <w:lang w:eastAsia="en-AU"/>
              </w:rPr>
            </w:pPr>
            <w:r w:rsidRPr="006A75A2">
              <w:rPr>
                <w:rFonts w:eastAsiaTheme="minorEastAsia"/>
                <w:b/>
                <w:bCs/>
                <w:sz w:val="19"/>
                <w:szCs w:val="19"/>
                <w:lang w:eastAsia="en-AU"/>
              </w:rPr>
              <w:t>Total non-financial assets</w:t>
            </w:r>
          </w:p>
        </w:tc>
        <w:tc>
          <w:tcPr>
            <w:tcW w:w="740" w:type="dxa"/>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200 563.9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192 570.0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105 168.0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102 092.5</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cs="Calibri"/>
                <w:b/>
                <w:bCs/>
                <w:sz w:val="18"/>
                <w:vertAlign w:val="superscript"/>
                <w:lang w:eastAsia="en-AU"/>
              </w:rPr>
            </w:pPr>
            <w:r w:rsidRPr="006A75A2">
              <w:rPr>
                <w:rFonts w:eastAsiaTheme="minorEastAsia"/>
                <w:b/>
                <w:bCs/>
                <w:sz w:val="19"/>
                <w:szCs w:val="19"/>
                <w:lang w:eastAsia="en-AU"/>
              </w:rPr>
              <w:t>Total assets</w:t>
            </w:r>
            <w:r w:rsidRPr="006A75A2">
              <w:rPr>
                <w:rFonts w:eastAsiaTheme="minorEastAsia"/>
                <w:b/>
                <w:bCs/>
                <w:sz w:val="19"/>
                <w:szCs w:val="19"/>
                <w:vertAlign w:val="superscript"/>
                <w:lang w:eastAsia="en-AU"/>
              </w:rPr>
              <w:t>(a)</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248 280.1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235 747.8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198 227.4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188 889.9</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bCs/>
                <w:sz w:val="19"/>
                <w:szCs w:val="19"/>
                <w:lang w:eastAsia="en-AU"/>
              </w:rPr>
            </w:pPr>
            <w:r w:rsidRPr="006A75A2">
              <w:rPr>
                <w:rFonts w:eastAsiaTheme="minorEastAsia"/>
                <w:b/>
                <w:bCs/>
                <w:sz w:val="19"/>
                <w:szCs w:val="19"/>
                <w:lang w:eastAsia="en-AU"/>
              </w:rPr>
              <w:t>Liabilities</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Deposits held and advances received</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2 070.7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2 088.9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426.5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449.0</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pPr>
            <w:r w:rsidRPr="006A75A2">
              <w:rPr>
                <w:rFonts w:eastAsiaTheme="minorEastAsia"/>
                <w:sz w:val="19"/>
                <w:szCs w:val="19"/>
                <w:lang w:eastAsia="en-AU"/>
              </w:rPr>
              <w:t>Payables</w:t>
            </w:r>
            <w:r w:rsidRPr="006A75A2">
              <w:rPr>
                <w:sz w:val="19"/>
                <w:szCs w:val="19"/>
                <w:vertAlign w:val="superscript"/>
              </w:rPr>
              <w:t>(a)</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7 732.2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8 197.2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5 746.5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5 958.4</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Borrowings</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51 277.4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47 437.0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32 953.6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31 345.3</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Employee benefits</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5 745.1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5 624.7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5 302.7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5 208.8</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Superannuation</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25 729.0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25 225.4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25 680.7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25 142.5</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Other provisions</w:t>
            </w:r>
          </w:p>
        </w:tc>
        <w:tc>
          <w:tcPr>
            <w:tcW w:w="740" w:type="dxa"/>
            <w:tcBorders>
              <w:top w:val="nil"/>
              <w:left w:val="nil"/>
              <w:bottom w:val="single" w:sz="6" w:space="0" w:color="auto"/>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24 632.9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23 542.4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630.6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603.3</w:t>
            </w:r>
          </w:p>
        </w:tc>
      </w:tr>
      <w:tr w:rsidR="004E6C32" w:rsidRPr="006A75A2" w:rsidTr="004B5CB1">
        <w:tc>
          <w:tcPr>
            <w:tcW w:w="442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szCs w:val="19"/>
                <w:lang w:eastAsia="en-AU"/>
              </w:rPr>
            </w:pPr>
            <w:r w:rsidRPr="006A75A2">
              <w:rPr>
                <w:rFonts w:eastAsiaTheme="minorEastAsia"/>
                <w:b/>
                <w:bCs/>
                <w:sz w:val="19"/>
                <w:szCs w:val="19"/>
                <w:lang w:eastAsia="en-AU"/>
              </w:rPr>
              <w:t>Total liabilities</w:t>
            </w:r>
          </w:p>
        </w:tc>
        <w:tc>
          <w:tcPr>
            <w:tcW w:w="740" w:type="dxa"/>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117 187.4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112 115.7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70 740.6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68 707.4</w:t>
            </w:r>
          </w:p>
        </w:tc>
      </w:tr>
      <w:tr w:rsidR="004E6C32" w:rsidRPr="006A75A2" w:rsidTr="004B5CB1">
        <w:tc>
          <w:tcPr>
            <w:tcW w:w="442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cs="Calibri"/>
                <w:b/>
                <w:bCs/>
                <w:sz w:val="18"/>
                <w:vertAlign w:val="superscript"/>
                <w:lang w:eastAsia="en-AU"/>
              </w:rPr>
            </w:pPr>
            <w:r w:rsidRPr="006A75A2">
              <w:rPr>
                <w:rFonts w:eastAsiaTheme="minorEastAsia"/>
                <w:b/>
                <w:bCs/>
                <w:sz w:val="19"/>
                <w:szCs w:val="19"/>
                <w:lang w:eastAsia="en-AU"/>
              </w:rPr>
              <w:t>Net assets</w:t>
            </w:r>
            <w:r w:rsidRPr="006A75A2">
              <w:rPr>
                <w:rFonts w:eastAsiaTheme="minorEastAsia"/>
                <w:b/>
                <w:bCs/>
                <w:sz w:val="19"/>
                <w:szCs w:val="19"/>
                <w:vertAlign w:val="superscript"/>
                <w:lang w:eastAsia="en-AU"/>
              </w:rPr>
              <w:t>(a)</w:t>
            </w:r>
          </w:p>
        </w:tc>
        <w:tc>
          <w:tcPr>
            <w:tcW w:w="740" w:type="dxa"/>
            <w:tcBorders>
              <w:top w:val="single" w:sz="6" w:space="0" w:color="auto"/>
              <w:left w:val="nil"/>
              <w:bottom w:val="single" w:sz="12" w:space="0" w:color="auto"/>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131 092.7</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123 632.1</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127 486.9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120 182.6</w:t>
            </w:r>
          </w:p>
        </w:tc>
      </w:tr>
      <w:tr w:rsidR="004E6C32" w:rsidRPr="006A75A2" w:rsidTr="004B5CB1">
        <w:tc>
          <w:tcPr>
            <w:tcW w:w="4420" w:type="dxa"/>
            <w:tcBorders>
              <w:top w:val="nil"/>
              <w:left w:val="nil"/>
              <w:bottom w:val="nil"/>
              <w:right w:val="nil"/>
            </w:tcBorders>
          </w:tcPr>
          <w:p w:rsidR="004E6C32" w:rsidRPr="006A75A2" w:rsidRDefault="004E6C32" w:rsidP="00C96101">
            <w:pPr>
              <w:pStyle w:val="Tabletext"/>
              <w:rPr>
                <w:rFonts w:eastAsiaTheme="minorEastAsia" w:cs="Calibri"/>
                <w:sz w:val="18"/>
                <w:vertAlign w:val="superscript"/>
                <w:lang w:eastAsia="en-AU"/>
              </w:rPr>
            </w:pPr>
            <w:r w:rsidRPr="006A75A2">
              <w:rPr>
                <w:rFonts w:eastAsiaTheme="minorEastAsia"/>
                <w:sz w:val="19"/>
                <w:szCs w:val="19"/>
                <w:lang w:eastAsia="en-AU"/>
              </w:rPr>
              <w:t>Accumulated surplus/(deficit)</w:t>
            </w:r>
            <w:r w:rsidRPr="006A75A2">
              <w:rPr>
                <w:rFonts w:eastAsiaTheme="minorEastAsia"/>
                <w:sz w:val="19"/>
                <w:szCs w:val="19"/>
                <w:vertAlign w:val="superscript"/>
                <w:lang w:eastAsia="en-AU"/>
              </w:rPr>
              <w:t>(a)</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46 211.3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43 565.1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44 410.0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43 174.7</w:t>
            </w:r>
          </w:p>
        </w:tc>
      </w:tr>
      <w:tr w:rsidR="004E6C32" w:rsidRPr="006A75A2" w:rsidTr="004B5CB1">
        <w:tc>
          <w:tcPr>
            <w:tcW w:w="4420" w:type="dxa"/>
            <w:tcBorders>
              <w:top w:val="nil"/>
              <w:left w:val="nil"/>
              <w:bottom w:val="nil"/>
              <w:right w:val="nil"/>
            </w:tcBorders>
          </w:tcPr>
          <w:p w:rsidR="004E6C32" w:rsidRPr="006A75A2" w:rsidRDefault="004E6C32" w:rsidP="00C96101">
            <w:pPr>
              <w:pStyle w:val="Tabletext"/>
              <w:rPr>
                <w:rFonts w:eastAsiaTheme="minorEastAsia" w:cs="Calibri"/>
                <w:sz w:val="18"/>
                <w:vertAlign w:val="superscript"/>
                <w:lang w:eastAsia="en-AU"/>
              </w:rPr>
            </w:pPr>
            <w:r w:rsidRPr="006A75A2">
              <w:rPr>
                <w:rFonts w:eastAsiaTheme="minorEastAsia"/>
                <w:sz w:val="19"/>
                <w:szCs w:val="19"/>
                <w:lang w:eastAsia="en-AU"/>
              </w:rPr>
              <w:t>Reserves</w:t>
            </w:r>
            <w:r w:rsidRPr="006A75A2">
              <w:rPr>
                <w:rFonts w:eastAsiaTheme="minorEastAsia"/>
                <w:sz w:val="19"/>
                <w:szCs w:val="19"/>
                <w:vertAlign w:val="superscript"/>
                <w:lang w:eastAsia="en-AU"/>
              </w:rPr>
              <w:t>(a)</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84 831.3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80 017.0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83 026.9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76 957.9</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Non-controlling interest</w:t>
            </w:r>
          </w:p>
        </w:tc>
        <w:tc>
          <w:tcPr>
            <w:tcW w:w="740" w:type="dxa"/>
            <w:tcBorders>
              <w:top w:val="nil"/>
              <w:left w:val="nil"/>
              <w:bottom w:val="single" w:sz="6" w:space="0" w:color="auto"/>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50.0</w:t>
            </w:r>
          </w:p>
        </w:tc>
      </w:tr>
      <w:tr w:rsidR="004E6C32" w:rsidRPr="006A75A2" w:rsidTr="004B5CB1">
        <w:tc>
          <w:tcPr>
            <w:tcW w:w="4420" w:type="dxa"/>
            <w:tcBorders>
              <w:top w:val="single" w:sz="6" w:space="0" w:color="auto"/>
              <w:left w:val="nil"/>
              <w:bottom w:val="single" w:sz="12" w:space="0" w:color="auto"/>
              <w:right w:val="nil"/>
            </w:tcBorders>
          </w:tcPr>
          <w:p w:rsidR="004E6C32" w:rsidRPr="006A75A2" w:rsidRDefault="004E6C32" w:rsidP="00C96101">
            <w:pPr>
              <w:pStyle w:val="Tabletext"/>
              <w:rPr>
                <w:rFonts w:eastAsiaTheme="minorEastAsia" w:cs="Calibri"/>
                <w:b/>
                <w:bCs/>
                <w:sz w:val="18"/>
                <w:vertAlign w:val="superscript"/>
                <w:lang w:eastAsia="en-AU"/>
              </w:rPr>
            </w:pPr>
            <w:r w:rsidRPr="006A75A2">
              <w:rPr>
                <w:rFonts w:eastAsiaTheme="minorEastAsia"/>
                <w:b/>
                <w:bCs/>
                <w:sz w:val="19"/>
                <w:szCs w:val="19"/>
                <w:lang w:eastAsia="en-AU"/>
              </w:rPr>
              <w:t>Net worth</w:t>
            </w:r>
            <w:r w:rsidRPr="006A75A2">
              <w:rPr>
                <w:rFonts w:eastAsiaTheme="minorEastAsia"/>
                <w:b/>
                <w:bCs/>
                <w:sz w:val="19"/>
                <w:szCs w:val="19"/>
                <w:vertAlign w:val="superscript"/>
                <w:lang w:eastAsia="en-AU"/>
              </w:rPr>
              <w:t>(a)</w:t>
            </w:r>
          </w:p>
        </w:tc>
        <w:tc>
          <w:tcPr>
            <w:tcW w:w="740" w:type="dxa"/>
            <w:tcBorders>
              <w:top w:val="single" w:sz="6" w:space="0" w:color="auto"/>
              <w:left w:val="nil"/>
              <w:bottom w:val="single" w:sz="12" w:space="0" w:color="auto"/>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131 092.7</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123 632.1</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127 486.9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sz w:val="19"/>
              </w:rPr>
            </w:pPr>
            <w:r w:rsidRPr="006A75A2">
              <w:rPr>
                <w:rFonts w:eastAsiaTheme="minorEastAsia"/>
                <w:b/>
                <w:sz w:val="19"/>
              </w:rPr>
              <w:t>120 182.6</w:t>
            </w:r>
          </w:p>
        </w:tc>
      </w:tr>
      <w:tr w:rsidR="004E6C32" w:rsidRPr="006A75A2" w:rsidTr="004B5CB1">
        <w:trPr>
          <w:trHeight w:hRule="exact" w:val="120"/>
        </w:trPr>
        <w:tc>
          <w:tcPr>
            <w:tcW w:w="4420" w:type="dxa"/>
            <w:tcBorders>
              <w:top w:val="nil"/>
              <w:left w:val="nil"/>
              <w:bottom w:val="nil"/>
              <w:right w:val="nil"/>
            </w:tcBorders>
          </w:tcPr>
          <w:p w:rsidR="004E6C32" w:rsidRPr="006A75A2" w:rsidRDefault="004E6C32" w:rsidP="004B5CB1">
            <w:pPr>
              <w:pStyle w:val="Tabletext"/>
              <w:rPr>
                <w:rFonts w:eastAsiaTheme="minorEastAsia"/>
                <w:b/>
                <w:bCs/>
                <w:sz w:val="19"/>
                <w:szCs w:val="19"/>
                <w:lang w:eastAsia="en-AU"/>
              </w:rPr>
            </w:pPr>
            <w:r w:rsidRPr="006A75A2">
              <w:rPr>
                <w:rFonts w:eastAsiaTheme="minorEastAsia"/>
                <w:b/>
                <w:bCs/>
                <w:sz w:val="19"/>
                <w:szCs w:val="19"/>
                <w:lang w:eastAsia="en-AU"/>
              </w:rPr>
              <w:t xml:space="preserve"> </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szCs w:val="19"/>
                <w:lang w:eastAsia="en-AU"/>
              </w:rPr>
            </w:pPr>
            <w:r w:rsidRPr="006A75A2">
              <w:rPr>
                <w:rFonts w:eastAsiaTheme="minorEastAsia"/>
                <w:b/>
                <w:bCs/>
                <w:sz w:val="19"/>
                <w:szCs w:val="19"/>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bCs/>
                <w:sz w:val="19"/>
                <w:szCs w:val="19"/>
                <w:lang w:eastAsia="en-AU"/>
              </w:rPr>
            </w:pPr>
            <w:r w:rsidRPr="006A75A2">
              <w:rPr>
                <w:rFonts w:eastAsiaTheme="minorEastAsia"/>
                <w:b/>
                <w:bCs/>
                <w:sz w:val="19"/>
                <w:szCs w:val="19"/>
                <w:lang w:eastAsia="en-AU"/>
              </w:rPr>
              <w:t>FISCAL AGGREGATES</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szCs w:val="19"/>
                <w:lang w:eastAsia="en-AU"/>
              </w:rPr>
            </w:pPr>
            <w:r w:rsidRPr="006A75A2">
              <w:rPr>
                <w:rFonts w:eastAsiaTheme="minorEastAsia"/>
                <w:b/>
                <w:sz w:val="19"/>
                <w:szCs w:val="19"/>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 xml:space="preserve">Net financial worth </w:t>
            </w:r>
          </w:p>
        </w:tc>
        <w:tc>
          <w:tcPr>
            <w:tcW w:w="740" w:type="dxa"/>
            <w:tcBorders>
              <w:top w:val="nil"/>
              <w:left w:val="nil"/>
              <w:bottom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(69 471.2)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(68 937.9)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22 318.8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18 090.1</w:t>
            </w:r>
          </w:p>
        </w:tc>
      </w:tr>
      <w:tr w:rsidR="004E6C32" w:rsidRPr="006A75A2" w:rsidTr="004B5CB1">
        <w:tc>
          <w:tcPr>
            <w:tcW w:w="4420" w:type="dxa"/>
            <w:tcBorders>
              <w:top w:val="nil"/>
              <w:left w:val="nil"/>
              <w:right w:val="nil"/>
            </w:tcBorders>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Net financial liabilities</w:t>
            </w:r>
          </w:p>
        </w:tc>
        <w:tc>
          <w:tcPr>
            <w:tcW w:w="740" w:type="dxa"/>
            <w:tcBorders>
              <w:top w:val="nil"/>
              <w:left w:val="nil"/>
              <w:right w:val="nil"/>
            </w:tcBorders>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nil"/>
              <w:left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69 471.2</w:t>
            </w:r>
          </w:p>
        </w:tc>
        <w:tc>
          <w:tcPr>
            <w:tcW w:w="1120" w:type="dxa"/>
            <w:tcBorders>
              <w:top w:val="nil"/>
              <w:left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68 937.9</w:t>
            </w:r>
          </w:p>
        </w:tc>
        <w:tc>
          <w:tcPr>
            <w:tcW w:w="1120" w:type="dxa"/>
            <w:tcBorders>
              <w:top w:val="nil"/>
              <w:left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53 550.4</w:t>
            </w:r>
          </w:p>
        </w:tc>
        <w:tc>
          <w:tcPr>
            <w:tcW w:w="1120" w:type="dxa"/>
            <w:tcBorders>
              <w:top w:val="nil"/>
              <w:left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51 624.7</w:t>
            </w:r>
          </w:p>
        </w:tc>
      </w:tr>
      <w:tr w:rsidR="004E6C32" w:rsidRPr="006A75A2" w:rsidTr="004B5CB1">
        <w:tc>
          <w:tcPr>
            <w:tcW w:w="4420"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sz w:val="19"/>
                <w:szCs w:val="19"/>
                <w:lang w:eastAsia="en-AU"/>
              </w:rPr>
            </w:pPr>
            <w:r w:rsidRPr="006A75A2">
              <w:rPr>
                <w:rFonts w:eastAsiaTheme="minorEastAsia"/>
                <w:sz w:val="19"/>
                <w:szCs w:val="19"/>
                <w:lang w:eastAsia="en-AU"/>
              </w:rPr>
              <w:t>Net debt</w:t>
            </w:r>
          </w:p>
        </w:tc>
        <w:tc>
          <w:tcPr>
            <w:tcW w:w="740" w:type="dxa"/>
            <w:tcBorders>
              <w:top w:val="nil"/>
              <w:left w:val="nil"/>
              <w:bottom w:val="single" w:sz="12" w:space="0" w:color="000000"/>
              <w:right w:val="nil"/>
            </w:tcBorders>
            <w:shd w:val="clear" w:color="auto" w:fill="auto"/>
          </w:tcPr>
          <w:p w:rsidR="004E6C32" w:rsidRPr="006A75A2" w:rsidRDefault="004E6C32" w:rsidP="004B5CB1">
            <w:pPr>
              <w:pStyle w:val="TableTextCentred"/>
              <w:rPr>
                <w:rFonts w:eastAsiaTheme="minorEastAsia"/>
                <w:sz w:val="19"/>
                <w:szCs w:val="19"/>
                <w:lang w:eastAsia="en-AU"/>
              </w:rPr>
            </w:pPr>
            <w:r w:rsidRPr="006A75A2">
              <w:rPr>
                <w:rFonts w:eastAsiaTheme="minorEastAsia"/>
                <w:sz w:val="19"/>
                <w:szCs w:val="19"/>
                <w:lang w:eastAsia="en-AU"/>
              </w:rPr>
              <w:t xml:space="preserve"> </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13 583.6</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15 417.1</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21 174.6</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19 822.1</w:t>
            </w:r>
          </w:p>
        </w:tc>
      </w:tr>
    </w:tbl>
    <w:p w:rsidR="004E6C32" w:rsidRPr="006A75A2" w:rsidRDefault="004E6C32" w:rsidP="004B5CB1">
      <w:pPr>
        <w:pStyle w:val="Source"/>
      </w:pPr>
      <w:r w:rsidRPr="006A75A2">
        <w:t>The accompanying notes form part of these financial statements.</w:t>
      </w:r>
    </w:p>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Note 37.</w:t>
      </w:r>
    </w:p>
    <w:p w:rsidR="004E6C32" w:rsidRPr="006A75A2" w:rsidRDefault="004E6C32" w:rsidP="004B5CB1">
      <w:pPr>
        <w:pStyle w:val="Notes"/>
      </w:pPr>
    </w:p>
    <w:p w:rsidR="004E6C32" w:rsidRPr="006A75A2" w:rsidRDefault="004E6C32" w:rsidP="004B5CB1">
      <w:pPr>
        <w:pStyle w:val="Notes"/>
      </w:pPr>
    </w:p>
    <w:p w:rsidR="004E6C32" w:rsidRPr="006A75A2" w:rsidRDefault="004E6C32">
      <w:pPr>
        <w:spacing w:after="0"/>
        <w:rPr>
          <w:rFonts w:ascii="Calibri" w:hAnsi="Calibri"/>
          <w:b/>
          <w:sz w:val="25"/>
        </w:rPr>
      </w:pPr>
      <w:r w:rsidRPr="006A75A2">
        <w:br w:type="page"/>
      </w:r>
    </w:p>
    <w:p w:rsidR="004E6C32" w:rsidRPr="006A75A2" w:rsidRDefault="004E6C32" w:rsidP="004B5CB1">
      <w:pPr>
        <w:pStyle w:val="Tableheading"/>
      </w:pPr>
      <w:r w:rsidRPr="006A75A2">
        <w:lastRenderedPageBreak/>
        <w:t>Consolidated cash flow statement for the financial year ended 30 June</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420"/>
        <w:gridCol w:w="133"/>
        <w:gridCol w:w="284"/>
        <w:gridCol w:w="40"/>
        <w:gridCol w:w="283"/>
        <w:gridCol w:w="1120"/>
        <w:gridCol w:w="1120"/>
        <w:gridCol w:w="1120"/>
        <w:gridCol w:w="1120"/>
      </w:tblGrid>
      <w:tr w:rsidR="002E6139" w:rsidRPr="006A75A2" w:rsidTr="002E6139">
        <w:tc>
          <w:tcPr>
            <w:tcW w:w="442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sz w:val="17"/>
                <w:szCs w:val="16"/>
                <w:lang w:eastAsia="en-AU"/>
              </w:rPr>
            </w:pPr>
            <w:r w:rsidRPr="006A75A2">
              <w:rPr>
                <w:rFonts w:eastAsiaTheme="minorEastAsia"/>
                <w:sz w:val="17"/>
                <w:szCs w:val="16"/>
                <w:lang w:eastAsia="en-AU"/>
              </w:rPr>
              <w:t xml:space="preserve"> </w:t>
            </w:r>
          </w:p>
        </w:tc>
        <w:tc>
          <w:tcPr>
            <w:tcW w:w="740" w:type="dxa"/>
            <w:gridSpan w:val="4"/>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sz w:val="17"/>
                <w:szCs w:val="16"/>
                <w:lang w:eastAsia="en-AU"/>
              </w:rPr>
            </w:pPr>
            <w:r w:rsidRPr="006A75A2">
              <w:rPr>
                <w:rFonts w:eastAsiaTheme="minorEastAsia"/>
                <w:sz w:val="17"/>
                <w:szCs w:val="16"/>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sz w:val="17"/>
                <w:szCs w:val="16"/>
                <w:lang w:eastAsia="en-AU"/>
              </w:rPr>
            </w:pPr>
          </w:p>
          <w:p w:rsidR="002E6139" w:rsidRPr="006A75A2" w:rsidRDefault="002E6139" w:rsidP="004B5CB1">
            <w:pPr>
              <w:pStyle w:val="TabletextheadingCentred"/>
              <w:rPr>
                <w:rFonts w:eastAsiaTheme="minorEastAsia"/>
                <w:sz w:val="17"/>
                <w:szCs w:val="16"/>
                <w:lang w:eastAsia="en-AU"/>
              </w:rPr>
            </w:pPr>
            <w:r w:rsidRPr="006A75A2">
              <w:rPr>
                <w:rFonts w:eastAsiaTheme="minorEastAsia"/>
                <w:sz w:val="17"/>
                <w:szCs w:val="16"/>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sz w:val="17"/>
                <w:szCs w:val="16"/>
                <w:lang w:eastAsia="en-AU"/>
              </w:rPr>
            </w:pPr>
            <w:r w:rsidRPr="006A75A2">
              <w:rPr>
                <w:rFonts w:eastAsiaTheme="minorEastAsia"/>
                <w:sz w:val="17"/>
                <w:szCs w:val="16"/>
                <w:lang w:eastAsia="en-AU"/>
              </w:rPr>
              <w:t xml:space="preserve">General </w:t>
            </w:r>
          </w:p>
          <w:p w:rsidR="002E6139" w:rsidRPr="006A75A2" w:rsidRDefault="002E6139" w:rsidP="004B5CB1">
            <w:pPr>
              <w:pStyle w:val="TabletextheadingCentred"/>
              <w:rPr>
                <w:rFonts w:eastAsiaTheme="minorEastAsia"/>
                <w:sz w:val="17"/>
                <w:szCs w:val="16"/>
                <w:lang w:eastAsia="en-AU"/>
              </w:rPr>
            </w:pPr>
            <w:r w:rsidRPr="006A75A2">
              <w:rPr>
                <w:rFonts w:eastAsiaTheme="minorEastAsia"/>
                <w:sz w:val="17"/>
                <w:szCs w:val="16"/>
                <w:lang w:eastAsia="en-AU"/>
              </w:rPr>
              <w:t>government sector</w:t>
            </w:r>
          </w:p>
        </w:tc>
      </w:tr>
      <w:tr w:rsidR="004E6C32" w:rsidRPr="006A75A2" w:rsidTr="004B5CB1">
        <w:tc>
          <w:tcPr>
            <w:tcW w:w="442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 xml:space="preserve"> </w:t>
            </w:r>
          </w:p>
        </w:tc>
        <w:tc>
          <w:tcPr>
            <w:tcW w:w="740" w:type="dxa"/>
            <w:gridSpan w:val="4"/>
            <w:tcBorders>
              <w:top w:val="nil"/>
              <w:left w:val="nil"/>
              <w:bottom w:val="single" w:sz="6" w:space="0" w:color="auto"/>
              <w:right w:val="nil"/>
            </w:tcBorders>
            <w:shd w:val="clear" w:color="000000" w:fill="000000"/>
          </w:tcPr>
          <w:p w:rsidR="004E6C32" w:rsidRPr="006A75A2" w:rsidRDefault="004E6C32" w:rsidP="004B5CB1">
            <w:pPr>
              <w:pStyle w:val="TabletextheadingCentred"/>
              <w:rPr>
                <w:rFonts w:eastAsiaTheme="minorEastAsia"/>
                <w:sz w:val="17"/>
                <w:szCs w:val="16"/>
                <w:lang w:eastAsia="en-AU"/>
              </w:rPr>
            </w:pPr>
            <w:r w:rsidRPr="006A75A2">
              <w:rPr>
                <w:rFonts w:eastAsiaTheme="minorEastAsia"/>
                <w:sz w:val="17"/>
                <w:szCs w:val="16"/>
                <w:lang w:eastAsia="en-AU"/>
              </w:rPr>
              <w:t>Notes</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7"/>
                <w:szCs w:val="16"/>
                <w:lang w:eastAsia="en-AU"/>
              </w:rPr>
            </w:pPr>
            <w:r w:rsidRPr="006A75A2">
              <w:rPr>
                <w:rFonts w:eastAsiaTheme="minorEastAsia"/>
                <w:sz w:val="17"/>
                <w:szCs w:val="16"/>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7"/>
                <w:szCs w:val="16"/>
                <w:lang w:eastAsia="en-AU"/>
              </w:rPr>
            </w:pPr>
            <w:r w:rsidRPr="006A75A2">
              <w:rPr>
                <w:rFonts w:eastAsiaTheme="minorEastAsia"/>
                <w:sz w:val="17"/>
                <w:szCs w:val="16"/>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7"/>
                <w:szCs w:val="16"/>
                <w:lang w:eastAsia="en-AU"/>
              </w:rPr>
            </w:pPr>
            <w:r w:rsidRPr="006A75A2">
              <w:rPr>
                <w:rFonts w:eastAsiaTheme="minorEastAsia"/>
                <w:sz w:val="17"/>
                <w:szCs w:val="16"/>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17"/>
                <w:szCs w:val="16"/>
                <w:lang w:eastAsia="en-AU"/>
              </w:rPr>
            </w:pPr>
            <w:r w:rsidRPr="006A75A2">
              <w:rPr>
                <w:rFonts w:eastAsiaTheme="minorEastAsia"/>
                <w:sz w:val="17"/>
                <w:szCs w:val="16"/>
                <w:lang w:eastAsia="en-AU"/>
              </w:rPr>
              <w:t>2013</w:t>
            </w:r>
          </w:p>
        </w:tc>
      </w:tr>
      <w:tr w:rsidR="004E6C32" w:rsidRPr="006A75A2" w:rsidTr="004B5CB1">
        <w:tc>
          <w:tcPr>
            <w:tcW w:w="442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Cash flows from operating activities</w:t>
            </w:r>
          </w:p>
        </w:tc>
        <w:tc>
          <w:tcPr>
            <w:tcW w:w="740" w:type="dxa"/>
            <w:gridSpan w:val="4"/>
            <w:tcBorders>
              <w:top w:val="single" w:sz="6" w:space="0" w:color="auto"/>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Receipts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Taxes received</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16 308.9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14 872.0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16 719.4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15 231.9</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Grants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25 045.5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21 899.6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25 140.4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21 991.9</w:t>
            </w:r>
          </w:p>
        </w:tc>
      </w:tr>
      <w:tr w:rsidR="004E6C32" w:rsidRPr="006A75A2" w:rsidTr="004B5CB1">
        <w:tc>
          <w:tcPr>
            <w:tcW w:w="4420" w:type="dxa"/>
            <w:tcBorders>
              <w:top w:val="nil"/>
              <w:left w:val="nil"/>
              <w:bottom w:val="nil"/>
              <w:right w:val="nil"/>
            </w:tcBorders>
          </w:tcPr>
          <w:p w:rsidR="004E6C32" w:rsidRPr="006A75A2" w:rsidRDefault="004E6C32" w:rsidP="00C96101">
            <w:pPr>
              <w:pStyle w:val="Tabletext"/>
              <w:rPr>
                <w:rFonts w:eastAsiaTheme="minorEastAsia" w:cs="Calibri"/>
                <w:sz w:val="17"/>
                <w:szCs w:val="16"/>
                <w:vertAlign w:val="superscript"/>
                <w:lang w:eastAsia="en-AU"/>
              </w:rPr>
            </w:pPr>
            <w:r w:rsidRPr="006A75A2">
              <w:rPr>
                <w:rFonts w:eastAsiaTheme="minorEastAsia"/>
                <w:sz w:val="17"/>
                <w:szCs w:val="16"/>
                <w:lang w:eastAsia="en-AU"/>
              </w:rPr>
              <w:t>Sales of goods and services</w:t>
            </w:r>
            <w:r w:rsidRPr="006A75A2">
              <w:rPr>
                <w:rFonts w:eastAsiaTheme="minorEastAsia"/>
                <w:sz w:val="17"/>
                <w:szCs w:val="16"/>
                <w:vertAlign w:val="superscript"/>
                <w:lang w:eastAsia="en-AU"/>
              </w:rPr>
              <w:t>(a)</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15 898.4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13 548.2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7 381.1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7 132.3</w:t>
            </w:r>
          </w:p>
        </w:tc>
      </w:tr>
      <w:tr w:rsidR="004E6C32" w:rsidRPr="006A75A2" w:rsidTr="004B5CB1">
        <w:tc>
          <w:tcPr>
            <w:tcW w:w="4420" w:type="dxa"/>
            <w:tcBorders>
              <w:top w:val="nil"/>
              <w:left w:val="nil"/>
              <w:bottom w:val="nil"/>
              <w:right w:val="nil"/>
            </w:tcBorders>
          </w:tcPr>
          <w:p w:rsidR="004E6C32" w:rsidRPr="006A75A2" w:rsidRDefault="004E6C32" w:rsidP="00C96101">
            <w:pPr>
              <w:pStyle w:val="Tabletext"/>
              <w:rPr>
                <w:rFonts w:eastAsiaTheme="minorEastAsia" w:cs="Calibri"/>
                <w:sz w:val="17"/>
                <w:szCs w:val="16"/>
                <w:vertAlign w:val="superscript"/>
                <w:lang w:eastAsia="en-AU"/>
              </w:rPr>
            </w:pPr>
            <w:r w:rsidRPr="006A75A2">
              <w:rPr>
                <w:rFonts w:eastAsiaTheme="minorEastAsia"/>
                <w:sz w:val="17"/>
                <w:szCs w:val="16"/>
                <w:lang w:eastAsia="en-AU"/>
              </w:rPr>
              <w:t>Interest received</w:t>
            </w:r>
            <w:r w:rsidRPr="006A75A2">
              <w:rPr>
                <w:rFonts w:eastAsiaTheme="minorEastAsia" w:cs="Calibri"/>
                <w:sz w:val="17"/>
                <w:szCs w:val="16"/>
                <w:vertAlign w:val="superscript"/>
                <w:lang w:eastAsia="en-AU"/>
              </w:rPr>
              <w:t>(b)</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853.9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938.8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807.8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674.8</w:t>
            </w:r>
          </w:p>
        </w:tc>
      </w:tr>
      <w:tr w:rsidR="004E6C32" w:rsidRPr="006A75A2" w:rsidTr="004B5CB1">
        <w:tc>
          <w:tcPr>
            <w:tcW w:w="4877" w:type="dxa"/>
            <w:gridSpan w:val="4"/>
            <w:tcBorders>
              <w:top w:val="nil"/>
              <w:left w:val="nil"/>
              <w:bottom w:val="nil"/>
              <w:right w:val="nil"/>
            </w:tcBorders>
          </w:tcPr>
          <w:p w:rsidR="004E6C32" w:rsidRPr="006A75A2" w:rsidRDefault="004E6C32" w:rsidP="00C96101">
            <w:pPr>
              <w:pStyle w:val="Tabletext"/>
              <w:rPr>
                <w:rFonts w:eastAsiaTheme="minorEastAsia" w:cs="Calibri"/>
                <w:sz w:val="17"/>
                <w:szCs w:val="22"/>
                <w:vertAlign w:val="superscript"/>
                <w:lang w:eastAsia="en-AU"/>
              </w:rPr>
            </w:pPr>
            <w:r w:rsidRPr="006A75A2">
              <w:rPr>
                <w:rFonts w:eastAsiaTheme="minorEastAsia"/>
                <w:sz w:val="17"/>
                <w:szCs w:val="16"/>
                <w:lang w:eastAsia="en-AU"/>
              </w:rPr>
              <w:t>Dividends and income tax equivalent and rate equivalent receipts</w:t>
            </w:r>
            <w:r w:rsidRPr="006A75A2">
              <w:rPr>
                <w:rFonts w:eastAsiaTheme="minorEastAsia"/>
                <w:sz w:val="17"/>
                <w:szCs w:val="16"/>
                <w:vertAlign w:val="superscript"/>
                <w:lang w:eastAsia="en-AU"/>
              </w:rPr>
              <w:t>(c)</w:t>
            </w:r>
          </w:p>
        </w:tc>
        <w:tc>
          <w:tcPr>
            <w:tcW w:w="283" w:type="dxa"/>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914.6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610.8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591.8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1 198.9</w:t>
            </w:r>
          </w:p>
        </w:tc>
      </w:tr>
      <w:tr w:rsidR="004E6C32" w:rsidRPr="006A75A2" w:rsidTr="004B5CB1">
        <w:tc>
          <w:tcPr>
            <w:tcW w:w="4420" w:type="dxa"/>
            <w:tcBorders>
              <w:top w:val="nil"/>
              <w:left w:val="nil"/>
              <w:bottom w:val="nil"/>
              <w:right w:val="nil"/>
            </w:tcBorders>
          </w:tcPr>
          <w:p w:rsidR="004E6C32" w:rsidRPr="006A75A2" w:rsidRDefault="004E6C32" w:rsidP="00C96101">
            <w:pPr>
              <w:pStyle w:val="Tabletext"/>
              <w:rPr>
                <w:rFonts w:eastAsiaTheme="minorEastAsia" w:cs="Calibri"/>
                <w:sz w:val="17"/>
                <w:szCs w:val="16"/>
                <w:vertAlign w:val="superscript"/>
                <w:lang w:eastAsia="en-AU"/>
              </w:rPr>
            </w:pPr>
            <w:r w:rsidRPr="006A75A2">
              <w:rPr>
                <w:rFonts w:eastAsiaTheme="minorEastAsia"/>
                <w:sz w:val="17"/>
                <w:szCs w:val="16"/>
                <w:lang w:eastAsia="en-AU"/>
              </w:rPr>
              <w:t>Other receipts</w:t>
            </w:r>
            <w:r w:rsidRPr="006A75A2">
              <w:rPr>
                <w:rFonts w:eastAsiaTheme="minorEastAsia"/>
                <w:sz w:val="17"/>
                <w:szCs w:val="16"/>
                <w:vertAlign w:val="superscript"/>
                <w:lang w:eastAsia="en-AU"/>
              </w:rPr>
              <w:t>(b</w:t>
            </w:r>
            <w:r w:rsidRPr="006A75A2">
              <w:rPr>
                <w:rFonts w:eastAsiaTheme="minorEastAsia" w:cs="Calibri"/>
                <w:sz w:val="17"/>
                <w:szCs w:val="16"/>
                <w:vertAlign w:val="superscript"/>
                <w:lang w:eastAsia="en-AU"/>
              </w:rPr>
              <w:t>)</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2 151.9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2 146.5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1 803.8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1 728.8</w:t>
            </w:r>
          </w:p>
        </w:tc>
      </w:tr>
      <w:tr w:rsidR="004E6C32" w:rsidRPr="006A75A2" w:rsidTr="004B5CB1">
        <w:tc>
          <w:tcPr>
            <w:tcW w:w="442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7"/>
                <w:szCs w:val="16"/>
                <w:vertAlign w:val="superscript"/>
                <w:lang w:eastAsia="en-AU"/>
              </w:rPr>
            </w:pPr>
            <w:r w:rsidRPr="006A75A2">
              <w:rPr>
                <w:rFonts w:eastAsiaTheme="minorEastAsia"/>
                <w:b/>
                <w:bCs/>
                <w:sz w:val="17"/>
                <w:szCs w:val="16"/>
                <w:lang w:eastAsia="en-AU"/>
              </w:rPr>
              <w:t>Total receipts</w:t>
            </w:r>
            <w:r w:rsidRPr="006A75A2">
              <w:rPr>
                <w:rFonts w:eastAsiaTheme="minorEastAsia"/>
                <w:b/>
                <w:bCs/>
                <w:sz w:val="17"/>
                <w:szCs w:val="16"/>
                <w:vertAlign w:val="superscript"/>
                <w:lang w:eastAsia="en-AU"/>
              </w:rPr>
              <w:t>(c)</w:t>
            </w:r>
          </w:p>
        </w:tc>
        <w:tc>
          <w:tcPr>
            <w:tcW w:w="740" w:type="dxa"/>
            <w:gridSpan w:val="4"/>
            <w:tcBorders>
              <w:top w:val="single" w:sz="6" w:space="0" w:color="auto"/>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61 173.2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54 015.9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52 444.2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47 958.7</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Payments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Payments for employees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(18 924.3)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(18 551.6)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(17 926.6)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(17 563.6)</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Superannuation</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(2 812.0)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(2 652.5)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(2 676.5)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(2 510.5)</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Interest paid</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(2 895.8)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(2 384.2)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(2 081.6)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(1 702.6)</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Grants and subsidies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(5 037.3)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(5 619.5)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(7 647.0)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(8 196.5)</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cs="Calibri"/>
                <w:sz w:val="17"/>
                <w:szCs w:val="16"/>
                <w:vertAlign w:val="superscript"/>
                <w:lang w:eastAsia="en-AU"/>
              </w:rPr>
            </w:pPr>
            <w:r w:rsidRPr="006A75A2">
              <w:rPr>
                <w:rFonts w:eastAsiaTheme="minorEastAsia"/>
                <w:sz w:val="17"/>
                <w:szCs w:val="16"/>
                <w:lang w:eastAsia="en-AU"/>
              </w:rPr>
              <w:t>Goods and services</w:t>
            </w:r>
            <w:r w:rsidRPr="006A75A2">
              <w:rPr>
                <w:rFonts w:eastAsiaTheme="minorEastAsia"/>
                <w:sz w:val="17"/>
                <w:szCs w:val="16"/>
                <w:vertAlign w:val="superscript"/>
                <w:lang w:eastAsia="en-AU"/>
              </w:rPr>
              <w:t>(a)</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(23 785.5)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(21 399.7)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(16 949.3)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(15 692.1)</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Other payments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(818.3)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(596.0)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(1 220.6)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(601.2)</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Total payments</w:t>
            </w:r>
          </w:p>
        </w:tc>
        <w:tc>
          <w:tcPr>
            <w:tcW w:w="740" w:type="dxa"/>
            <w:gridSpan w:val="4"/>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(54 273.2)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(51 203.4)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(48 501.7)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(46 266.4)</w:t>
            </w:r>
          </w:p>
        </w:tc>
      </w:tr>
      <w:tr w:rsidR="004E6C32" w:rsidRPr="006A75A2" w:rsidTr="004B5CB1">
        <w:tc>
          <w:tcPr>
            <w:tcW w:w="442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7"/>
                <w:szCs w:val="16"/>
                <w:vertAlign w:val="superscript"/>
                <w:lang w:eastAsia="en-AU"/>
              </w:rPr>
            </w:pPr>
            <w:r w:rsidRPr="006A75A2">
              <w:rPr>
                <w:rFonts w:eastAsiaTheme="minorEastAsia"/>
                <w:b/>
                <w:bCs/>
                <w:sz w:val="17"/>
                <w:szCs w:val="16"/>
                <w:lang w:eastAsia="en-AU"/>
              </w:rPr>
              <w:t>Net cash flows from operating activities</w:t>
            </w:r>
            <w:r w:rsidRPr="006A75A2">
              <w:rPr>
                <w:rFonts w:eastAsiaTheme="minorEastAsia"/>
                <w:b/>
                <w:bCs/>
                <w:sz w:val="17"/>
                <w:szCs w:val="16"/>
                <w:vertAlign w:val="superscript"/>
                <w:lang w:eastAsia="en-AU"/>
              </w:rPr>
              <w:t>(c)</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30(b)</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6 900.0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2 812.4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3 942.5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1 692.3</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Cash flows from investing activities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Cash flows from investments in non-financial assets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Purchases of non-financial assets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24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(7 306.0)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(7 597.8)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(3 997.3)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(4 133.2)</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Sales of non-financial assets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496.4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406.3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270.9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248.0</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sz w:val="17"/>
                <w:szCs w:val="16"/>
                <w:lang w:eastAsia="en-AU"/>
              </w:rPr>
            </w:pPr>
            <w:r w:rsidRPr="006A75A2">
              <w:rPr>
                <w:rFonts w:eastAsiaTheme="minorEastAsia"/>
                <w:b/>
                <w:sz w:val="17"/>
                <w:szCs w:val="16"/>
                <w:lang w:eastAsia="en-AU"/>
              </w:rPr>
              <w:t>Net cash flows from investments in non-financial assets</w:t>
            </w:r>
          </w:p>
        </w:tc>
        <w:tc>
          <w:tcPr>
            <w:tcW w:w="740" w:type="dxa"/>
            <w:gridSpan w:val="4"/>
            <w:tcBorders>
              <w:top w:val="single" w:sz="6" w:space="0" w:color="auto"/>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(6 809.6)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(7 191.5)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(3 726.4)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(3 885.2)</w:t>
            </w:r>
          </w:p>
        </w:tc>
      </w:tr>
      <w:tr w:rsidR="004E6C32" w:rsidRPr="006A75A2" w:rsidTr="004B5CB1">
        <w:tc>
          <w:tcPr>
            <w:tcW w:w="4837" w:type="dxa"/>
            <w:gridSpan w:val="3"/>
            <w:tcBorders>
              <w:top w:val="nil"/>
              <w:left w:val="nil"/>
              <w:bottom w:val="nil"/>
              <w:right w:val="nil"/>
            </w:tcBorders>
            <w:shd w:val="solid" w:color="FFFFFF" w:fill="auto"/>
          </w:tcPr>
          <w:p w:rsidR="004E6C32" w:rsidRPr="006A75A2" w:rsidRDefault="004E6C32" w:rsidP="004B5CB1">
            <w:pPr>
              <w:pStyle w:val="Tabletext"/>
              <w:rPr>
                <w:rFonts w:eastAsiaTheme="minorEastAsia"/>
                <w:b/>
                <w:sz w:val="17"/>
                <w:szCs w:val="16"/>
                <w:lang w:eastAsia="en-AU"/>
              </w:rPr>
            </w:pPr>
            <w:r w:rsidRPr="006A75A2">
              <w:rPr>
                <w:rFonts w:eastAsiaTheme="minorEastAsia"/>
                <w:b/>
                <w:sz w:val="17"/>
                <w:szCs w:val="16"/>
                <w:lang w:eastAsia="en-AU"/>
              </w:rPr>
              <w:t>Cash flows from investments in financial assets for policy purposes</w:t>
            </w:r>
          </w:p>
        </w:tc>
        <w:tc>
          <w:tcPr>
            <w:tcW w:w="323" w:type="dxa"/>
            <w:gridSpan w:val="2"/>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Cash inflows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920.0</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1 056.4</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3.2</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463.0</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Cash outflows</w:t>
            </w:r>
          </w:p>
        </w:tc>
        <w:tc>
          <w:tcPr>
            <w:tcW w:w="740" w:type="dxa"/>
            <w:gridSpan w:val="4"/>
            <w:tcBorders>
              <w:top w:val="nil"/>
              <w:left w:val="nil"/>
              <w:bottom w:val="single" w:sz="6"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(958.5)</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(793.8)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(1 481.5)</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 xml:space="preserve">(1 </w:t>
            </w:r>
            <w:r w:rsidRPr="006A75A2">
              <w:rPr>
                <w:rFonts w:eastAsiaTheme="minorEastAsia" w:cs="Calibri"/>
                <w:sz w:val="17"/>
                <w:szCs w:val="16"/>
                <w:lang w:eastAsia="en-AU"/>
              </w:rPr>
              <w:t>779.7)</w:t>
            </w:r>
          </w:p>
        </w:tc>
      </w:tr>
      <w:tr w:rsidR="004E6C32" w:rsidRPr="006A75A2" w:rsidTr="004B5CB1">
        <w:tc>
          <w:tcPr>
            <w:tcW w:w="4420" w:type="dxa"/>
            <w:tcBorders>
              <w:top w:val="nil"/>
              <w:left w:val="nil"/>
              <w:bottom w:val="nil"/>
              <w:right w:val="nil"/>
            </w:tcBorders>
            <w:shd w:val="solid" w:color="FFFFFF" w:fill="auto"/>
          </w:tcPr>
          <w:p w:rsidR="004E6C32" w:rsidRPr="006A75A2" w:rsidRDefault="004E6C32" w:rsidP="004B5CB1">
            <w:pPr>
              <w:pStyle w:val="Tabletext"/>
              <w:rPr>
                <w:rFonts w:eastAsiaTheme="minorEastAsia"/>
                <w:b/>
                <w:sz w:val="17"/>
                <w:szCs w:val="16"/>
                <w:lang w:eastAsia="en-AU"/>
              </w:rPr>
            </w:pPr>
            <w:r w:rsidRPr="006A75A2">
              <w:rPr>
                <w:rFonts w:eastAsiaTheme="minorEastAsia"/>
                <w:b/>
                <w:sz w:val="17"/>
                <w:szCs w:val="16"/>
                <w:lang w:eastAsia="en-AU"/>
              </w:rPr>
              <w:t>Net cash flows from investments in financial assets for policy purposes</w:t>
            </w:r>
          </w:p>
        </w:tc>
        <w:tc>
          <w:tcPr>
            <w:tcW w:w="740" w:type="dxa"/>
            <w:gridSpan w:val="4"/>
            <w:tcBorders>
              <w:top w:val="nil"/>
              <w:left w:val="nil"/>
              <w:bottom w:val="nil"/>
              <w:right w:val="nil"/>
            </w:tcBorders>
            <w:shd w:val="solid" w:color="FFFFFF" w:fill="auto"/>
          </w:tcPr>
          <w:p w:rsidR="004E6C32" w:rsidRPr="006A75A2" w:rsidRDefault="004E6C32" w:rsidP="004B5CB1">
            <w:pPr>
              <w:pStyle w:val="TableTextCentred"/>
              <w:rPr>
                <w:rFonts w:eastAsiaTheme="minorEastAsia"/>
                <w:b/>
                <w:sz w:val="17"/>
                <w:szCs w:val="16"/>
                <w:lang w:eastAsia="en-AU"/>
              </w:rPr>
            </w:pPr>
            <w:r w:rsidRPr="006A75A2">
              <w:rPr>
                <w:rFonts w:eastAsiaTheme="minorEastAsia"/>
                <w:b/>
                <w:sz w:val="17"/>
                <w:szCs w:val="16"/>
                <w:lang w:eastAsia="en-AU"/>
              </w:rPr>
              <w:t xml:space="preserve"> </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cs="Calibri"/>
                <w:b/>
                <w:bCs/>
                <w:sz w:val="17"/>
                <w:szCs w:val="16"/>
                <w:lang w:eastAsia="en-AU"/>
              </w:rPr>
            </w:pPr>
            <w:r w:rsidRPr="006A75A2">
              <w:rPr>
                <w:rFonts w:eastAsiaTheme="minorEastAsia"/>
                <w:b/>
                <w:sz w:val="17"/>
                <w:szCs w:val="16"/>
                <w:lang w:eastAsia="en-AU"/>
              </w:rPr>
              <w:t>(38.5)</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 xml:space="preserve"> 262.6</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(1 478.3)</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b/>
                <w:sz w:val="17"/>
                <w:szCs w:val="16"/>
                <w:lang w:eastAsia="en-AU"/>
              </w:rPr>
            </w:pPr>
            <w:r w:rsidRPr="006A75A2">
              <w:rPr>
                <w:rFonts w:eastAsiaTheme="minorEastAsia"/>
                <w:b/>
                <w:sz w:val="17"/>
                <w:szCs w:val="16"/>
                <w:lang w:eastAsia="en-AU"/>
              </w:rPr>
              <w:t>(1 316.8)</w:t>
            </w:r>
          </w:p>
        </w:tc>
      </w:tr>
      <w:tr w:rsidR="004E6C32" w:rsidRPr="006A75A2" w:rsidTr="004B5CB1">
        <w:tc>
          <w:tcPr>
            <w:tcW w:w="4420" w:type="dxa"/>
            <w:tcBorders>
              <w:top w:val="nil"/>
              <w:left w:val="nil"/>
              <w:bottom w:val="single" w:sz="6" w:space="0" w:color="auto"/>
              <w:right w:val="nil"/>
            </w:tcBorders>
          </w:tcPr>
          <w:p w:rsidR="004E6C32" w:rsidRPr="006A75A2" w:rsidRDefault="004E6C32" w:rsidP="00C96101">
            <w:pPr>
              <w:pStyle w:val="Tabletext"/>
              <w:rPr>
                <w:rFonts w:eastAsiaTheme="minorEastAsia" w:cs="Calibri"/>
                <w:sz w:val="17"/>
                <w:szCs w:val="22"/>
                <w:vertAlign w:val="superscript"/>
                <w:lang w:eastAsia="en-AU"/>
              </w:rPr>
            </w:pPr>
            <w:r w:rsidRPr="006A75A2">
              <w:rPr>
                <w:rFonts w:eastAsiaTheme="minorEastAsia"/>
                <w:sz w:val="17"/>
                <w:szCs w:val="16"/>
                <w:lang w:eastAsia="en-AU"/>
              </w:rPr>
              <w:t>Net cash flows from investments in financial assets for liquidity management purposes</w:t>
            </w:r>
            <w:r w:rsidRPr="006A75A2">
              <w:rPr>
                <w:rFonts w:eastAsiaTheme="minorEastAsia"/>
                <w:sz w:val="17"/>
                <w:szCs w:val="16"/>
                <w:vertAlign w:val="superscript"/>
                <w:lang w:eastAsia="en-AU"/>
              </w:rPr>
              <w:t>(c)(d)(e )</w:t>
            </w:r>
          </w:p>
        </w:tc>
        <w:tc>
          <w:tcPr>
            <w:tcW w:w="740" w:type="dxa"/>
            <w:gridSpan w:val="4"/>
            <w:tcBorders>
              <w:top w:val="nil"/>
              <w:left w:val="nil"/>
              <w:bottom w:val="single" w:sz="6"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(1 851.4)</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767.5</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331.8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(1 174.0)</w:t>
            </w:r>
          </w:p>
        </w:tc>
      </w:tr>
      <w:tr w:rsidR="004E6C32" w:rsidRPr="006A75A2" w:rsidTr="004B5CB1">
        <w:tc>
          <w:tcPr>
            <w:tcW w:w="442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Net cash flows from investing activities</w:t>
            </w:r>
          </w:p>
        </w:tc>
        <w:tc>
          <w:tcPr>
            <w:tcW w:w="740" w:type="dxa"/>
            <w:gridSpan w:val="4"/>
            <w:tcBorders>
              <w:top w:val="single" w:sz="6" w:space="0" w:color="auto"/>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(8 699.5)</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(6 161.4)</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(4 872.8)</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(6 375.9)</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Cash flows from financing activities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b/>
                <w:sz w:val="17"/>
                <w:szCs w:val="16"/>
                <w:lang w:eastAsia="en-AU"/>
              </w:rPr>
            </w:pP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b/>
                <w:sz w:val="17"/>
                <w:szCs w:val="16"/>
                <w:lang w:eastAsia="en-AU"/>
              </w:rPr>
            </w:pP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b/>
                <w:sz w:val="17"/>
                <w:szCs w:val="16"/>
                <w:lang w:eastAsia="en-AU"/>
              </w:rPr>
            </w:pP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b/>
                <w:sz w:val="17"/>
                <w:szCs w:val="16"/>
                <w:lang w:eastAsia="en-AU"/>
              </w:rPr>
            </w:pP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Advances received</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31.0</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304.5</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Advances repaid</w:t>
            </w:r>
          </w:p>
        </w:tc>
        <w:tc>
          <w:tcPr>
            <w:tcW w:w="740" w:type="dxa"/>
            <w:gridSpan w:val="4"/>
            <w:tcBorders>
              <w:top w:val="nil"/>
              <w:left w:val="nil"/>
              <w:bottom w:val="single" w:sz="6"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(0.6)</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(9.7)</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(0.2)</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Advances received (net)</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30.4</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294.8</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(0.2)</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Borrowings received</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13 748.6</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12 076.4</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2 851.3</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3 672.1</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Borrowings repaid</w:t>
            </w:r>
          </w:p>
        </w:tc>
        <w:tc>
          <w:tcPr>
            <w:tcW w:w="740" w:type="dxa"/>
            <w:gridSpan w:val="4"/>
            <w:tcBorders>
              <w:top w:val="nil"/>
              <w:left w:val="nil"/>
              <w:bottom w:val="single" w:sz="6"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(9 986.7)</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(9 501.8)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(1 359.5)</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(110.6)</w:t>
            </w:r>
          </w:p>
        </w:tc>
      </w:tr>
      <w:tr w:rsidR="004E6C32" w:rsidRPr="006A75A2" w:rsidTr="004B5CB1">
        <w:tc>
          <w:tcPr>
            <w:tcW w:w="4420" w:type="dxa"/>
            <w:tcBorders>
              <w:top w:val="nil"/>
              <w:left w:val="nil"/>
              <w:bottom w:val="nil"/>
              <w:right w:val="nil"/>
            </w:tcBorders>
          </w:tcPr>
          <w:p w:rsidR="004E6C32" w:rsidRPr="006A75A2" w:rsidRDefault="004E6C32" w:rsidP="00C96101">
            <w:pPr>
              <w:pStyle w:val="Tabletext"/>
              <w:rPr>
                <w:rFonts w:eastAsiaTheme="minorEastAsia" w:cs="Calibri"/>
                <w:sz w:val="17"/>
                <w:szCs w:val="22"/>
                <w:vertAlign w:val="superscript"/>
                <w:lang w:eastAsia="en-AU"/>
              </w:rPr>
            </w:pPr>
            <w:r w:rsidRPr="006A75A2">
              <w:rPr>
                <w:rFonts w:eastAsiaTheme="minorEastAsia"/>
                <w:sz w:val="17"/>
                <w:szCs w:val="16"/>
                <w:lang w:eastAsia="en-AU"/>
              </w:rPr>
              <w:t>Net borrowings</w:t>
            </w:r>
            <w:r w:rsidRPr="006A75A2">
              <w:rPr>
                <w:rFonts w:eastAsiaTheme="minorEastAsia"/>
                <w:sz w:val="17"/>
                <w:szCs w:val="16"/>
                <w:vertAlign w:val="superscript"/>
                <w:lang w:eastAsia="en-AU"/>
              </w:rPr>
              <w:t>(e)</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3 761.9</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2 574.6</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1 491.8</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3 561.5</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Deposits received</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818.8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508.9</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373.1</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301.5</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Deposits repaid</w:t>
            </w:r>
          </w:p>
        </w:tc>
        <w:tc>
          <w:tcPr>
            <w:tcW w:w="740" w:type="dxa"/>
            <w:gridSpan w:val="4"/>
            <w:tcBorders>
              <w:top w:val="nil"/>
              <w:left w:val="nil"/>
              <w:bottom w:val="single" w:sz="6"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(867.6)</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167.9</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(395.8)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 w:val="17"/>
                <w:szCs w:val="16"/>
                <w:lang w:eastAsia="en-AU"/>
              </w:rPr>
            </w:pPr>
            <w:r w:rsidRPr="006A75A2">
              <w:rPr>
                <w:rFonts w:eastAsiaTheme="minorEastAsia"/>
                <w:sz w:val="17"/>
                <w:szCs w:val="16"/>
                <w:lang w:eastAsia="en-AU"/>
              </w:rPr>
              <w:t>(218.5)</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Deposits received (net)</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cs="Calibri"/>
                <w:sz w:val="17"/>
                <w:szCs w:val="22"/>
                <w:lang w:eastAsia="en-AU"/>
              </w:rPr>
            </w:pPr>
            <w:r w:rsidRPr="006A75A2">
              <w:rPr>
                <w:rFonts w:eastAsiaTheme="minorEastAsia"/>
                <w:sz w:val="17"/>
                <w:szCs w:val="16"/>
                <w:lang w:eastAsia="en-AU"/>
              </w:rPr>
              <w:t>(48.7)</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676.8</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cs="Calibri"/>
                <w:sz w:val="17"/>
                <w:szCs w:val="22"/>
                <w:lang w:eastAsia="en-AU"/>
              </w:rPr>
            </w:pPr>
            <w:r w:rsidRPr="006A75A2">
              <w:rPr>
                <w:rFonts w:eastAsiaTheme="minorEastAsia"/>
                <w:sz w:val="17"/>
                <w:szCs w:val="16"/>
                <w:lang w:eastAsia="en-AU"/>
              </w:rPr>
              <w:t>(22.7)</w:t>
            </w:r>
          </w:p>
        </w:tc>
        <w:tc>
          <w:tcPr>
            <w:tcW w:w="1120" w:type="dxa"/>
            <w:tcBorders>
              <w:top w:val="single" w:sz="6" w:space="0" w:color="auto"/>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82.9</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Other financing inflows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Other financing outflows</w:t>
            </w:r>
          </w:p>
        </w:tc>
        <w:tc>
          <w:tcPr>
            <w:tcW w:w="740" w:type="dxa"/>
            <w:gridSpan w:val="4"/>
            <w:tcBorders>
              <w:top w:val="nil"/>
              <w:left w:val="nil"/>
              <w:bottom w:val="single" w:sz="6"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3.0</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r>
      <w:tr w:rsidR="004E6C32" w:rsidRPr="006A75A2" w:rsidTr="004B5CB1">
        <w:tc>
          <w:tcPr>
            <w:tcW w:w="442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Other financing (net)</w:t>
            </w:r>
          </w:p>
        </w:tc>
        <w:tc>
          <w:tcPr>
            <w:tcW w:w="740" w:type="dxa"/>
            <w:gridSpan w:val="4"/>
            <w:tcBorders>
              <w:top w:val="nil"/>
              <w:left w:val="nil"/>
              <w:bottom w:val="nil"/>
              <w:right w:val="nil"/>
            </w:tcBorders>
            <w:shd w:val="solid" w:color="FFFFFF" w:fill="auto"/>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 xml:space="preserve"> 3.0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w:t>
            </w:r>
          </w:p>
        </w:tc>
      </w:tr>
      <w:tr w:rsidR="004E6C32" w:rsidRPr="006A75A2" w:rsidTr="004B5CB1">
        <w:tc>
          <w:tcPr>
            <w:tcW w:w="442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Net cash flows from financing activities</w:t>
            </w:r>
          </w:p>
        </w:tc>
        <w:tc>
          <w:tcPr>
            <w:tcW w:w="740" w:type="dxa"/>
            <w:gridSpan w:val="4"/>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3 746.6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3 546.2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1 469.2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3 644.2</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Net increase/(decrease) in cash and cash equivalents</w:t>
            </w:r>
          </w:p>
        </w:tc>
        <w:tc>
          <w:tcPr>
            <w:tcW w:w="740" w:type="dxa"/>
            <w:gridSpan w:val="4"/>
            <w:tcBorders>
              <w:top w:val="single" w:sz="6" w:space="0" w:color="auto"/>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1 947.1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 xml:space="preserve"> 197.2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 xml:space="preserve"> 538.9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(1 039.4)</w:t>
            </w:r>
          </w:p>
        </w:tc>
      </w:tr>
      <w:tr w:rsidR="004E6C32" w:rsidRPr="006A75A2" w:rsidTr="004B5CB1">
        <w:tc>
          <w:tcPr>
            <w:tcW w:w="4553" w:type="dxa"/>
            <w:gridSpan w:val="2"/>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Cash and cash equivalents at beginning of the financial year</w:t>
            </w:r>
          </w:p>
        </w:tc>
        <w:tc>
          <w:tcPr>
            <w:tcW w:w="607" w:type="dxa"/>
            <w:gridSpan w:val="3"/>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6 252.9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6 055.6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3 962.0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7"/>
                <w:szCs w:val="16"/>
                <w:lang w:eastAsia="en-AU"/>
              </w:rPr>
            </w:pPr>
            <w:r w:rsidRPr="006A75A2">
              <w:rPr>
                <w:rFonts w:eastAsiaTheme="minorEastAsia"/>
                <w:sz w:val="17"/>
                <w:szCs w:val="16"/>
                <w:lang w:eastAsia="en-AU"/>
              </w:rPr>
              <w:t>5 001.3</w:t>
            </w:r>
          </w:p>
        </w:tc>
      </w:tr>
      <w:tr w:rsidR="004E6C32" w:rsidRPr="006A75A2" w:rsidTr="004B5CB1">
        <w:tc>
          <w:tcPr>
            <w:tcW w:w="4420" w:type="dxa"/>
            <w:tcBorders>
              <w:top w:val="single" w:sz="6" w:space="0" w:color="auto"/>
              <w:left w:val="nil"/>
              <w:bottom w:val="single" w:sz="12" w:space="0" w:color="auto"/>
              <w:right w:val="nil"/>
            </w:tcBorders>
          </w:tcPr>
          <w:p w:rsidR="004E6C32" w:rsidRPr="006A75A2" w:rsidRDefault="004E6C32" w:rsidP="00C96101">
            <w:pPr>
              <w:pStyle w:val="Tabletext"/>
              <w:rPr>
                <w:rFonts w:eastAsiaTheme="minorEastAsia" w:cs="Calibri"/>
                <w:b/>
                <w:bCs/>
                <w:sz w:val="17"/>
                <w:szCs w:val="16"/>
                <w:vertAlign w:val="superscript"/>
                <w:lang w:eastAsia="en-AU"/>
              </w:rPr>
            </w:pPr>
            <w:r w:rsidRPr="006A75A2">
              <w:rPr>
                <w:rFonts w:eastAsiaTheme="minorEastAsia"/>
                <w:b/>
                <w:bCs/>
                <w:sz w:val="17"/>
                <w:szCs w:val="16"/>
                <w:lang w:eastAsia="en-AU"/>
              </w:rPr>
              <w:t>Cash and cash equivalents at end of the financial year</w:t>
            </w:r>
            <w:r w:rsidRPr="006A75A2">
              <w:rPr>
                <w:rFonts w:eastAsiaTheme="minorEastAsia" w:cs="Calibri"/>
                <w:b/>
                <w:bCs/>
                <w:sz w:val="17"/>
                <w:szCs w:val="16"/>
                <w:vertAlign w:val="superscript"/>
                <w:lang w:eastAsia="en-AU"/>
              </w:rPr>
              <w:t>(f)</w:t>
            </w:r>
          </w:p>
        </w:tc>
        <w:tc>
          <w:tcPr>
            <w:tcW w:w="740" w:type="dxa"/>
            <w:gridSpan w:val="4"/>
            <w:tcBorders>
              <w:top w:val="single" w:sz="6" w:space="0" w:color="auto"/>
              <w:left w:val="nil"/>
              <w:bottom w:val="single" w:sz="12"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30(a)</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8 199.9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6 252.9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4 500.9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3 962.0</w:t>
            </w:r>
          </w:p>
        </w:tc>
      </w:tr>
      <w:tr w:rsidR="004E6C32" w:rsidRPr="006A75A2" w:rsidTr="004B5CB1">
        <w:tc>
          <w:tcPr>
            <w:tcW w:w="4420" w:type="dxa"/>
            <w:tcBorders>
              <w:top w:val="nil"/>
              <w:left w:val="nil"/>
              <w:bottom w:val="nil"/>
              <w:right w:val="nil"/>
            </w:tcBorders>
            <w:shd w:val="solid" w:color="FFFFFF" w:fill="auto"/>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FISCAL AGGREGATES</w:t>
            </w:r>
          </w:p>
        </w:tc>
        <w:tc>
          <w:tcPr>
            <w:tcW w:w="740" w:type="dxa"/>
            <w:gridSpan w:val="4"/>
            <w:tcBorders>
              <w:top w:val="nil"/>
              <w:left w:val="nil"/>
              <w:bottom w:val="nil"/>
              <w:right w:val="nil"/>
            </w:tcBorders>
            <w:shd w:val="solid" w:color="FFFFFF" w:fill="auto"/>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 xml:space="preserve">  </w:t>
            </w:r>
          </w:p>
        </w:tc>
      </w:tr>
      <w:tr w:rsidR="004E6C32" w:rsidRPr="006A75A2" w:rsidTr="004B5CB1">
        <w:tc>
          <w:tcPr>
            <w:tcW w:w="4420" w:type="dxa"/>
            <w:tcBorders>
              <w:top w:val="nil"/>
              <w:left w:val="nil"/>
              <w:bottom w:val="nil"/>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Net cash flows from operating activities</w:t>
            </w:r>
          </w:p>
        </w:tc>
        <w:tc>
          <w:tcPr>
            <w:tcW w:w="740" w:type="dxa"/>
            <w:gridSpan w:val="4"/>
            <w:tcBorders>
              <w:top w:val="nil"/>
              <w:left w:val="nil"/>
              <w:bottom w:val="nil"/>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6 900.0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2 812.4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3 942.5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1 692.3</w:t>
            </w:r>
          </w:p>
        </w:tc>
      </w:tr>
      <w:tr w:rsidR="004E6C32" w:rsidRPr="006A75A2" w:rsidTr="004B5CB1">
        <w:tc>
          <w:tcPr>
            <w:tcW w:w="4420" w:type="dxa"/>
            <w:tcBorders>
              <w:top w:val="nil"/>
              <w:left w:val="nil"/>
              <w:bottom w:val="single" w:sz="6" w:space="0" w:color="auto"/>
              <w:right w:val="nil"/>
            </w:tcBorders>
          </w:tcPr>
          <w:p w:rsidR="004E6C32" w:rsidRPr="006A75A2" w:rsidRDefault="004E6C32" w:rsidP="004B5CB1">
            <w:pPr>
              <w:pStyle w:val="Tabletext"/>
              <w:rPr>
                <w:rFonts w:eastAsiaTheme="minorEastAsia"/>
                <w:sz w:val="17"/>
                <w:szCs w:val="16"/>
                <w:lang w:eastAsia="en-AU"/>
              </w:rPr>
            </w:pPr>
            <w:r w:rsidRPr="006A75A2">
              <w:rPr>
                <w:rFonts w:eastAsiaTheme="minorEastAsia"/>
                <w:sz w:val="17"/>
                <w:szCs w:val="16"/>
                <w:lang w:eastAsia="en-AU"/>
              </w:rPr>
              <w:t>Net cash flows from investments in non-financial assets</w:t>
            </w:r>
          </w:p>
        </w:tc>
        <w:tc>
          <w:tcPr>
            <w:tcW w:w="740" w:type="dxa"/>
            <w:gridSpan w:val="4"/>
            <w:tcBorders>
              <w:top w:val="nil"/>
              <w:left w:val="nil"/>
              <w:bottom w:val="single" w:sz="6" w:space="0" w:color="auto"/>
              <w:right w:val="nil"/>
            </w:tcBorders>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(6 809.6)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(7 191.5)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(3 726.4)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(3 885.2)</w:t>
            </w:r>
          </w:p>
        </w:tc>
      </w:tr>
      <w:tr w:rsidR="004E6C32" w:rsidRPr="006A75A2" w:rsidTr="004B5CB1">
        <w:tc>
          <w:tcPr>
            <w:tcW w:w="44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7"/>
                <w:szCs w:val="16"/>
                <w:lang w:eastAsia="en-AU"/>
              </w:rPr>
            </w:pPr>
            <w:r w:rsidRPr="006A75A2">
              <w:rPr>
                <w:rFonts w:eastAsiaTheme="minorEastAsia"/>
                <w:b/>
                <w:bCs/>
                <w:sz w:val="17"/>
                <w:szCs w:val="16"/>
                <w:lang w:eastAsia="en-AU"/>
              </w:rPr>
              <w:t>Cash surplus/(deficit)</w:t>
            </w:r>
          </w:p>
        </w:tc>
        <w:tc>
          <w:tcPr>
            <w:tcW w:w="740" w:type="dxa"/>
            <w:gridSpan w:val="4"/>
            <w:tcBorders>
              <w:top w:val="single" w:sz="6" w:space="0" w:color="auto"/>
              <w:left w:val="nil"/>
              <w:bottom w:val="single" w:sz="12" w:space="0" w:color="000000"/>
              <w:right w:val="nil"/>
            </w:tcBorders>
            <w:shd w:val="clear" w:color="auto" w:fill="auto"/>
          </w:tcPr>
          <w:p w:rsidR="004E6C32" w:rsidRPr="006A75A2" w:rsidRDefault="004E6C32" w:rsidP="004B5CB1">
            <w:pPr>
              <w:pStyle w:val="TableTextCentred"/>
              <w:rPr>
                <w:rFonts w:eastAsiaTheme="minorEastAsia"/>
                <w:sz w:val="17"/>
                <w:szCs w:val="16"/>
                <w:lang w:eastAsia="en-AU"/>
              </w:rPr>
            </w:pPr>
            <w:r w:rsidRPr="006A75A2">
              <w:rPr>
                <w:rFonts w:eastAsiaTheme="minorEastAsia"/>
                <w:sz w:val="17"/>
                <w:szCs w:val="16"/>
                <w:lang w:eastAsia="en-AU"/>
              </w:rPr>
              <w:t xml:space="preserve"> </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 xml:space="preserve"> 90.4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(4 379.1)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 xml:space="preserve"> 216.2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6"/>
                <w:lang w:eastAsia="en-AU"/>
              </w:rPr>
            </w:pPr>
            <w:r w:rsidRPr="006A75A2">
              <w:rPr>
                <w:rFonts w:eastAsiaTheme="minorEastAsia"/>
                <w:b/>
                <w:bCs/>
                <w:sz w:val="17"/>
                <w:szCs w:val="16"/>
                <w:lang w:eastAsia="en-AU"/>
              </w:rPr>
              <w:t>(2 192.9)</w:t>
            </w:r>
          </w:p>
        </w:tc>
      </w:tr>
    </w:tbl>
    <w:p w:rsidR="004E6C32" w:rsidRPr="006A75A2" w:rsidRDefault="004E6C32" w:rsidP="004B5CB1">
      <w:pPr>
        <w:pStyle w:val="Source"/>
      </w:pPr>
      <w:r w:rsidRPr="006A75A2">
        <w:rPr>
          <w:rStyle w:val="SourceChar"/>
          <w:i/>
        </w:rPr>
        <w:t>The accompanying notes form part of these financial statements</w:t>
      </w:r>
      <w:r w:rsidRPr="006A75A2">
        <w:t>.</w:t>
      </w:r>
    </w:p>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These items are inclusive of goods and services tax.</w:t>
      </w:r>
    </w:p>
    <w:p w:rsidR="004E6C32" w:rsidRPr="006A75A2" w:rsidRDefault="004E6C32" w:rsidP="004B5CB1">
      <w:pPr>
        <w:pStyle w:val="Notes"/>
      </w:pPr>
      <w:r w:rsidRPr="006A75A2">
        <w:t>(b)</w:t>
      </w:r>
      <w:r w:rsidRPr="006A75A2">
        <w:tab/>
        <w:t>2012-13 comparative cash flows have been restated to more accurately reflect the classification of interest cash flows.</w:t>
      </w:r>
    </w:p>
    <w:p w:rsidR="004E6C32" w:rsidRPr="006A75A2" w:rsidRDefault="004E6C32" w:rsidP="004B5CB1">
      <w:pPr>
        <w:pStyle w:val="Notes"/>
      </w:pPr>
      <w:r w:rsidRPr="006A75A2">
        <w:t>(c)</w:t>
      </w:r>
      <w:r w:rsidRPr="006A75A2">
        <w:tab/>
        <w:t>2012-13 comparative cash flows have been restated to reflect the reallocation of investments sold but not yet settled.</w:t>
      </w:r>
    </w:p>
    <w:p w:rsidR="004E6C32" w:rsidRPr="006A75A2" w:rsidRDefault="004E6C32" w:rsidP="004B5CB1">
      <w:pPr>
        <w:pStyle w:val="Notes"/>
      </w:pPr>
      <w:r w:rsidRPr="006A75A2">
        <w:t>(d)</w:t>
      </w:r>
      <w:r w:rsidRPr="006A75A2">
        <w:tab/>
        <w:t>The cash flows for this item are presented net of inflows due to the high volume and short</w:t>
      </w:r>
      <w:r w:rsidRPr="006A75A2">
        <w:noBreakHyphen/>
        <w:t>term nature of these transactions.</w:t>
      </w:r>
    </w:p>
    <w:p w:rsidR="004E6C32" w:rsidRPr="006A75A2" w:rsidRDefault="004E6C32" w:rsidP="004B5CB1">
      <w:pPr>
        <w:pStyle w:val="Notes"/>
      </w:pPr>
      <w:r w:rsidRPr="006A75A2">
        <w:t>(e)</w:t>
      </w:r>
      <w:r w:rsidRPr="006A75A2">
        <w:tab/>
        <w:t>Cash flows associated with derivatives in insurance public financial corporations are included under net cash flows from investments in financial assets for liquidity management purposes. See Notes 16 and 26 for balance sheet classification.</w:t>
      </w:r>
    </w:p>
    <w:p w:rsidR="004E6C32" w:rsidRPr="006A75A2" w:rsidRDefault="004E6C32" w:rsidP="004B5CB1">
      <w:pPr>
        <w:pStyle w:val="Notes"/>
      </w:pPr>
      <w:r w:rsidRPr="006A75A2">
        <w:t>(f)</w:t>
      </w:r>
      <w:r w:rsidRPr="006A75A2">
        <w:tab/>
        <w:t>Cash and cash equivalents at the end of the reporting period does not equal cash and deposits on the balance sheet. This is due to overdrafts being included in the cash flow statement. See Note 30(a).</w:t>
      </w:r>
    </w:p>
    <w:p w:rsidR="004E6C32" w:rsidRPr="006A75A2" w:rsidRDefault="004E6C32" w:rsidP="004B5CB1">
      <w:pPr>
        <w:pStyle w:val="Tableheading"/>
      </w:pPr>
      <w:r w:rsidRPr="006A75A2">
        <w:lastRenderedPageBreak/>
        <w:t>Consolidated statement of changes in equity for the financial year ending 30 June</w:t>
      </w:r>
    </w:p>
    <w:p w:rsidR="004E6C32" w:rsidRPr="006A75A2" w:rsidRDefault="004E6C32" w:rsidP="004B5CB1">
      <w:pPr>
        <w:pStyle w:val="million"/>
        <w:rPr>
          <w:rFonts w:ascii="Times New Roman" w:hAnsi="Times New Roman"/>
          <w:lang w:eastAsia="en-AU"/>
        </w:rPr>
      </w:pPr>
      <w:r w:rsidRPr="006A75A2">
        <w:t>($ million)</w:t>
      </w:r>
    </w:p>
    <w:tbl>
      <w:tblPr>
        <w:tblW w:w="9656" w:type="dxa"/>
        <w:tblInd w:w="28" w:type="dxa"/>
        <w:tblLayout w:type="fixed"/>
        <w:tblCellMar>
          <w:left w:w="45" w:type="dxa"/>
          <w:right w:w="45" w:type="dxa"/>
        </w:tblCellMar>
        <w:tblLook w:val="0000" w:firstRow="0" w:lastRow="0" w:firstColumn="0" w:lastColumn="0" w:noHBand="0" w:noVBand="0"/>
      </w:tblPr>
      <w:tblGrid>
        <w:gridCol w:w="5120"/>
        <w:gridCol w:w="2552"/>
        <w:gridCol w:w="1984"/>
      </w:tblGrid>
      <w:tr w:rsidR="004E6C32" w:rsidRPr="006A75A2" w:rsidTr="004B5CB1">
        <w:tc>
          <w:tcPr>
            <w:tcW w:w="512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p>
          <w:p w:rsidR="004E6C32" w:rsidRPr="006A75A2" w:rsidRDefault="004E6C32" w:rsidP="004B5CB1">
            <w:pPr>
              <w:pStyle w:val="TabletextheadingLeft"/>
              <w:rPr>
                <w:rFonts w:eastAsiaTheme="minorEastAsia"/>
                <w:lang w:eastAsia="en-AU"/>
              </w:rPr>
            </w:pPr>
          </w:p>
          <w:p w:rsidR="004E6C32" w:rsidRPr="006A75A2" w:rsidRDefault="004E6C32" w:rsidP="004B5CB1">
            <w:pPr>
              <w:pStyle w:val="TabletextheadingLeft"/>
              <w:rPr>
                <w:rFonts w:eastAsiaTheme="minorEastAsia"/>
                <w:lang w:eastAsia="en-AU"/>
              </w:rPr>
            </w:pPr>
            <w:r w:rsidRPr="006A75A2">
              <w:rPr>
                <w:rFonts w:eastAsiaTheme="minorEastAsia"/>
                <w:lang w:eastAsia="en-AU"/>
              </w:rPr>
              <w:t>State of Victoria</w:t>
            </w:r>
          </w:p>
        </w:tc>
        <w:tc>
          <w:tcPr>
            <w:tcW w:w="2552"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Accumulated surplus/(deficit)</w:t>
            </w:r>
          </w:p>
        </w:tc>
        <w:tc>
          <w:tcPr>
            <w:tcW w:w="1984" w:type="dxa"/>
            <w:tcBorders>
              <w:top w:val="single" w:sz="6" w:space="0" w:color="auto"/>
              <w:left w:val="nil"/>
              <w:bottom w:val="single" w:sz="6" w:space="0" w:color="auto"/>
              <w:right w:val="nil"/>
            </w:tcBorders>
            <w:shd w:val="solid" w:color="000000" w:fill="auto"/>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Non-controlling Interest</w:t>
            </w:r>
          </w:p>
        </w:tc>
      </w:tr>
      <w:tr w:rsidR="004E6C32" w:rsidRPr="006A75A2" w:rsidTr="004B5CB1">
        <w:tc>
          <w:tcPr>
            <w:tcW w:w="512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2014</w:t>
            </w:r>
          </w:p>
        </w:tc>
        <w:tc>
          <w:tcPr>
            <w:tcW w:w="2552"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51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43 565.1</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r>
      <w:tr w:rsidR="004E6C32" w:rsidRPr="006A75A2" w:rsidTr="004B5CB1">
        <w:tc>
          <w:tcPr>
            <w:tcW w:w="51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1 659.3</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987.0</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255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8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5120" w:type="dxa"/>
            <w:tcBorders>
              <w:top w:val="nil"/>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2014</w:t>
            </w:r>
          </w:p>
        </w:tc>
        <w:tc>
          <w:tcPr>
            <w:tcW w:w="2552"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46 211.3</w:t>
            </w:r>
          </w:p>
        </w:tc>
        <w:tc>
          <w:tcPr>
            <w:tcW w:w="1984"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r>
      <w:tr w:rsidR="004E6C32" w:rsidRPr="006A75A2" w:rsidTr="004B5CB1">
        <w:tc>
          <w:tcPr>
            <w:tcW w:w="5120" w:type="dxa"/>
            <w:tcBorders>
              <w:top w:val="nil"/>
              <w:left w:val="nil"/>
              <w:bottom w:val="nil"/>
              <w:right w:val="nil"/>
            </w:tcBorders>
          </w:tcPr>
          <w:p w:rsidR="004E6C32" w:rsidRPr="006A75A2" w:rsidRDefault="004E6C32" w:rsidP="00C96101">
            <w:pPr>
              <w:pStyle w:val="Tabletext"/>
              <w:rPr>
                <w:rFonts w:eastAsiaTheme="minorEastAsia"/>
                <w:b/>
                <w:bCs/>
                <w:vertAlign w:val="superscript"/>
                <w:lang w:eastAsia="en-AU"/>
              </w:rPr>
            </w:pPr>
            <w:r w:rsidRPr="006A75A2">
              <w:rPr>
                <w:rFonts w:eastAsiaTheme="minorEastAsia"/>
                <w:b/>
                <w:bCs/>
                <w:lang w:eastAsia="en-AU"/>
              </w:rPr>
              <w:t>2013</w:t>
            </w:r>
            <w:r w:rsidRPr="006A75A2">
              <w:rPr>
                <w:rFonts w:eastAsiaTheme="minorEastAsia"/>
                <w:b/>
                <w:bCs/>
                <w:vertAlign w:val="superscript"/>
                <w:lang w:eastAsia="en-AU"/>
              </w:rPr>
              <w:t>(a)</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51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2012</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32 522.9</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r>
      <w:tr w:rsidR="004E6C32" w:rsidRPr="006A75A2" w:rsidTr="004B5CB1">
        <w:tc>
          <w:tcPr>
            <w:tcW w:w="5120" w:type="dxa"/>
            <w:tcBorders>
              <w:top w:val="nil"/>
              <w:left w:val="nil"/>
              <w:bottom w:val="nil"/>
              <w:right w:val="nil"/>
            </w:tcBorders>
          </w:tcPr>
          <w:p w:rsidR="004E6C32" w:rsidRPr="006A75A2" w:rsidRDefault="004E6C32" w:rsidP="00C96101">
            <w:pPr>
              <w:pStyle w:val="Tabletext"/>
              <w:rPr>
                <w:rFonts w:eastAsiaTheme="minorEastAsia"/>
                <w:vertAlign w:val="superscript"/>
                <w:lang w:eastAsia="en-AU"/>
              </w:rPr>
            </w:pPr>
            <w:r w:rsidRPr="006A75A2">
              <w:rPr>
                <w:rFonts w:eastAsiaTheme="minorEastAsia"/>
                <w:lang w:eastAsia="en-AU"/>
              </w:rPr>
              <w:t>Net result for the year</w:t>
            </w:r>
            <w:r w:rsidRPr="006A75A2">
              <w:rPr>
                <w:rFonts w:eastAsiaTheme="minorEastAsia"/>
                <w:vertAlign w:val="superscript"/>
                <w:lang w:eastAsia="en-AU"/>
              </w:rPr>
              <w:t>(b)</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1 536.0</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nil"/>
              <w:left w:val="nil"/>
              <w:bottom w:val="nil"/>
              <w:right w:val="nil"/>
            </w:tcBorders>
          </w:tcPr>
          <w:p w:rsidR="004E6C32" w:rsidRPr="006A75A2" w:rsidRDefault="004E6C32" w:rsidP="00C96101">
            <w:pPr>
              <w:pStyle w:val="Tabletext"/>
              <w:rPr>
                <w:rFonts w:eastAsiaTheme="minorEastAsia"/>
                <w:vertAlign w:val="superscript"/>
                <w:lang w:eastAsia="en-AU"/>
              </w:rPr>
            </w:pPr>
            <w:r w:rsidRPr="006A75A2">
              <w:rPr>
                <w:rFonts w:eastAsiaTheme="minorEastAsia"/>
                <w:lang w:eastAsia="en-AU"/>
              </w:rPr>
              <w:t>Other comprehensive income for the year</w:t>
            </w:r>
            <w:r w:rsidRPr="006A75A2">
              <w:rPr>
                <w:rFonts w:eastAsiaTheme="minorEastAsia"/>
                <w:vertAlign w:val="superscript"/>
                <w:lang w:eastAsia="en-AU"/>
              </w:rPr>
              <w:t>(b)</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9 506.1</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255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2013</w:t>
            </w:r>
          </w:p>
        </w:tc>
        <w:tc>
          <w:tcPr>
            <w:tcW w:w="255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43 565.1</w:t>
            </w:r>
          </w:p>
        </w:tc>
        <w:tc>
          <w:tcPr>
            <w:tcW w:w="198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r>
    </w:tbl>
    <w:p w:rsidR="004E6C32" w:rsidRPr="006A75A2" w:rsidRDefault="004E6C32" w:rsidP="004B5CB1">
      <w:pPr>
        <w:pStyle w:val="Source"/>
      </w:pPr>
      <w:r w:rsidRPr="006A75A2">
        <w:t>The accompanying notes form part of these financial statements.</w:t>
      </w:r>
    </w:p>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The comparative figures have been restated due to the reclassification of deferred tax liability balances. See Note 37.</w:t>
      </w:r>
    </w:p>
    <w:p w:rsidR="004E6C32" w:rsidRPr="006A75A2" w:rsidRDefault="004E6C32" w:rsidP="004B5CB1">
      <w:pPr>
        <w:pStyle w:val="Notes"/>
      </w:pPr>
      <w:r w:rsidRPr="006A75A2">
        <w:t>(b)</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 w:rsidR="004E6C32" w:rsidRPr="006A75A2" w:rsidRDefault="004E6C32" w:rsidP="004B5CB1">
      <w:pPr>
        <w:pStyle w:val="million"/>
        <w:rPr>
          <w:rFonts w:ascii="Times New Roman" w:hAnsi="Times New Roman"/>
          <w:lang w:eastAsia="en-AU"/>
        </w:rPr>
      </w:pPr>
      <w:r w:rsidRPr="006A75A2">
        <w:rPr>
          <w:lang w:eastAsia="en-AU"/>
        </w:rPr>
        <w:t>($ million)</w:t>
      </w:r>
    </w:p>
    <w:tbl>
      <w:tblPr>
        <w:tblW w:w="9656" w:type="dxa"/>
        <w:tblInd w:w="28" w:type="dxa"/>
        <w:tblLayout w:type="fixed"/>
        <w:tblCellMar>
          <w:left w:w="45" w:type="dxa"/>
          <w:right w:w="45" w:type="dxa"/>
        </w:tblCellMar>
        <w:tblLook w:val="0000" w:firstRow="0" w:lastRow="0" w:firstColumn="0" w:lastColumn="0" w:noHBand="0" w:noVBand="0"/>
      </w:tblPr>
      <w:tblGrid>
        <w:gridCol w:w="5120"/>
        <w:gridCol w:w="2552"/>
        <w:gridCol w:w="1984"/>
      </w:tblGrid>
      <w:tr w:rsidR="004E6C32" w:rsidRPr="006A75A2" w:rsidTr="004B5CB1">
        <w:tc>
          <w:tcPr>
            <w:tcW w:w="512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p>
          <w:p w:rsidR="004E6C32" w:rsidRPr="006A75A2" w:rsidRDefault="004E6C32" w:rsidP="004B5CB1">
            <w:pPr>
              <w:pStyle w:val="Tabletext"/>
              <w:rPr>
                <w:rFonts w:eastAsiaTheme="minorEastAsia"/>
                <w:lang w:eastAsia="en-AU"/>
              </w:rPr>
            </w:pPr>
          </w:p>
          <w:p w:rsidR="004E6C32" w:rsidRPr="006A75A2" w:rsidRDefault="004E6C32" w:rsidP="004B5CB1">
            <w:pPr>
              <w:pStyle w:val="TabletextheadingLeft"/>
              <w:rPr>
                <w:rFonts w:eastAsiaTheme="minorEastAsia"/>
                <w:lang w:eastAsia="en-AU"/>
              </w:rPr>
            </w:pPr>
            <w:r w:rsidRPr="006A75A2">
              <w:rPr>
                <w:rFonts w:eastAsiaTheme="minorEastAsia"/>
                <w:lang w:eastAsia="en-AU"/>
              </w:rPr>
              <w:t>General government sector</w:t>
            </w:r>
          </w:p>
        </w:tc>
        <w:tc>
          <w:tcPr>
            <w:tcW w:w="2552"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Accumulated surplus/(deficit)</w:t>
            </w:r>
          </w:p>
        </w:tc>
        <w:tc>
          <w:tcPr>
            <w:tcW w:w="1984" w:type="dxa"/>
            <w:tcBorders>
              <w:top w:val="single" w:sz="6" w:space="0" w:color="auto"/>
              <w:left w:val="nil"/>
              <w:bottom w:val="single" w:sz="6" w:space="0" w:color="auto"/>
              <w:right w:val="nil"/>
            </w:tcBorders>
            <w:shd w:val="solid" w:color="000000" w:fill="auto"/>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Non-controlling Interest</w:t>
            </w:r>
          </w:p>
        </w:tc>
      </w:tr>
      <w:tr w:rsidR="004E6C32" w:rsidRPr="006A75A2" w:rsidTr="004B5CB1">
        <w:tc>
          <w:tcPr>
            <w:tcW w:w="512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2014</w:t>
            </w:r>
          </w:p>
        </w:tc>
        <w:tc>
          <w:tcPr>
            <w:tcW w:w="2552"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98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cs="Calibri"/>
                <w:szCs w:val="22"/>
                <w:lang w:eastAsia="en-AU"/>
              </w:rPr>
              <w:t xml:space="preserve"> </w:t>
            </w:r>
          </w:p>
        </w:tc>
      </w:tr>
      <w:tr w:rsidR="004E6C32" w:rsidRPr="006A75A2" w:rsidTr="004B5CB1">
        <w:tc>
          <w:tcPr>
            <w:tcW w:w="51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43 174.7</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r>
      <w:tr w:rsidR="004E6C32" w:rsidRPr="006A75A2" w:rsidTr="004B5CB1">
        <w:tc>
          <w:tcPr>
            <w:tcW w:w="51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773.1</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462.3</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nil"/>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2014</w:t>
            </w:r>
          </w:p>
        </w:tc>
        <w:tc>
          <w:tcPr>
            <w:tcW w:w="2552"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44 410.0</w:t>
            </w:r>
          </w:p>
        </w:tc>
        <w:tc>
          <w:tcPr>
            <w:tcW w:w="198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r>
      <w:tr w:rsidR="004E6C32" w:rsidRPr="006A75A2" w:rsidTr="004B5CB1">
        <w:tc>
          <w:tcPr>
            <w:tcW w:w="5120" w:type="dxa"/>
            <w:tcBorders>
              <w:top w:val="nil"/>
              <w:left w:val="nil"/>
              <w:bottom w:val="nil"/>
              <w:right w:val="nil"/>
            </w:tcBorders>
          </w:tcPr>
          <w:p w:rsidR="004E6C32" w:rsidRPr="006A75A2" w:rsidRDefault="004E6C32" w:rsidP="000D4B68">
            <w:pPr>
              <w:pStyle w:val="Tabletext"/>
              <w:rPr>
                <w:rFonts w:eastAsiaTheme="minorEastAsia"/>
                <w:b/>
                <w:bCs/>
                <w:vertAlign w:val="superscript"/>
                <w:lang w:eastAsia="en-AU"/>
              </w:rPr>
            </w:pPr>
            <w:r w:rsidRPr="006A75A2">
              <w:rPr>
                <w:rFonts w:eastAsiaTheme="minorEastAsia"/>
                <w:b/>
                <w:bCs/>
                <w:lang w:eastAsia="en-AU"/>
              </w:rPr>
              <w:t>2013</w:t>
            </w:r>
            <w:r w:rsidRPr="006A75A2">
              <w:rPr>
                <w:rFonts w:eastAsiaTheme="minorEastAsia"/>
                <w:b/>
                <w:bCs/>
                <w:vertAlign w:val="superscript"/>
                <w:lang w:eastAsia="en-AU"/>
              </w:rPr>
              <w:t>(a)</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51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2012</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34 808.2</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r>
      <w:tr w:rsidR="004E6C32" w:rsidRPr="006A75A2" w:rsidTr="004B5CB1">
        <w:tc>
          <w:tcPr>
            <w:tcW w:w="5120" w:type="dxa"/>
            <w:tcBorders>
              <w:top w:val="nil"/>
              <w:left w:val="nil"/>
              <w:bottom w:val="nil"/>
              <w:right w:val="nil"/>
            </w:tcBorders>
          </w:tcPr>
          <w:p w:rsidR="004E6C32" w:rsidRPr="006A75A2" w:rsidRDefault="004E6C32" w:rsidP="000D4B68">
            <w:pPr>
              <w:pStyle w:val="Tabletext"/>
              <w:rPr>
                <w:rFonts w:eastAsiaTheme="minorEastAsia"/>
                <w:vertAlign w:val="superscript"/>
                <w:lang w:eastAsia="en-AU"/>
              </w:rPr>
            </w:pPr>
            <w:r w:rsidRPr="006A75A2">
              <w:rPr>
                <w:rFonts w:eastAsiaTheme="minorEastAsia"/>
                <w:lang w:eastAsia="en-AU"/>
              </w:rPr>
              <w:t>Net result for the year</w:t>
            </w:r>
            <w:r w:rsidRPr="006A75A2">
              <w:rPr>
                <w:rFonts w:eastAsiaTheme="minorEastAsia"/>
                <w:vertAlign w:val="superscript"/>
                <w:lang w:eastAsia="en-AU"/>
              </w:rPr>
              <w:t>(b)</w:t>
            </w:r>
          </w:p>
        </w:tc>
        <w:tc>
          <w:tcPr>
            <w:tcW w:w="255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(533.9)</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nil"/>
              <w:left w:val="nil"/>
              <w:bottom w:val="nil"/>
              <w:right w:val="nil"/>
            </w:tcBorders>
          </w:tcPr>
          <w:p w:rsidR="004E6C32" w:rsidRPr="006A75A2" w:rsidRDefault="004E6C32" w:rsidP="000D4B68">
            <w:pPr>
              <w:pStyle w:val="Tabletext"/>
              <w:rPr>
                <w:rFonts w:eastAsiaTheme="minorEastAsia"/>
                <w:vertAlign w:val="superscript"/>
                <w:lang w:eastAsia="en-AU"/>
              </w:rPr>
            </w:pPr>
            <w:r w:rsidRPr="006A75A2">
              <w:rPr>
                <w:rFonts w:eastAsiaTheme="minorEastAsia"/>
                <w:lang w:eastAsia="en-AU"/>
              </w:rPr>
              <w:t>Other comprehensive income for the year</w:t>
            </w:r>
            <w:r w:rsidRPr="006A75A2">
              <w:rPr>
                <w:rFonts w:eastAsiaTheme="minorEastAsia"/>
                <w:vertAlign w:val="superscript"/>
                <w:lang w:eastAsia="en-AU"/>
              </w:rPr>
              <w:t>(b)</w:t>
            </w:r>
          </w:p>
        </w:tc>
        <w:tc>
          <w:tcPr>
            <w:tcW w:w="25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8 900.4</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255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8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2013</w:t>
            </w:r>
          </w:p>
        </w:tc>
        <w:tc>
          <w:tcPr>
            <w:tcW w:w="255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43 174.7</w:t>
            </w:r>
          </w:p>
        </w:tc>
        <w:tc>
          <w:tcPr>
            <w:tcW w:w="198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r>
    </w:tbl>
    <w:p w:rsidR="004E6C32" w:rsidRPr="006A75A2" w:rsidRDefault="004E6C32" w:rsidP="004B5CB1">
      <w:pPr>
        <w:pStyle w:val="Source"/>
      </w:pPr>
      <w:r w:rsidRPr="006A75A2">
        <w:t>The accompanying notes form part of these financial statements.</w:t>
      </w:r>
    </w:p>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The comparative figures have been restated due to the reclassification of deferred tax liability balances. See Note 37.</w:t>
      </w:r>
    </w:p>
    <w:p w:rsidR="004E6C32" w:rsidRPr="006A75A2" w:rsidRDefault="004E6C32" w:rsidP="004B5CB1">
      <w:pPr>
        <w:pStyle w:val="Notes"/>
      </w:pPr>
      <w:r w:rsidRPr="006A75A2">
        <w:t>(b)</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Pr>
        <w:pStyle w:val="Tableheading"/>
        <w:spacing w:before="360"/>
      </w:pPr>
      <w:r w:rsidRPr="006A75A2">
        <w:br w:type="page"/>
      </w:r>
    </w:p>
    <w:p w:rsidR="004E6C32" w:rsidRPr="006A75A2" w:rsidRDefault="004E6C32" w:rsidP="004B5CB1">
      <w:pPr>
        <w:pStyle w:val="Tableheading"/>
      </w:pPr>
    </w:p>
    <w:p w:rsidR="004E6C32" w:rsidRPr="006A75A2" w:rsidRDefault="004E6C32" w:rsidP="004B5CB1">
      <w:pPr>
        <w:pStyle w:val="million"/>
        <w:rPr>
          <w:rFonts w:ascii="Times New Roman" w:hAnsi="Times New Roman"/>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3136"/>
        <w:gridCol w:w="3252"/>
        <w:gridCol w:w="3252"/>
      </w:tblGrid>
      <w:tr w:rsidR="004E6C32" w:rsidRPr="006A75A2" w:rsidTr="004B5CB1">
        <w:tc>
          <w:tcPr>
            <w:tcW w:w="3136"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Land, buildings, infrastructure, </w:t>
            </w:r>
          </w:p>
          <w:p w:rsidR="004E6C32" w:rsidRPr="006A75A2" w:rsidRDefault="004E6C32" w:rsidP="004B5CB1">
            <w:pPr>
              <w:pStyle w:val="Tabletextheading"/>
              <w:rPr>
                <w:rFonts w:eastAsiaTheme="minorEastAsia"/>
                <w:lang w:eastAsia="en-AU"/>
              </w:rPr>
            </w:pPr>
            <w:r w:rsidRPr="006A75A2">
              <w:rPr>
                <w:rFonts w:eastAsiaTheme="minorEastAsia"/>
                <w:lang w:eastAsia="en-AU"/>
              </w:rPr>
              <w:t>plant and equipment</w:t>
            </w: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revaluation surplus</w:t>
            </w:r>
          </w:p>
        </w:tc>
        <w:tc>
          <w:tcPr>
            <w:tcW w:w="3252"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Other </w:t>
            </w:r>
          </w:p>
          <w:p w:rsidR="004E6C32" w:rsidRPr="006A75A2" w:rsidRDefault="004E6C32" w:rsidP="004B5CB1">
            <w:pPr>
              <w:pStyle w:val="Tabletextheading"/>
              <w:rPr>
                <w:rFonts w:eastAsiaTheme="minorEastAsia"/>
                <w:lang w:eastAsia="en-AU"/>
              </w:rPr>
            </w:pPr>
            <w:r w:rsidRPr="006A75A2">
              <w:rPr>
                <w:rFonts w:eastAsiaTheme="minorEastAsia"/>
                <w:lang w:eastAsia="en-AU"/>
              </w:rPr>
              <w:t>reserves</w:t>
            </w:r>
          </w:p>
        </w:tc>
        <w:tc>
          <w:tcPr>
            <w:tcW w:w="3252"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Total</w:t>
            </w:r>
          </w:p>
        </w:tc>
      </w:tr>
      <w:tr w:rsidR="004E6C32" w:rsidRPr="006A75A2" w:rsidTr="004B5CB1">
        <w:tc>
          <w:tcPr>
            <w:tcW w:w="313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3252"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3252"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78 459.3</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1 557.8</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123 632.1</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1 659.3</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5 211.5</w:t>
            </w:r>
          </w:p>
        </w:tc>
        <w:tc>
          <w:tcPr>
            <w:tcW w:w="325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(397.1)</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5 801.4</w:t>
            </w:r>
          </w:p>
        </w:tc>
      </w:tr>
      <w:tr w:rsidR="004E6C32" w:rsidRPr="006A75A2" w:rsidTr="004B5CB1">
        <w:tc>
          <w:tcPr>
            <w:tcW w:w="313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325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325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3136"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83 670.8</w:t>
            </w:r>
          </w:p>
        </w:tc>
        <w:tc>
          <w:tcPr>
            <w:tcW w:w="3252"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1 160.5</w:t>
            </w:r>
          </w:p>
        </w:tc>
        <w:tc>
          <w:tcPr>
            <w:tcW w:w="3252"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131 092.7</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rPr>
            </w:pPr>
            <w:r w:rsidRPr="006A75A2">
              <w:rPr>
                <w:rFonts w:eastAsiaTheme="minorEastAsia"/>
              </w:rPr>
              <w:t xml:space="preserve">  </w:t>
            </w:r>
          </w:p>
        </w:tc>
        <w:tc>
          <w:tcPr>
            <w:tcW w:w="3252" w:type="dxa"/>
            <w:tcBorders>
              <w:top w:val="nil"/>
              <w:left w:val="nil"/>
              <w:bottom w:val="nil"/>
              <w:right w:val="nil"/>
            </w:tcBorders>
          </w:tcPr>
          <w:p w:rsidR="004E6C32" w:rsidRPr="006A75A2" w:rsidRDefault="004E6C32" w:rsidP="004B5CB1">
            <w:pPr>
              <w:pStyle w:val="TableofFigures"/>
              <w:rPr>
                <w:rFonts w:eastAsiaTheme="minorEastAsia"/>
              </w:rPr>
            </w:pPr>
            <w:r w:rsidRPr="006A75A2">
              <w:rPr>
                <w:rFonts w:eastAsiaTheme="minorEastAsia"/>
              </w:rPr>
              <w:t xml:space="preserve">  </w:t>
            </w:r>
          </w:p>
        </w:tc>
        <w:tc>
          <w:tcPr>
            <w:tcW w:w="3252" w:type="dxa"/>
            <w:tcBorders>
              <w:top w:val="nil"/>
              <w:left w:val="nil"/>
              <w:bottom w:val="nil"/>
              <w:right w:val="nil"/>
            </w:tcBorders>
          </w:tcPr>
          <w:p w:rsidR="004E6C32" w:rsidRPr="006A75A2" w:rsidRDefault="004E6C32" w:rsidP="004B5CB1">
            <w:pPr>
              <w:pStyle w:val="TableofFigures"/>
              <w:rPr>
                <w:rFonts w:eastAsiaTheme="minorEastAsia"/>
              </w:rPr>
            </w:pPr>
            <w:r w:rsidRPr="006A75A2">
              <w:rPr>
                <w:rFonts w:eastAsiaTheme="minorEastAsia"/>
              </w:rPr>
              <w:t xml:space="preserve">  </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77 944.7</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2 340.0</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112 857.6</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1 536.0</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514.5</w:t>
            </w:r>
          </w:p>
        </w:tc>
        <w:tc>
          <w:tcPr>
            <w:tcW w:w="325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(782.2)</w:t>
            </w:r>
          </w:p>
        </w:tc>
        <w:tc>
          <w:tcPr>
            <w:tcW w:w="3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9 238.5</w:t>
            </w:r>
          </w:p>
        </w:tc>
      </w:tr>
      <w:tr w:rsidR="004E6C32" w:rsidRPr="006A75A2" w:rsidTr="004B5CB1">
        <w:tc>
          <w:tcPr>
            <w:tcW w:w="313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325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325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313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78 459.3</w:t>
            </w:r>
          </w:p>
        </w:tc>
        <w:tc>
          <w:tcPr>
            <w:tcW w:w="325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1 557.8</w:t>
            </w:r>
          </w:p>
        </w:tc>
        <w:tc>
          <w:tcPr>
            <w:tcW w:w="325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123 632.1</w:t>
            </w:r>
          </w:p>
        </w:tc>
      </w:tr>
    </w:tbl>
    <w:p w:rsidR="004E6C32" w:rsidRPr="006A75A2" w:rsidRDefault="004E6C32" w:rsidP="004B5CB1">
      <w:pPr>
        <w:pStyle w:val="Source"/>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 w:rsidR="004E6C32" w:rsidRPr="006A75A2" w:rsidRDefault="004E6C32" w:rsidP="004B5CB1">
      <w:pPr>
        <w:rPr>
          <w:lang w:eastAsia="en-AU"/>
        </w:rPr>
      </w:pPr>
    </w:p>
    <w:p w:rsidR="004E6C32" w:rsidRPr="006A75A2" w:rsidRDefault="004E6C32" w:rsidP="004B5CB1">
      <w:pPr>
        <w:pStyle w:val="million"/>
        <w:rPr>
          <w:rFonts w:ascii="Times New Roman" w:hAnsi="Times New Roman"/>
          <w:i w:val="0"/>
          <w:szCs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3136"/>
        <w:gridCol w:w="2551"/>
        <w:gridCol w:w="1785"/>
        <w:gridCol w:w="2168"/>
      </w:tblGrid>
      <w:tr w:rsidR="004E6C32" w:rsidRPr="006A75A2" w:rsidTr="004B5CB1">
        <w:tc>
          <w:tcPr>
            <w:tcW w:w="3136"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Land, buildings, infrastructure, </w:t>
            </w: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plant and equipment </w:t>
            </w:r>
          </w:p>
          <w:p w:rsidR="004E6C32" w:rsidRPr="006A75A2" w:rsidRDefault="004E6C32" w:rsidP="004B5CB1">
            <w:pPr>
              <w:pStyle w:val="Tabletextheading"/>
              <w:rPr>
                <w:rFonts w:eastAsiaTheme="minorEastAsia"/>
                <w:lang w:eastAsia="en-AU"/>
              </w:rPr>
            </w:pPr>
            <w:r w:rsidRPr="006A75A2">
              <w:rPr>
                <w:rFonts w:eastAsiaTheme="minorEastAsia"/>
                <w:lang w:eastAsia="en-AU"/>
              </w:rPr>
              <w:t>revaluation surplus</w:t>
            </w:r>
          </w:p>
        </w:tc>
        <w:tc>
          <w:tcPr>
            <w:tcW w:w="2551"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Investment in other </w:t>
            </w: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sector entities </w:t>
            </w:r>
          </w:p>
          <w:p w:rsidR="004E6C32" w:rsidRPr="006A75A2" w:rsidRDefault="004E6C32" w:rsidP="004B5CB1">
            <w:pPr>
              <w:pStyle w:val="Tabletextheading"/>
              <w:rPr>
                <w:rFonts w:eastAsiaTheme="minorEastAsia"/>
                <w:lang w:eastAsia="en-AU"/>
              </w:rPr>
            </w:pPr>
            <w:r w:rsidRPr="006A75A2">
              <w:rPr>
                <w:rFonts w:eastAsiaTheme="minorEastAsia"/>
                <w:lang w:eastAsia="en-AU"/>
              </w:rPr>
              <w:t>revaluation surplus</w:t>
            </w:r>
          </w:p>
        </w:tc>
        <w:tc>
          <w:tcPr>
            <w:tcW w:w="1785"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Other </w:t>
            </w:r>
          </w:p>
          <w:p w:rsidR="004E6C32" w:rsidRPr="006A75A2" w:rsidRDefault="004E6C32" w:rsidP="004B5CB1">
            <w:pPr>
              <w:pStyle w:val="Tabletextheading"/>
              <w:rPr>
                <w:rFonts w:eastAsiaTheme="minorEastAsia"/>
                <w:lang w:eastAsia="en-AU"/>
              </w:rPr>
            </w:pPr>
            <w:r w:rsidRPr="006A75A2">
              <w:rPr>
                <w:rFonts w:eastAsiaTheme="minorEastAsia"/>
                <w:lang w:eastAsia="en-AU"/>
              </w:rPr>
              <w:t>reserves</w:t>
            </w:r>
          </w:p>
        </w:tc>
        <w:tc>
          <w:tcPr>
            <w:tcW w:w="2168"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Total</w:t>
            </w:r>
          </w:p>
        </w:tc>
      </w:tr>
      <w:tr w:rsidR="004E6C32" w:rsidRPr="006A75A2" w:rsidTr="004B5CB1">
        <w:tc>
          <w:tcPr>
            <w:tcW w:w="313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551"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785"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168"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37 970.4</w:t>
            </w:r>
          </w:p>
        </w:tc>
        <w:tc>
          <w:tcPr>
            <w:tcW w:w="2551"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38 373.5</w:t>
            </w:r>
          </w:p>
        </w:tc>
        <w:tc>
          <w:tcPr>
            <w:tcW w:w="17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614.0</w:t>
            </w:r>
          </w:p>
        </w:tc>
        <w:tc>
          <w:tcPr>
            <w:tcW w:w="21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120 182.6</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551"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773.1</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2 228.8</w:t>
            </w:r>
          </w:p>
        </w:tc>
        <w:tc>
          <w:tcPr>
            <w:tcW w:w="2551"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3 813.8</w:t>
            </w:r>
          </w:p>
        </w:tc>
        <w:tc>
          <w:tcPr>
            <w:tcW w:w="17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26.4</w:t>
            </w:r>
          </w:p>
        </w:tc>
        <w:tc>
          <w:tcPr>
            <w:tcW w:w="21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6 531.4</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551"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7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1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313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40 199.2</w:t>
            </w:r>
          </w:p>
        </w:tc>
        <w:tc>
          <w:tcPr>
            <w:tcW w:w="2551"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42 187.3</w:t>
            </w:r>
          </w:p>
        </w:tc>
        <w:tc>
          <w:tcPr>
            <w:tcW w:w="1785"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640.3</w:t>
            </w:r>
          </w:p>
        </w:tc>
        <w:tc>
          <w:tcPr>
            <w:tcW w:w="216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127 486.9</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551"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785"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6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37 249.6</w:t>
            </w:r>
          </w:p>
        </w:tc>
        <w:tc>
          <w:tcPr>
            <w:tcW w:w="2551"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38 871.2</w:t>
            </w:r>
          </w:p>
        </w:tc>
        <w:tc>
          <w:tcPr>
            <w:tcW w:w="17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697.4</w:t>
            </w:r>
          </w:p>
        </w:tc>
        <w:tc>
          <w:tcPr>
            <w:tcW w:w="21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111 676.5</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551"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6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(533.9)</w:t>
            </w:r>
          </w:p>
        </w:tc>
      </w:tr>
      <w:tr w:rsidR="004E6C32" w:rsidRPr="006A75A2" w:rsidTr="004B5CB1">
        <w:tc>
          <w:tcPr>
            <w:tcW w:w="31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720.8</w:t>
            </w:r>
          </w:p>
        </w:tc>
        <w:tc>
          <w:tcPr>
            <w:tcW w:w="255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(497.7)</w:t>
            </w:r>
          </w:p>
        </w:tc>
        <w:tc>
          <w:tcPr>
            <w:tcW w:w="178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(83.4)</w:t>
            </w:r>
          </w:p>
        </w:tc>
        <w:tc>
          <w:tcPr>
            <w:tcW w:w="21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9 040.0</w:t>
            </w:r>
          </w:p>
        </w:tc>
      </w:tr>
      <w:tr w:rsidR="004E6C32" w:rsidRPr="006A75A2" w:rsidTr="004B5CB1">
        <w:tc>
          <w:tcPr>
            <w:tcW w:w="313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551"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85"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68"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313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37 970.4</w:t>
            </w:r>
          </w:p>
        </w:tc>
        <w:tc>
          <w:tcPr>
            <w:tcW w:w="255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38 373.5</w:t>
            </w:r>
          </w:p>
        </w:tc>
        <w:tc>
          <w:tcPr>
            <w:tcW w:w="178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614.0</w:t>
            </w:r>
          </w:p>
        </w:tc>
        <w:tc>
          <w:tcPr>
            <w:tcW w:w="216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120 182.6</w:t>
            </w:r>
          </w:p>
        </w:tc>
      </w:tr>
    </w:tbl>
    <w:p w:rsidR="004E6C32" w:rsidRPr="006A75A2" w:rsidRDefault="004E6C32" w:rsidP="004B5CB1">
      <w:pPr>
        <w:pStyle w:val="Source"/>
      </w:pPr>
    </w:p>
    <w:p w:rsidR="004E6C32" w:rsidRPr="006A75A2" w:rsidRDefault="004E6C32">
      <w:pPr>
        <w:spacing w:after="0"/>
        <w:rPr>
          <w:rFonts w:ascii="Calibri" w:hAnsi="Calibri"/>
          <w:b/>
          <w:caps/>
          <w:sz w:val="28"/>
          <w:szCs w:val="22"/>
        </w:rPr>
      </w:pPr>
      <w:bookmarkStart w:id="27" w:name="_Toc367967897"/>
      <w:r w:rsidRPr="006A75A2">
        <w:br w:type="page"/>
      </w:r>
    </w:p>
    <w:p w:rsidR="004E6C32" w:rsidRPr="006A75A2" w:rsidRDefault="004E6C32" w:rsidP="004B5CB1">
      <w:pPr>
        <w:pStyle w:val="Heading1"/>
      </w:pPr>
      <w:bookmarkStart w:id="28" w:name="_Toc400040240"/>
      <w:r w:rsidRPr="006A75A2">
        <w:lastRenderedPageBreak/>
        <w:t>Notes to the financial statements</w:t>
      </w:r>
      <w:bookmarkEnd w:id="27"/>
      <w:bookmarkEnd w:id="28"/>
    </w:p>
    <w:p w:rsidR="002D4EAB" w:rsidRPr="006A75A2" w:rsidRDefault="004E6C32">
      <w:pPr>
        <w:pStyle w:val="TOC4"/>
        <w:rPr>
          <w:rFonts w:asciiTheme="minorHAnsi" w:eastAsiaTheme="minorEastAsia" w:hAnsiTheme="minorHAnsi" w:cstheme="minorBidi"/>
          <w:noProof/>
          <w:szCs w:val="22"/>
          <w:lang w:eastAsia="en-AU"/>
        </w:rPr>
      </w:pPr>
      <w:r w:rsidRPr="006A75A2">
        <w:fldChar w:fldCharType="begin"/>
      </w:r>
      <w:r w:rsidRPr="006A75A2">
        <w:instrText xml:space="preserve"> TOC \h \z \t "Heading 2 Notes,4" </w:instrText>
      </w:r>
      <w:r w:rsidRPr="006A75A2">
        <w:fldChar w:fldCharType="separate"/>
      </w:r>
      <w:hyperlink w:anchor="_Toc400040248" w:history="1">
        <w:r w:rsidR="002D4EAB" w:rsidRPr="006A75A2">
          <w:rPr>
            <w:rStyle w:val="Hyperlink"/>
            <w:noProof/>
          </w:rPr>
          <w:t>Note 1:</w:t>
        </w:r>
        <w:r w:rsidR="002D4EAB" w:rsidRPr="006A75A2">
          <w:rPr>
            <w:rFonts w:asciiTheme="minorHAnsi" w:eastAsiaTheme="minorEastAsia" w:hAnsiTheme="minorHAnsi" w:cstheme="minorBidi"/>
            <w:noProof/>
            <w:szCs w:val="22"/>
            <w:lang w:eastAsia="en-AU"/>
          </w:rPr>
          <w:tab/>
        </w:r>
        <w:r w:rsidR="002D4EAB" w:rsidRPr="006A75A2">
          <w:rPr>
            <w:rStyle w:val="Hyperlink"/>
            <w:noProof/>
          </w:rPr>
          <w:t>Summary of significant accounting policies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_Toc400040248 \h </w:instrText>
        </w:r>
        <w:r w:rsidR="002D4EAB" w:rsidRPr="006A75A2">
          <w:rPr>
            <w:noProof/>
            <w:webHidden/>
          </w:rPr>
        </w:r>
        <w:r w:rsidR="002D4EAB" w:rsidRPr="006A75A2">
          <w:rPr>
            <w:noProof/>
            <w:webHidden/>
          </w:rPr>
          <w:fldChar w:fldCharType="separate"/>
        </w:r>
        <w:r w:rsidR="00EA20C8" w:rsidRPr="006A75A2">
          <w:rPr>
            <w:noProof/>
            <w:webHidden/>
          </w:rPr>
          <w:t>37</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49" w:history="1">
        <w:r w:rsidR="002D4EAB" w:rsidRPr="006A75A2">
          <w:rPr>
            <w:rStyle w:val="Hyperlink"/>
            <w:noProof/>
          </w:rPr>
          <w:t>Note 2:</w:t>
        </w:r>
        <w:r w:rsidR="002D4EAB" w:rsidRPr="006A75A2">
          <w:rPr>
            <w:rFonts w:asciiTheme="minorHAnsi" w:eastAsiaTheme="minorEastAsia" w:hAnsiTheme="minorHAnsi" w:cstheme="minorBidi"/>
            <w:noProof/>
            <w:szCs w:val="22"/>
            <w:lang w:eastAsia="en-AU"/>
          </w:rPr>
          <w:tab/>
        </w:r>
        <w:r w:rsidR="002D4EAB" w:rsidRPr="006A75A2">
          <w:rPr>
            <w:rStyle w:val="Hyperlink"/>
            <w:noProof/>
          </w:rPr>
          <w:t>Disaggregated information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_Toc400040249 \h </w:instrText>
        </w:r>
        <w:r w:rsidR="002D4EAB" w:rsidRPr="006A75A2">
          <w:rPr>
            <w:noProof/>
            <w:webHidden/>
          </w:rPr>
        </w:r>
        <w:r w:rsidR="002D4EAB" w:rsidRPr="006A75A2">
          <w:rPr>
            <w:noProof/>
            <w:webHidden/>
          </w:rPr>
          <w:fldChar w:fldCharType="separate"/>
        </w:r>
        <w:r w:rsidR="00EA20C8" w:rsidRPr="006A75A2">
          <w:rPr>
            <w:noProof/>
            <w:webHidden/>
          </w:rPr>
          <w:t>66</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0" w:history="1">
        <w:r w:rsidR="002D4EAB" w:rsidRPr="006A75A2">
          <w:rPr>
            <w:rStyle w:val="Hyperlink"/>
            <w:noProof/>
          </w:rPr>
          <w:t>Note 3:</w:t>
        </w:r>
        <w:r w:rsidR="002D4EAB" w:rsidRPr="006A75A2">
          <w:rPr>
            <w:rFonts w:asciiTheme="minorHAnsi" w:eastAsiaTheme="minorEastAsia" w:hAnsiTheme="minorHAnsi" w:cstheme="minorBidi"/>
            <w:noProof/>
            <w:szCs w:val="22"/>
            <w:lang w:eastAsia="en-AU"/>
          </w:rPr>
          <w:tab/>
        </w:r>
        <w:r w:rsidR="002D4EAB" w:rsidRPr="006A75A2">
          <w:rPr>
            <w:rStyle w:val="Hyperlink"/>
            <w:noProof/>
          </w:rPr>
          <w:t>Taxation revenue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_Toc400040250 \h </w:instrText>
        </w:r>
        <w:r w:rsidR="002D4EAB" w:rsidRPr="006A75A2">
          <w:rPr>
            <w:noProof/>
            <w:webHidden/>
          </w:rPr>
        </w:r>
        <w:r w:rsidR="002D4EAB" w:rsidRPr="006A75A2">
          <w:rPr>
            <w:noProof/>
            <w:webHidden/>
          </w:rPr>
          <w:fldChar w:fldCharType="separate"/>
        </w:r>
        <w:r w:rsidR="00EA20C8" w:rsidRPr="006A75A2">
          <w:rPr>
            <w:noProof/>
            <w:webHidden/>
          </w:rPr>
          <w:t>76</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1" w:history="1">
        <w:r w:rsidR="002D4EAB" w:rsidRPr="006A75A2">
          <w:rPr>
            <w:rStyle w:val="Hyperlink"/>
            <w:noProof/>
          </w:rPr>
          <w:t>Note 4:</w:t>
        </w:r>
        <w:r w:rsidR="002D4EAB" w:rsidRPr="006A75A2">
          <w:rPr>
            <w:rFonts w:asciiTheme="minorHAnsi" w:eastAsiaTheme="minorEastAsia" w:hAnsiTheme="minorHAnsi" w:cstheme="minorBidi"/>
            <w:noProof/>
            <w:szCs w:val="22"/>
            <w:lang w:eastAsia="en-AU"/>
          </w:rPr>
          <w:tab/>
        </w:r>
        <w:r w:rsidR="002D4EAB" w:rsidRPr="006A75A2">
          <w:rPr>
            <w:rStyle w:val="Hyperlink"/>
            <w:noProof/>
          </w:rPr>
          <w:t>Dividends and income tax equivalent and rate equivalent revenue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_Toc400040251 \h </w:instrText>
        </w:r>
        <w:r w:rsidR="002D4EAB" w:rsidRPr="006A75A2">
          <w:rPr>
            <w:noProof/>
            <w:webHidden/>
          </w:rPr>
        </w:r>
        <w:r w:rsidR="002D4EAB" w:rsidRPr="006A75A2">
          <w:rPr>
            <w:noProof/>
            <w:webHidden/>
          </w:rPr>
          <w:fldChar w:fldCharType="separate"/>
        </w:r>
        <w:r w:rsidR="00EA20C8" w:rsidRPr="006A75A2">
          <w:rPr>
            <w:noProof/>
            <w:webHidden/>
          </w:rPr>
          <w:t>77</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2" w:history="1">
        <w:r w:rsidR="002D4EAB" w:rsidRPr="006A75A2">
          <w:rPr>
            <w:rStyle w:val="Hyperlink"/>
            <w:noProof/>
          </w:rPr>
          <w:t>Note 5:</w:t>
        </w:r>
        <w:r w:rsidR="002D4EAB" w:rsidRPr="006A75A2">
          <w:rPr>
            <w:rFonts w:asciiTheme="minorHAnsi" w:eastAsiaTheme="minorEastAsia" w:hAnsiTheme="minorHAnsi" w:cstheme="minorBidi"/>
            <w:noProof/>
            <w:szCs w:val="22"/>
            <w:lang w:eastAsia="en-AU"/>
          </w:rPr>
          <w:tab/>
        </w:r>
        <w:r w:rsidR="002D4EAB" w:rsidRPr="006A75A2">
          <w:rPr>
            <w:rStyle w:val="Hyperlink"/>
            <w:noProof/>
          </w:rPr>
          <w:t>Sales of goods and services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_Toc400040252 \h </w:instrText>
        </w:r>
        <w:r w:rsidR="002D4EAB" w:rsidRPr="006A75A2">
          <w:rPr>
            <w:noProof/>
            <w:webHidden/>
          </w:rPr>
        </w:r>
        <w:r w:rsidR="002D4EAB" w:rsidRPr="006A75A2">
          <w:rPr>
            <w:noProof/>
            <w:webHidden/>
          </w:rPr>
          <w:fldChar w:fldCharType="separate"/>
        </w:r>
        <w:r w:rsidR="00EA20C8" w:rsidRPr="006A75A2">
          <w:rPr>
            <w:noProof/>
            <w:webHidden/>
          </w:rPr>
          <w:t>78</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3" w:history="1">
        <w:r w:rsidR="002D4EAB" w:rsidRPr="006A75A2">
          <w:rPr>
            <w:rStyle w:val="Hyperlink"/>
            <w:noProof/>
          </w:rPr>
          <w:t>Note 6:</w:t>
        </w:r>
        <w:r w:rsidR="002D4EAB" w:rsidRPr="006A75A2">
          <w:rPr>
            <w:rFonts w:asciiTheme="minorHAnsi" w:eastAsiaTheme="minorEastAsia" w:hAnsiTheme="minorHAnsi" w:cstheme="minorBidi"/>
            <w:noProof/>
            <w:szCs w:val="22"/>
            <w:lang w:eastAsia="en-AU"/>
          </w:rPr>
          <w:tab/>
        </w:r>
        <w:r w:rsidR="002D4EAB" w:rsidRPr="006A75A2">
          <w:rPr>
            <w:rStyle w:val="Hyperlink"/>
            <w:noProof/>
          </w:rPr>
          <w:t>Grants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_Toc400040253 \h </w:instrText>
        </w:r>
        <w:r w:rsidR="002D4EAB" w:rsidRPr="006A75A2">
          <w:rPr>
            <w:noProof/>
            <w:webHidden/>
          </w:rPr>
        </w:r>
        <w:r w:rsidR="002D4EAB" w:rsidRPr="006A75A2">
          <w:rPr>
            <w:noProof/>
            <w:webHidden/>
          </w:rPr>
          <w:fldChar w:fldCharType="separate"/>
        </w:r>
        <w:r w:rsidR="00EA20C8" w:rsidRPr="006A75A2">
          <w:rPr>
            <w:noProof/>
            <w:webHidden/>
          </w:rPr>
          <w:t>78</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4" w:history="1">
        <w:r w:rsidR="002D4EAB" w:rsidRPr="006A75A2">
          <w:rPr>
            <w:rStyle w:val="Hyperlink"/>
            <w:noProof/>
          </w:rPr>
          <w:t>Note 7:</w:t>
        </w:r>
        <w:r w:rsidR="002D4EAB" w:rsidRPr="006A75A2">
          <w:rPr>
            <w:rFonts w:asciiTheme="minorHAnsi" w:eastAsiaTheme="minorEastAsia" w:hAnsiTheme="minorHAnsi" w:cstheme="minorBidi"/>
            <w:noProof/>
            <w:szCs w:val="22"/>
            <w:lang w:eastAsia="en-AU"/>
          </w:rPr>
          <w:tab/>
        </w:r>
        <w:r w:rsidR="002D4EAB" w:rsidRPr="006A75A2">
          <w:rPr>
            <w:rStyle w:val="Hyperlink"/>
            <w:noProof/>
          </w:rPr>
          <w:t>Other revenue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_Toc400040254 \h </w:instrText>
        </w:r>
        <w:r w:rsidR="002D4EAB" w:rsidRPr="006A75A2">
          <w:rPr>
            <w:noProof/>
            <w:webHidden/>
          </w:rPr>
        </w:r>
        <w:r w:rsidR="002D4EAB" w:rsidRPr="006A75A2">
          <w:rPr>
            <w:noProof/>
            <w:webHidden/>
          </w:rPr>
          <w:fldChar w:fldCharType="separate"/>
        </w:r>
        <w:r w:rsidR="00EA20C8" w:rsidRPr="006A75A2">
          <w:rPr>
            <w:noProof/>
            <w:webHidden/>
          </w:rPr>
          <w:t>78</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5" w:history="1">
        <w:r w:rsidR="002D4EAB" w:rsidRPr="006A75A2">
          <w:rPr>
            <w:rStyle w:val="Hyperlink"/>
            <w:noProof/>
          </w:rPr>
          <w:t>Note 8:</w:t>
        </w:r>
        <w:r w:rsidR="002D4EAB" w:rsidRPr="006A75A2">
          <w:rPr>
            <w:rFonts w:asciiTheme="minorHAnsi" w:eastAsiaTheme="minorEastAsia" w:hAnsiTheme="minorHAnsi" w:cstheme="minorBidi"/>
            <w:noProof/>
            <w:szCs w:val="22"/>
            <w:lang w:eastAsia="en-AU"/>
          </w:rPr>
          <w:tab/>
        </w:r>
        <w:r w:rsidR="002D4EAB" w:rsidRPr="006A75A2">
          <w:rPr>
            <w:rStyle w:val="Hyperlink"/>
            <w:noProof/>
          </w:rPr>
          <w:t>Superannuation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_Toc400040255 \h </w:instrText>
        </w:r>
        <w:r w:rsidR="002D4EAB" w:rsidRPr="006A75A2">
          <w:rPr>
            <w:noProof/>
            <w:webHidden/>
          </w:rPr>
        </w:r>
        <w:r w:rsidR="002D4EAB" w:rsidRPr="006A75A2">
          <w:rPr>
            <w:noProof/>
            <w:webHidden/>
          </w:rPr>
          <w:fldChar w:fldCharType="separate"/>
        </w:r>
        <w:r w:rsidR="00EA20C8" w:rsidRPr="006A75A2">
          <w:rPr>
            <w:noProof/>
            <w:webHidden/>
          </w:rPr>
          <w:t>79</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6" w:history="1">
        <w:r w:rsidR="002D4EAB" w:rsidRPr="006A75A2">
          <w:rPr>
            <w:rStyle w:val="Hyperlink"/>
            <w:noProof/>
          </w:rPr>
          <w:t>Note 9:</w:t>
        </w:r>
        <w:r w:rsidR="002D4EAB" w:rsidRPr="006A75A2">
          <w:rPr>
            <w:rFonts w:asciiTheme="minorHAnsi" w:eastAsiaTheme="minorEastAsia" w:hAnsiTheme="minorHAnsi" w:cstheme="minorBidi"/>
            <w:noProof/>
            <w:szCs w:val="22"/>
            <w:lang w:eastAsia="en-AU"/>
          </w:rPr>
          <w:tab/>
        </w:r>
        <w:r w:rsidR="002D4EAB" w:rsidRPr="006A75A2">
          <w:rPr>
            <w:rStyle w:val="Hyperlink"/>
            <w:noProof/>
          </w:rPr>
          <w:t>Depreciation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_Toc400040256 \h </w:instrText>
        </w:r>
        <w:r w:rsidR="002D4EAB" w:rsidRPr="006A75A2">
          <w:rPr>
            <w:noProof/>
            <w:webHidden/>
          </w:rPr>
        </w:r>
        <w:r w:rsidR="002D4EAB" w:rsidRPr="006A75A2">
          <w:rPr>
            <w:noProof/>
            <w:webHidden/>
          </w:rPr>
          <w:fldChar w:fldCharType="separate"/>
        </w:r>
        <w:r w:rsidR="00EA20C8" w:rsidRPr="006A75A2">
          <w:rPr>
            <w:noProof/>
            <w:webHidden/>
          </w:rPr>
          <w:t>84</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7" w:history="1">
        <w:r w:rsidR="002D4EAB" w:rsidRPr="006A75A2">
          <w:rPr>
            <w:rStyle w:val="Hyperlink"/>
            <w:noProof/>
          </w:rPr>
          <w:t>Note 10:</w:t>
        </w:r>
        <w:r w:rsidR="002D4EAB" w:rsidRPr="006A75A2">
          <w:rPr>
            <w:rFonts w:asciiTheme="minorHAnsi" w:eastAsiaTheme="minorEastAsia" w:hAnsiTheme="minorHAnsi" w:cstheme="minorBidi"/>
            <w:noProof/>
            <w:szCs w:val="22"/>
            <w:lang w:eastAsia="en-AU"/>
          </w:rPr>
          <w:tab/>
        </w:r>
        <w:r w:rsidR="002D4EAB" w:rsidRPr="006A75A2">
          <w:rPr>
            <w:rStyle w:val="Hyperlink"/>
            <w:noProof/>
          </w:rPr>
          <w:t>Interest expense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_Toc400040257 \h </w:instrText>
        </w:r>
        <w:r w:rsidR="002D4EAB" w:rsidRPr="006A75A2">
          <w:rPr>
            <w:noProof/>
            <w:webHidden/>
          </w:rPr>
        </w:r>
        <w:r w:rsidR="002D4EAB" w:rsidRPr="006A75A2">
          <w:rPr>
            <w:noProof/>
            <w:webHidden/>
          </w:rPr>
          <w:fldChar w:fldCharType="separate"/>
        </w:r>
        <w:r w:rsidR="00EA20C8" w:rsidRPr="006A75A2">
          <w:rPr>
            <w:noProof/>
            <w:webHidden/>
          </w:rPr>
          <w:t>84</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8" w:history="1">
        <w:r w:rsidR="002D4EAB" w:rsidRPr="006A75A2">
          <w:rPr>
            <w:rStyle w:val="Hyperlink"/>
            <w:noProof/>
          </w:rPr>
          <w:t>Note 11:</w:t>
        </w:r>
        <w:r w:rsidR="002D4EAB" w:rsidRPr="006A75A2">
          <w:rPr>
            <w:rFonts w:asciiTheme="minorHAnsi" w:eastAsiaTheme="minorEastAsia" w:hAnsiTheme="minorHAnsi" w:cstheme="minorBidi"/>
            <w:noProof/>
            <w:szCs w:val="22"/>
            <w:lang w:eastAsia="en-AU"/>
          </w:rPr>
          <w:tab/>
        </w:r>
        <w:r w:rsidR="002D4EAB" w:rsidRPr="006A75A2">
          <w:rPr>
            <w:rStyle w:val="Hyperlink"/>
            <w:noProof/>
          </w:rPr>
          <w:t>Other operating expenses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_Toc400040258 \h </w:instrText>
        </w:r>
        <w:r w:rsidR="002D4EAB" w:rsidRPr="006A75A2">
          <w:rPr>
            <w:noProof/>
            <w:webHidden/>
          </w:rPr>
        </w:r>
        <w:r w:rsidR="002D4EAB" w:rsidRPr="006A75A2">
          <w:rPr>
            <w:noProof/>
            <w:webHidden/>
          </w:rPr>
          <w:fldChar w:fldCharType="separate"/>
        </w:r>
        <w:r w:rsidR="00EA20C8" w:rsidRPr="006A75A2">
          <w:rPr>
            <w:noProof/>
            <w:webHidden/>
          </w:rPr>
          <w:t>84</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59" w:history="1">
        <w:r w:rsidR="002D4EAB" w:rsidRPr="006A75A2">
          <w:rPr>
            <w:rStyle w:val="Hyperlink"/>
            <w:noProof/>
          </w:rPr>
          <w:t>Note 12:</w:t>
        </w:r>
        <w:r w:rsidR="002D4EAB" w:rsidRPr="006A75A2">
          <w:rPr>
            <w:rFonts w:asciiTheme="minorHAnsi" w:eastAsiaTheme="minorEastAsia" w:hAnsiTheme="minorHAnsi" w:cstheme="minorBidi"/>
            <w:noProof/>
            <w:szCs w:val="22"/>
            <w:lang w:eastAsia="en-AU"/>
          </w:rPr>
          <w:tab/>
        </w:r>
        <w:r w:rsidR="002D4EAB" w:rsidRPr="006A75A2">
          <w:rPr>
            <w:rStyle w:val="Hyperlink"/>
            <w:noProof/>
          </w:rPr>
          <w:t>Grants and other transfers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_Toc400040259 \h </w:instrText>
        </w:r>
        <w:r w:rsidR="002D4EAB" w:rsidRPr="006A75A2">
          <w:rPr>
            <w:noProof/>
            <w:webHidden/>
          </w:rPr>
        </w:r>
        <w:r w:rsidR="002D4EAB" w:rsidRPr="006A75A2">
          <w:rPr>
            <w:noProof/>
            <w:webHidden/>
          </w:rPr>
          <w:fldChar w:fldCharType="separate"/>
        </w:r>
        <w:r w:rsidR="00EA20C8" w:rsidRPr="006A75A2">
          <w:rPr>
            <w:noProof/>
            <w:webHidden/>
          </w:rPr>
          <w:t>85</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0" w:history="1">
        <w:r w:rsidR="002D4EAB" w:rsidRPr="006A75A2">
          <w:rPr>
            <w:rStyle w:val="Hyperlink"/>
            <w:noProof/>
          </w:rPr>
          <w:t>Note 13:</w:t>
        </w:r>
        <w:r w:rsidR="002D4EAB" w:rsidRPr="006A75A2">
          <w:rPr>
            <w:rFonts w:asciiTheme="minorHAnsi" w:eastAsiaTheme="minorEastAsia" w:hAnsiTheme="minorHAnsi" w:cstheme="minorBidi"/>
            <w:noProof/>
            <w:szCs w:val="22"/>
            <w:lang w:eastAsia="en-AU"/>
          </w:rPr>
          <w:tab/>
        </w:r>
        <w:r w:rsidR="002D4EAB" w:rsidRPr="006A75A2">
          <w:rPr>
            <w:rStyle w:val="Hyperlink"/>
            <w:noProof/>
          </w:rPr>
          <w:t>Expenses by government purpose and by department</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_Toc400040260 \h </w:instrText>
        </w:r>
        <w:r w:rsidR="002D4EAB" w:rsidRPr="006A75A2">
          <w:rPr>
            <w:noProof/>
            <w:webHidden/>
          </w:rPr>
        </w:r>
        <w:r w:rsidR="002D4EAB" w:rsidRPr="006A75A2">
          <w:rPr>
            <w:noProof/>
            <w:webHidden/>
          </w:rPr>
          <w:fldChar w:fldCharType="separate"/>
        </w:r>
        <w:r w:rsidR="00EA20C8" w:rsidRPr="006A75A2">
          <w:rPr>
            <w:noProof/>
            <w:webHidden/>
          </w:rPr>
          <w:t>85</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1" w:history="1">
        <w:r w:rsidR="002D4EAB" w:rsidRPr="006A75A2">
          <w:rPr>
            <w:rStyle w:val="Hyperlink"/>
            <w:noProof/>
          </w:rPr>
          <w:t>Note 14:</w:t>
        </w:r>
        <w:r w:rsidR="002D4EAB" w:rsidRPr="006A75A2">
          <w:rPr>
            <w:rFonts w:asciiTheme="minorHAnsi" w:eastAsiaTheme="minorEastAsia" w:hAnsiTheme="minorHAnsi" w:cstheme="minorBidi"/>
            <w:noProof/>
            <w:szCs w:val="22"/>
            <w:lang w:eastAsia="en-AU"/>
          </w:rPr>
          <w:tab/>
        </w:r>
        <w:r w:rsidR="002D4EAB" w:rsidRPr="006A75A2">
          <w:rPr>
            <w:rStyle w:val="Hyperlink"/>
            <w:noProof/>
          </w:rPr>
          <w:t>Net gain/(loss) on disposal of non</w:t>
        </w:r>
        <w:r w:rsidR="002D4EAB" w:rsidRPr="006A75A2">
          <w:rPr>
            <w:rStyle w:val="Hyperlink"/>
            <w:noProof/>
          </w:rPr>
          <w:noBreakHyphen/>
          <w:t>financial assets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_Toc400040261 \h </w:instrText>
        </w:r>
        <w:r w:rsidR="002D4EAB" w:rsidRPr="006A75A2">
          <w:rPr>
            <w:noProof/>
            <w:webHidden/>
          </w:rPr>
        </w:r>
        <w:r w:rsidR="002D4EAB" w:rsidRPr="006A75A2">
          <w:rPr>
            <w:noProof/>
            <w:webHidden/>
          </w:rPr>
          <w:fldChar w:fldCharType="separate"/>
        </w:r>
        <w:r w:rsidR="00EA20C8" w:rsidRPr="006A75A2">
          <w:rPr>
            <w:noProof/>
            <w:webHidden/>
          </w:rPr>
          <w:t>86</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2" w:history="1">
        <w:r w:rsidR="002D4EAB" w:rsidRPr="006A75A2">
          <w:rPr>
            <w:rStyle w:val="Hyperlink"/>
            <w:noProof/>
          </w:rPr>
          <w:t>Note 15:</w:t>
        </w:r>
        <w:r w:rsidR="002D4EAB" w:rsidRPr="006A75A2">
          <w:rPr>
            <w:rFonts w:asciiTheme="minorHAnsi" w:eastAsiaTheme="minorEastAsia" w:hAnsiTheme="minorHAnsi" w:cstheme="minorBidi"/>
            <w:noProof/>
            <w:szCs w:val="22"/>
            <w:lang w:eastAsia="en-AU"/>
          </w:rPr>
          <w:tab/>
        </w:r>
        <w:r w:rsidR="002D4EAB" w:rsidRPr="006A75A2">
          <w:rPr>
            <w:rStyle w:val="Hyperlink"/>
            <w:noProof/>
          </w:rPr>
          <w:t>Other gains/(losses) from other economic flows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_Toc400040262 \h </w:instrText>
        </w:r>
        <w:r w:rsidR="002D4EAB" w:rsidRPr="006A75A2">
          <w:rPr>
            <w:noProof/>
            <w:webHidden/>
          </w:rPr>
        </w:r>
        <w:r w:rsidR="002D4EAB" w:rsidRPr="006A75A2">
          <w:rPr>
            <w:noProof/>
            <w:webHidden/>
          </w:rPr>
          <w:fldChar w:fldCharType="separate"/>
        </w:r>
        <w:r w:rsidR="00EA20C8" w:rsidRPr="006A75A2">
          <w:rPr>
            <w:noProof/>
            <w:webHidden/>
          </w:rPr>
          <w:t>87</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3" w:history="1">
        <w:r w:rsidR="002D4EAB" w:rsidRPr="006A75A2">
          <w:rPr>
            <w:rStyle w:val="Hyperlink"/>
            <w:noProof/>
          </w:rPr>
          <w:t>Note 16:</w:t>
        </w:r>
        <w:r w:rsidR="002D4EAB" w:rsidRPr="006A75A2">
          <w:rPr>
            <w:rFonts w:asciiTheme="minorHAnsi" w:eastAsiaTheme="minorEastAsia" w:hAnsiTheme="minorHAnsi" w:cstheme="minorBidi"/>
            <w:noProof/>
            <w:szCs w:val="22"/>
            <w:lang w:eastAsia="en-AU"/>
          </w:rPr>
          <w:tab/>
        </w:r>
        <w:r w:rsidR="002D4EAB" w:rsidRPr="006A75A2">
          <w:rPr>
            <w:rStyle w:val="Hyperlink"/>
            <w:noProof/>
          </w:rPr>
          <w:t>Advances paid and investments, loans and placements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_Toc400040263 \h </w:instrText>
        </w:r>
        <w:r w:rsidR="002D4EAB" w:rsidRPr="006A75A2">
          <w:rPr>
            <w:noProof/>
            <w:webHidden/>
          </w:rPr>
        </w:r>
        <w:r w:rsidR="002D4EAB" w:rsidRPr="006A75A2">
          <w:rPr>
            <w:noProof/>
            <w:webHidden/>
          </w:rPr>
          <w:fldChar w:fldCharType="separate"/>
        </w:r>
        <w:r w:rsidR="00EA20C8" w:rsidRPr="006A75A2">
          <w:rPr>
            <w:noProof/>
            <w:webHidden/>
          </w:rPr>
          <w:t>87</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4" w:history="1">
        <w:r w:rsidR="002D4EAB" w:rsidRPr="006A75A2">
          <w:rPr>
            <w:rStyle w:val="Hyperlink"/>
            <w:noProof/>
          </w:rPr>
          <w:t>Note 17:</w:t>
        </w:r>
        <w:r w:rsidR="002D4EAB" w:rsidRPr="006A75A2">
          <w:rPr>
            <w:rFonts w:asciiTheme="minorHAnsi" w:eastAsiaTheme="minorEastAsia" w:hAnsiTheme="minorHAnsi" w:cstheme="minorBidi"/>
            <w:noProof/>
            <w:szCs w:val="22"/>
            <w:lang w:eastAsia="en-AU"/>
          </w:rPr>
          <w:tab/>
        </w:r>
        <w:r w:rsidR="002D4EAB" w:rsidRPr="006A75A2">
          <w:rPr>
            <w:rStyle w:val="Hyperlink"/>
            <w:noProof/>
          </w:rPr>
          <w:t>Receivables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_Toc400040264 \h </w:instrText>
        </w:r>
        <w:r w:rsidR="002D4EAB" w:rsidRPr="006A75A2">
          <w:rPr>
            <w:noProof/>
            <w:webHidden/>
          </w:rPr>
        </w:r>
        <w:r w:rsidR="002D4EAB" w:rsidRPr="006A75A2">
          <w:rPr>
            <w:noProof/>
            <w:webHidden/>
          </w:rPr>
          <w:fldChar w:fldCharType="separate"/>
        </w:r>
        <w:r w:rsidR="00EA20C8" w:rsidRPr="006A75A2">
          <w:rPr>
            <w:noProof/>
            <w:webHidden/>
          </w:rPr>
          <w:t>88</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5" w:history="1">
        <w:r w:rsidR="002D4EAB" w:rsidRPr="006A75A2">
          <w:rPr>
            <w:rStyle w:val="Hyperlink"/>
            <w:noProof/>
          </w:rPr>
          <w:t>Note 18:</w:t>
        </w:r>
        <w:r w:rsidR="002D4EAB" w:rsidRPr="006A75A2">
          <w:rPr>
            <w:rFonts w:asciiTheme="minorHAnsi" w:eastAsiaTheme="minorEastAsia" w:hAnsiTheme="minorHAnsi" w:cstheme="minorBidi"/>
            <w:noProof/>
            <w:szCs w:val="22"/>
            <w:lang w:eastAsia="en-AU"/>
          </w:rPr>
          <w:tab/>
        </w:r>
        <w:r w:rsidR="002D4EAB" w:rsidRPr="006A75A2">
          <w:rPr>
            <w:rStyle w:val="Hyperlink"/>
            <w:noProof/>
          </w:rPr>
          <w:t>Joint ventures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_Toc400040265 \h </w:instrText>
        </w:r>
        <w:r w:rsidR="002D4EAB" w:rsidRPr="006A75A2">
          <w:rPr>
            <w:noProof/>
            <w:webHidden/>
          </w:rPr>
        </w:r>
        <w:r w:rsidR="002D4EAB" w:rsidRPr="006A75A2">
          <w:rPr>
            <w:noProof/>
            <w:webHidden/>
          </w:rPr>
          <w:fldChar w:fldCharType="separate"/>
        </w:r>
        <w:r w:rsidR="00EA20C8" w:rsidRPr="006A75A2">
          <w:rPr>
            <w:noProof/>
            <w:webHidden/>
          </w:rPr>
          <w:t>90</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6" w:history="1">
        <w:r w:rsidR="002D4EAB" w:rsidRPr="006A75A2">
          <w:rPr>
            <w:rStyle w:val="Hyperlink"/>
            <w:noProof/>
          </w:rPr>
          <w:t>Note 19:</w:t>
        </w:r>
        <w:r w:rsidR="002D4EAB" w:rsidRPr="006A75A2">
          <w:rPr>
            <w:rFonts w:asciiTheme="minorHAnsi" w:eastAsiaTheme="minorEastAsia" w:hAnsiTheme="minorHAnsi" w:cstheme="minorBidi"/>
            <w:noProof/>
            <w:szCs w:val="22"/>
            <w:lang w:eastAsia="en-AU"/>
          </w:rPr>
          <w:tab/>
        </w:r>
        <w:r w:rsidR="002D4EAB" w:rsidRPr="006A75A2">
          <w:rPr>
            <w:rStyle w:val="Hyperlink"/>
            <w:noProof/>
          </w:rPr>
          <w:t>Investments in other sector entities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_Toc400040266 \h </w:instrText>
        </w:r>
        <w:r w:rsidR="002D4EAB" w:rsidRPr="006A75A2">
          <w:rPr>
            <w:noProof/>
            <w:webHidden/>
          </w:rPr>
        </w:r>
        <w:r w:rsidR="002D4EAB" w:rsidRPr="006A75A2">
          <w:rPr>
            <w:noProof/>
            <w:webHidden/>
          </w:rPr>
          <w:fldChar w:fldCharType="separate"/>
        </w:r>
        <w:r w:rsidR="00EA20C8" w:rsidRPr="006A75A2">
          <w:rPr>
            <w:noProof/>
            <w:webHidden/>
          </w:rPr>
          <w:t>94</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7" w:history="1">
        <w:r w:rsidR="002D4EAB" w:rsidRPr="006A75A2">
          <w:rPr>
            <w:rStyle w:val="Hyperlink"/>
            <w:noProof/>
          </w:rPr>
          <w:t>Note 20:</w:t>
        </w:r>
        <w:r w:rsidR="002D4EAB" w:rsidRPr="006A75A2">
          <w:rPr>
            <w:rFonts w:asciiTheme="minorHAnsi" w:eastAsiaTheme="minorEastAsia" w:hAnsiTheme="minorHAnsi" w:cstheme="minorBidi"/>
            <w:noProof/>
            <w:szCs w:val="22"/>
            <w:lang w:eastAsia="en-AU"/>
          </w:rPr>
          <w:tab/>
        </w:r>
        <w:r w:rsidR="002D4EAB" w:rsidRPr="006A75A2">
          <w:rPr>
            <w:rStyle w:val="Hyperlink"/>
            <w:noProof/>
          </w:rPr>
          <w:t>Inventories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_Toc400040267 \h </w:instrText>
        </w:r>
        <w:r w:rsidR="002D4EAB" w:rsidRPr="006A75A2">
          <w:rPr>
            <w:noProof/>
            <w:webHidden/>
          </w:rPr>
        </w:r>
        <w:r w:rsidR="002D4EAB" w:rsidRPr="006A75A2">
          <w:rPr>
            <w:noProof/>
            <w:webHidden/>
          </w:rPr>
          <w:fldChar w:fldCharType="separate"/>
        </w:r>
        <w:r w:rsidR="00EA20C8" w:rsidRPr="006A75A2">
          <w:rPr>
            <w:noProof/>
            <w:webHidden/>
          </w:rPr>
          <w:t>95</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8" w:history="1">
        <w:r w:rsidR="002D4EAB" w:rsidRPr="006A75A2">
          <w:rPr>
            <w:rStyle w:val="Hyperlink"/>
            <w:noProof/>
          </w:rPr>
          <w:t>Note 21:</w:t>
        </w:r>
        <w:r w:rsidR="002D4EAB" w:rsidRPr="006A75A2">
          <w:rPr>
            <w:rFonts w:asciiTheme="minorHAnsi" w:eastAsiaTheme="minorEastAsia" w:hAnsiTheme="minorHAnsi" w:cstheme="minorBidi"/>
            <w:noProof/>
            <w:szCs w:val="22"/>
            <w:lang w:eastAsia="en-AU"/>
          </w:rPr>
          <w:tab/>
        </w:r>
        <w:r w:rsidR="002D4EAB" w:rsidRPr="006A75A2">
          <w:rPr>
            <w:rStyle w:val="Hyperlink"/>
            <w:noProof/>
          </w:rPr>
          <w:t>Non</w:t>
        </w:r>
        <w:r w:rsidR="002D4EAB" w:rsidRPr="006A75A2">
          <w:rPr>
            <w:rStyle w:val="Hyperlink"/>
            <w:noProof/>
          </w:rPr>
          <w:noBreakHyphen/>
          <w:t>financial assets held for sale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_Toc400040268 \h </w:instrText>
        </w:r>
        <w:r w:rsidR="002D4EAB" w:rsidRPr="006A75A2">
          <w:rPr>
            <w:noProof/>
            <w:webHidden/>
          </w:rPr>
        </w:r>
        <w:r w:rsidR="002D4EAB" w:rsidRPr="006A75A2">
          <w:rPr>
            <w:noProof/>
            <w:webHidden/>
          </w:rPr>
          <w:fldChar w:fldCharType="separate"/>
        </w:r>
        <w:r w:rsidR="00EA20C8" w:rsidRPr="006A75A2">
          <w:rPr>
            <w:noProof/>
            <w:webHidden/>
          </w:rPr>
          <w:t>96</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69" w:history="1">
        <w:r w:rsidR="002D4EAB" w:rsidRPr="006A75A2">
          <w:rPr>
            <w:rStyle w:val="Hyperlink"/>
            <w:noProof/>
          </w:rPr>
          <w:t>Note 22:</w:t>
        </w:r>
        <w:r w:rsidR="002D4EAB" w:rsidRPr="006A75A2">
          <w:rPr>
            <w:rFonts w:asciiTheme="minorHAnsi" w:eastAsiaTheme="minorEastAsia" w:hAnsiTheme="minorHAnsi" w:cstheme="minorBidi"/>
            <w:noProof/>
            <w:szCs w:val="22"/>
            <w:lang w:eastAsia="en-AU"/>
          </w:rPr>
          <w:tab/>
        </w:r>
        <w:r w:rsidR="002D4EAB" w:rsidRPr="006A75A2">
          <w:rPr>
            <w:rStyle w:val="Hyperlink"/>
            <w:noProof/>
          </w:rPr>
          <w:t>Land, buildings, infrastructure, plant and equipment</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_Toc400040269 \h </w:instrText>
        </w:r>
        <w:r w:rsidR="002D4EAB" w:rsidRPr="006A75A2">
          <w:rPr>
            <w:noProof/>
            <w:webHidden/>
          </w:rPr>
        </w:r>
        <w:r w:rsidR="002D4EAB" w:rsidRPr="006A75A2">
          <w:rPr>
            <w:noProof/>
            <w:webHidden/>
          </w:rPr>
          <w:fldChar w:fldCharType="separate"/>
        </w:r>
        <w:r w:rsidR="00EA20C8" w:rsidRPr="006A75A2">
          <w:rPr>
            <w:noProof/>
            <w:webHidden/>
          </w:rPr>
          <w:t>98</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0" w:history="1">
        <w:r w:rsidR="002D4EAB" w:rsidRPr="006A75A2">
          <w:rPr>
            <w:rStyle w:val="Hyperlink"/>
            <w:noProof/>
          </w:rPr>
          <w:t>Note 23:</w:t>
        </w:r>
        <w:r w:rsidR="002D4EAB" w:rsidRPr="006A75A2">
          <w:rPr>
            <w:rFonts w:asciiTheme="minorHAnsi" w:eastAsiaTheme="minorEastAsia" w:hAnsiTheme="minorHAnsi" w:cstheme="minorBidi"/>
            <w:noProof/>
            <w:szCs w:val="22"/>
            <w:lang w:eastAsia="en-AU"/>
          </w:rPr>
          <w:tab/>
        </w:r>
        <w:r w:rsidR="002D4EAB" w:rsidRPr="006A75A2">
          <w:rPr>
            <w:rStyle w:val="Hyperlink"/>
            <w:noProof/>
          </w:rPr>
          <w:t>Other non-financial assets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_Toc400040270 \h </w:instrText>
        </w:r>
        <w:r w:rsidR="002D4EAB" w:rsidRPr="006A75A2">
          <w:rPr>
            <w:noProof/>
            <w:webHidden/>
          </w:rPr>
        </w:r>
        <w:r w:rsidR="002D4EAB" w:rsidRPr="006A75A2">
          <w:rPr>
            <w:noProof/>
            <w:webHidden/>
          </w:rPr>
          <w:fldChar w:fldCharType="separate"/>
        </w:r>
        <w:r w:rsidR="00EA20C8" w:rsidRPr="006A75A2">
          <w:rPr>
            <w:noProof/>
            <w:webHidden/>
          </w:rPr>
          <w:t>119</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1" w:history="1">
        <w:r w:rsidR="002D4EAB" w:rsidRPr="006A75A2">
          <w:rPr>
            <w:rStyle w:val="Hyperlink"/>
            <w:noProof/>
          </w:rPr>
          <w:t>Note 24:</w:t>
        </w:r>
        <w:r w:rsidR="002D4EAB" w:rsidRPr="006A75A2">
          <w:rPr>
            <w:rFonts w:asciiTheme="minorHAnsi" w:eastAsiaTheme="minorEastAsia" w:hAnsiTheme="minorHAnsi" w:cstheme="minorBidi"/>
            <w:noProof/>
            <w:szCs w:val="22"/>
            <w:lang w:eastAsia="en-AU"/>
          </w:rPr>
          <w:tab/>
        </w:r>
        <w:r w:rsidR="002D4EAB" w:rsidRPr="006A75A2">
          <w:rPr>
            <w:rStyle w:val="Hyperlink"/>
            <w:noProof/>
          </w:rPr>
          <w:t>Assets classified by government purpose classification and department</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_Toc400040271 \h </w:instrText>
        </w:r>
        <w:r w:rsidR="002D4EAB" w:rsidRPr="006A75A2">
          <w:rPr>
            <w:noProof/>
            <w:webHidden/>
          </w:rPr>
        </w:r>
        <w:r w:rsidR="002D4EAB" w:rsidRPr="006A75A2">
          <w:rPr>
            <w:noProof/>
            <w:webHidden/>
          </w:rPr>
          <w:fldChar w:fldCharType="separate"/>
        </w:r>
        <w:r w:rsidR="00EA20C8" w:rsidRPr="006A75A2">
          <w:rPr>
            <w:noProof/>
            <w:webHidden/>
          </w:rPr>
          <w:t>122</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2" w:history="1">
        <w:r w:rsidR="002D4EAB" w:rsidRPr="006A75A2">
          <w:rPr>
            <w:rStyle w:val="Hyperlink"/>
            <w:noProof/>
          </w:rPr>
          <w:t>Note 25:</w:t>
        </w:r>
        <w:r w:rsidR="002D4EAB" w:rsidRPr="006A75A2">
          <w:rPr>
            <w:rFonts w:asciiTheme="minorHAnsi" w:eastAsiaTheme="minorEastAsia" w:hAnsiTheme="minorHAnsi" w:cstheme="minorBidi"/>
            <w:noProof/>
            <w:szCs w:val="22"/>
            <w:lang w:eastAsia="en-AU"/>
          </w:rPr>
          <w:tab/>
        </w:r>
        <w:r w:rsidR="002D4EAB" w:rsidRPr="006A75A2">
          <w:rPr>
            <w:rStyle w:val="Hyperlink"/>
            <w:noProof/>
          </w:rPr>
          <w:t>Payables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_Toc400040272 \h </w:instrText>
        </w:r>
        <w:r w:rsidR="002D4EAB" w:rsidRPr="006A75A2">
          <w:rPr>
            <w:noProof/>
            <w:webHidden/>
          </w:rPr>
        </w:r>
        <w:r w:rsidR="002D4EAB" w:rsidRPr="006A75A2">
          <w:rPr>
            <w:noProof/>
            <w:webHidden/>
          </w:rPr>
          <w:fldChar w:fldCharType="separate"/>
        </w:r>
        <w:r w:rsidR="00EA20C8" w:rsidRPr="006A75A2">
          <w:rPr>
            <w:noProof/>
            <w:webHidden/>
          </w:rPr>
          <w:t>123</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3" w:history="1">
        <w:r w:rsidR="002D4EAB" w:rsidRPr="006A75A2">
          <w:rPr>
            <w:rStyle w:val="Hyperlink"/>
            <w:noProof/>
          </w:rPr>
          <w:t>Note 26:</w:t>
        </w:r>
        <w:r w:rsidR="002D4EAB" w:rsidRPr="006A75A2">
          <w:rPr>
            <w:rFonts w:asciiTheme="minorHAnsi" w:eastAsiaTheme="minorEastAsia" w:hAnsiTheme="minorHAnsi" w:cstheme="minorBidi"/>
            <w:noProof/>
            <w:szCs w:val="22"/>
            <w:lang w:eastAsia="en-AU"/>
          </w:rPr>
          <w:tab/>
        </w:r>
        <w:r w:rsidR="002D4EAB" w:rsidRPr="006A75A2">
          <w:rPr>
            <w:rStyle w:val="Hyperlink"/>
            <w:noProof/>
          </w:rPr>
          <w:t>Borrowings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_Toc400040273 \h </w:instrText>
        </w:r>
        <w:r w:rsidR="002D4EAB" w:rsidRPr="006A75A2">
          <w:rPr>
            <w:noProof/>
            <w:webHidden/>
          </w:rPr>
        </w:r>
        <w:r w:rsidR="002D4EAB" w:rsidRPr="006A75A2">
          <w:rPr>
            <w:noProof/>
            <w:webHidden/>
          </w:rPr>
          <w:fldChar w:fldCharType="separate"/>
        </w:r>
        <w:r w:rsidR="00EA20C8" w:rsidRPr="006A75A2">
          <w:rPr>
            <w:noProof/>
            <w:webHidden/>
          </w:rPr>
          <w:t>124</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4" w:history="1">
        <w:r w:rsidR="002D4EAB" w:rsidRPr="006A75A2">
          <w:rPr>
            <w:rStyle w:val="Hyperlink"/>
            <w:noProof/>
          </w:rPr>
          <w:t>Note 27:</w:t>
        </w:r>
        <w:r w:rsidR="002D4EAB" w:rsidRPr="006A75A2">
          <w:rPr>
            <w:rFonts w:asciiTheme="minorHAnsi" w:eastAsiaTheme="minorEastAsia" w:hAnsiTheme="minorHAnsi" w:cstheme="minorBidi"/>
            <w:noProof/>
            <w:szCs w:val="22"/>
            <w:lang w:eastAsia="en-AU"/>
          </w:rPr>
          <w:tab/>
        </w:r>
        <w:r w:rsidR="002D4EAB" w:rsidRPr="006A75A2">
          <w:rPr>
            <w:rStyle w:val="Hyperlink"/>
            <w:noProof/>
          </w:rPr>
          <w:t>Employee benefits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_Toc400040274 \h </w:instrText>
        </w:r>
        <w:r w:rsidR="002D4EAB" w:rsidRPr="006A75A2">
          <w:rPr>
            <w:noProof/>
            <w:webHidden/>
          </w:rPr>
        </w:r>
        <w:r w:rsidR="002D4EAB" w:rsidRPr="006A75A2">
          <w:rPr>
            <w:noProof/>
            <w:webHidden/>
          </w:rPr>
          <w:fldChar w:fldCharType="separate"/>
        </w:r>
        <w:r w:rsidR="00EA20C8" w:rsidRPr="006A75A2">
          <w:rPr>
            <w:noProof/>
            <w:webHidden/>
          </w:rPr>
          <w:t>124</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5" w:history="1">
        <w:r w:rsidR="002D4EAB" w:rsidRPr="006A75A2">
          <w:rPr>
            <w:rStyle w:val="Hyperlink"/>
            <w:noProof/>
          </w:rPr>
          <w:t>Note 28:</w:t>
        </w:r>
        <w:r w:rsidR="002D4EAB" w:rsidRPr="006A75A2">
          <w:rPr>
            <w:rFonts w:asciiTheme="minorHAnsi" w:eastAsiaTheme="minorEastAsia" w:hAnsiTheme="minorHAnsi" w:cstheme="minorBidi"/>
            <w:noProof/>
            <w:szCs w:val="22"/>
            <w:lang w:eastAsia="en-AU"/>
          </w:rPr>
          <w:tab/>
        </w:r>
        <w:r w:rsidR="002D4EAB" w:rsidRPr="006A75A2">
          <w:rPr>
            <w:rStyle w:val="Hyperlink"/>
            <w:noProof/>
          </w:rPr>
          <w:t>Other provisions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_Toc400040275 \h </w:instrText>
        </w:r>
        <w:r w:rsidR="002D4EAB" w:rsidRPr="006A75A2">
          <w:rPr>
            <w:noProof/>
            <w:webHidden/>
          </w:rPr>
        </w:r>
        <w:r w:rsidR="002D4EAB" w:rsidRPr="006A75A2">
          <w:rPr>
            <w:noProof/>
            <w:webHidden/>
          </w:rPr>
          <w:fldChar w:fldCharType="separate"/>
        </w:r>
        <w:r w:rsidR="00EA20C8" w:rsidRPr="006A75A2">
          <w:rPr>
            <w:noProof/>
            <w:webHidden/>
          </w:rPr>
          <w:t>125</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6" w:history="1">
        <w:r w:rsidR="002D4EAB" w:rsidRPr="006A75A2">
          <w:rPr>
            <w:rStyle w:val="Hyperlink"/>
            <w:noProof/>
          </w:rPr>
          <w:t>Note 29:</w:t>
        </w:r>
        <w:r w:rsidR="002D4EAB" w:rsidRPr="006A75A2">
          <w:rPr>
            <w:rFonts w:asciiTheme="minorHAnsi" w:eastAsiaTheme="minorEastAsia" w:hAnsiTheme="minorHAnsi" w:cstheme="minorBidi"/>
            <w:noProof/>
            <w:szCs w:val="22"/>
            <w:lang w:eastAsia="en-AU"/>
          </w:rPr>
          <w:tab/>
        </w:r>
        <w:r w:rsidR="002D4EAB" w:rsidRPr="006A75A2">
          <w:rPr>
            <w:rStyle w:val="Hyperlink"/>
            <w:noProof/>
          </w:rPr>
          <w:t>Reserves, accumulated surplus/(deficit) and non-controlling interests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_Toc400040276 \h </w:instrText>
        </w:r>
        <w:r w:rsidR="002D4EAB" w:rsidRPr="006A75A2">
          <w:rPr>
            <w:noProof/>
            <w:webHidden/>
          </w:rPr>
        </w:r>
        <w:r w:rsidR="002D4EAB" w:rsidRPr="006A75A2">
          <w:rPr>
            <w:noProof/>
            <w:webHidden/>
          </w:rPr>
          <w:fldChar w:fldCharType="separate"/>
        </w:r>
        <w:r w:rsidR="00EA20C8" w:rsidRPr="006A75A2">
          <w:rPr>
            <w:noProof/>
            <w:webHidden/>
          </w:rPr>
          <w:t>129</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7" w:history="1">
        <w:r w:rsidR="002D4EAB" w:rsidRPr="006A75A2">
          <w:rPr>
            <w:rStyle w:val="Hyperlink"/>
            <w:noProof/>
          </w:rPr>
          <w:t>Note 30:</w:t>
        </w:r>
        <w:r w:rsidR="002D4EAB" w:rsidRPr="006A75A2">
          <w:rPr>
            <w:rFonts w:asciiTheme="minorHAnsi" w:eastAsiaTheme="minorEastAsia" w:hAnsiTheme="minorHAnsi" w:cstheme="minorBidi"/>
            <w:noProof/>
            <w:szCs w:val="22"/>
            <w:lang w:eastAsia="en-AU"/>
          </w:rPr>
          <w:tab/>
        </w:r>
        <w:r w:rsidR="002D4EAB" w:rsidRPr="006A75A2">
          <w:rPr>
            <w:rStyle w:val="Hyperlink"/>
            <w:noProof/>
          </w:rPr>
          <w:t>Cash flow information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_Toc400040277 \h </w:instrText>
        </w:r>
        <w:r w:rsidR="002D4EAB" w:rsidRPr="006A75A2">
          <w:rPr>
            <w:noProof/>
            <w:webHidden/>
          </w:rPr>
        </w:r>
        <w:r w:rsidR="002D4EAB" w:rsidRPr="006A75A2">
          <w:rPr>
            <w:noProof/>
            <w:webHidden/>
          </w:rPr>
          <w:fldChar w:fldCharType="separate"/>
        </w:r>
        <w:r w:rsidR="00EA20C8" w:rsidRPr="006A75A2">
          <w:rPr>
            <w:noProof/>
            <w:webHidden/>
          </w:rPr>
          <w:t>131</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8" w:history="1">
        <w:r w:rsidR="002D4EAB" w:rsidRPr="006A75A2">
          <w:rPr>
            <w:rStyle w:val="Hyperlink"/>
            <w:noProof/>
          </w:rPr>
          <w:t>Note 31:</w:t>
        </w:r>
        <w:r w:rsidR="002D4EAB" w:rsidRPr="006A75A2">
          <w:rPr>
            <w:rFonts w:asciiTheme="minorHAnsi" w:eastAsiaTheme="minorEastAsia" w:hAnsiTheme="minorHAnsi" w:cstheme="minorBidi"/>
            <w:noProof/>
            <w:szCs w:val="22"/>
            <w:lang w:eastAsia="en-AU"/>
          </w:rPr>
          <w:tab/>
        </w:r>
        <w:r w:rsidR="002D4EAB" w:rsidRPr="006A75A2">
          <w:rPr>
            <w:rStyle w:val="Hyperlink"/>
            <w:noProof/>
          </w:rPr>
          <w:t>Reconciliations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_Toc400040278 \h </w:instrText>
        </w:r>
        <w:r w:rsidR="002D4EAB" w:rsidRPr="006A75A2">
          <w:rPr>
            <w:noProof/>
            <w:webHidden/>
          </w:rPr>
        </w:r>
        <w:r w:rsidR="002D4EAB" w:rsidRPr="006A75A2">
          <w:rPr>
            <w:noProof/>
            <w:webHidden/>
          </w:rPr>
          <w:fldChar w:fldCharType="separate"/>
        </w:r>
        <w:r w:rsidR="00EA20C8" w:rsidRPr="006A75A2">
          <w:rPr>
            <w:noProof/>
            <w:webHidden/>
          </w:rPr>
          <w:t>132</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79" w:history="1">
        <w:r w:rsidR="002D4EAB" w:rsidRPr="006A75A2">
          <w:rPr>
            <w:rStyle w:val="Hyperlink"/>
            <w:noProof/>
          </w:rPr>
          <w:t>Note 32:</w:t>
        </w:r>
        <w:r w:rsidR="002D4EAB" w:rsidRPr="006A75A2">
          <w:rPr>
            <w:rFonts w:asciiTheme="minorHAnsi" w:eastAsiaTheme="minorEastAsia" w:hAnsiTheme="minorHAnsi" w:cstheme="minorBidi"/>
            <w:noProof/>
            <w:szCs w:val="22"/>
            <w:lang w:eastAsia="en-AU"/>
          </w:rPr>
          <w:tab/>
        </w:r>
        <w:r w:rsidR="002D4EAB" w:rsidRPr="006A75A2">
          <w:rPr>
            <w:rStyle w:val="Hyperlink"/>
            <w:noProof/>
          </w:rPr>
          <w:t>Explanations of material variances between budget and actual outcomes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_Toc400040279 \h </w:instrText>
        </w:r>
        <w:r w:rsidR="002D4EAB" w:rsidRPr="006A75A2">
          <w:rPr>
            <w:noProof/>
            <w:webHidden/>
          </w:rPr>
        </w:r>
        <w:r w:rsidR="002D4EAB" w:rsidRPr="006A75A2">
          <w:rPr>
            <w:noProof/>
            <w:webHidden/>
          </w:rPr>
          <w:fldChar w:fldCharType="separate"/>
        </w:r>
        <w:r w:rsidR="00EA20C8" w:rsidRPr="006A75A2">
          <w:rPr>
            <w:noProof/>
            <w:webHidden/>
          </w:rPr>
          <w:t>138</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0" w:history="1">
        <w:r w:rsidR="002D4EAB" w:rsidRPr="006A75A2">
          <w:rPr>
            <w:rStyle w:val="Hyperlink"/>
            <w:noProof/>
          </w:rPr>
          <w:t>Note 33:</w:t>
        </w:r>
        <w:r w:rsidR="002D4EAB" w:rsidRPr="006A75A2">
          <w:rPr>
            <w:rFonts w:asciiTheme="minorHAnsi" w:eastAsiaTheme="minorEastAsia" w:hAnsiTheme="minorHAnsi" w:cstheme="minorBidi"/>
            <w:noProof/>
            <w:szCs w:val="22"/>
            <w:lang w:eastAsia="en-AU"/>
          </w:rPr>
          <w:tab/>
        </w:r>
        <w:r w:rsidR="002D4EAB" w:rsidRPr="006A75A2">
          <w:rPr>
            <w:rStyle w:val="Hyperlink"/>
            <w:noProof/>
          </w:rPr>
          <w:t>Financial instruments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_Toc400040280 \h </w:instrText>
        </w:r>
        <w:r w:rsidR="002D4EAB" w:rsidRPr="006A75A2">
          <w:rPr>
            <w:noProof/>
            <w:webHidden/>
          </w:rPr>
        </w:r>
        <w:r w:rsidR="002D4EAB" w:rsidRPr="006A75A2">
          <w:rPr>
            <w:noProof/>
            <w:webHidden/>
          </w:rPr>
          <w:fldChar w:fldCharType="separate"/>
        </w:r>
        <w:r w:rsidR="00EA20C8" w:rsidRPr="006A75A2">
          <w:rPr>
            <w:noProof/>
            <w:webHidden/>
          </w:rPr>
          <w:t>146</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1" w:history="1">
        <w:r w:rsidR="002D4EAB" w:rsidRPr="006A75A2">
          <w:rPr>
            <w:rStyle w:val="Hyperlink"/>
            <w:noProof/>
          </w:rPr>
          <w:t>Note 34:</w:t>
        </w:r>
        <w:r w:rsidR="002D4EAB" w:rsidRPr="006A75A2">
          <w:rPr>
            <w:rFonts w:asciiTheme="minorHAnsi" w:eastAsiaTheme="minorEastAsia" w:hAnsiTheme="minorHAnsi" w:cstheme="minorBidi"/>
            <w:noProof/>
            <w:szCs w:val="22"/>
            <w:lang w:eastAsia="en-AU"/>
          </w:rPr>
          <w:tab/>
        </w:r>
        <w:r w:rsidR="002D4EAB" w:rsidRPr="006A75A2">
          <w:rPr>
            <w:rStyle w:val="Hyperlink"/>
            <w:noProof/>
          </w:rPr>
          <w:t>Commitments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_Toc400040281 \h </w:instrText>
        </w:r>
        <w:r w:rsidR="002D4EAB" w:rsidRPr="006A75A2">
          <w:rPr>
            <w:noProof/>
            <w:webHidden/>
          </w:rPr>
        </w:r>
        <w:r w:rsidR="002D4EAB" w:rsidRPr="006A75A2">
          <w:rPr>
            <w:noProof/>
            <w:webHidden/>
          </w:rPr>
          <w:fldChar w:fldCharType="separate"/>
        </w:r>
        <w:r w:rsidR="00EA20C8" w:rsidRPr="006A75A2">
          <w:rPr>
            <w:noProof/>
            <w:webHidden/>
          </w:rPr>
          <w:t>167</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2" w:history="1">
        <w:r w:rsidR="002D4EAB" w:rsidRPr="006A75A2">
          <w:rPr>
            <w:rStyle w:val="Hyperlink"/>
            <w:noProof/>
          </w:rPr>
          <w:t>Note 35:</w:t>
        </w:r>
        <w:r w:rsidR="002D4EAB" w:rsidRPr="006A75A2">
          <w:rPr>
            <w:rFonts w:asciiTheme="minorHAnsi" w:eastAsiaTheme="minorEastAsia" w:hAnsiTheme="minorHAnsi" w:cstheme="minorBidi"/>
            <w:noProof/>
            <w:szCs w:val="22"/>
            <w:lang w:eastAsia="en-AU"/>
          </w:rPr>
          <w:tab/>
        </w:r>
        <w:r w:rsidR="002D4EAB" w:rsidRPr="006A75A2">
          <w:rPr>
            <w:rStyle w:val="Hyperlink"/>
            <w:noProof/>
          </w:rPr>
          <w:t>Contingent assets and contingent liabilities (State of Victoria)</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_Toc400040282 \h </w:instrText>
        </w:r>
        <w:r w:rsidR="002D4EAB" w:rsidRPr="006A75A2">
          <w:rPr>
            <w:noProof/>
            <w:webHidden/>
          </w:rPr>
        </w:r>
        <w:r w:rsidR="002D4EAB" w:rsidRPr="006A75A2">
          <w:rPr>
            <w:noProof/>
            <w:webHidden/>
          </w:rPr>
          <w:fldChar w:fldCharType="separate"/>
        </w:r>
        <w:r w:rsidR="00EA20C8" w:rsidRPr="006A75A2">
          <w:rPr>
            <w:noProof/>
            <w:webHidden/>
          </w:rPr>
          <w:t>171</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3" w:history="1">
        <w:r w:rsidR="002D4EAB" w:rsidRPr="006A75A2">
          <w:rPr>
            <w:rStyle w:val="Hyperlink"/>
            <w:noProof/>
          </w:rPr>
          <w:t>Note 36:</w:t>
        </w:r>
        <w:r w:rsidR="002D4EAB" w:rsidRPr="006A75A2">
          <w:rPr>
            <w:rFonts w:asciiTheme="minorHAnsi" w:eastAsiaTheme="minorEastAsia" w:hAnsiTheme="minorHAnsi" w:cstheme="minorBidi"/>
            <w:noProof/>
            <w:szCs w:val="22"/>
            <w:lang w:eastAsia="en-AU"/>
          </w:rPr>
          <w:tab/>
        </w:r>
        <w:r w:rsidR="002D4EAB" w:rsidRPr="006A75A2">
          <w:rPr>
            <w:rStyle w:val="Hyperlink"/>
            <w:noProof/>
          </w:rPr>
          <w:t>Funds under management</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_Toc400040283 \h </w:instrText>
        </w:r>
        <w:r w:rsidR="002D4EAB" w:rsidRPr="006A75A2">
          <w:rPr>
            <w:noProof/>
            <w:webHidden/>
          </w:rPr>
        </w:r>
        <w:r w:rsidR="002D4EAB" w:rsidRPr="006A75A2">
          <w:rPr>
            <w:noProof/>
            <w:webHidden/>
          </w:rPr>
          <w:fldChar w:fldCharType="separate"/>
        </w:r>
        <w:r w:rsidR="00EA20C8" w:rsidRPr="006A75A2">
          <w:rPr>
            <w:noProof/>
            <w:webHidden/>
          </w:rPr>
          <w:t>177</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4" w:history="1">
        <w:r w:rsidR="002D4EAB" w:rsidRPr="006A75A2">
          <w:rPr>
            <w:rStyle w:val="Hyperlink"/>
            <w:noProof/>
          </w:rPr>
          <w:t>Note 37:</w:t>
        </w:r>
        <w:r w:rsidR="002D4EAB" w:rsidRPr="006A75A2">
          <w:rPr>
            <w:rFonts w:asciiTheme="minorHAnsi" w:eastAsiaTheme="minorEastAsia" w:hAnsiTheme="minorHAnsi" w:cstheme="minorBidi"/>
            <w:noProof/>
            <w:szCs w:val="22"/>
            <w:lang w:eastAsia="en-AU"/>
          </w:rPr>
          <w:tab/>
        </w:r>
        <w:r w:rsidR="002D4EAB" w:rsidRPr="006A75A2">
          <w:rPr>
            <w:rStyle w:val="Hyperlink"/>
            <w:noProof/>
          </w:rPr>
          <w:t>Restatement of certain 2012-13 balances due to item reclassifications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_Toc400040284 \h </w:instrText>
        </w:r>
        <w:r w:rsidR="002D4EAB" w:rsidRPr="006A75A2">
          <w:rPr>
            <w:noProof/>
            <w:webHidden/>
          </w:rPr>
        </w:r>
        <w:r w:rsidR="002D4EAB" w:rsidRPr="006A75A2">
          <w:rPr>
            <w:noProof/>
            <w:webHidden/>
          </w:rPr>
          <w:fldChar w:fldCharType="separate"/>
        </w:r>
        <w:r w:rsidR="00EA20C8" w:rsidRPr="006A75A2">
          <w:rPr>
            <w:noProof/>
            <w:webHidden/>
          </w:rPr>
          <w:t>178</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5" w:history="1">
        <w:r w:rsidR="002D4EAB" w:rsidRPr="006A75A2">
          <w:rPr>
            <w:rStyle w:val="Hyperlink"/>
            <w:noProof/>
          </w:rPr>
          <w:t>Note 38:</w:t>
        </w:r>
        <w:r w:rsidR="002D4EAB" w:rsidRPr="006A75A2">
          <w:rPr>
            <w:rFonts w:asciiTheme="minorHAnsi" w:eastAsiaTheme="minorEastAsia" w:hAnsiTheme="minorHAnsi" w:cstheme="minorBidi"/>
            <w:noProof/>
            <w:szCs w:val="22"/>
            <w:lang w:eastAsia="en-AU"/>
          </w:rPr>
          <w:tab/>
        </w:r>
        <w:r w:rsidR="002D4EAB" w:rsidRPr="006A75A2">
          <w:rPr>
            <w:rStyle w:val="Hyperlink"/>
            <w:noProof/>
          </w:rPr>
          <w:t>Subsequent events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_Toc400040285 \h </w:instrText>
        </w:r>
        <w:r w:rsidR="002D4EAB" w:rsidRPr="006A75A2">
          <w:rPr>
            <w:noProof/>
            <w:webHidden/>
          </w:rPr>
        </w:r>
        <w:r w:rsidR="002D4EAB" w:rsidRPr="006A75A2">
          <w:rPr>
            <w:noProof/>
            <w:webHidden/>
          </w:rPr>
          <w:fldChar w:fldCharType="separate"/>
        </w:r>
        <w:r w:rsidR="00EA20C8" w:rsidRPr="006A75A2">
          <w:rPr>
            <w:noProof/>
            <w:webHidden/>
          </w:rPr>
          <w:t>181</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6" w:history="1">
        <w:r w:rsidR="002D4EAB" w:rsidRPr="006A75A2">
          <w:rPr>
            <w:rStyle w:val="Hyperlink"/>
            <w:noProof/>
          </w:rPr>
          <w:t>Note 39:</w:t>
        </w:r>
        <w:r w:rsidR="002D4EAB" w:rsidRPr="006A75A2">
          <w:rPr>
            <w:rFonts w:asciiTheme="minorHAnsi" w:eastAsiaTheme="minorEastAsia" w:hAnsiTheme="minorHAnsi" w:cstheme="minorBidi"/>
            <w:noProof/>
            <w:szCs w:val="22"/>
            <w:lang w:eastAsia="en-AU"/>
          </w:rPr>
          <w:tab/>
        </w:r>
        <w:r w:rsidR="002D4EAB" w:rsidRPr="006A75A2">
          <w:rPr>
            <w:rStyle w:val="Hyperlink"/>
            <w:noProof/>
          </w:rPr>
          <w:t>Public account disclosure</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_Toc400040286 \h </w:instrText>
        </w:r>
        <w:r w:rsidR="002D4EAB" w:rsidRPr="006A75A2">
          <w:rPr>
            <w:noProof/>
            <w:webHidden/>
          </w:rPr>
        </w:r>
        <w:r w:rsidR="002D4EAB" w:rsidRPr="006A75A2">
          <w:rPr>
            <w:noProof/>
            <w:webHidden/>
          </w:rPr>
          <w:fldChar w:fldCharType="separate"/>
        </w:r>
        <w:r w:rsidR="00EA20C8" w:rsidRPr="006A75A2">
          <w:rPr>
            <w:noProof/>
            <w:webHidden/>
          </w:rPr>
          <w:t>182</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7" w:history="1">
        <w:r w:rsidR="002D4EAB" w:rsidRPr="006A75A2">
          <w:rPr>
            <w:rStyle w:val="Hyperlink"/>
            <w:bCs/>
            <w:noProof/>
          </w:rPr>
          <w:t>Note 40:</w:t>
        </w:r>
        <w:r w:rsidR="002D4EAB" w:rsidRPr="006A75A2">
          <w:rPr>
            <w:rFonts w:asciiTheme="minorHAnsi" w:eastAsiaTheme="minorEastAsia" w:hAnsiTheme="minorHAnsi" w:cstheme="minorBidi"/>
            <w:noProof/>
            <w:szCs w:val="22"/>
            <w:lang w:eastAsia="en-AU"/>
          </w:rPr>
          <w:tab/>
        </w:r>
        <w:r w:rsidR="002D4EAB" w:rsidRPr="006A75A2">
          <w:rPr>
            <w:rStyle w:val="Hyperlink"/>
            <w:bCs/>
            <w:noProof/>
          </w:rPr>
          <w:t>Glossary of technical terms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_Toc400040287 \h </w:instrText>
        </w:r>
        <w:r w:rsidR="002D4EAB" w:rsidRPr="006A75A2">
          <w:rPr>
            <w:noProof/>
            <w:webHidden/>
          </w:rPr>
        </w:r>
        <w:r w:rsidR="002D4EAB" w:rsidRPr="006A75A2">
          <w:rPr>
            <w:noProof/>
            <w:webHidden/>
          </w:rPr>
          <w:fldChar w:fldCharType="separate"/>
        </w:r>
        <w:r w:rsidR="00EA20C8" w:rsidRPr="006A75A2">
          <w:rPr>
            <w:noProof/>
            <w:webHidden/>
          </w:rPr>
          <w:t>208</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8" w:history="1">
        <w:r w:rsidR="002D4EAB" w:rsidRPr="006A75A2">
          <w:rPr>
            <w:rStyle w:val="Hyperlink"/>
            <w:bCs/>
            <w:noProof/>
          </w:rPr>
          <w:t>Note 41:</w:t>
        </w:r>
        <w:r w:rsidR="002D4EAB" w:rsidRPr="006A75A2">
          <w:rPr>
            <w:rFonts w:asciiTheme="minorHAnsi" w:eastAsiaTheme="minorEastAsia" w:hAnsiTheme="minorHAnsi" w:cstheme="minorBidi"/>
            <w:noProof/>
            <w:szCs w:val="22"/>
            <w:lang w:eastAsia="en-AU"/>
          </w:rPr>
          <w:tab/>
        </w:r>
        <w:r w:rsidR="002D4EAB" w:rsidRPr="006A75A2">
          <w:rPr>
            <w:rStyle w:val="Hyperlink"/>
            <w:bCs/>
            <w:noProof/>
          </w:rPr>
          <w:t>Government purpose classification</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_Toc400040288 \h </w:instrText>
        </w:r>
        <w:r w:rsidR="002D4EAB" w:rsidRPr="006A75A2">
          <w:rPr>
            <w:noProof/>
            <w:webHidden/>
          </w:rPr>
        </w:r>
        <w:r w:rsidR="002D4EAB" w:rsidRPr="006A75A2">
          <w:rPr>
            <w:noProof/>
            <w:webHidden/>
          </w:rPr>
          <w:fldChar w:fldCharType="separate"/>
        </w:r>
        <w:r w:rsidR="00EA20C8" w:rsidRPr="006A75A2">
          <w:rPr>
            <w:noProof/>
            <w:webHidden/>
          </w:rPr>
          <w:t>216</w:t>
        </w:r>
        <w:r w:rsidR="002D4EAB" w:rsidRPr="006A75A2">
          <w:rPr>
            <w:noProof/>
            <w:webHidden/>
          </w:rPr>
          <w:fldChar w:fldCharType="end"/>
        </w:r>
      </w:hyperlink>
    </w:p>
    <w:p w:rsidR="002D4EAB" w:rsidRPr="006A75A2" w:rsidRDefault="00E25333">
      <w:pPr>
        <w:pStyle w:val="TOC4"/>
        <w:rPr>
          <w:rFonts w:asciiTheme="minorHAnsi" w:eastAsiaTheme="minorEastAsia" w:hAnsiTheme="minorHAnsi" w:cstheme="minorBidi"/>
          <w:noProof/>
          <w:szCs w:val="22"/>
          <w:lang w:eastAsia="en-AU"/>
        </w:rPr>
      </w:pPr>
      <w:hyperlink w:anchor="_Toc400040289" w:history="1">
        <w:r w:rsidR="002D4EAB" w:rsidRPr="006A75A2">
          <w:rPr>
            <w:rStyle w:val="Hyperlink"/>
            <w:noProof/>
          </w:rPr>
          <w:t>Note 42:</w:t>
        </w:r>
        <w:r w:rsidR="002D4EAB" w:rsidRPr="006A75A2">
          <w:rPr>
            <w:rFonts w:asciiTheme="minorHAnsi" w:eastAsiaTheme="minorEastAsia" w:hAnsiTheme="minorHAnsi" w:cstheme="minorBidi"/>
            <w:noProof/>
            <w:szCs w:val="22"/>
            <w:lang w:eastAsia="en-AU"/>
          </w:rPr>
          <w:tab/>
        </w:r>
        <w:r w:rsidR="002D4EAB" w:rsidRPr="006A75A2">
          <w:rPr>
            <w:rStyle w:val="Hyperlink"/>
            <w:noProof/>
          </w:rPr>
          <w:t>Controlled entities</w:t>
        </w:r>
        <w:r w:rsidR="002D4EAB" w:rsidRPr="006A75A2">
          <w:rPr>
            <w:noProof/>
            <w:webHidden/>
          </w:rPr>
          <w:tab/>
        </w:r>
        <w:r w:rsidR="002D4EAB" w:rsidRPr="006A75A2">
          <w:rPr>
            <w:noProof/>
            <w:webHidden/>
          </w:rPr>
          <w:fldChar w:fldCharType="begin"/>
        </w:r>
        <w:r w:rsidR="002D4EAB" w:rsidRPr="006A75A2">
          <w:rPr>
            <w:noProof/>
            <w:webHidden/>
          </w:rPr>
          <w:instrText xml:space="preserve"> PAGEREF _Toc400040289 \h </w:instrText>
        </w:r>
        <w:r w:rsidR="002D4EAB" w:rsidRPr="006A75A2">
          <w:rPr>
            <w:noProof/>
            <w:webHidden/>
          </w:rPr>
        </w:r>
        <w:r w:rsidR="002D4EAB" w:rsidRPr="006A75A2">
          <w:rPr>
            <w:noProof/>
            <w:webHidden/>
          </w:rPr>
          <w:fldChar w:fldCharType="separate"/>
        </w:r>
        <w:r w:rsidR="00EA20C8" w:rsidRPr="006A75A2">
          <w:rPr>
            <w:noProof/>
            <w:webHidden/>
          </w:rPr>
          <w:t>218</w:t>
        </w:r>
        <w:r w:rsidR="002D4EAB" w:rsidRPr="006A75A2">
          <w:rPr>
            <w:noProof/>
            <w:webHidden/>
          </w:rPr>
          <w:fldChar w:fldCharType="end"/>
        </w:r>
      </w:hyperlink>
    </w:p>
    <w:p w:rsidR="004E6C32" w:rsidRPr="006A75A2" w:rsidRDefault="004E6C32" w:rsidP="004B5CB1">
      <w:r w:rsidRPr="006A75A2">
        <w:fldChar w:fldCharType="end"/>
      </w:r>
    </w:p>
    <w:p w:rsidR="004E6C32" w:rsidRPr="006A75A2" w:rsidRDefault="004E6C32">
      <w:pPr>
        <w:spacing w:after="0"/>
      </w:pPr>
      <w:r w:rsidRPr="006A75A2">
        <w:br w:type="page"/>
      </w:r>
    </w:p>
    <w:p w:rsidR="004E6C32" w:rsidRPr="006A75A2" w:rsidRDefault="004E6C32" w:rsidP="004B5CB1">
      <w:pPr>
        <w:pStyle w:val="Heading2Notes"/>
        <w:rPr>
          <w:kern w:val="0"/>
        </w:rPr>
      </w:pPr>
      <w:bookmarkStart w:id="29" w:name="_Toc357784592"/>
      <w:bookmarkStart w:id="30" w:name="_Toc400040248"/>
      <w:r w:rsidRPr="006A75A2">
        <w:rPr>
          <w:kern w:val="0"/>
        </w:rPr>
        <w:lastRenderedPageBreak/>
        <w:t>Note 1:</w:t>
      </w:r>
      <w:r w:rsidRPr="006A75A2">
        <w:rPr>
          <w:kern w:val="0"/>
        </w:rPr>
        <w:tab/>
        <w:t>Summary of significant accounting policies</w:t>
      </w:r>
      <w:bookmarkEnd w:id="29"/>
      <w:bookmarkEnd w:id="30"/>
    </w:p>
    <w:p w:rsidR="004E6C32" w:rsidRPr="006A75A2" w:rsidRDefault="004E6C32" w:rsidP="004B5CB1">
      <w:r w:rsidRPr="006A75A2">
        <w:t>This Annual Financial Report presents the audited general purpose consolidated financial statements of the State of Victoria (the State) and the Victorian general government sector for the year ended 30 June 2014. The report provides users with information about the Government</w:t>
      </w:r>
      <w:r w:rsidR="00C96101" w:rsidRPr="006A75A2">
        <w:t>’</w:t>
      </w:r>
      <w:r w:rsidRPr="006A75A2">
        <w:t>s stewardship of the resources entrusted to it.</w:t>
      </w:r>
    </w:p>
    <w:p w:rsidR="004E6C32" w:rsidRPr="006A75A2" w:rsidRDefault="004E6C32" w:rsidP="004B5CB1">
      <w:pPr>
        <w:pStyle w:val="Heading3Numbering"/>
        <w:rPr>
          <w:kern w:val="0"/>
        </w:rPr>
      </w:pPr>
      <w:r w:rsidRPr="006A75A2">
        <w:rPr>
          <w:kern w:val="0"/>
        </w:rPr>
        <w:t>Statement of compliance</w:t>
      </w:r>
    </w:p>
    <w:p w:rsidR="004E6C32" w:rsidRPr="006A75A2" w:rsidRDefault="004E6C32" w:rsidP="004B5CB1">
      <w:r w:rsidRPr="006A75A2">
        <w:t xml:space="preserve">These general purpose financial statements have been prepared in the manner and form as determined by the Treasurer, in accordance with the </w:t>
      </w:r>
      <w:r w:rsidRPr="006A75A2">
        <w:rPr>
          <w:i/>
        </w:rPr>
        <w:t>Financial Management Act 1994</w:t>
      </w:r>
      <w:r w:rsidRPr="006A75A2">
        <w:t xml:space="preserve"> and applicable Australian Accounting Standards (AASs) which include Interpretations, issued by the Australian Accounting Standards Board (AASB). In particular, they are presented in a manner consistent with the requirements of AASB 1049 </w:t>
      </w:r>
      <w:r w:rsidRPr="006A75A2">
        <w:rPr>
          <w:i/>
        </w:rPr>
        <w:t>Whole of Government and General Government Sector Financial Reporting</w:t>
      </w:r>
      <w:r w:rsidRPr="006A75A2">
        <w:t xml:space="preserve">. </w:t>
      </w:r>
    </w:p>
    <w:p w:rsidR="004E6C32" w:rsidRPr="006A75A2" w:rsidRDefault="004E6C32" w:rsidP="004B5CB1">
      <w:r w:rsidRPr="006A75A2">
        <w:t>Where appropriate, those AASs paragraphs applicable to not-for-profit entities have been applied.</w:t>
      </w:r>
    </w:p>
    <w:p w:rsidR="004E6C32" w:rsidRPr="006A75A2" w:rsidRDefault="004E6C32" w:rsidP="004B5CB1">
      <w:r w:rsidRPr="006A75A2">
        <w:t>Accounting policies are selected and applied in a manner which ensures that the resulting financial information satisfies the concepts of relevance and reliability, thereby ensuring that the substance of the underlying transactions or other events is reported.</w:t>
      </w:r>
    </w:p>
    <w:p w:rsidR="004E6C32" w:rsidRPr="006A75A2" w:rsidRDefault="004E6C32" w:rsidP="004B5CB1">
      <w:r w:rsidRPr="006A75A2">
        <w:t xml:space="preserve">Except as identified in Note 32 </w:t>
      </w:r>
      <w:r w:rsidRPr="006A75A2">
        <w:rPr>
          <w:i/>
        </w:rPr>
        <w:t>Explanations of material variances between budget and actual outcomes</w:t>
      </w:r>
      <w:r w:rsidRPr="006A75A2">
        <w:t xml:space="preserve">, the accounting policies applied are also consistent with those applied for the </w:t>
      </w:r>
      <w:r w:rsidRPr="006A75A2">
        <w:rPr>
          <w:i/>
        </w:rPr>
        <w:t>2013</w:t>
      </w:r>
      <w:r w:rsidRPr="006A75A2">
        <w:rPr>
          <w:i/>
        </w:rPr>
        <w:noBreakHyphen/>
        <w:t>14 Budget</w:t>
      </w:r>
      <w:r w:rsidRPr="006A75A2">
        <w:t>, subject to the latter report being prospective in nature and requiring application of estimation techniques to future amounts.</w:t>
      </w:r>
    </w:p>
    <w:p w:rsidR="004E6C32" w:rsidRPr="006A75A2" w:rsidRDefault="004E6C32" w:rsidP="004B5CB1">
      <w:r w:rsidRPr="006A75A2">
        <w:t xml:space="preserve">The Government Finance Statistics (GFS) information included in this report is based on the GFS manual published by the Australian Bureau of Statistics (ABS) (refer to Note 1(E)). </w:t>
      </w:r>
    </w:p>
    <w:p w:rsidR="004E6C32" w:rsidRPr="006A75A2" w:rsidRDefault="004E6C32" w:rsidP="004B5CB1">
      <w:r w:rsidRPr="006A75A2">
        <w:t xml:space="preserve">To gain a better understanding of the terminology and key aggregates used in these financial statements, a glossary of terms can be found in Note 40 </w:t>
      </w:r>
      <w:r w:rsidRPr="006A75A2">
        <w:rPr>
          <w:i/>
        </w:rPr>
        <w:t>Glossary of technical terms</w:t>
      </w:r>
      <w:r w:rsidRPr="006A75A2">
        <w:t xml:space="preserve"> and Note 41 </w:t>
      </w:r>
      <w:r w:rsidRPr="006A75A2">
        <w:rPr>
          <w:i/>
        </w:rPr>
        <w:t>Government purpose classification</w:t>
      </w:r>
      <w:r w:rsidRPr="006A75A2">
        <w:t>.</w:t>
      </w:r>
    </w:p>
    <w:p w:rsidR="004E6C32" w:rsidRPr="006A75A2" w:rsidRDefault="004E6C32" w:rsidP="004B5CB1">
      <w:r w:rsidRPr="006A75A2">
        <w:t>The annual financial statements were authorised for issue by the Secretary of the Department of Treasury and Finance on 29 September 2014.</w:t>
      </w:r>
    </w:p>
    <w:p w:rsidR="004E6C32" w:rsidRPr="006A75A2" w:rsidRDefault="004E6C32" w:rsidP="004B5CB1">
      <w:pPr>
        <w:pStyle w:val="Heading3Numbering"/>
        <w:rPr>
          <w:kern w:val="0"/>
        </w:rPr>
      </w:pPr>
      <w:r w:rsidRPr="006A75A2">
        <w:rPr>
          <w:kern w:val="0"/>
        </w:rPr>
        <w:t>Basis of accounting, preparation and measurement</w:t>
      </w:r>
    </w:p>
    <w:p w:rsidR="004E6C32" w:rsidRPr="006A75A2" w:rsidRDefault="004E6C32" w:rsidP="004B5CB1">
      <w:r w:rsidRPr="006A75A2">
        <w:t>The accrual basis of accounting has been applied in preparing these financial statements, whereby assets, liabilities, equity, income and expenses are recognised in the reporting period to which they relate, regardless of when cash is received or paid.</w:t>
      </w:r>
    </w:p>
    <w:p w:rsidR="004E6C32" w:rsidRPr="006A75A2" w:rsidRDefault="004E6C32" w:rsidP="004B5CB1">
      <w:r w:rsidRPr="006A75A2">
        <w:t>Judgements, estimates and assumptions are required to be made about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w:t>
      </w:r>
    </w:p>
    <w:p w:rsidR="004E6C32" w:rsidRPr="006A75A2" w:rsidRDefault="004E6C32" w:rsidP="004B5CB1">
      <w:r w:rsidRPr="006A75A2">
        <w:t>Revisions to accounting estimates are recognised in the period in which the estimate is revised and also in future periods that are affected by the revision. Judgements and assumptions made by management in applying AASs that have significant effects on the financial statements and estimates relate to:</w:t>
      </w:r>
    </w:p>
    <w:p w:rsidR="004E6C32" w:rsidRPr="006A75A2" w:rsidRDefault="004E6C32" w:rsidP="004B5CB1">
      <w:pPr>
        <w:pStyle w:val="BulletText"/>
      </w:pPr>
      <w:r w:rsidRPr="006A75A2">
        <w:t>the fair value of land, buildings, infrastructure, plant and equipment (refer to Note 1(M));</w:t>
      </w:r>
    </w:p>
    <w:p w:rsidR="004E6C32" w:rsidRPr="006A75A2" w:rsidRDefault="004E6C32" w:rsidP="004B5CB1">
      <w:pPr>
        <w:pStyle w:val="BulletText"/>
      </w:pPr>
      <w:r w:rsidRPr="006A75A2">
        <w:t xml:space="preserve">superannuation expense and liability (refer to Note 1(N) and Note 8 </w:t>
      </w:r>
      <w:r w:rsidRPr="006A75A2">
        <w:rPr>
          <w:i/>
        </w:rPr>
        <w:t>Superannuation</w:t>
      </w:r>
      <w:r w:rsidRPr="006A75A2">
        <w:t>);</w:t>
      </w:r>
    </w:p>
    <w:p w:rsidR="004E6C32" w:rsidRPr="006A75A2" w:rsidRDefault="004E6C32" w:rsidP="004B5CB1">
      <w:pPr>
        <w:pStyle w:val="BulletText"/>
      </w:pPr>
      <w:r w:rsidRPr="006A75A2">
        <w:t>actuarial assumptions for employee benefit provisions based on likely tenure of existing staff, patterns of leave claims, future salary movements and future discount rates (refer to Note 1(N));</w:t>
      </w:r>
    </w:p>
    <w:p w:rsidR="004E6C32" w:rsidRPr="006A75A2" w:rsidRDefault="004E6C32" w:rsidP="004B5CB1">
      <w:pPr>
        <w:pStyle w:val="BulletText"/>
      </w:pPr>
      <w:r w:rsidRPr="006A75A2">
        <w:t xml:space="preserve">provisions for outstanding insurance claims (refer to Note 1(N) and Note 28 </w:t>
      </w:r>
      <w:r w:rsidRPr="006A75A2">
        <w:rPr>
          <w:i/>
        </w:rPr>
        <w:t>Other provisions</w:t>
      </w:r>
      <w:r w:rsidRPr="006A75A2">
        <w:t>); and</w:t>
      </w:r>
    </w:p>
    <w:p w:rsidR="004E6C32" w:rsidRPr="006A75A2" w:rsidRDefault="004E6C32" w:rsidP="004B5CB1">
      <w:pPr>
        <w:pStyle w:val="BulletText"/>
      </w:pPr>
      <w:r w:rsidRPr="006A75A2">
        <w:t>equities and managed investment schemes classified at level 3 of the fair value hierarchy (refer to Note 33(M)).</w:t>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r w:rsidRPr="006A75A2">
        <w:t xml:space="preserve">These financial statements are in Australian dollars, and historical cost convention is used except for: </w:t>
      </w:r>
    </w:p>
    <w:p w:rsidR="004E6C32" w:rsidRPr="006A75A2" w:rsidRDefault="004E6C32" w:rsidP="004B5CB1">
      <w:pPr>
        <w:pStyle w:val="BulletText"/>
      </w:pPr>
      <w:r w:rsidRPr="006A75A2">
        <w:t>general government sector investments in other sector entities which are measured at net asset value;</w:t>
      </w:r>
    </w:p>
    <w:p w:rsidR="004E6C32" w:rsidRPr="006A75A2" w:rsidRDefault="004E6C32" w:rsidP="004B5CB1">
      <w:pPr>
        <w:pStyle w:val="BulletText"/>
      </w:pPr>
      <w:r w:rsidRPr="006A75A2">
        <w:t>non</w:t>
      </w:r>
      <w:r w:rsidRPr="006A75A2">
        <w:noBreakHyphen/>
        <w:t>financial physical assets which, subsequent to acquisition, are measured at a revalued amount being their fair value at the date of revaluation less any subsequent accumulated depreciation and subsequent impairment losses. Revaluations are made with sufficient regularity to ensure that the carrying amounts do not materially differ from their fair value;</w:t>
      </w:r>
    </w:p>
    <w:p w:rsidR="004E6C32" w:rsidRPr="006A75A2" w:rsidRDefault="004E6C32" w:rsidP="004B5CB1">
      <w:pPr>
        <w:pStyle w:val="BulletText"/>
      </w:pPr>
      <w:r w:rsidRPr="006A75A2">
        <w:t>productive trees in commercial native forests, which are measured at their fair value less costs to sell;</w:t>
      </w:r>
    </w:p>
    <w:p w:rsidR="004E6C32" w:rsidRPr="006A75A2" w:rsidRDefault="004E6C32" w:rsidP="004B5CB1">
      <w:pPr>
        <w:pStyle w:val="BulletText"/>
      </w:pPr>
      <w:r w:rsidRPr="006A75A2">
        <w:t xml:space="preserve">derivative financial instruments, managed investment schemes, certain debt securities and investment properties after initial recognition, which are measured at fair value with changes reflected in the consolidated comprehensive operating statement (fair value through profit and loss); </w:t>
      </w:r>
    </w:p>
    <w:p w:rsidR="004E6C32" w:rsidRPr="006A75A2" w:rsidRDefault="004E6C32" w:rsidP="004B5CB1">
      <w:pPr>
        <w:pStyle w:val="BulletText"/>
      </w:pPr>
      <w:r w:rsidRPr="006A75A2">
        <w:t>certain liabilities, most notably unfunded superannuation and insurance claim provisions, which are subject to an actuarial assessment; and</w:t>
      </w:r>
    </w:p>
    <w:p w:rsidR="004E6C32" w:rsidRPr="006A75A2" w:rsidRDefault="004E6C32" w:rsidP="004B5CB1">
      <w:pPr>
        <w:pStyle w:val="BulletText"/>
      </w:pPr>
      <w:r w:rsidRPr="006A75A2">
        <w:t xml:space="preserve">available-for-sale investments which are measured at fair value with movements reflected in </w:t>
      </w:r>
      <w:r w:rsidR="00C96101" w:rsidRPr="006A75A2">
        <w:t>‘</w:t>
      </w:r>
      <w:r w:rsidRPr="006A75A2">
        <w:t>Other economic flows – other comprehensive income</w:t>
      </w:r>
      <w:r w:rsidR="00C96101" w:rsidRPr="006A75A2">
        <w:t>’</w:t>
      </w:r>
      <w:r w:rsidRPr="006A75A2">
        <w:t>.</w:t>
      </w:r>
    </w:p>
    <w:p w:rsidR="004E6C32" w:rsidRPr="006A75A2" w:rsidRDefault="004E6C32" w:rsidP="004B5CB1">
      <w:pPr>
        <w:pStyle w:val="Heading3Numbering"/>
        <w:rPr>
          <w:kern w:val="0"/>
        </w:rPr>
      </w:pPr>
      <w:r w:rsidRPr="006A75A2">
        <w:rPr>
          <w:kern w:val="0"/>
        </w:rPr>
        <w:t>Reporting entity</w:t>
      </w:r>
    </w:p>
    <w:p w:rsidR="004E6C32" w:rsidRPr="006A75A2" w:rsidRDefault="004E6C32" w:rsidP="004B5CB1">
      <w:r w:rsidRPr="006A75A2">
        <w:t>The State of Victoria reporting entity, includes government departments, public non</w:t>
      </w:r>
      <w:r w:rsidRPr="006A75A2">
        <w:noBreakHyphen/>
        <w:t xml:space="preserve">financial corporations (PNFCs), public financial corporations (PFCs) and other government controlled entities (refer to Note 42 </w:t>
      </w:r>
      <w:r w:rsidRPr="006A75A2">
        <w:rPr>
          <w:i/>
        </w:rPr>
        <w:t>Controlled entities</w:t>
      </w:r>
      <w:r w:rsidRPr="006A75A2">
        <w:t xml:space="preserve">). The State and most of its subsidiary entities are not-for-profit entities. These entities are classified into sectors according to the System of National Accounts described below. </w:t>
      </w:r>
    </w:p>
    <w:p w:rsidR="004E6C32" w:rsidRPr="006A75A2" w:rsidRDefault="004E6C32" w:rsidP="004B5CB1">
      <w:pPr>
        <w:pStyle w:val="Heading4"/>
      </w:pPr>
      <w:r w:rsidRPr="006A75A2">
        <w:t>System of National Accounts</w:t>
      </w:r>
    </w:p>
    <w:p w:rsidR="004E6C32" w:rsidRPr="006A75A2" w:rsidRDefault="004E6C32" w:rsidP="0067336F">
      <w:pPr>
        <w:pStyle w:val="Heading5"/>
      </w:pPr>
      <w:r w:rsidRPr="006A75A2">
        <w:t>(i)</w:t>
      </w:r>
      <w:r w:rsidRPr="006A75A2">
        <w:tab/>
        <w:t>General government</w:t>
      </w:r>
    </w:p>
    <w:p w:rsidR="004E6C32" w:rsidRPr="006A75A2" w:rsidRDefault="004E6C32" w:rsidP="004B5CB1">
      <w:r w:rsidRPr="006A75A2">
        <w:t>The Victorian general government sector includes all government departments, offices and other bodies engaged in providing services free of charge or at prices significantly below their cost of production. The general government sector is not a separate entity but represents a sector within the State of Victoria reporting entity, and is reported in accordance with AASB 1049.</w:t>
      </w:r>
    </w:p>
    <w:p w:rsidR="004E6C32" w:rsidRPr="006A75A2" w:rsidRDefault="004E6C32" w:rsidP="004B5CB1">
      <w:r w:rsidRPr="006A75A2">
        <w:t>The primary function of entities within the general government sector is to provide public services (outputs), which are mainly non</w:t>
      </w:r>
      <w:r w:rsidRPr="006A75A2">
        <w:noBreakHyphen/>
        <w:t xml:space="preserve">market in nature for the collective consumption of the community, and involve the transfer or redistribution of revenue which is financed mainly through taxes and other compulsory levies. </w:t>
      </w:r>
    </w:p>
    <w:p w:rsidR="004E6C32" w:rsidRPr="006A75A2" w:rsidRDefault="004E6C32" w:rsidP="0067336F">
      <w:pPr>
        <w:pStyle w:val="Heading5"/>
      </w:pPr>
      <w:r w:rsidRPr="006A75A2">
        <w:t>(ii)</w:t>
      </w:r>
      <w:r w:rsidRPr="006A75A2">
        <w:tab/>
        <w:t>Public non</w:t>
      </w:r>
      <w:r w:rsidRPr="006A75A2">
        <w:noBreakHyphen/>
        <w:t>financial corporations</w:t>
      </w:r>
    </w:p>
    <w:p w:rsidR="004E6C32" w:rsidRPr="006A75A2" w:rsidRDefault="004E6C32" w:rsidP="004B5CB1">
      <w:r w:rsidRPr="006A75A2">
        <w:t>The primary function of entities in the government PNFC sector is to provide goods and services in a competitive market that is non</w:t>
      </w:r>
      <w:r w:rsidRPr="006A75A2">
        <w:noBreakHyphen/>
        <w:t>regulatory and non</w:t>
      </w:r>
      <w:r w:rsidRPr="006A75A2">
        <w:noBreakHyphen/>
        <w:t xml:space="preserve">financial in nature. Such entities are financed mainly through sales to the consumer of these goods and services. </w:t>
      </w:r>
    </w:p>
    <w:p w:rsidR="004E6C32" w:rsidRPr="006A75A2" w:rsidRDefault="004E6C32" w:rsidP="004B5CB1">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67336F">
      <w:pPr>
        <w:pStyle w:val="Heading5"/>
      </w:pPr>
      <w:r w:rsidRPr="006A75A2">
        <w:t>(iii)</w:t>
      </w:r>
      <w:r w:rsidRPr="006A75A2">
        <w:tab/>
        <w:t>Public financial corporations</w:t>
      </w:r>
    </w:p>
    <w:p w:rsidR="004E6C32" w:rsidRPr="006A75A2" w:rsidRDefault="004E6C32" w:rsidP="004B5CB1">
      <w:r w:rsidRPr="006A75A2">
        <w:t>The government-controlled PFC sector comprises entities engaged primarily in providing financial intermediation services or auxiliary financial services and which have one or more of the following characteristics:</w:t>
      </w:r>
    </w:p>
    <w:p w:rsidR="004E6C32" w:rsidRPr="006A75A2" w:rsidRDefault="004E6C32" w:rsidP="004B5CB1">
      <w:pPr>
        <w:pStyle w:val="BulletText"/>
      </w:pPr>
      <w:r w:rsidRPr="006A75A2">
        <w:t>they perform a central borrowing function;</w:t>
      </w:r>
    </w:p>
    <w:p w:rsidR="004E6C32" w:rsidRPr="006A75A2" w:rsidRDefault="004E6C32" w:rsidP="004B5CB1">
      <w:pPr>
        <w:pStyle w:val="BulletText"/>
      </w:pPr>
      <w:r w:rsidRPr="006A75A2">
        <w:t>they provide insurance services;</w:t>
      </w:r>
    </w:p>
    <w:p w:rsidR="004E6C32" w:rsidRPr="006A75A2" w:rsidRDefault="004E6C32" w:rsidP="004B5CB1">
      <w:pPr>
        <w:pStyle w:val="BulletText"/>
      </w:pPr>
      <w:r w:rsidRPr="006A75A2">
        <w:t>they accept call, term or savings deposits; or</w:t>
      </w:r>
    </w:p>
    <w:p w:rsidR="004E6C32" w:rsidRPr="006A75A2" w:rsidRDefault="004E6C32" w:rsidP="004B5CB1">
      <w:pPr>
        <w:pStyle w:val="BulletText"/>
      </w:pPr>
      <w:r w:rsidRPr="006A75A2">
        <w:t>they have the ability to incur liabilities and acquire financial assets in the market on their own account.</w:t>
      </w:r>
    </w:p>
    <w:p w:rsidR="004E6C32" w:rsidRPr="006A75A2" w:rsidRDefault="004E6C32" w:rsidP="004B5CB1">
      <w:r w:rsidRPr="006A75A2">
        <w:t xml:space="preserve">Disaggregated information about these sectors is presented in Note 2 </w:t>
      </w:r>
      <w:r w:rsidRPr="006A75A2">
        <w:rPr>
          <w:i/>
        </w:rPr>
        <w:t>Disaggregated information</w:t>
      </w:r>
      <w:r w:rsidRPr="006A75A2">
        <w:t>. This information is provided because there are differences between general government activities and those of the public sector entities in the PNFC and the PFC sectors. Disclosing this information assists users of the financial statements to determine the effects of differing activities on the financial position of the State. It also assists users to identify the resources used in providing a range of goods and services, and the extent to which the State has recovered the costs of those resources from revenues attributable to those activities.</w:t>
      </w:r>
    </w:p>
    <w:p w:rsidR="004E6C32" w:rsidRPr="006A75A2" w:rsidRDefault="004E6C32" w:rsidP="004B5CB1">
      <w:pPr>
        <w:pStyle w:val="Heading3Numbering"/>
        <w:rPr>
          <w:kern w:val="0"/>
        </w:rPr>
      </w:pPr>
      <w:r w:rsidRPr="006A75A2">
        <w:rPr>
          <w:kern w:val="0"/>
        </w:rPr>
        <w:t>Basis of consolidation</w:t>
      </w:r>
    </w:p>
    <w:p w:rsidR="004E6C32" w:rsidRPr="006A75A2" w:rsidRDefault="004E6C32" w:rsidP="004B5CB1">
      <w:r w:rsidRPr="006A75A2">
        <w:t>In accordance with AASB 1049 and AASB 127</w:t>
      </w:r>
      <w:r w:rsidRPr="006A75A2">
        <w:rPr>
          <w:i/>
        </w:rPr>
        <w:t xml:space="preserve"> Consolidated and Separate Financial Statements</w:t>
      </w:r>
      <w:r w:rsidRPr="006A75A2">
        <w:t>:</w:t>
      </w:r>
    </w:p>
    <w:p w:rsidR="004E6C32" w:rsidRPr="006A75A2" w:rsidRDefault="004E6C32" w:rsidP="004B5CB1">
      <w:pPr>
        <w:pStyle w:val="BulletText"/>
      </w:pPr>
      <w:r w:rsidRPr="006A75A2">
        <w:t>The consolidated financial statements of the State incorporates assets and liabilities of all reporting entities that are controlled by the State as at 30 June 2014 and the revenue and expenses of entities controlled by the State for the part of the reporting period in which control existed.</w:t>
      </w:r>
    </w:p>
    <w:p w:rsidR="004E6C32" w:rsidRPr="006A75A2" w:rsidRDefault="004E6C32" w:rsidP="004B5CB1">
      <w:pPr>
        <w:pStyle w:val="BulletText"/>
      </w:pPr>
      <w:r w:rsidRPr="006A75A2">
        <w:t>The consolidated financial statements of the Victorian general government sector incorporates assets and liabilities, revenue and expenses of entities classified as general government. Entities in the PNFC and PFC sectors are not consolidated into the financial statements of the general government sector, but are accounted for as equity investments measured at the Government</w:t>
      </w:r>
      <w:r w:rsidR="00C96101" w:rsidRPr="006A75A2">
        <w:t>’</w:t>
      </w:r>
      <w:r w:rsidRPr="006A75A2">
        <w:t>s proportional share of the carrying amount of net assets of the PNFC and PFC sector entities before consolidation eliminations. Where the carrying amount of the entity</w:t>
      </w:r>
      <w:r w:rsidR="00C96101" w:rsidRPr="006A75A2">
        <w:t>’</w:t>
      </w:r>
      <w:r w:rsidRPr="006A75A2">
        <w:t xml:space="preserve">s net assets before consolidation eliminations of an entity within the sectors is less than zero, the amount is not included at the general government sector, but the net liabilities will be consolidated at the State level. Any change in the carrying amount of the investment from period to period is accounted for as if the change in carrying amount is a change in fair value and accounted for in a manner consistent with AASB 139 </w:t>
      </w:r>
      <w:r w:rsidRPr="006A75A2">
        <w:rPr>
          <w:i/>
        </w:rPr>
        <w:t>Financial Instruments: Recognition and Measurement</w:t>
      </w:r>
      <w:r w:rsidRPr="006A75A2">
        <w:t xml:space="preserve">. </w:t>
      </w:r>
    </w:p>
    <w:p w:rsidR="004E6C32" w:rsidRPr="006A75A2" w:rsidRDefault="004E6C32" w:rsidP="004B5CB1">
      <w:pPr>
        <w:pStyle w:val="BulletText"/>
        <w:numPr>
          <w:ilvl w:val="0"/>
          <w:numId w:val="0"/>
        </w:numPr>
      </w:pPr>
      <w:r w:rsidRPr="006A75A2">
        <w:t xml:space="preserve">Entities which are not controlled by the State, including local government authorities, universities and denominated hospitals, are not consolidated into the financial statements for the State. </w:t>
      </w:r>
    </w:p>
    <w:p w:rsidR="004E6C32" w:rsidRPr="006A75A2" w:rsidRDefault="004E6C32" w:rsidP="004B5CB1">
      <w:r w:rsidRPr="006A75A2">
        <w:t>Where control of an entity is obtained during the financial period, its results are included in the consolidated comprehensive operating statement from the date on which control commenced. Where control ceases during a financial period, the entity</w:t>
      </w:r>
      <w:r w:rsidR="00C96101" w:rsidRPr="006A75A2">
        <w:t>’</w:t>
      </w:r>
      <w:r w:rsidRPr="006A75A2">
        <w:t>s results are included for that part of the period in which control existed. Where entities adopt dissimilar accounting policies and their effect is considered material, adjustments are made to ensure consistent policies are adopted in these financial statements.</w:t>
      </w:r>
    </w:p>
    <w:p w:rsidR="004E6C32" w:rsidRPr="006A75A2" w:rsidRDefault="004E6C32" w:rsidP="004B5CB1">
      <w:r w:rsidRPr="006A75A2">
        <w:t>In preparing consolidated financial statements for reporting the State and the Victorian general government sector, all material transactions and balances between consolidated government controlled entities are eliminated.</w:t>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r w:rsidRPr="006A75A2">
        <w:t>Although certain entities prepare their audited financial statements on a calendar year basis, their information on transactions and balances supplied for consolidation purposes reflect adjusted audited figures that relate to the following financial year ending 30 June.</w:t>
      </w:r>
    </w:p>
    <w:p w:rsidR="004E6C32" w:rsidRPr="006A75A2" w:rsidRDefault="004E6C32" w:rsidP="004B5CB1">
      <w:r w:rsidRPr="006A75A2">
        <w:t xml:space="preserve">Consistent with the requirements of AASB 1004 </w:t>
      </w:r>
      <w:r w:rsidRPr="006A75A2">
        <w:rPr>
          <w:i/>
        </w:rPr>
        <w:t>Contributions</w:t>
      </w:r>
      <w:r w:rsidRPr="006A75A2">
        <w:t>, contributions by owners (that is, contributed capital and its repayment) are treated as equity transactions and, therefore, do not form part of the revenues and expenses of the relevant sectors of government.</w:t>
      </w:r>
    </w:p>
    <w:p w:rsidR="004E6C32" w:rsidRPr="006A75A2" w:rsidRDefault="004E6C32" w:rsidP="004B5CB1">
      <w:r w:rsidRPr="006A75A2">
        <w:t xml:space="preserve">Significant entities consolidated by the State are shown in Note 42 </w:t>
      </w:r>
      <w:r w:rsidRPr="006A75A2">
        <w:rPr>
          <w:i/>
        </w:rPr>
        <w:t>Controlled entities</w:t>
      </w:r>
      <w:r w:rsidRPr="006A75A2">
        <w:t>.</w:t>
      </w:r>
    </w:p>
    <w:p w:rsidR="004E6C32" w:rsidRPr="006A75A2" w:rsidRDefault="004E6C32" w:rsidP="004B5CB1">
      <w:pPr>
        <w:pStyle w:val="Heading4"/>
      </w:pPr>
      <w:r w:rsidRPr="006A75A2">
        <w:t>Funds held in trust</w:t>
      </w:r>
    </w:p>
    <w:p w:rsidR="004E6C32" w:rsidRPr="006A75A2" w:rsidRDefault="004E6C32" w:rsidP="004B5CB1">
      <w:r w:rsidRPr="006A75A2">
        <w:t xml:space="preserve">The State has responsibility for transactions and balances relating to trust funds held on behalf of third parties external to the State, such as the 2009 Victorian Bushfire Appeal Trust Account. The funds managed on behalf of third parties are not recognised in these financial statements as they are managed on a fiduciary and custodial basis, and therefore are not controlled by the State. Funds under management, including those relating to the 2009 Victorian Bushfire Appeal Trust Fund, are reported in Note 36 </w:t>
      </w:r>
      <w:r w:rsidRPr="006A75A2">
        <w:rPr>
          <w:i/>
        </w:rPr>
        <w:t>Funds under management</w:t>
      </w:r>
      <w:r w:rsidRPr="006A75A2">
        <w:t xml:space="preserve"> and within Note 39 </w:t>
      </w:r>
      <w:r w:rsidRPr="006A75A2">
        <w:rPr>
          <w:i/>
        </w:rPr>
        <w:t>Public account disclosure</w:t>
      </w:r>
      <w:r w:rsidRPr="006A75A2">
        <w:t>.</w:t>
      </w:r>
    </w:p>
    <w:p w:rsidR="004E6C32" w:rsidRPr="006A75A2" w:rsidRDefault="004E6C32" w:rsidP="004B5CB1">
      <w:pPr>
        <w:pStyle w:val="Heading3Numbering"/>
        <w:rPr>
          <w:kern w:val="0"/>
        </w:rPr>
      </w:pPr>
      <w:r w:rsidRPr="006A75A2">
        <w:rPr>
          <w:kern w:val="0"/>
        </w:rPr>
        <w:t>Scope and presentation of financial statements</w:t>
      </w:r>
    </w:p>
    <w:p w:rsidR="004E6C32" w:rsidRPr="006A75A2" w:rsidRDefault="004E6C32" w:rsidP="004B5CB1">
      <w:pPr>
        <w:pStyle w:val="Heading4"/>
      </w:pPr>
      <w:r w:rsidRPr="006A75A2">
        <w:t>Consolidated comprehensive operating statement</w:t>
      </w:r>
    </w:p>
    <w:p w:rsidR="004E6C32" w:rsidRPr="006A75A2" w:rsidRDefault="004E6C32" w:rsidP="004B5CB1">
      <w:r w:rsidRPr="006A75A2">
        <w:t xml:space="preserve">Revenues and expenses in the consolidated comprehensive operating statement are classified according to whether or not they arise from </w:t>
      </w:r>
      <w:r w:rsidR="00C96101" w:rsidRPr="006A75A2">
        <w:t>‘</w:t>
      </w:r>
      <w:r w:rsidRPr="006A75A2">
        <w:t>Transactions</w:t>
      </w:r>
      <w:r w:rsidR="00C96101" w:rsidRPr="006A75A2">
        <w:t>’</w:t>
      </w:r>
      <w:r w:rsidRPr="006A75A2">
        <w:t xml:space="preserve"> or </w:t>
      </w:r>
      <w:r w:rsidR="00C96101" w:rsidRPr="006A75A2">
        <w:t>‘</w:t>
      </w:r>
      <w:r w:rsidRPr="006A75A2">
        <w:t>Other economic flows</w:t>
      </w:r>
      <w:r w:rsidR="00C96101" w:rsidRPr="006A75A2">
        <w:t>’</w:t>
      </w:r>
      <w:r w:rsidRPr="006A75A2">
        <w:t>. This classification is consistent with that required under AASB 1049.</w:t>
      </w:r>
    </w:p>
    <w:p w:rsidR="004E6C32" w:rsidRPr="006A75A2" w:rsidRDefault="00C96101" w:rsidP="004B5CB1">
      <w:r w:rsidRPr="006A75A2">
        <w:t>‘</w:t>
      </w:r>
      <w:r w:rsidR="004E6C32" w:rsidRPr="006A75A2">
        <w:t>Transactions</w:t>
      </w:r>
      <w:r w:rsidRPr="006A75A2">
        <w:t>’</w:t>
      </w:r>
      <w:r w:rsidR="004E6C32" w:rsidRPr="006A75A2">
        <w:t xml:space="preserve"> and </w:t>
      </w:r>
      <w:r w:rsidRPr="006A75A2">
        <w:t>‘</w:t>
      </w:r>
      <w:r w:rsidR="004E6C32" w:rsidRPr="006A75A2">
        <w:t>Other economic flows</w:t>
      </w:r>
      <w:r w:rsidRPr="006A75A2">
        <w:t>’</w:t>
      </w:r>
      <w:r w:rsidR="004E6C32" w:rsidRPr="006A75A2">
        <w:t xml:space="preserve"> are defined in </w:t>
      </w:r>
      <w:r w:rsidR="004E6C32" w:rsidRPr="006A75A2">
        <w:rPr>
          <w:i/>
        </w:rPr>
        <w:t>Australian System of Government Finance Statistics: Concepts, Sources and Methods 2005</w:t>
      </w:r>
      <w:r w:rsidR="004E6C32" w:rsidRPr="006A75A2">
        <w:t xml:space="preserve"> and </w:t>
      </w:r>
      <w:r w:rsidR="004E6C32" w:rsidRPr="006A75A2">
        <w:rPr>
          <w:i/>
        </w:rPr>
        <w:t>Amendments to Australian System of Government Finance Statistics, 2005</w:t>
      </w:r>
      <w:r w:rsidR="004E6C32" w:rsidRPr="006A75A2">
        <w:t xml:space="preserve"> (ABS Catalogue No. 5514.0) (the GFS Manual).</w:t>
      </w:r>
    </w:p>
    <w:p w:rsidR="004E6C32" w:rsidRPr="006A75A2" w:rsidRDefault="004E6C32" w:rsidP="004B5CB1">
      <w:r w:rsidRPr="006A75A2">
        <w:t xml:space="preserve">Note 31 </w:t>
      </w:r>
      <w:r w:rsidRPr="006A75A2">
        <w:rPr>
          <w:i/>
        </w:rPr>
        <w:t>Reconciliations</w:t>
      </w:r>
      <w:r w:rsidRPr="006A75A2">
        <w:t xml:space="preserve"> identifies and reconciles unconverged differences between GFS and the AASs.</w:t>
      </w:r>
    </w:p>
    <w:p w:rsidR="004E6C32" w:rsidRPr="006A75A2" w:rsidRDefault="00C96101" w:rsidP="004B5CB1">
      <w:r w:rsidRPr="006A75A2">
        <w:t>‘</w:t>
      </w:r>
      <w:r w:rsidR="004E6C32" w:rsidRPr="006A75A2">
        <w:t>Transactions</w:t>
      </w:r>
      <w:r w:rsidRPr="006A75A2">
        <w:t>’</w:t>
      </w:r>
      <w:r w:rsidR="004E6C32" w:rsidRPr="006A75A2">
        <w:t xml:space="preserve"> are those economic flows that are considered to arise as a result of policy decisions, usually interactions between two entities by mutual agreement, and also flows within an entity, such as depreciation where the owner is simultaneously acting as the owner of the depreciating asset and as the consumer of the service provided by the asset. Taxation is regarded as mutually agreed interactions between the Government and taxpayers. </w:t>
      </w:r>
      <w:r w:rsidRPr="006A75A2">
        <w:t>‘</w:t>
      </w:r>
      <w:r w:rsidR="004E6C32" w:rsidRPr="006A75A2">
        <w:t>Transactions</w:t>
      </w:r>
      <w:r w:rsidRPr="006A75A2">
        <w:t>’</w:t>
      </w:r>
      <w:r w:rsidR="004E6C32" w:rsidRPr="006A75A2">
        <w:t xml:space="preserve"> can be cash or in kind (e.g. assets provided/given free of charge or for nominal consideration).</w:t>
      </w:r>
    </w:p>
    <w:p w:rsidR="004E6C32" w:rsidRPr="006A75A2" w:rsidRDefault="00C96101" w:rsidP="004B5CB1">
      <w:r w:rsidRPr="006A75A2">
        <w:t>‘</w:t>
      </w:r>
      <w:r w:rsidR="004E6C32" w:rsidRPr="006A75A2">
        <w:t>Other economic flows</w:t>
      </w:r>
      <w:r w:rsidRPr="006A75A2">
        <w:t>’</w:t>
      </w:r>
      <w:r w:rsidR="004E6C32" w:rsidRPr="006A75A2">
        <w:t xml:space="preserve"> are changes arising from market remeasurements. They include:</w:t>
      </w:r>
    </w:p>
    <w:p w:rsidR="004E6C32" w:rsidRPr="006A75A2" w:rsidRDefault="004E6C32" w:rsidP="004B5CB1">
      <w:pPr>
        <w:pStyle w:val="BulletText"/>
      </w:pPr>
      <w:r w:rsidRPr="006A75A2">
        <w:t>gains and losses from disposals;</w:t>
      </w:r>
    </w:p>
    <w:p w:rsidR="004E6C32" w:rsidRPr="006A75A2" w:rsidRDefault="004E6C32" w:rsidP="004B5CB1">
      <w:pPr>
        <w:pStyle w:val="BulletText"/>
      </w:pPr>
      <w:r w:rsidRPr="006A75A2">
        <w:t>revaluations and impairments of non</w:t>
      </w:r>
      <w:r w:rsidRPr="006A75A2">
        <w:noBreakHyphen/>
        <w:t xml:space="preserve">financial physical and intangible assets; </w:t>
      </w:r>
    </w:p>
    <w:p w:rsidR="004E6C32" w:rsidRPr="006A75A2" w:rsidRDefault="004E6C32" w:rsidP="004B5CB1">
      <w:pPr>
        <w:pStyle w:val="BulletText"/>
      </w:pPr>
      <w:r w:rsidRPr="006A75A2">
        <w:t xml:space="preserve">remeasurement arising from defined benefit superannuation plans; </w:t>
      </w:r>
    </w:p>
    <w:p w:rsidR="004E6C32" w:rsidRPr="006A75A2" w:rsidRDefault="004E6C32" w:rsidP="004B5CB1">
      <w:pPr>
        <w:pStyle w:val="BulletText"/>
      </w:pPr>
      <w:r w:rsidRPr="006A75A2">
        <w:t xml:space="preserve">fair value changes of financial instruments and agricultural assets; and </w:t>
      </w:r>
    </w:p>
    <w:p w:rsidR="004E6C32" w:rsidRPr="006A75A2" w:rsidRDefault="004E6C32" w:rsidP="004B5CB1">
      <w:pPr>
        <w:pStyle w:val="BulletText"/>
      </w:pPr>
      <w:r w:rsidRPr="006A75A2">
        <w:t>depletion of natural assets (non</w:t>
      </w:r>
      <w:r w:rsidRPr="006A75A2">
        <w:noBreakHyphen/>
        <w:t>produced) from their use or removal.</w:t>
      </w:r>
    </w:p>
    <w:p w:rsidR="004E6C32" w:rsidRPr="006A75A2" w:rsidRDefault="004E6C32" w:rsidP="004B5CB1">
      <w:r w:rsidRPr="006A75A2">
        <w:t>The net result is equivalent to profit or loss derived in accordance with AASs.</w:t>
      </w:r>
    </w:p>
    <w:p w:rsidR="004E6C32" w:rsidRPr="006A75A2" w:rsidRDefault="004E6C32" w:rsidP="004B5CB1">
      <w:r w:rsidRPr="006A75A2">
        <w:t>Key fiscal aggregates presented in the statement are:</w:t>
      </w:r>
    </w:p>
    <w:p w:rsidR="004E6C32" w:rsidRPr="006A75A2" w:rsidRDefault="004E6C32" w:rsidP="004B5CB1">
      <w:pPr>
        <w:pStyle w:val="BulletText"/>
      </w:pPr>
      <w:r w:rsidRPr="006A75A2">
        <w:t>net result from transactions – net operating balance;</w:t>
      </w:r>
    </w:p>
    <w:p w:rsidR="004E6C32" w:rsidRPr="006A75A2" w:rsidRDefault="004E6C32" w:rsidP="004B5CB1">
      <w:pPr>
        <w:pStyle w:val="BulletText"/>
      </w:pPr>
      <w:r w:rsidRPr="006A75A2">
        <w:t>comprehensive result – total change in net worth; and</w:t>
      </w:r>
    </w:p>
    <w:p w:rsidR="004E6C32" w:rsidRPr="006A75A2" w:rsidRDefault="004E6C32" w:rsidP="004B5CB1">
      <w:pPr>
        <w:pStyle w:val="BulletText"/>
      </w:pPr>
      <w:r w:rsidRPr="006A75A2">
        <w:t>net lending/(borrowing).</w:t>
      </w:r>
    </w:p>
    <w:p w:rsidR="004E6C32" w:rsidRPr="006A75A2" w:rsidRDefault="004E6C32" w:rsidP="004B5CB1">
      <w:pPr>
        <w:pStyle w:val="Heading2NotesContd"/>
        <w:rPr>
          <w:i/>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4E6C32" w:rsidRPr="006A75A2" w:rsidRDefault="004E6C32" w:rsidP="004B5CB1">
      <w:pPr>
        <w:pStyle w:val="Heading4"/>
      </w:pPr>
      <w:r w:rsidRPr="006A75A2">
        <w:t>Consolidated balance sheet</w:t>
      </w:r>
    </w:p>
    <w:p w:rsidR="004E6C32" w:rsidRPr="006A75A2" w:rsidRDefault="004E6C32" w:rsidP="004B5CB1">
      <w:r w:rsidRPr="006A75A2">
        <w:t xml:space="preserve">Assets and liabilities are presented in a manner consistent with the GFS Manual and the </w:t>
      </w:r>
      <w:r w:rsidRPr="006A75A2">
        <w:rPr>
          <w:i/>
        </w:rPr>
        <w:t>Uniform Presentation Framework 2008</w:t>
      </w:r>
      <w:r w:rsidRPr="006A75A2">
        <w:t>.</w:t>
      </w:r>
    </w:p>
    <w:p w:rsidR="004E6C32" w:rsidRPr="006A75A2" w:rsidRDefault="004E6C32" w:rsidP="004B5CB1">
      <w:r w:rsidRPr="006A75A2">
        <w:t>Current and non</w:t>
      </w:r>
      <w:r w:rsidRPr="006A75A2">
        <w:noBreakHyphen/>
        <w:t>current assets and liabilities (non</w:t>
      </w:r>
      <w:r w:rsidRPr="006A75A2">
        <w:noBreakHyphen/>
        <w:t>current being those assets or liabilities expected to be recovered or settled more than 12 months after the reporting period, and for non-current liabilities, the State has unconditional right to defer the liabilities) are disclosed in the notes, where relevant.</w:t>
      </w:r>
    </w:p>
    <w:p w:rsidR="004E6C32" w:rsidRPr="006A75A2" w:rsidRDefault="004E6C32" w:rsidP="004B5CB1">
      <w:r w:rsidRPr="006A75A2">
        <w:t>Key fiscal aggregates presented are:</w:t>
      </w:r>
    </w:p>
    <w:p w:rsidR="004E6C32" w:rsidRPr="006A75A2" w:rsidRDefault="004E6C32" w:rsidP="004B5CB1">
      <w:pPr>
        <w:pStyle w:val="BulletText"/>
      </w:pPr>
      <w:r w:rsidRPr="006A75A2">
        <w:t>net financial worth;</w:t>
      </w:r>
    </w:p>
    <w:p w:rsidR="004E6C32" w:rsidRPr="006A75A2" w:rsidRDefault="004E6C32" w:rsidP="004B5CB1">
      <w:pPr>
        <w:pStyle w:val="BulletText"/>
      </w:pPr>
      <w:r w:rsidRPr="006A75A2">
        <w:t>net financial liabilities; and</w:t>
      </w:r>
    </w:p>
    <w:p w:rsidR="004E6C32" w:rsidRPr="006A75A2" w:rsidRDefault="004E6C32" w:rsidP="004B5CB1">
      <w:pPr>
        <w:pStyle w:val="BulletText"/>
      </w:pPr>
      <w:r w:rsidRPr="006A75A2">
        <w:t>net debt.</w:t>
      </w:r>
    </w:p>
    <w:p w:rsidR="004E6C32" w:rsidRPr="006A75A2" w:rsidRDefault="004E6C32" w:rsidP="004B5CB1">
      <w:pPr>
        <w:pStyle w:val="Heading4"/>
      </w:pPr>
      <w:r w:rsidRPr="006A75A2">
        <w:t>Consolidated cash flow statement</w:t>
      </w:r>
    </w:p>
    <w:p w:rsidR="004E6C32" w:rsidRPr="006A75A2" w:rsidRDefault="004E6C32" w:rsidP="004B5CB1">
      <w:r w:rsidRPr="006A75A2">
        <w:t xml:space="preserve">Cash flows are classified according to whether they arise from operating activities, investing activities, or financing activities. This classification is consistent with the requirements under AASB 107 </w:t>
      </w:r>
      <w:r w:rsidRPr="006A75A2">
        <w:rPr>
          <w:i/>
        </w:rPr>
        <w:t>Statement of Cash Flows</w:t>
      </w:r>
      <w:r w:rsidRPr="006A75A2">
        <w:t>.</w:t>
      </w:r>
    </w:p>
    <w:p w:rsidR="004E6C32" w:rsidRPr="006A75A2" w:rsidRDefault="004E6C32" w:rsidP="004B5CB1">
      <w:r w:rsidRPr="006A75A2">
        <w:t>Investing activities are split between investment for liquidity management purposes and for policy purposes.</w:t>
      </w:r>
    </w:p>
    <w:p w:rsidR="004E6C32" w:rsidRPr="006A75A2" w:rsidRDefault="004E6C32" w:rsidP="004B5CB1">
      <w:r w:rsidRPr="006A75A2">
        <w:t>For cash flow statement presentation purposes, cash and cash equivalents include bank overdrafts, which are included as current borrowings on the balance sheet.</w:t>
      </w:r>
    </w:p>
    <w:p w:rsidR="004E6C32" w:rsidRPr="006A75A2" w:rsidRDefault="004E6C32" w:rsidP="004B5CB1">
      <w:r w:rsidRPr="006A75A2">
        <w:t>The key fiscal aggregate presented is the cash surplus/(deficit).</w:t>
      </w:r>
    </w:p>
    <w:p w:rsidR="004E6C32" w:rsidRPr="006A75A2" w:rsidRDefault="004E6C32" w:rsidP="004B5CB1">
      <w:pPr>
        <w:pStyle w:val="Heading4"/>
      </w:pPr>
      <w:r w:rsidRPr="006A75A2">
        <w:t>Consolidated statement of changes in equity</w:t>
      </w:r>
    </w:p>
    <w:p w:rsidR="004E6C32" w:rsidRPr="006A75A2" w:rsidRDefault="004E6C32" w:rsidP="004B5CB1">
      <w:r w:rsidRPr="006A75A2">
        <w:t>The statement of changes in equity presents reconciliations of non</w:t>
      </w:r>
      <w:r w:rsidRPr="006A75A2">
        <w:noBreakHyphen/>
        <w:t xml:space="preserve">owner and owner changes in equity from opening balances at the beginning of the reporting period to the closing balances at the end of the reporting period. It also shows separately changes due to amounts recognised in </w:t>
      </w:r>
      <w:r w:rsidR="00C96101" w:rsidRPr="006A75A2">
        <w:t>‘</w:t>
      </w:r>
      <w:r w:rsidRPr="006A75A2">
        <w:t>Comprehensive result</w:t>
      </w:r>
      <w:r w:rsidR="00C96101" w:rsidRPr="006A75A2">
        <w:t>’</w:t>
      </w:r>
      <w:r w:rsidRPr="006A75A2">
        <w:t xml:space="preserve"> and amounts related to </w:t>
      </w:r>
      <w:r w:rsidR="00C96101" w:rsidRPr="006A75A2">
        <w:t>‘</w:t>
      </w:r>
      <w:r w:rsidRPr="006A75A2">
        <w:t>Transactions with owners in their capacity as owners</w:t>
      </w:r>
      <w:r w:rsidR="00C96101" w:rsidRPr="006A75A2">
        <w:t>’</w:t>
      </w:r>
      <w:r w:rsidRPr="006A75A2">
        <w:t>.</w:t>
      </w:r>
    </w:p>
    <w:p w:rsidR="004E6C32" w:rsidRPr="006A75A2" w:rsidRDefault="004E6C32" w:rsidP="004B5CB1">
      <w:pPr>
        <w:pStyle w:val="Heading4"/>
      </w:pPr>
      <w:r w:rsidRPr="006A75A2">
        <w:t>Rounding</w:t>
      </w:r>
    </w:p>
    <w:p w:rsidR="004E6C32" w:rsidRPr="006A75A2" w:rsidRDefault="004E6C32" w:rsidP="004B5CB1">
      <w:r w:rsidRPr="006A75A2">
        <w:t xml:space="preserve">All amounts in the financial statements have been rounded to the nearest $100 000 except in Note 39 which is rounded to the nearest $1 000. </w:t>
      </w:r>
    </w:p>
    <w:p w:rsidR="004E6C32" w:rsidRPr="006A75A2" w:rsidRDefault="004E6C32" w:rsidP="004B5CB1">
      <w:pPr>
        <w:spacing w:after="0"/>
        <w:rPr>
          <w:rFonts w:ascii="Calibri" w:hAnsi="Calibri"/>
          <w:b/>
          <w:i/>
          <w:sz w:val="26"/>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3Numbering"/>
        <w:rPr>
          <w:kern w:val="0"/>
        </w:rPr>
      </w:pPr>
      <w:r w:rsidRPr="006A75A2">
        <w:rPr>
          <w:kern w:val="0"/>
        </w:rPr>
        <w:t>Changes in accounting policies</w:t>
      </w:r>
    </w:p>
    <w:p w:rsidR="004E6C32" w:rsidRPr="006A75A2" w:rsidRDefault="004E6C32" w:rsidP="004B5CB1">
      <w:r w:rsidRPr="006A75A2">
        <w:t>The following new and revised Standards have been adopted in the current period with their financial impact detailed below.</w:t>
      </w:r>
    </w:p>
    <w:p w:rsidR="004E6C32" w:rsidRPr="006A75A2" w:rsidRDefault="004E6C32" w:rsidP="004B5CB1">
      <w:pPr>
        <w:pStyle w:val="Heading4"/>
        <w:rPr>
          <w:rFonts w:eastAsia="Tahoma"/>
        </w:rPr>
      </w:pPr>
      <w:r w:rsidRPr="006A75A2">
        <w:rPr>
          <w:rFonts w:eastAsia="Tahoma"/>
          <w:i w:val="0"/>
        </w:rPr>
        <w:t>AASB 13</w:t>
      </w:r>
      <w:r w:rsidRPr="006A75A2">
        <w:rPr>
          <w:rFonts w:eastAsia="Tahoma"/>
        </w:rPr>
        <w:t xml:space="preserve"> Fair Value Measurement</w:t>
      </w:r>
    </w:p>
    <w:p w:rsidR="004E6C32" w:rsidRPr="006A75A2" w:rsidRDefault="004E6C32" w:rsidP="004B5CB1">
      <w:pPr>
        <w:rPr>
          <w:rFonts w:eastAsia="Tahoma"/>
        </w:rPr>
      </w:pPr>
      <w:r w:rsidRPr="006A75A2">
        <w:t>The State has reviewed the fair value principles as well as its current valuation methodologies applied in assessing fair value, and the assessment has not materially changed the fair values recognised.</w:t>
      </w:r>
    </w:p>
    <w:p w:rsidR="004E6C32" w:rsidRPr="006A75A2" w:rsidRDefault="004E6C32" w:rsidP="004B5CB1">
      <w:r w:rsidRPr="006A75A2">
        <w:t xml:space="preserve">AASB 13 has only affected the reporting disclosures of the State. </w:t>
      </w:r>
    </w:p>
    <w:p w:rsidR="004E6C32" w:rsidRPr="006A75A2" w:rsidRDefault="004E6C32" w:rsidP="004B5CB1">
      <w:r w:rsidRPr="006A75A2">
        <w:t>The disclosure requirements of AASB 13 apply prospectively and need not be applied in comparative information before first application. Consequently, the 2012</w:t>
      </w:r>
      <w:r w:rsidRPr="006A75A2">
        <w:noBreakHyphen/>
        <w:t xml:space="preserve">13 comparatives of these disclosures have not been provided, except for financial instruments, of which the fair value disclosures are required under AASB 7 </w:t>
      </w:r>
      <w:r w:rsidRPr="006A75A2">
        <w:rPr>
          <w:i/>
        </w:rPr>
        <w:t>Financial Instruments: Disclosures.</w:t>
      </w:r>
    </w:p>
    <w:p w:rsidR="004E6C32" w:rsidRPr="006A75A2" w:rsidRDefault="004E6C32" w:rsidP="004B5CB1">
      <w:pPr>
        <w:pStyle w:val="Heading4"/>
        <w:rPr>
          <w:rFonts w:eastAsia="Tahoma"/>
        </w:rPr>
      </w:pPr>
      <w:r w:rsidRPr="006A75A2">
        <w:rPr>
          <w:rFonts w:eastAsia="Tahoma"/>
          <w:i w:val="0"/>
        </w:rPr>
        <w:t>AASB 119</w:t>
      </w:r>
      <w:r w:rsidRPr="006A75A2">
        <w:rPr>
          <w:rFonts w:eastAsia="Tahoma"/>
        </w:rPr>
        <w:t xml:space="preserve"> Employee benefits </w:t>
      </w:r>
    </w:p>
    <w:p w:rsidR="004E6C32" w:rsidRPr="006A75A2" w:rsidRDefault="004E6C32" w:rsidP="004B5CB1">
      <w:r w:rsidRPr="006A75A2">
        <w:t>In 2013</w:t>
      </w:r>
      <w:r w:rsidRPr="006A75A2">
        <w:noBreakHyphen/>
        <w:t xml:space="preserve">14, the State has applied the revised AASB 119 </w:t>
      </w:r>
      <w:r w:rsidRPr="006A75A2">
        <w:rPr>
          <w:i/>
        </w:rPr>
        <w:t>Employee benefits</w:t>
      </w:r>
      <w:r w:rsidRPr="006A75A2">
        <w:t xml:space="preserve"> for the first time. In accordance with the transitional provisions set out in the revised standard, the revised requirements have been applied retrospectively and the operating statement of the earliest comparative period presented (30 June 2013) have accordingly been restated.</w:t>
      </w:r>
    </w:p>
    <w:p w:rsidR="004E6C32" w:rsidRPr="006A75A2" w:rsidRDefault="004E6C32" w:rsidP="004B5CB1">
      <w:r w:rsidRPr="006A75A2">
        <w:t>The revised AASB 119 has changed the way in which the defined benefit superannuation expenses are presented in the comprehensive operating statement. The net superannuation interest expense is now calculated using the discount rate (a long</w:t>
      </w:r>
      <w:r w:rsidRPr="006A75A2">
        <w:noBreakHyphen/>
        <w:t>term Government bond rate) without reference to the expected rate of investment return on plan assets, as was previously the case. As a result, the net superannuation interest expense reported in the comparative year of 2013 has been adjusted upwards. A corresponding upward adjustment has also been made to the remeasurement of superannuation defined benefits plans to take into account the expected return on plan assets, which is now reported as part of other comprehensive income rather than as part of the net result. The estimated superannuation liabilities remained unchanged under the revised standard.</w:t>
      </w:r>
    </w:p>
    <w:p w:rsidR="004E6C32" w:rsidRPr="006A75A2" w:rsidRDefault="004E6C32" w:rsidP="0067336F">
      <w:pPr>
        <w:pStyle w:val="Heading5"/>
        <w:rPr>
          <w:rFonts w:eastAsiaTheme="minorHAnsi"/>
        </w:rPr>
      </w:pPr>
      <w:r w:rsidRPr="006A75A2">
        <w:rPr>
          <w:rFonts w:eastAsiaTheme="minorHAnsi"/>
        </w:rPr>
        <w:t>Impact on the comprehensive income statement</w:t>
      </w:r>
    </w:p>
    <w:p w:rsidR="004E6C32" w:rsidRPr="006A75A2" w:rsidRDefault="004E6C32" w:rsidP="004B5CB1">
      <w:pPr>
        <w:pStyle w:val="million"/>
      </w:pPr>
      <w:r w:rsidRPr="006A75A2">
        <w:t>($ million)</w:t>
      </w:r>
    </w:p>
    <w:tbl>
      <w:tblPr>
        <w:tblStyle w:val="TableGrid1"/>
        <w:tblW w:w="9639"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717"/>
        <w:gridCol w:w="1858"/>
        <w:gridCol w:w="2287"/>
        <w:gridCol w:w="1777"/>
      </w:tblGrid>
      <w:tr w:rsidR="004E6C32" w:rsidRPr="006A75A2" w:rsidTr="004B5CB1">
        <w:tc>
          <w:tcPr>
            <w:tcW w:w="3686" w:type="dxa"/>
            <w:shd w:val="clear" w:color="auto" w:fill="000000" w:themeFill="text1"/>
          </w:tcPr>
          <w:p w:rsidR="004E6C32" w:rsidRPr="006A75A2" w:rsidRDefault="004E6C32" w:rsidP="004B5CB1">
            <w:pPr>
              <w:spacing w:after="0"/>
              <w:rPr>
                <w:rFonts w:asciiTheme="minorHAnsi" w:hAnsiTheme="minorHAnsi" w:cstheme="minorHAnsi"/>
                <w:i/>
                <w:sz w:val="20"/>
                <w:lang w:eastAsia="en-AU"/>
              </w:rPr>
            </w:pPr>
          </w:p>
        </w:tc>
        <w:tc>
          <w:tcPr>
            <w:tcW w:w="1843" w:type="dxa"/>
            <w:shd w:val="clear" w:color="auto" w:fill="000000" w:themeFill="text1"/>
          </w:tcPr>
          <w:p w:rsidR="004E6C32" w:rsidRPr="006A75A2" w:rsidRDefault="004E6C32" w:rsidP="004B5CB1">
            <w:pPr>
              <w:spacing w:after="0"/>
              <w:jc w:val="right"/>
              <w:rPr>
                <w:rFonts w:asciiTheme="minorHAnsi" w:hAnsiTheme="minorHAnsi" w:cstheme="minorHAnsi"/>
                <w:i/>
                <w:sz w:val="20"/>
                <w:lang w:eastAsia="en-AU"/>
              </w:rPr>
            </w:pPr>
            <w:r w:rsidRPr="006A75A2">
              <w:rPr>
                <w:rFonts w:asciiTheme="minorHAnsi" w:hAnsiTheme="minorHAnsi" w:cstheme="minorHAnsi"/>
                <w:i/>
                <w:sz w:val="20"/>
              </w:rPr>
              <w:t>As reported in 2013</w:t>
            </w:r>
          </w:p>
        </w:tc>
        <w:tc>
          <w:tcPr>
            <w:tcW w:w="2268" w:type="dxa"/>
            <w:shd w:val="clear" w:color="auto" w:fill="000000" w:themeFill="text1"/>
          </w:tcPr>
          <w:p w:rsidR="004E6C32" w:rsidRPr="006A75A2" w:rsidRDefault="004E6C32" w:rsidP="004B5CB1">
            <w:pPr>
              <w:spacing w:after="0"/>
              <w:jc w:val="right"/>
              <w:rPr>
                <w:rFonts w:asciiTheme="minorHAnsi" w:hAnsiTheme="minorHAnsi" w:cstheme="minorHAnsi"/>
                <w:i/>
                <w:sz w:val="20"/>
                <w:lang w:eastAsia="en-AU"/>
              </w:rPr>
            </w:pPr>
            <w:r w:rsidRPr="006A75A2">
              <w:rPr>
                <w:rFonts w:asciiTheme="minorHAnsi" w:hAnsiTheme="minorHAnsi" w:cstheme="minorHAnsi"/>
                <w:i/>
                <w:sz w:val="20"/>
              </w:rPr>
              <w:t>Adjustment by AASB 119</w:t>
            </w:r>
          </w:p>
        </w:tc>
        <w:tc>
          <w:tcPr>
            <w:tcW w:w="1762" w:type="dxa"/>
            <w:shd w:val="clear" w:color="auto" w:fill="000000" w:themeFill="text1"/>
          </w:tcPr>
          <w:p w:rsidR="004E6C32" w:rsidRPr="006A75A2" w:rsidRDefault="004E6C32" w:rsidP="004B5CB1">
            <w:pPr>
              <w:spacing w:after="0"/>
              <w:jc w:val="right"/>
              <w:rPr>
                <w:rFonts w:asciiTheme="minorHAnsi" w:hAnsiTheme="minorHAnsi" w:cstheme="minorHAnsi"/>
                <w:i/>
                <w:sz w:val="20"/>
                <w:lang w:eastAsia="en-AU"/>
              </w:rPr>
            </w:pPr>
            <w:r w:rsidRPr="006A75A2">
              <w:rPr>
                <w:rFonts w:asciiTheme="minorHAnsi" w:hAnsiTheme="minorHAnsi" w:cstheme="minorHAnsi"/>
                <w:i/>
                <w:sz w:val="20"/>
              </w:rPr>
              <w:t>Revised</w:t>
            </w:r>
          </w:p>
        </w:tc>
      </w:tr>
      <w:tr w:rsidR="004E6C32" w:rsidRPr="006A75A2" w:rsidTr="004B5CB1">
        <w:trPr>
          <w:trHeight w:val="209"/>
        </w:trPr>
        <w:tc>
          <w:tcPr>
            <w:tcW w:w="9559" w:type="dxa"/>
            <w:gridSpan w:val="4"/>
            <w:shd w:val="clear" w:color="auto" w:fill="auto"/>
          </w:tcPr>
          <w:p w:rsidR="004E6C32" w:rsidRPr="006A75A2" w:rsidRDefault="004E6C32" w:rsidP="004B5CB1">
            <w:pPr>
              <w:pStyle w:val="Tabletext"/>
              <w:rPr>
                <w:b/>
                <w:sz w:val="20"/>
                <w:szCs w:val="20"/>
              </w:rPr>
            </w:pPr>
            <w:r w:rsidRPr="006A75A2">
              <w:rPr>
                <w:b/>
                <w:sz w:val="20"/>
                <w:szCs w:val="20"/>
              </w:rPr>
              <w:t>Net result from transactions – net operating balance</w:t>
            </w:r>
          </w:p>
        </w:tc>
      </w:tr>
      <w:tr w:rsidR="004E6C32" w:rsidRPr="006A75A2" w:rsidTr="004B5CB1">
        <w:tc>
          <w:tcPr>
            <w:tcW w:w="3686" w:type="dxa"/>
            <w:tcBorders>
              <w:bottom w:val="single" w:sz="4" w:space="0" w:color="auto"/>
            </w:tcBorders>
            <w:shd w:val="clear" w:color="auto" w:fill="auto"/>
          </w:tcPr>
          <w:p w:rsidR="004E6C32" w:rsidRPr="006A75A2" w:rsidRDefault="004E6C32" w:rsidP="004B5CB1">
            <w:pPr>
              <w:pStyle w:val="Tabletext"/>
              <w:rPr>
                <w:sz w:val="20"/>
                <w:szCs w:val="20"/>
              </w:rPr>
            </w:pPr>
            <w:r w:rsidRPr="006A75A2">
              <w:rPr>
                <w:sz w:val="20"/>
                <w:szCs w:val="20"/>
              </w:rPr>
              <w:t xml:space="preserve">Net superannuation interest expense </w:t>
            </w:r>
          </w:p>
        </w:tc>
        <w:tc>
          <w:tcPr>
            <w:tcW w:w="1843" w:type="dxa"/>
            <w:tcBorders>
              <w:bottom w:val="single" w:sz="4" w:space="0" w:color="auto"/>
            </w:tcBorders>
            <w:shd w:val="clear" w:color="auto" w:fill="auto"/>
          </w:tcPr>
          <w:p w:rsidR="004E6C32" w:rsidRPr="006A75A2" w:rsidRDefault="004E6C32" w:rsidP="004B5CB1">
            <w:pPr>
              <w:spacing w:after="0"/>
              <w:jc w:val="right"/>
              <w:rPr>
                <w:rFonts w:ascii="Calibri" w:hAnsi="Calibri"/>
                <w:sz w:val="20"/>
                <w:lang w:eastAsia="en-AU"/>
              </w:rPr>
            </w:pPr>
            <w:r w:rsidRPr="006A75A2">
              <w:rPr>
                <w:rFonts w:ascii="Calibri" w:hAnsi="Calibri"/>
                <w:sz w:val="20"/>
                <w:lang w:eastAsia="en-AU"/>
              </w:rPr>
              <w:t>443.8</w:t>
            </w:r>
          </w:p>
        </w:tc>
        <w:tc>
          <w:tcPr>
            <w:tcW w:w="2268" w:type="dxa"/>
            <w:tcBorders>
              <w:bottom w:val="single" w:sz="4" w:space="0" w:color="auto"/>
            </w:tcBorders>
            <w:shd w:val="clear" w:color="auto" w:fill="auto"/>
          </w:tcPr>
          <w:p w:rsidR="004E6C32" w:rsidRPr="006A75A2" w:rsidRDefault="004E6C32" w:rsidP="004B5CB1">
            <w:pPr>
              <w:spacing w:after="0"/>
              <w:jc w:val="right"/>
              <w:rPr>
                <w:rFonts w:ascii="Calibri" w:hAnsi="Calibri"/>
                <w:sz w:val="20"/>
                <w:lang w:eastAsia="en-AU"/>
              </w:rPr>
            </w:pPr>
            <w:r w:rsidRPr="006A75A2">
              <w:rPr>
                <w:rFonts w:ascii="Calibri" w:hAnsi="Calibri"/>
                <w:sz w:val="20"/>
                <w:lang w:eastAsia="en-AU"/>
              </w:rPr>
              <w:t>633.0</w:t>
            </w:r>
          </w:p>
        </w:tc>
        <w:tc>
          <w:tcPr>
            <w:tcW w:w="1762" w:type="dxa"/>
            <w:tcBorders>
              <w:bottom w:val="single" w:sz="4" w:space="0" w:color="auto"/>
            </w:tcBorders>
            <w:shd w:val="clear" w:color="auto" w:fill="auto"/>
          </w:tcPr>
          <w:p w:rsidR="004E6C32" w:rsidRPr="006A75A2" w:rsidRDefault="004E6C32" w:rsidP="004B5CB1">
            <w:pPr>
              <w:spacing w:after="0"/>
              <w:jc w:val="right"/>
              <w:rPr>
                <w:rFonts w:ascii="Calibri" w:hAnsi="Calibri"/>
                <w:sz w:val="20"/>
                <w:lang w:eastAsia="en-AU"/>
              </w:rPr>
            </w:pPr>
            <w:r w:rsidRPr="006A75A2">
              <w:rPr>
                <w:rFonts w:ascii="Calibri" w:hAnsi="Calibri"/>
                <w:sz w:val="20"/>
                <w:lang w:eastAsia="en-AU"/>
              </w:rPr>
              <w:t>1 076.8</w:t>
            </w:r>
          </w:p>
        </w:tc>
      </w:tr>
      <w:tr w:rsidR="004E6C32" w:rsidRPr="006A75A2" w:rsidTr="004B5CB1">
        <w:tc>
          <w:tcPr>
            <w:tcW w:w="9559" w:type="dxa"/>
            <w:gridSpan w:val="4"/>
            <w:tcBorders>
              <w:top w:val="single" w:sz="4" w:space="0" w:color="auto"/>
            </w:tcBorders>
            <w:shd w:val="clear" w:color="auto" w:fill="auto"/>
          </w:tcPr>
          <w:p w:rsidR="004E6C32" w:rsidRPr="006A75A2" w:rsidRDefault="004E6C32" w:rsidP="004B5CB1">
            <w:pPr>
              <w:pStyle w:val="Tabletext"/>
              <w:rPr>
                <w:b/>
                <w:sz w:val="20"/>
                <w:szCs w:val="20"/>
              </w:rPr>
            </w:pPr>
            <w:r w:rsidRPr="006A75A2">
              <w:rPr>
                <w:b/>
                <w:sz w:val="20"/>
                <w:szCs w:val="20"/>
              </w:rPr>
              <w:t>Other economic flows included in net result</w:t>
            </w:r>
          </w:p>
        </w:tc>
      </w:tr>
      <w:tr w:rsidR="004E6C32" w:rsidRPr="006A75A2" w:rsidTr="004B5CB1">
        <w:tc>
          <w:tcPr>
            <w:tcW w:w="3686" w:type="dxa"/>
            <w:tcBorders>
              <w:bottom w:val="single" w:sz="4" w:space="0" w:color="auto"/>
            </w:tcBorders>
            <w:shd w:val="clear" w:color="auto" w:fill="auto"/>
          </w:tcPr>
          <w:p w:rsidR="004E6C32" w:rsidRPr="006A75A2" w:rsidRDefault="004E6C32" w:rsidP="004B5CB1">
            <w:pPr>
              <w:pStyle w:val="Tabletext"/>
              <w:rPr>
                <w:sz w:val="20"/>
                <w:szCs w:val="20"/>
              </w:rPr>
            </w:pPr>
            <w:r w:rsidRPr="006A75A2">
              <w:rPr>
                <w:sz w:val="20"/>
                <w:szCs w:val="20"/>
              </w:rPr>
              <w:t>Net actuarial gain/(loss) of superannuation defined benefit plans</w:t>
            </w:r>
          </w:p>
        </w:tc>
        <w:tc>
          <w:tcPr>
            <w:tcW w:w="1843" w:type="dxa"/>
            <w:tcBorders>
              <w:bottom w:val="single" w:sz="4" w:space="0" w:color="auto"/>
            </w:tcBorders>
            <w:shd w:val="clear" w:color="auto" w:fill="auto"/>
          </w:tcPr>
          <w:p w:rsidR="004E6C32" w:rsidRPr="006A75A2" w:rsidRDefault="004E6C32" w:rsidP="004B5CB1">
            <w:pPr>
              <w:spacing w:after="0"/>
              <w:jc w:val="right"/>
              <w:rPr>
                <w:rFonts w:ascii="Calibri" w:hAnsi="Calibri"/>
                <w:sz w:val="20"/>
                <w:lang w:eastAsia="en-AU"/>
              </w:rPr>
            </w:pPr>
            <w:r w:rsidRPr="006A75A2">
              <w:rPr>
                <w:rFonts w:ascii="Calibri" w:hAnsi="Calibri"/>
                <w:sz w:val="20"/>
                <w:lang w:eastAsia="en-AU"/>
              </w:rPr>
              <w:t>7 356.8</w:t>
            </w:r>
          </w:p>
        </w:tc>
        <w:tc>
          <w:tcPr>
            <w:tcW w:w="2268" w:type="dxa"/>
            <w:tcBorders>
              <w:bottom w:val="single" w:sz="4" w:space="0" w:color="auto"/>
            </w:tcBorders>
            <w:shd w:val="clear" w:color="auto" w:fill="auto"/>
          </w:tcPr>
          <w:p w:rsidR="004E6C32" w:rsidRPr="006A75A2" w:rsidRDefault="004E6C32" w:rsidP="004B5CB1">
            <w:pPr>
              <w:spacing w:after="0"/>
              <w:jc w:val="right"/>
              <w:rPr>
                <w:rFonts w:ascii="Calibri" w:hAnsi="Calibri"/>
                <w:sz w:val="20"/>
                <w:lang w:eastAsia="en-AU"/>
              </w:rPr>
            </w:pPr>
            <w:r w:rsidRPr="006A75A2">
              <w:rPr>
                <w:rFonts w:ascii="Calibri" w:hAnsi="Calibri"/>
                <w:sz w:val="20"/>
                <w:lang w:eastAsia="en-AU"/>
              </w:rPr>
              <w:t>(7 356.8)</w:t>
            </w:r>
          </w:p>
        </w:tc>
        <w:tc>
          <w:tcPr>
            <w:tcW w:w="1762" w:type="dxa"/>
            <w:tcBorders>
              <w:bottom w:val="single" w:sz="4" w:space="0" w:color="auto"/>
            </w:tcBorders>
            <w:shd w:val="clear" w:color="auto" w:fill="auto"/>
          </w:tcPr>
          <w:p w:rsidR="004E6C32" w:rsidRPr="006A75A2" w:rsidRDefault="004E6C32" w:rsidP="004B5CB1">
            <w:pPr>
              <w:spacing w:after="0"/>
              <w:jc w:val="right"/>
              <w:rPr>
                <w:rFonts w:ascii="Calibri" w:hAnsi="Calibri"/>
                <w:sz w:val="20"/>
                <w:lang w:eastAsia="en-AU"/>
              </w:rPr>
            </w:pPr>
            <w:r w:rsidRPr="006A75A2">
              <w:rPr>
                <w:rFonts w:ascii="Calibri" w:hAnsi="Calibri"/>
                <w:sz w:val="20"/>
                <w:lang w:eastAsia="en-AU"/>
              </w:rPr>
              <w:t>n.a.</w:t>
            </w:r>
          </w:p>
        </w:tc>
      </w:tr>
      <w:tr w:rsidR="004E6C32" w:rsidRPr="006A75A2" w:rsidTr="004B5CB1">
        <w:tc>
          <w:tcPr>
            <w:tcW w:w="9559" w:type="dxa"/>
            <w:gridSpan w:val="4"/>
            <w:tcBorders>
              <w:top w:val="single" w:sz="4" w:space="0" w:color="auto"/>
            </w:tcBorders>
            <w:shd w:val="clear" w:color="auto" w:fill="auto"/>
          </w:tcPr>
          <w:p w:rsidR="004E6C32" w:rsidRPr="006A75A2" w:rsidRDefault="004E6C32" w:rsidP="004B5CB1">
            <w:pPr>
              <w:pStyle w:val="Tabletext"/>
              <w:rPr>
                <w:rFonts w:asciiTheme="minorHAnsi" w:hAnsiTheme="minorHAnsi" w:cstheme="minorHAnsi"/>
                <w:b/>
                <w:sz w:val="20"/>
                <w:szCs w:val="20"/>
                <w:lang w:eastAsia="en-AU"/>
              </w:rPr>
            </w:pPr>
            <w:r w:rsidRPr="006A75A2">
              <w:rPr>
                <w:b/>
                <w:sz w:val="20"/>
                <w:szCs w:val="20"/>
              </w:rPr>
              <w:t>Other economic flows – other comprehensive income</w:t>
            </w:r>
          </w:p>
        </w:tc>
      </w:tr>
      <w:tr w:rsidR="004E6C32" w:rsidRPr="006A75A2" w:rsidTr="004B5CB1">
        <w:tc>
          <w:tcPr>
            <w:tcW w:w="3686" w:type="dxa"/>
            <w:tcBorders>
              <w:bottom w:val="single" w:sz="12" w:space="0" w:color="auto"/>
            </w:tcBorders>
            <w:shd w:val="clear" w:color="auto" w:fill="auto"/>
          </w:tcPr>
          <w:p w:rsidR="004E6C32" w:rsidRPr="006A75A2" w:rsidRDefault="004E6C32" w:rsidP="004B5CB1">
            <w:pPr>
              <w:pStyle w:val="Tabletext"/>
              <w:rPr>
                <w:sz w:val="20"/>
                <w:szCs w:val="20"/>
              </w:rPr>
            </w:pPr>
            <w:r w:rsidRPr="006A75A2">
              <w:rPr>
                <w:sz w:val="20"/>
                <w:szCs w:val="20"/>
              </w:rPr>
              <w:t>Remeasurements of superannuation defined benefits plans</w:t>
            </w:r>
          </w:p>
        </w:tc>
        <w:tc>
          <w:tcPr>
            <w:tcW w:w="1843" w:type="dxa"/>
            <w:tcBorders>
              <w:bottom w:val="single" w:sz="12" w:space="0" w:color="auto"/>
            </w:tcBorders>
            <w:shd w:val="clear" w:color="auto" w:fill="auto"/>
          </w:tcPr>
          <w:p w:rsidR="004E6C32" w:rsidRPr="006A75A2" w:rsidRDefault="004E6C32" w:rsidP="004B5CB1">
            <w:pPr>
              <w:spacing w:after="0"/>
              <w:jc w:val="right"/>
              <w:rPr>
                <w:rFonts w:ascii="Calibri" w:hAnsi="Calibri"/>
                <w:sz w:val="20"/>
              </w:rPr>
            </w:pPr>
            <w:r w:rsidRPr="006A75A2">
              <w:rPr>
                <w:rFonts w:ascii="Calibri" w:hAnsi="Calibri"/>
                <w:sz w:val="20"/>
              </w:rPr>
              <w:t>n.a.</w:t>
            </w:r>
          </w:p>
        </w:tc>
        <w:tc>
          <w:tcPr>
            <w:tcW w:w="2268" w:type="dxa"/>
            <w:tcBorders>
              <w:bottom w:val="single" w:sz="12" w:space="0" w:color="auto"/>
            </w:tcBorders>
            <w:shd w:val="clear" w:color="auto" w:fill="auto"/>
          </w:tcPr>
          <w:p w:rsidR="004E6C32" w:rsidRPr="006A75A2" w:rsidRDefault="004E6C32" w:rsidP="004B5CB1">
            <w:pPr>
              <w:spacing w:after="0"/>
              <w:jc w:val="right"/>
              <w:rPr>
                <w:rFonts w:ascii="Calibri" w:hAnsi="Calibri"/>
                <w:sz w:val="20"/>
              </w:rPr>
            </w:pPr>
            <w:r w:rsidRPr="006A75A2">
              <w:rPr>
                <w:rFonts w:ascii="Calibri" w:hAnsi="Calibri"/>
                <w:sz w:val="20"/>
              </w:rPr>
              <w:t>7 989.8</w:t>
            </w:r>
          </w:p>
        </w:tc>
        <w:tc>
          <w:tcPr>
            <w:tcW w:w="1762" w:type="dxa"/>
            <w:tcBorders>
              <w:bottom w:val="single" w:sz="12" w:space="0" w:color="auto"/>
            </w:tcBorders>
            <w:shd w:val="clear" w:color="auto" w:fill="auto"/>
          </w:tcPr>
          <w:p w:rsidR="004E6C32" w:rsidRPr="006A75A2" w:rsidRDefault="004E6C32" w:rsidP="004B5CB1">
            <w:pPr>
              <w:spacing w:after="0"/>
              <w:jc w:val="right"/>
              <w:rPr>
                <w:rFonts w:ascii="Calibri" w:hAnsi="Calibri"/>
                <w:sz w:val="20"/>
              </w:rPr>
            </w:pPr>
            <w:r w:rsidRPr="006A75A2">
              <w:rPr>
                <w:rFonts w:ascii="Calibri" w:hAnsi="Calibri"/>
                <w:sz w:val="20"/>
              </w:rPr>
              <w:t>7 989.8</w:t>
            </w:r>
          </w:p>
        </w:tc>
      </w:tr>
    </w:tbl>
    <w:p w:rsidR="004E6C32" w:rsidRPr="006A75A2" w:rsidRDefault="004E6C32" w:rsidP="004B5CB1">
      <w:pPr>
        <w:pStyle w:val="Notes"/>
      </w:pPr>
    </w:p>
    <w:p w:rsidR="004E6C32" w:rsidRPr="006A75A2" w:rsidRDefault="004E6C32" w:rsidP="004B5CB1">
      <w:r w:rsidRPr="006A75A2">
        <w:t>The revised Standard also changes the definition of short</w:t>
      </w:r>
      <w:r w:rsidRPr="006A75A2">
        <w:noBreakHyphen/>
        <w:t>term employee benefits. These were previously benefits that were expected to be settled within 12 months after the end of the reporting period in which the employees render the related service. However, short</w:t>
      </w:r>
      <w:r w:rsidRPr="006A75A2">
        <w:noBreakHyphen/>
        <w:t>term employee benefits are now defined as benefits expected to be settled wholly within 12 months after the end of the reporting period in which the employees render the related service. As a result, accrued annual leave balances which were previously classified by the State as short</w:t>
      </w:r>
      <w:r w:rsidRPr="006A75A2">
        <w:noBreakHyphen/>
        <w:t>term employee benefits no longer meet this definition and are now classified as long</w:t>
      </w:r>
      <w:r w:rsidRPr="006A75A2">
        <w:noBreakHyphen/>
        <w:t>term employee benefits. Note that this has resulted in an immaterial change of measurement for the annual leave provision from an undiscounted to discounted basis. As a result, no disclosures have been provided here.</w:t>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rPr>
          <w:rFonts w:eastAsia="Tahoma"/>
        </w:rPr>
      </w:pPr>
      <w:r w:rsidRPr="006A75A2">
        <w:rPr>
          <w:rStyle w:val="Heading4Char"/>
          <w:rFonts w:eastAsia="Tahoma"/>
        </w:rPr>
        <w:t>AASB 2012-2</w:t>
      </w:r>
      <w:r w:rsidRPr="006A75A2">
        <w:rPr>
          <w:rFonts w:eastAsia="Tahoma"/>
          <w:i/>
        </w:rPr>
        <w:t xml:space="preserve"> </w:t>
      </w:r>
      <w:r w:rsidRPr="006A75A2">
        <w:rPr>
          <w:rStyle w:val="Heading4Char"/>
          <w:rFonts w:eastAsia="Tahoma"/>
        </w:rPr>
        <w:t>Amendments to Australian Accounting Standards – Disclosure – Offsetting Financial Assets and Financial Liabilities</w:t>
      </w:r>
      <w:r w:rsidRPr="006A75A2">
        <w:rPr>
          <w:rFonts w:eastAsia="Tahoma"/>
        </w:rPr>
        <w:t xml:space="preserve"> </w:t>
      </w:r>
      <w:r w:rsidRPr="006A75A2">
        <w:rPr>
          <w:rStyle w:val="Heading4Char"/>
          <w:rFonts w:eastAsia="Tahoma"/>
        </w:rPr>
        <w:t>and AASB 2012-3 Amendments to Australian Accounting Standards – Offsetting Financial Instruments</w:t>
      </w:r>
      <w:r w:rsidRPr="006A75A2">
        <w:rPr>
          <w:rFonts w:eastAsia="Tahoma"/>
        </w:rPr>
        <w:t xml:space="preserve"> </w:t>
      </w:r>
    </w:p>
    <w:p w:rsidR="004E6C32" w:rsidRPr="006A75A2" w:rsidRDefault="004E6C32" w:rsidP="004B5CB1">
      <w:pPr>
        <w:rPr>
          <w:rFonts w:eastAsia="Tahoma"/>
        </w:rPr>
      </w:pPr>
      <w:r w:rsidRPr="006A75A2">
        <w:rPr>
          <w:rFonts w:eastAsia="Tahoma"/>
        </w:rPr>
        <w:t xml:space="preserve">To ensure compliance with AASB 2012-2 (effective from 1 January 2013), the State elected to early adopt AASB 2012-3. The Standard clarifies that the right of set-off available under AASB 132 </w:t>
      </w:r>
      <w:r w:rsidRPr="006A75A2">
        <w:rPr>
          <w:rFonts w:eastAsia="Tahoma"/>
          <w:i/>
        </w:rPr>
        <w:t>Financial Instruments: Presentation</w:t>
      </w:r>
      <w:r w:rsidRPr="006A75A2">
        <w:rPr>
          <w:rFonts w:eastAsia="Tahoma"/>
        </w:rPr>
        <w:t xml:space="preserve"> must not be contingent on a future event and be legally enforceable in the normal course of business. </w:t>
      </w:r>
    </w:p>
    <w:p w:rsidR="004E6C32" w:rsidRPr="006A75A2" w:rsidRDefault="004E6C32" w:rsidP="004B5CB1">
      <w:r w:rsidRPr="006A75A2">
        <w:rPr>
          <w:rFonts w:eastAsia="Tahoma"/>
        </w:rPr>
        <w:t>The adoption of the above two standards have mainly affected the disclosures for financial instruments (see Note 33(N)).</w:t>
      </w:r>
    </w:p>
    <w:p w:rsidR="004E6C32" w:rsidRPr="006A75A2" w:rsidRDefault="004E6C32" w:rsidP="004B5CB1">
      <w:pPr>
        <w:pStyle w:val="Heading3Numbering"/>
        <w:rPr>
          <w:kern w:val="0"/>
        </w:rPr>
      </w:pPr>
      <w:r w:rsidRPr="006A75A2">
        <w:rPr>
          <w:kern w:val="0"/>
        </w:rPr>
        <w:t>Revenue from transactions</w:t>
      </w:r>
    </w:p>
    <w:p w:rsidR="004E6C32" w:rsidRPr="006A75A2" w:rsidRDefault="004E6C32" w:rsidP="004B5CB1">
      <w:r w:rsidRPr="006A75A2">
        <w:t>Revenue from transactions is recognised to the extent that it is probable that the economic benefits will flow to the entity and the revenue can be reliably measured at fair value.</w:t>
      </w:r>
    </w:p>
    <w:p w:rsidR="004E6C32" w:rsidRPr="006A75A2" w:rsidRDefault="004E6C32" w:rsidP="004B5CB1">
      <w:pPr>
        <w:pStyle w:val="Heading4"/>
      </w:pPr>
      <w:r w:rsidRPr="006A75A2">
        <w:t>Taxation revenue</w:t>
      </w:r>
    </w:p>
    <w:p w:rsidR="004E6C32" w:rsidRPr="006A75A2" w:rsidRDefault="004E6C32" w:rsidP="004B5CB1">
      <w:r w:rsidRPr="006A75A2">
        <w:t>State taxation revenue is recognised upon the earlier of either the receipt by the State of a taxpayer</w:t>
      </w:r>
      <w:r w:rsidR="00C96101" w:rsidRPr="006A75A2">
        <w:t>’</w:t>
      </w:r>
      <w:r w:rsidRPr="006A75A2">
        <w:t>s self-assessment or the time when the taxpayer</w:t>
      </w:r>
      <w:r w:rsidR="00C96101" w:rsidRPr="006A75A2">
        <w:t>’</w:t>
      </w:r>
      <w:r w:rsidRPr="006A75A2">
        <w:t>s obligation to pay arises, pursuant to the issue of an assessment.</w:t>
      </w:r>
    </w:p>
    <w:p w:rsidR="004E6C32" w:rsidRPr="006A75A2" w:rsidRDefault="004E6C32" w:rsidP="004B5CB1">
      <w:r w:rsidRPr="006A75A2">
        <w:t>Upfront concession fees, such as those for toll roads and gambling licence fees, are recognised progressively over the term of the applicable concession.</w:t>
      </w:r>
    </w:p>
    <w:p w:rsidR="004E6C32" w:rsidRPr="006A75A2" w:rsidRDefault="004E6C32" w:rsidP="004B5CB1">
      <w:pPr>
        <w:pStyle w:val="Heading4"/>
      </w:pPr>
      <w:r w:rsidRPr="006A75A2">
        <w:t>Interest revenue</w:t>
      </w:r>
    </w:p>
    <w:p w:rsidR="004E6C32" w:rsidRPr="006A75A2" w:rsidRDefault="004E6C32" w:rsidP="004B5CB1">
      <w:r w:rsidRPr="006A75A2">
        <w:t xml:space="preserve">Interest revenue includes interest received on bank term deposits and other investments and the unwinding over time of the discount on financial assets. Interest revenue is recognised using the effective interest method which allocates the interest over the relevant period. </w:t>
      </w:r>
    </w:p>
    <w:p w:rsidR="004E6C32" w:rsidRPr="006A75A2" w:rsidRDefault="004E6C32" w:rsidP="004B5CB1">
      <w:r w:rsidRPr="006A75A2">
        <w:t>Net realised and unrealised gains and losses on the revaluation of investments do not form part of revenue from transactions, but are reported either as part of revenue from other economic flows in the net result or as unrealised gains or losses taken direct to equity, forming part of the total change in net worth in the comprehensive result.</w:t>
      </w:r>
    </w:p>
    <w:p w:rsidR="004E6C32" w:rsidRPr="006A75A2" w:rsidRDefault="004E6C32" w:rsidP="004B5CB1">
      <w:pPr>
        <w:pStyle w:val="Heading4"/>
      </w:pPr>
      <w:r w:rsidRPr="006A75A2">
        <w:t>Dividends and income tax equivalent and rate equivalent revenue</w:t>
      </w:r>
    </w:p>
    <w:p w:rsidR="004E6C32" w:rsidRPr="006A75A2" w:rsidRDefault="004E6C32" w:rsidP="004B5CB1">
      <w:r w:rsidRPr="006A75A2">
        <w:t>General government sector dividends, income tax equivalent and rate equivalent revenue, represents revenue received from other sectors of government. Such revenue for the general government sector is recognised when the right to receive the payment is established, and is eliminated on consolidation into the financial statements of the State.</w:t>
      </w:r>
    </w:p>
    <w:p w:rsidR="004E6C32" w:rsidRPr="006A75A2" w:rsidRDefault="004E6C32" w:rsidP="004B5CB1">
      <w:r w:rsidRPr="006A75A2">
        <w:t>Dividends earned from non</w:t>
      </w:r>
      <w:r w:rsidRPr="006A75A2">
        <w:noBreakHyphen/>
        <w:t>state sources are also reflected in the financial statements.</w:t>
      </w:r>
    </w:p>
    <w:p w:rsidR="004E6C32" w:rsidRPr="006A75A2" w:rsidRDefault="004E6C32" w:rsidP="004B5CB1">
      <w:pPr>
        <w:spacing w:after="0"/>
        <w:rPr>
          <w:rFonts w:ascii="Calibri" w:hAnsi="Calibri"/>
          <w:i/>
          <w:sz w:val="26"/>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4E6C32" w:rsidRPr="006A75A2" w:rsidRDefault="004E6C32" w:rsidP="004B5CB1">
      <w:pPr>
        <w:pStyle w:val="Heading4"/>
      </w:pPr>
      <w:r w:rsidRPr="006A75A2">
        <w:t>Sales of goods and services</w:t>
      </w:r>
    </w:p>
    <w:p w:rsidR="004E6C32" w:rsidRPr="006A75A2" w:rsidRDefault="004E6C32" w:rsidP="0067336F">
      <w:pPr>
        <w:pStyle w:val="Heading5"/>
      </w:pPr>
      <w:r w:rsidRPr="006A75A2">
        <w:t>Revenue from supply of services</w:t>
      </w:r>
    </w:p>
    <w:p w:rsidR="004E6C32" w:rsidRPr="006A75A2" w:rsidRDefault="004E6C32" w:rsidP="004B5CB1">
      <w:r w:rsidRPr="006A75A2">
        <w:t>Revenue from the supply of services is recognised by reference to the stage of completion of the services being performed. The revenue is recognised when:</w:t>
      </w:r>
    </w:p>
    <w:p w:rsidR="004E6C32" w:rsidRPr="006A75A2" w:rsidRDefault="004E6C32" w:rsidP="004B5CB1">
      <w:pPr>
        <w:pStyle w:val="BulletText"/>
      </w:pPr>
      <w:r w:rsidRPr="006A75A2">
        <w:t>the amount of the revenue, stage of completion and transaction costs incurred can be reliably measured; and</w:t>
      </w:r>
    </w:p>
    <w:p w:rsidR="004E6C32" w:rsidRPr="006A75A2" w:rsidRDefault="004E6C32" w:rsidP="004B5CB1">
      <w:pPr>
        <w:pStyle w:val="BulletText"/>
      </w:pPr>
      <w:r w:rsidRPr="006A75A2">
        <w:t>it is probable that the economic benefits associated with the transaction will flow to the entity.</w:t>
      </w:r>
    </w:p>
    <w:p w:rsidR="004E6C32" w:rsidRPr="006A75A2" w:rsidRDefault="004E6C32" w:rsidP="004B5CB1">
      <w:pPr>
        <w:pStyle w:val="BulletText"/>
        <w:numPr>
          <w:ilvl w:val="0"/>
          <w:numId w:val="0"/>
        </w:numPr>
      </w:pPr>
      <w:r w:rsidRPr="006A75A2">
        <w:t>Under the stage of completion method, revenue is recognised by reference to labour hours supplied or to labour hours supplied as a percentage of total services to be performed in each annual reporting period.</w:t>
      </w:r>
    </w:p>
    <w:p w:rsidR="004E6C32" w:rsidRPr="006A75A2" w:rsidRDefault="004E6C32" w:rsidP="0067336F">
      <w:pPr>
        <w:pStyle w:val="Heading5"/>
      </w:pPr>
      <w:r w:rsidRPr="006A75A2">
        <w:t>Revenue from the sale of goods</w:t>
      </w:r>
    </w:p>
    <w:p w:rsidR="004E6C32" w:rsidRPr="006A75A2" w:rsidRDefault="004E6C32" w:rsidP="004B5CB1">
      <w:r w:rsidRPr="006A75A2">
        <w:t>Revenue from the sale of goods is recognised when:</w:t>
      </w:r>
    </w:p>
    <w:p w:rsidR="004E6C32" w:rsidRPr="006A75A2" w:rsidRDefault="004E6C32" w:rsidP="004B5CB1">
      <w:pPr>
        <w:pStyle w:val="BulletText"/>
      </w:pPr>
      <w:r w:rsidRPr="006A75A2">
        <w:t>the State no longer has any of the significant risks and rewards of ownership of the goods transferred to the buyer;</w:t>
      </w:r>
    </w:p>
    <w:p w:rsidR="004E6C32" w:rsidRPr="006A75A2" w:rsidRDefault="004E6C32" w:rsidP="004B5CB1">
      <w:pPr>
        <w:pStyle w:val="BulletText"/>
      </w:pPr>
      <w:r w:rsidRPr="006A75A2">
        <w:t>the State no longer has continuing managerial involvement to the degree usually associated with ownership, nor effective control over the goods sold;</w:t>
      </w:r>
    </w:p>
    <w:p w:rsidR="004E6C32" w:rsidRPr="006A75A2" w:rsidRDefault="004E6C32" w:rsidP="004B5CB1">
      <w:pPr>
        <w:pStyle w:val="BulletText"/>
      </w:pPr>
      <w:r w:rsidRPr="006A75A2">
        <w:t>the amount of revenue, and the costs incurred or to be incurred in respect of the transactions, can be reliably measured; and</w:t>
      </w:r>
    </w:p>
    <w:p w:rsidR="004E6C32" w:rsidRPr="006A75A2" w:rsidRDefault="004E6C32" w:rsidP="004B5CB1">
      <w:pPr>
        <w:pStyle w:val="BulletText"/>
      </w:pPr>
      <w:r w:rsidRPr="006A75A2">
        <w:t>it is probable that the economic benefits associated with the transaction will flow to the State.</w:t>
      </w:r>
    </w:p>
    <w:p w:rsidR="004E6C32" w:rsidRPr="006A75A2" w:rsidRDefault="004E6C32" w:rsidP="004B5CB1">
      <w:r w:rsidRPr="006A75A2">
        <w:t>Sale of goods and services includes regulatory fees which are recognised at the time the regulatory fee is billed.</w:t>
      </w:r>
    </w:p>
    <w:p w:rsidR="004E6C32" w:rsidRPr="006A75A2" w:rsidRDefault="004E6C32" w:rsidP="004B5CB1">
      <w:pPr>
        <w:pStyle w:val="Heading4"/>
      </w:pPr>
      <w:r w:rsidRPr="006A75A2">
        <w:t>Grants</w:t>
      </w:r>
    </w:p>
    <w:p w:rsidR="004E6C32" w:rsidRPr="006A75A2" w:rsidRDefault="004E6C32" w:rsidP="004B5CB1">
      <w:r w:rsidRPr="006A75A2">
        <w:t>Revenue from grants is recognised when the State obtains control over the contribution.</w:t>
      </w:r>
    </w:p>
    <w:p w:rsidR="004E6C32" w:rsidRPr="006A75A2" w:rsidRDefault="004E6C32" w:rsidP="004B5CB1">
      <w:r w:rsidRPr="006A75A2">
        <w:t xml:space="preserve">Grants mainly comprise contributions provided by the Commonwealth to assist the State in meeting general or specific service delivery obligations, primarily for the purpose of aiding in the financing of the operations of the recipient, capital purposes and/or for on passing to other recipients. Grants also include grants from other jurisdictions. </w:t>
      </w:r>
    </w:p>
    <w:p w:rsidR="004E6C32" w:rsidRPr="006A75A2" w:rsidRDefault="004E6C32" w:rsidP="004B5CB1">
      <w:pPr>
        <w:pStyle w:val="Heading4"/>
      </w:pPr>
      <w:r w:rsidRPr="006A75A2">
        <w:t>Other revenue</w:t>
      </w:r>
    </w:p>
    <w:p w:rsidR="004E6C32" w:rsidRPr="006A75A2" w:rsidRDefault="004E6C32" w:rsidP="004B5CB1">
      <w:r w:rsidRPr="006A75A2">
        <w:t>Other revenue includes non</w:t>
      </w:r>
      <w:r w:rsidRPr="006A75A2">
        <w:noBreakHyphen/>
        <w:t>property rental, fines, assets received free of charge, royalties, donations and other miscellaneous non</w:t>
      </w:r>
      <w:r w:rsidRPr="006A75A2">
        <w:noBreakHyphen/>
        <w:t>operating revenue.</w:t>
      </w:r>
    </w:p>
    <w:p w:rsidR="004E6C32" w:rsidRPr="006A75A2" w:rsidRDefault="004E6C32" w:rsidP="004B5CB1">
      <w:r w:rsidRPr="006A75A2">
        <w:t>Contributions of resources received free of charge or for nominal consideration are recognised at fair value when the State obtains control over them, irrespective of whether these contributions are subject to restrictions or conditions over their use. Contributions in the form of services are only recognised when a fair value can be reliably determined and the services would have been purchased if not received as a donation.</w:t>
      </w:r>
    </w:p>
    <w:p w:rsidR="004E6C32" w:rsidRPr="006A75A2" w:rsidRDefault="004E6C32" w:rsidP="004B5CB1">
      <w:pPr>
        <w:spacing w:after="0"/>
        <w:rPr>
          <w:rFonts w:ascii="Calibri" w:hAnsi="Calibri"/>
          <w:b/>
          <w:i/>
          <w:sz w:val="26"/>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3Numbering"/>
        <w:rPr>
          <w:kern w:val="0"/>
        </w:rPr>
      </w:pPr>
      <w:r w:rsidRPr="006A75A2">
        <w:rPr>
          <w:kern w:val="0"/>
        </w:rPr>
        <w:t>Expenses from transactions</w:t>
      </w:r>
    </w:p>
    <w:p w:rsidR="004E6C32" w:rsidRPr="006A75A2" w:rsidRDefault="004E6C32" w:rsidP="004B5CB1">
      <w:r w:rsidRPr="006A75A2">
        <w:t>Expenses from transactions are recognised as they are incurred, and reported in the financial year to which they relate.</w:t>
      </w:r>
    </w:p>
    <w:p w:rsidR="004E6C32" w:rsidRPr="006A75A2" w:rsidRDefault="004E6C32" w:rsidP="004B5CB1">
      <w:pPr>
        <w:pStyle w:val="Heading4"/>
      </w:pPr>
      <w:r w:rsidRPr="006A75A2">
        <w:t>Employee expenses</w:t>
      </w:r>
    </w:p>
    <w:p w:rsidR="004E6C32" w:rsidRPr="006A75A2" w:rsidRDefault="004E6C32" w:rsidP="004B5CB1">
      <w:r w:rsidRPr="006A75A2">
        <w:t xml:space="preserve">Refer to the section in Note 1(N) regarding </w:t>
      </w:r>
      <w:r w:rsidR="00C96101" w:rsidRPr="006A75A2">
        <w:t>‘</w:t>
      </w:r>
      <w:r w:rsidRPr="006A75A2">
        <w:t>Employee benefits</w:t>
      </w:r>
      <w:r w:rsidR="00C96101" w:rsidRPr="006A75A2">
        <w:t>’</w:t>
      </w:r>
      <w:r w:rsidRPr="006A75A2">
        <w:t xml:space="preserve">. </w:t>
      </w:r>
    </w:p>
    <w:p w:rsidR="004E6C32" w:rsidRPr="006A75A2" w:rsidRDefault="004E6C32" w:rsidP="004B5CB1">
      <w:pPr>
        <w:pStyle w:val="Heading4"/>
      </w:pPr>
      <w:r w:rsidRPr="006A75A2">
        <w:t xml:space="preserve">Superannuation interest expense and other superannuation expenses </w:t>
      </w:r>
    </w:p>
    <w:p w:rsidR="004E6C32" w:rsidRPr="006A75A2" w:rsidRDefault="004E6C32" w:rsidP="004B5CB1">
      <w:r w:rsidRPr="006A75A2">
        <w:t>The superannuation expense from transactions is determined on the following basis:</w:t>
      </w:r>
    </w:p>
    <w:p w:rsidR="004E6C32" w:rsidRPr="006A75A2" w:rsidRDefault="004E6C32" w:rsidP="004B5CB1">
      <w:pPr>
        <w:pStyle w:val="BulletText"/>
      </w:pPr>
      <w:r w:rsidRPr="006A75A2">
        <w:t>in relation to defined contribution (i.e. accumulation) superannuation plans, the associated expense is simply the employer contributions that are paid or payable in respect of employees who are members of these plans during the reporting period; and</w:t>
      </w:r>
    </w:p>
    <w:p w:rsidR="004E6C32" w:rsidRPr="006A75A2" w:rsidRDefault="004E6C32" w:rsidP="004B5CB1">
      <w:pPr>
        <w:pStyle w:val="BulletText"/>
      </w:pPr>
      <w:r w:rsidRPr="006A75A2">
        <w:t>for defined benefit plans, the superannuation expense reflects the employer financed component of defined benefits that are expected to accrue over the reporting period (i.e. service cost), along with the superannuation interest expense.</w:t>
      </w:r>
    </w:p>
    <w:p w:rsidR="004E6C32" w:rsidRPr="006A75A2" w:rsidRDefault="004E6C32" w:rsidP="004B5CB1">
      <w:pPr>
        <w:pStyle w:val="Heading4"/>
      </w:pPr>
      <w:r w:rsidRPr="006A75A2">
        <w:t>Depreciation</w:t>
      </w:r>
    </w:p>
    <w:p w:rsidR="004E6C32" w:rsidRPr="006A75A2" w:rsidRDefault="004E6C32" w:rsidP="004B5CB1">
      <w:r w:rsidRPr="006A75A2">
        <w:t>All infrastructure assets, buildings, plant and equipment and other non</w:t>
      </w:r>
      <w:r w:rsidRPr="006A75A2">
        <w:noBreakHyphen/>
        <w:t>financial physical assets (excluding items under operating leases, assets held for sale, land and investment properties) that have finite useful lives are depreciated. Depreciation is generally calculated on a straight line basis, at rates that allocate the asset</w:t>
      </w:r>
      <w:r w:rsidR="00C96101" w:rsidRPr="006A75A2">
        <w:t>’</w:t>
      </w:r>
      <w:r w:rsidRPr="006A75A2">
        <w:t xml:space="preserve">s value, less any estimated residual value, over its estimated useful life. Refer to Note 1(M) for the depreciation policy for leasehold improvements. </w:t>
      </w:r>
    </w:p>
    <w:p w:rsidR="004E6C32" w:rsidRPr="006A75A2" w:rsidRDefault="004E6C32" w:rsidP="004B5CB1">
      <w:r w:rsidRPr="006A75A2">
        <w:t>The estimated useful lives, residual values and depreciation method are reviewed at the end of each annual reporting period, and adjustments made where appropriate.</w:t>
      </w:r>
    </w:p>
    <w:p w:rsidR="004E6C32" w:rsidRPr="006A75A2" w:rsidRDefault="004E6C32" w:rsidP="004B5CB1">
      <w:r w:rsidRPr="006A75A2">
        <w:t>The following are typical estimated useful lives for the different asset classes for current and prior years.</w:t>
      </w:r>
    </w:p>
    <w:tbl>
      <w:tblPr>
        <w:tblStyle w:val="TableGrid"/>
        <w:tblW w:w="9648" w:type="dxa"/>
        <w:tblInd w:w="29" w:type="dxa"/>
        <w:tblLayout w:type="fixed"/>
        <w:tblCellMar>
          <w:left w:w="43" w:type="dxa"/>
          <w:right w:w="43" w:type="dxa"/>
        </w:tblCellMar>
        <w:tblLook w:val="04A0" w:firstRow="1" w:lastRow="0" w:firstColumn="1" w:lastColumn="0" w:noHBand="0" w:noVBand="1"/>
      </w:tblPr>
      <w:tblGrid>
        <w:gridCol w:w="5774"/>
        <w:gridCol w:w="3874"/>
      </w:tblGrid>
      <w:tr w:rsidR="004E6C32" w:rsidRPr="006A75A2" w:rsidTr="004B5CB1">
        <w:trPr>
          <w:cantSplit/>
        </w:trPr>
        <w:tc>
          <w:tcPr>
            <w:tcW w:w="5774" w:type="dxa"/>
            <w:tcBorders>
              <w:left w:val="single" w:sz="4" w:space="0" w:color="auto"/>
              <w:bottom w:val="single" w:sz="4" w:space="0" w:color="auto"/>
            </w:tcBorders>
            <w:shd w:val="clear" w:color="auto" w:fill="000000"/>
          </w:tcPr>
          <w:p w:rsidR="004E6C32" w:rsidRPr="006A75A2" w:rsidRDefault="004E6C32" w:rsidP="004B5CB1">
            <w:pPr>
              <w:pStyle w:val="TabletextheadingLeft"/>
              <w:spacing w:before="20" w:after="20"/>
            </w:pPr>
            <w:r w:rsidRPr="006A75A2">
              <w:t xml:space="preserve">Asset </w:t>
            </w:r>
          </w:p>
        </w:tc>
        <w:tc>
          <w:tcPr>
            <w:tcW w:w="3874" w:type="dxa"/>
            <w:tcBorders>
              <w:bottom w:val="single" w:sz="4" w:space="0" w:color="auto"/>
              <w:right w:val="single" w:sz="4" w:space="0" w:color="auto"/>
            </w:tcBorders>
            <w:shd w:val="clear" w:color="auto" w:fill="000000"/>
          </w:tcPr>
          <w:p w:rsidR="004E6C32" w:rsidRPr="006A75A2" w:rsidRDefault="004E6C32" w:rsidP="004B5CB1">
            <w:pPr>
              <w:pStyle w:val="TabletextheadingLeft"/>
              <w:spacing w:before="20" w:after="20"/>
            </w:pPr>
            <w:r w:rsidRPr="006A75A2">
              <w:t>Useful life</w:t>
            </w:r>
          </w:p>
        </w:tc>
      </w:tr>
      <w:tr w:rsidR="004E6C32" w:rsidRPr="006A75A2" w:rsidTr="004B5CB1">
        <w:trPr>
          <w:cantSplit/>
        </w:trPr>
        <w:tc>
          <w:tcPr>
            <w:tcW w:w="5774" w:type="dxa"/>
            <w:tcBorders>
              <w:top w:val="single" w:sz="4" w:space="0" w:color="auto"/>
            </w:tcBorders>
          </w:tcPr>
          <w:p w:rsidR="004E6C32" w:rsidRPr="006A75A2" w:rsidRDefault="004E6C32" w:rsidP="004B5CB1">
            <w:pPr>
              <w:pStyle w:val="Tabletext"/>
              <w:spacing w:before="20" w:after="20"/>
            </w:pPr>
            <w:r w:rsidRPr="006A75A2">
              <w:t>Buildings</w:t>
            </w:r>
          </w:p>
        </w:tc>
        <w:tc>
          <w:tcPr>
            <w:tcW w:w="3874" w:type="dxa"/>
            <w:tcBorders>
              <w:top w:val="single" w:sz="4" w:space="0" w:color="auto"/>
            </w:tcBorders>
          </w:tcPr>
          <w:p w:rsidR="004E6C32" w:rsidRPr="006A75A2" w:rsidRDefault="004E6C32" w:rsidP="004B5CB1">
            <w:pPr>
              <w:pStyle w:val="Tabletext"/>
              <w:spacing w:before="20" w:after="20"/>
            </w:pPr>
            <w:r w:rsidRPr="006A75A2">
              <w:t>20 to 100 years</w:t>
            </w:r>
          </w:p>
        </w:tc>
      </w:tr>
      <w:tr w:rsidR="004E6C32" w:rsidRPr="006A75A2" w:rsidTr="004B5CB1">
        <w:trPr>
          <w:cantSplit/>
        </w:trPr>
        <w:tc>
          <w:tcPr>
            <w:tcW w:w="5774" w:type="dxa"/>
          </w:tcPr>
          <w:p w:rsidR="004E6C32" w:rsidRPr="006A75A2" w:rsidRDefault="004E6C32" w:rsidP="004B5CB1">
            <w:pPr>
              <w:pStyle w:val="Tabletext"/>
              <w:spacing w:before="20" w:after="20"/>
            </w:pPr>
            <w:r w:rsidRPr="006A75A2">
              <w:t>Leasehold buildings</w:t>
            </w:r>
          </w:p>
        </w:tc>
        <w:tc>
          <w:tcPr>
            <w:tcW w:w="3874" w:type="dxa"/>
          </w:tcPr>
          <w:p w:rsidR="004E6C32" w:rsidRPr="006A75A2" w:rsidRDefault="004E6C32" w:rsidP="004B5CB1">
            <w:pPr>
              <w:pStyle w:val="Tabletext"/>
              <w:spacing w:before="20" w:after="20"/>
            </w:pPr>
            <w:r w:rsidRPr="006A75A2">
              <w:t>2 to 60 years</w:t>
            </w:r>
          </w:p>
        </w:tc>
      </w:tr>
      <w:tr w:rsidR="004E6C32" w:rsidRPr="006A75A2" w:rsidTr="004B5CB1">
        <w:trPr>
          <w:cantSplit/>
        </w:trPr>
        <w:tc>
          <w:tcPr>
            <w:tcW w:w="5774" w:type="dxa"/>
          </w:tcPr>
          <w:p w:rsidR="004E6C32" w:rsidRPr="006A75A2" w:rsidRDefault="004E6C32" w:rsidP="004B5CB1">
            <w:pPr>
              <w:pStyle w:val="Tabletext"/>
              <w:spacing w:before="20" w:after="20"/>
            </w:pPr>
            <w:r w:rsidRPr="006A75A2">
              <w:t>Infrastructure systems:</w:t>
            </w:r>
          </w:p>
        </w:tc>
        <w:tc>
          <w:tcPr>
            <w:tcW w:w="3874" w:type="dxa"/>
          </w:tcPr>
          <w:p w:rsidR="004E6C32" w:rsidRPr="006A75A2" w:rsidRDefault="004E6C32" w:rsidP="004B5CB1">
            <w:pPr>
              <w:pStyle w:val="Tabletext"/>
              <w:spacing w:before="20" w:after="20"/>
            </w:pPr>
          </w:p>
        </w:tc>
      </w:tr>
      <w:tr w:rsidR="004E6C32" w:rsidRPr="006A75A2" w:rsidTr="004B5CB1">
        <w:trPr>
          <w:cantSplit/>
        </w:trPr>
        <w:tc>
          <w:tcPr>
            <w:tcW w:w="5774" w:type="dxa"/>
          </w:tcPr>
          <w:p w:rsidR="004E6C32" w:rsidRPr="006A75A2" w:rsidRDefault="004E6C32" w:rsidP="004B5CB1">
            <w:pPr>
              <w:pStyle w:val="Tabletext"/>
              <w:spacing w:before="20" w:after="20"/>
            </w:pPr>
            <w:r w:rsidRPr="006A75A2">
              <w:t>– water infrastructure – storage facilities</w:t>
            </w:r>
          </w:p>
        </w:tc>
        <w:tc>
          <w:tcPr>
            <w:tcW w:w="3874" w:type="dxa"/>
          </w:tcPr>
          <w:p w:rsidR="004E6C32" w:rsidRPr="006A75A2" w:rsidRDefault="004E6C32" w:rsidP="004B5CB1">
            <w:pPr>
              <w:pStyle w:val="Tabletext"/>
              <w:spacing w:before="20" w:after="20"/>
            </w:pPr>
            <w:r w:rsidRPr="006A75A2">
              <w:t>25 to 300 years</w:t>
            </w:r>
          </w:p>
        </w:tc>
      </w:tr>
      <w:tr w:rsidR="004E6C32" w:rsidRPr="006A75A2" w:rsidTr="004B5CB1">
        <w:trPr>
          <w:cantSplit/>
        </w:trPr>
        <w:tc>
          <w:tcPr>
            <w:tcW w:w="5774" w:type="dxa"/>
          </w:tcPr>
          <w:p w:rsidR="004E6C32" w:rsidRPr="006A75A2" w:rsidRDefault="004E6C32" w:rsidP="004B5CB1">
            <w:pPr>
              <w:pStyle w:val="Tabletext"/>
              <w:spacing w:before="20" w:after="20"/>
            </w:pPr>
            <w:r w:rsidRPr="006A75A2">
              <w:t>– water infrastructure – other</w:t>
            </w:r>
          </w:p>
        </w:tc>
        <w:tc>
          <w:tcPr>
            <w:tcW w:w="3874" w:type="dxa"/>
          </w:tcPr>
          <w:p w:rsidR="004E6C32" w:rsidRPr="006A75A2" w:rsidRDefault="004E6C32" w:rsidP="004B5CB1">
            <w:pPr>
              <w:pStyle w:val="Tabletext"/>
              <w:spacing w:before="20" w:after="20"/>
            </w:pPr>
            <w:r w:rsidRPr="006A75A2">
              <w:t>25 to 100 years</w:t>
            </w:r>
          </w:p>
        </w:tc>
      </w:tr>
      <w:tr w:rsidR="004E6C32" w:rsidRPr="006A75A2" w:rsidTr="004B5CB1">
        <w:trPr>
          <w:cantSplit/>
        </w:trPr>
        <w:tc>
          <w:tcPr>
            <w:tcW w:w="5774" w:type="dxa"/>
          </w:tcPr>
          <w:p w:rsidR="004E6C32" w:rsidRPr="006A75A2" w:rsidRDefault="004E6C32" w:rsidP="004B5CB1">
            <w:pPr>
              <w:pStyle w:val="Tabletext"/>
              <w:spacing w:before="20" w:after="20"/>
            </w:pPr>
            <w:r w:rsidRPr="006A75A2">
              <w:t>– rail infrastructure</w:t>
            </w:r>
          </w:p>
        </w:tc>
        <w:tc>
          <w:tcPr>
            <w:tcW w:w="3874" w:type="dxa"/>
          </w:tcPr>
          <w:p w:rsidR="004E6C32" w:rsidRPr="006A75A2" w:rsidRDefault="004E6C32" w:rsidP="004B5CB1">
            <w:pPr>
              <w:pStyle w:val="Tabletext"/>
              <w:spacing w:before="20" w:after="20"/>
            </w:pPr>
            <w:r w:rsidRPr="006A75A2">
              <w:t>2 to 50 years</w:t>
            </w:r>
          </w:p>
        </w:tc>
      </w:tr>
      <w:tr w:rsidR="004E6C32" w:rsidRPr="006A75A2" w:rsidTr="004B5CB1">
        <w:trPr>
          <w:cantSplit/>
        </w:trPr>
        <w:tc>
          <w:tcPr>
            <w:tcW w:w="5774" w:type="dxa"/>
          </w:tcPr>
          <w:p w:rsidR="004E6C32" w:rsidRPr="006A75A2" w:rsidRDefault="004E6C32" w:rsidP="004B5CB1">
            <w:pPr>
              <w:pStyle w:val="Tabletext"/>
              <w:spacing w:before="20" w:after="20"/>
            </w:pPr>
            <w:r w:rsidRPr="006A75A2">
              <w:t>– other infrastructure</w:t>
            </w:r>
          </w:p>
        </w:tc>
        <w:tc>
          <w:tcPr>
            <w:tcW w:w="3874" w:type="dxa"/>
          </w:tcPr>
          <w:p w:rsidR="004E6C32" w:rsidRPr="006A75A2" w:rsidRDefault="004E6C32" w:rsidP="004B5CB1">
            <w:pPr>
              <w:pStyle w:val="Tabletext"/>
              <w:spacing w:before="20" w:after="20"/>
            </w:pPr>
            <w:r w:rsidRPr="006A75A2">
              <w:t>10 to 32 years</w:t>
            </w:r>
          </w:p>
        </w:tc>
      </w:tr>
      <w:tr w:rsidR="004E6C32" w:rsidRPr="006A75A2" w:rsidTr="004B5CB1">
        <w:trPr>
          <w:cantSplit/>
        </w:trPr>
        <w:tc>
          <w:tcPr>
            <w:tcW w:w="5774" w:type="dxa"/>
          </w:tcPr>
          <w:p w:rsidR="004E6C32" w:rsidRPr="006A75A2" w:rsidRDefault="004E6C32" w:rsidP="004B5CB1">
            <w:pPr>
              <w:pStyle w:val="Tabletext"/>
              <w:spacing w:before="20" w:after="20"/>
            </w:pPr>
            <w:r w:rsidRPr="006A75A2">
              <w:t>Plant, equipment and vehicle (incl. leased assets)</w:t>
            </w:r>
          </w:p>
        </w:tc>
        <w:tc>
          <w:tcPr>
            <w:tcW w:w="3874" w:type="dxa"/>
          </w:tcPr>
          <w:p w:rsidR="004E6C32" w:rsidRPr="006A75A2" w:rsidRDefault="004E6C32" w:rsidP="004B5CB1">
            <w:pPr>
              <w:pStyle w:val="Tabletext"/>
              <w:spacing w:before="20" w:after="20"/>
            </w:pPr>
            <w:r w:rsidRPr="006A75A2">
              <w:t>3 to 10 years</w:t>
            </w:r>
          </w:p>
        </w:tc>
      </w:tr>
      <w:tr w:rsidR="004E6C32" w:rsidRPr="006A75A2" w:rsidTr="004B5CB1">
        <w:trPr>
          <w:cantSplit/>
        </w:trPr>
        <w:tc>
          <w:tcPr>
            <w:tcW w:w="5774" w:type="dxa"/>
          </w:tcPr>
          <w:p w:rsidR="004E6C32" w:rsidRPr="006A75A2" w:rsidRDefault="004E6C32" w:rsidP="004B5CB1">
            <w:pPr>
              <w:pStyle w:val="Tabletext"/>
              <w:spacing w:before="20" w:after="20"/>
            </w:pPr>
            <w:r w:rsidRPr="006A75A2">
              <w:t>Road and road networks (incl. bridges)</w:t>
            </w:r>
          </w:p>
        </w:tc>
        <w:tc>
          <w:tcPr>
            <w:tcW w:w="3874" w:type="dxa"/>
          </w:tcPr>
          <w:p w:rsidR="004E6C32" w:rsidRPr="006A75A2" w:rsidRDefault="004E6C32" w:rsidP="004B5CB1">
            <w:pPr>
              <w:pStyle w:val="Tabletext"/>
              <w:spacing w:before="20" w:after="20"/>
            </w:pPr>
            <w:r w:rsidRPr="006A75A2">
              <w:t>60 to 90 years</w:t>
            </w:r>
          </w:p>
        </w:tc>
      </w:tr>
      <w:tr w:rsidR="004E6C32" w:rsidRPr="006A75A2" w:rsidTr="004B5CB1">
        <w:trPr>
          <w:cantSplit/>
        </w:trPr>
        <w:tc>
          <w:tcPr>
            <w:tcW w:w="5774" w:type="dxa"/>
          </w:tcPr>
          <w:p w:rsidR="004E6C32" w:rsidRPr="006A75A2" w:rsidRDefault="004E6C32" w:rsidP="004B5CB1">
            <w:pPr>
              <w:pStyle w:val="Tabletext"/>
              <w:spacing w:before="20" w:after="20"/>
            </w:pPr>
            <w:r w:rsidRPr="006A75A2">
              <w:t>Cultural assets (with finite useful lives)</w:t>
            </w:r>
          </w:p>
        </w:tc>
        <w:tc>
          <w:tcPr>
            <w:tcW w:w="3874" w:type="dxa"/>
          </w:tcPr>
          <w:p w:rsidR="004E6C32" w:rsidRPr="006A75A2" w:rsidRDefault="004E6C32" w:rsidP="004B5CB1">
            <w:pPr>
              <w:pStyle w:val="Tabletext"/>
              <w:spacing w:before="20" w:after="20"/>
            </w:pPr>
            <w:r w:rsidRPr="006A75A2">
              <w:t>100 years</w:t>
            </w:r>
          </w:p>
        </w:tc>
      </w:tr>
      <w:tr w:rsidR="004E6C32" w:rsidRPr="006A75A2" w:rsidTr="004B5CB1">
        <w:trPr>
          <w:cantSplit/>
        </w:trPr>
        <w:tc>
          <w:tcPr>
            <w:tcW w:w="5774" w:type="dxa"/>
          </w:tcPr>
          <w:p w:rsidR="004E6C32" w:rsidRPr="006A75A2" w:rsidRDefault="004E6C32" w:rsidP="004B5CB1">
            <w:pPr>
              <w:pStyle w:val="Tabletext"/>
              <w:spacing w:before="20" w:after="20"/>
            </w:pPr>
            <w:r w:rsidRPr="006A75A2">
              <w:t>Intangible produced assets:</w:t>
            </w:r>
          </w:p>
        </w:tc>
        <w:tc>
          <w:tcPr>
            <w:tcW w:w="3874" w:type="dxa"/>
          </w:tcPr>
          <w:p w:rsidR="004E6C32" w:rsidRPr="006A75A2" w:rsidRDefault="004E6C32" w:rsidP="004B5CB1">
            <w:pPr>
              <w:pStyle w:val="Tabletext"/>
              <w:spacing w:before="20" w:after="20"/>
            </w:pPr>
          </w:p>
        </w:tc>
      </w:tr>
      <w:tr w:rsidR="004E6C32" w:rsidRPr="006A75A2" w:rsidTr="004B5CB1">
        <w:trPr>
          <w:cantSplit/>
        </w:trPr>
        <w:tc>
          <w:tcPr>
            <w:tcW w:w="5774" w:type="dxa"/>
            <w:tcBorders>
              <w:bottom w:val="single" w:sz="12" w:space="0" w:color="auto"/>
            </w:tcBorders>
          </w:tcPr>
          <w:p w:rsidR="004E6C32" w:rsidRPr="006A75A2" w:rsidRDefault="004E6C32" w:rsidP="004B5CB1">
            <w:pPr>
              <w:pStyle w:val="Tabletext"/>
              <w:spacing w:before="20" w:after="20"/>
            </w:pPr>
            <w:r w:rsidRPr="006A75A2">
              <w:t>– capitalised software development costs</w:t>
            </w:r>
          </w:p>
        </w:tc>
        <w:tc>
          <w:tcPr>
            <w:tcW w:w="3874" w:type="dxa"/>
            <w:tcBorders>
              <w:bottom w:val="single" w:sz="12" w:space="0" w:color="auto"/>
            </w:tcBorders>
          </w:tcPr>
          <w:p w:rsidR="004E6C32" w:rsidRPr="006A75A2" w:rsidRDefault="004E6C32" w:rsidP="004B5CB1">
            <w:pPr>
              <w:pStyle w:val="Tabletext"/>
              <w:spacing w:before="20" w:after="20"/>
            </w:pPr>
            <w:r w:rsidRPr="006A75A2">
              <w:t>3 to 5 years</w:t>
            </w:r>
          </w:p>
        </w:tc>
      </w:tr>
    </w:tbl>
    <w:p w:rsidR="004E6C32" w:rsidRPr="006A75A2" w:rsidRDefault="004E6C32" w:rsidP="004B5CB1"/>
    <w:p w:rsidR="004E6C32" w:rsidRPr="006A75A2" w:rsidRDefault="004E6C32" w:rsidP="004B5CB1">
      <w:pPr>
        <w:pStyle w:val="Heading2NotesContd"/>
        <w:rPr>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4E6C32" w:rsidRPr="006A75A2" w:rsidRDefault="004E6C32" w:rsidP="004B5CB1">
      <w:r w:rsidRPr="006A75A2">
        <w:t>Land, earthworks, land under declared roads, and core cultural assets, which are considered to have an indefinite life, are not depreciated. Depreciation is not recognised in respect of these assets because their service potential has not, in any material sense, been consumed during the reporting period.</w:t>
      </w:r>
    </w:p>
    <w:p w:rsidR="004E6C32" w:rsidRPr="006A75A2" w:rsidRDefault="004E6C32" w:rsidP="004B5CB1">
      <w:r w:rsidRPr="006A75A2">
        <w:t>Intangible produced assets with finite useful lives are depreciated as an expense from transactions on a systematic (typically straight line) basis over the asset</w:t>
      </w:r>
      <w:r w:rsidR="00C96101" w:rsidRPr="006A75A2">
        <w:t>’</w:t>
      </w:r>
      <w:r w:rsidRPr="006A75A2">
        <w:t xml:space="preserve">s useful life. Depreciation begins when the asset is available for use, that is, when it is in the location and condition necessary for it to be capable of operating in the manner intended by management. </w:t>
      </w:r>
    </w:p>
    <w:p w:rsidR="004E6C32" w:rsidRPr="006A75A2" w:rsidRDefault="004E6C32" w:rsidP="004B5CB1">
      <w:r w:rsidRPr="006A75A2">
        <w:t>All intangible assets are tested for impairment whenever there is an indication that the asset may be impaired (refer to Note 1(I)).</w:t>
      </w:r>
    </w:p>
    <w:p w:rsidR="004E6C32" w:rsidRPr="006A75A2" w:rsidRDefault="004E6C32" w:rsidP="004B5CB1">
      <w:r w:rsidRPr="006A75A2">
        <w:t>The consumption of intangible non</w:t>
      </w:r>
      <w:r w:rsidRPr="006A75A2">
        <w:noBreakHyphen/>
        <w:t xml:space="preserve">produced assets with finite useful lives is not classified as a transaction, but as amortisation and included in the net result as an other economic flow. </w:t>
      </w:r>
    </w:p>
    <w:p w:rsidR="004E6C32" w:rsidRPr="006A75A2" w:rsidRDefault="004E6C32" w:rsidP="004B5CB1">
      <w:r w:rsidRPr="006A75A2">
        <w:t>Intangible assets with indefinite useful lives are not depreciated or amortised, but are tested annually for impairment.</w:t>
      </w:r>
    </w:p>
    <w:p w:rsidR="004E6C32" w:rsidRPr="006A75A2" w:rsidRDefault="004E6C32" w:rsidP="004B5CB1">
      <w:pPr>
        <w:pStyle w:val="Heading4"/>
      </w:pPr>
      <w:r w:rsidRPr="006A75A2">
        <w:t>Interest expense</w:t>
      </w:r>
    </w:p>
    <w:p w:rsidR="004E6C32" w:rsidRPr="006A75A2" w:rsidRDefault="004E6C32" w:rsidP="004B5CB1">
      <w:r w:rsidRPr="006A75A2">
        <w:t>Interest expense represents costs incurred in connection with borrowings. It includes interest on advances, loans, overdrafts, bonds and bills, deposits, interest components of finance lease repayments, and amortisation of discounts or premiums in relation to borrowings.</w:t>
      </w:r>
    </w:p>
    <w:p w:rsidR="004E6C32" w:rsidRPr="006A75A2" w:rsidRDefault="004E6C32" w:rsidP="004B5CB1">
      <w:r w:rsidRPr="006A75A2">
        <w:t xml:space="preserve">Refer to Note 10 </w:t>
      </w:r>
      <w:r w:rsidRPr="006A75A2">
        <w:rPr>
          <w:i/>
        </w:rPr>
        <w:t>Interest Expense</w:t>
      </w:r>
      <w:r w:rsidRPr="006A75A2">
        <w:t>.</w:t>
      </w:r>
    </w:p>
    <w:p w:rsidR="004E6C32" w:rsidRPr="006A75A2" w:rsidRDefault="004E6C32" w:rsidP="004B5CB1">
      <w:pPr>
        <w:pStyle w:val="Heading4"/>
      </w:pPr>
      <w:r w:rsidRPr="006A75A2">
        <w:t>Grants and other transfers</w:t>
      </w:r>
    </w:p>
    <w:p w:rsidR="004E6C32" w:rsidRPr="006A75A2" w:rsidRDefault="004E6C32" w:rsidP="004B5CB1">
      <w:r w:rsidRPr="006A75A2">
        <w:t>Grants and other transfers to third parties are recognised as an expense in the reporting period in which they are paid or payable. They include transactions such as: grants, subsidies, personal benefit payments made in cash to individuals; other transfer payments made to local government, non</w:t>
      </w:r>
      <w:r w:rsidRPr="006A75A2">
        <w:noBreakHyphen/>
        <w:t>government schools and community groups; and for the general government sector, grants and transfer payments to PNFCs and PFCs.</w:t>
      </w:r>
    </w:p>
    <w:p w:rsidR="004E6C32" w:rsidRPr="006A75A2" w:rsidRDefault="004E6C32" w:rsidP="004B5CB1">
      <w:pPr>
        <w:pStyle w:val="Heading4"/>
      </w:pPr>
      <w:r w:rsidRPr="006A75A2">
        <w:t>Other operating expenses</w:t>
      </w:r>
    </w:p>
    <w:p w:rsidR="004E6C32" w:rsidRPr="006A75A2" w:rsidRDefault="004E6C32" w:rsidP="004B5CB1">
      <w:r w:rsidRPr="006A75A2">
        <w:t>Other operating expenses generally represent the day</w:t>
      </w:r>
      <w:r w:rsidRPr="006A75A2">
        <w:noBreakHyphen/>
        <w:t>to</w:t>
      </w:r>
      <w:r w:rsidRPr="006A75A2">
        <w:noBreakHyphen/>
        <w:t xml:space="preserve">day running costs incurred in normal operations and includes: </w:t>
      </w:r>
    </w:p>
    <w:p w:rsidR="004E6C32" w:rsidRPr="006A75A2" w:rsidRDefault="004E6C32" w:rsidP="004B5CB1">
      <w:pPr>
        <w:pStyle w:val="BulletText"/>
      </w:pPr>
      <w:r w:rsidRPr="006A75A2">
        <w:t>supplies and services costs which are recognised as an expense in the reporting period in which they are incurred. The carrying amounts of any inventories held for distribution are expensed when distributed; and</w:t>
      </w:r>
    </w:p>
    <w:p w:rsidR="004E6C32" w:rsidRPr="006A75A2" w:rsidRDefault="004E6C32" w:rsidP="004B5CB1">
      <w:pPr>
        <w:pStyle w:val="BulletText"/>
      </w:pPr>
      <w:r w:rsidRPr="006A75A2">
        <w:t>bad and doubtful debts.</w:t>
      </w:r>
    </w:p>
    <w:p w:rsidR="004E6C32" w:rsidRPr="006A75A2" w:rsidRDefault="004E6C32" w:rsidP="004B5CB1">
      <w:pPr>
        <w:spacing w:after="0"/>
        <w:rPr>
          <w:rFonts w:ascii="Calibri" w:hAnsi="Calibri"/>
          <w:b/>
          <w:i/>
          <w:sz w:val="26"/>
          <w:szCs w:val="22"/>
        </w:rPr>
      </w:pPr>
      <w:r w:rsidRPr="006A75A2">
        <w:br w:type="page"/>
      </w:r>
    </w:p>
    <w:p w:rsidR="004E6C32" w:rsidRPr="006A75A2" w:rsidRDefault="004E6C32" w:rsidP="004B5CB1">
      <w:pPr>
        <w:pStyle w:val="Heading2NotesContd"/>
        <w:rPr>
          <w:i/>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3Numbering"/>
        <w:rPr>
          <w:kern w:val="0"/>
        </w:rPr>
      </w:pPr>
      <w:r w:rsidRPr="006A75A2">
        <w:rPr>
          <w:kern w:val="0"/>
        </w:rPr>
        <w:t>Other economic flows</w:t>
      </w:r>
    </w:p>
    <w:p w:rsidR="004E6C32" w:rsidRPr="006A75A2" w:rsidRDefault="004E6C32" w:rsidP="004B5CB1">
      <w:pPr>
        <w:pStyle w:val="Heading4"/>
        <w:rPr>
          <w:rFonts w:ascii="Garamond" w:hAnsi="Garamond"/>
          <w:i w:val="0"/>
          <w:sz w:val="24"/>
          <w:szCs w:val="20"/>
        </w:rPr>
      </w:pPr>
      <w:r w:rsidRPr="006A75A2">
        <w:rPr>
          <w:rFonts w:ascii="Garamond" w:hAnsi="Garamond"/>
          <w:i w:val="0"/>
          <w:sz w:val="24"/>
          <w:szCs w:val="20"/>
        </w:rPr>
        <w:t xml:space="preserve">Other economic flows are changes in the volume or value of an asset or liability that do not result from transactions. </w:t>
      </w:r>
    </w:p>
    <w:p w:rsidR="004E6C32" w:rsidRPr="006A75A2" w:rsidRDefault="004E6C32" w:rsidP="004B5CB1">
      <w:pPr>
        <w:pStyle w:val="Heading4"/>
      </w:pPr>
      <w:r w:rsidRPr="006A75A2">
        <w:t>Other economic flows included in net result</w:t>
      </w:r>
    </w:p>
    <w:p w:rsidR="004E6C32" w:rsidRPr="006A75A2" w:rsidRDefault="004E6C32" w:rsidP="0067336F">
      <w:pPr>
        <w:pStyle w:val="Heading5"/>
      </w:pPr>
      <w:r w:rsidRPr="006A75A2">
        <w:t>Net gain/(loss) on disposal of non</w:t>
      </w:r>
      <w:r w:rsidRPr="006A75A2">
        <w:noBreakHyphen/>
        <w:t>financial assets</w:t>
      </w:r>
    </w:p>
    <w:p w:rsidR="004E6C32" w:rsidRPr="006A75A2" w:rsidRDefault="004E6C32" w:rsidP="004B5CB1">
      <w:r w:rsidRPr="006A75A2">
        <w:t>Any gain or loss on the disposal of non</w:t>
      </w:r>
      <w:r w:rsidRPr="006A75A2">
        <w:noBreakHyphen/>
        <w:t>financial assets is recognised at the date of disposal and is determined after deducting from the proceeds the carrying value of the asset at that time.</w:t>
      </w:r>
    </w:p>
    <w:p w:rsidR="004E6C32" w:rsidRPr="006A75A2" w:rsidRDefault="004E6C32" w:rsidP="0067336F">
      <w:pPr>
        <w:pStyle w:val="Heading5"/>
      </w:pPr>
      <w:r w:rsidRPr="006A75A2">
        <w:t>Net gain/(loss) on financial assets or liabilities at fair value</w:t>
      </w:r>
    </w:p>
    <w:p w:rsidR="004E6C32" w:rsidRPr="006A75A2" w:rsidRDefault="004E6C32" w:rsidP="0067336F">
      <w:pPr>
        <w:pStyle w:val="Heading5a"/>
      </w:pPr>
      <w:r w:rsidRPr="006A75A2">
        <w:t>Net gain/(loss) on financial instruments</w:t>
      </w:r>
    </w:p>
    <w:p w:rsidR="004E6C32" w:rsidRPr="006A75A2" w:rsidRDefault="004E6C32" w:rsidP="004B5CB1">
      <w:r w:rsidRPr="006A75A2">
        <w:t>Net gain/(loss) on financial instruments includes:</w:t>
      </w:r>
    </w:p>
    <w:p w:rsidR="004E6C32" w:rsidRPr="006A75A2" w:rsidRDefault="004E6C32" w:rsidP="004B5CB1">
      <w:pPr>
        <w:pStyle w:val="BulletText"/>
      </w:pPr>
      <w:r w:rsidRPr="006A75A2">
        <w:t>realised and unrealised gains and losses from revaluations of financial instruments at fair value through profit or loss;</w:t>
      </w:r>
    </w:p>
    <w:p w:rsidR="004E6C32" w:rsidRPr="006A75A2" w:rsidRDefault="004E6C32" w:rsidP="004B5CB1">
      <w:pPr>
        <w:pStyle w:val="BulletText"/>
      </w:pPr>
      <w:r w:rsidRPr="006A75A2">
        <w:t xml:space="preserve">impairment and reversal of impairment for financial instruments at amortised cost; and </w:t>
      </w:r>
    </w:p>
    <w:p w:rsidR="004E6C32" w:rsidRPr="006A75A2" w:rsidRDefault="004E6C32" w:rsidP="004B5CB1">
      <w:pPr>
        <w:pStyle w:val="BulletText"/>
      </w:pPr>
      <w:r w:rsidRPr="006A75A2">
        <w:t xml:space="preserve">disposal of financial assets and derecognition of financial liabilities. </w:t>
      </w:r>
    </w:p>
    <w:p w:rsidR="004E6C32" w:rsidRPr="006A75A2" w:rsidRDefault="004E6C32" w:rsidP="0067336F">
      <w:pPr>
        <w:pStyle w:val="Heading5a"/>
      </w:pPr>
      <w:r w:rsidRPr="006A75A2">
        <w:t>Revaluations of financial instruments at fair value through profit or loss</w:t>
      </w:r>
    </w:p>
    <w:p w:rsidR="004E6C32" w:rsidRPr="006A75A2" w:rsidRDefault="004E6C32" w:rsidP="004B5CB1">
      <w:r w:rsidRPr="006A75A2">
        <w:t>Refer to Note 1(K).</w:t>
      </w:r>
    </w:p>
    <w:p w:rsidR="004E6C32" w:rsidRPr="006A75A2" w:rsidRDefault="004E6C32" w:rsidP="0067336F">
      <w:pPr>
        <w:pStyle w:val="Heading5"/>
      </w:pPr>
      <w:r w:rsidRPr="006A75A2">
        <w:t>Other gains/(losses) from other economic flows</w:t>
      </w:r>
    </w:p>
    <w:p w:rsidR="004E6C32" w:rsidRPr="006A75A2" w:rsidRDefault="004E6C32" w:rsidP="004B5CB1">
      <w:r w:rsidRPr="006A75A2">
        <w:t xml:space="preserve">Other gains/(losses) from other economic flows include the gains or losses from: </w:t>
      </w:r>
    </w:p>
    <w:p w:rsidR="004E6C32" w:rsidRPr="006A75A2" w:rsidRDefault="004E6C32" w:rsidP="004B5CB1">
      <w:pPr>
        <w:pStyle w:val="BulletText"/>
      </w:pPr>
      <w:r w:rsidRPr="006A75A2">
        <w:t>the revaluation of the present value of the long service leave liability due to changes in the bond interest rates; and</w:t>
      </w:r>
    </w:p>
    <w:p w:rsidR="004E6C32" w:rsidRPr="006A75A2" w:rsidRDefault="004E6C32" w:rsidP="004B5CB1">
      <w:pPr>
        <w:pStyle w:val="BulletText"/>
      </w:pPr>
      <w:r w:rsidRPr="006A75A2">
        <w:t xml:space="preserve">valuation changes associated with the indemnity for the electricity supply arrangements to the aluminium smelters at Portland and Point Henry. </w:t>
      </w:r>
    </w:p>
    <w:p w:rsidR="004E6C32" w:rsidRPr="006A75A2" w:rsidRDefault="004E6C32" w:rsidP="0067336F">
      <w:pPr>
        <w:pStyle w:val="Heading5"/>
      </w:pPr>
      <w:r w:rsidRPr="006A75A2">
        <w:t>Impairment of non</w:t>
      </w:r>
      <w:r w:rsidRPr="006A75A2">
        <w:noBreakHyphen/>
        <w:t>financial assets</w:t>
      </w:r>
    </w:p>
    <w:p w:rsidR="004E6C32" w:rsidRPr="006A75A2" w:rsidRDefault="004E6C32" w:rsidP="004B5CB1">
      <w:r w:rsidRPr="006A75A2">
        <w:t xml:space="preserve">Goodwill and intangible assets with indefinite useful lives (and intangible assets not yet available for use) are tested annually for impairment (as described below) and whenever there is an indication that the asset may be impaired. </w:t>
      </w:r>
    </w:p>
    <w:p w:rsidR="004E6C32" w:rsidRPr="006A75A2" w:rsidRDefault="004E6C32" w:rsidP="004B5CB1">
      <w:r w:rsidRPr="006A75A2">
        <w:t>All other assets are assessed annually for indications of impairment, except for:</w:t>
      </w:r>
    </w:p>
    <w:p w:rsidR="004E6C32" w:rsidRPr="006A75A2" w:rsidRDefault="004E6C32" w:rsidP="004B5CB1">
      <w:pPr>
        <w:pStyle w:val="BulletText"/>
      </w:pPr>
      <w:r w:rsidRPr="006A75A2">
        <w:t>inventories (refer Note 1(M));</w:t>
      </w:r>
    </w:p>
    <w:p w:rsidR="004E6C32" w:rsidRPr="006A75A2" w:rsidRDefault="004E6C32" w:rsidP="004B5CB1">
      <w:pPr>
        <w:pStyle w:val="BulletText"/>
      </w:pPr>
      <w:r w:rsidRPr="006A75A2">
        <w:t>non</w:t>
      </w:r>
      <w:r w:rsidRPr="006A75A2">
        <w:noBreakHyphen/>
        <w:t>financial physical assets held for sale (refer Note 1(M));</w:t>
      </w:r>
    </w:p>
    <w:p w:rsidR="004E6C32" w:rsidRPr="006A75A2" w:rsidRDefault="004E6C32" w:rsidP="004B5CB1">
      <w:pPr>
        <w:pStyle w:val="BulletText"/>
      </w:pPr>
      <w:r w:rsidRPr="006A75A2">
        <w:t>certain biological assets related to agricultural activity (refer Note 1(M));</w:t>
      </w:r>
    </w:p>
    <w:p w:rsidR="004E6C32" w:rsidRPr="006A75A2" w:rsidRDefault="004E6C32" w:rsidP="004B5CB1">
      <w:pPr>
        <w:pStyle w:val="BulletText"/>
      </w:pPr>
      <w:r w:rsidRPr="006A75A2">
        <w:t>investment properties that are measured at fair value (refer Note 1(M)); and</w:t>
      </w:r>
    </w:p>
    <w:p w:rsidR="004E6C32" w:rsidRPr="006A75A2" w:rsidRDefault="004E6C32" w:rsidP="004B5CB1">
      <w:pPr>
        <w:pStyle w:val="BulletText"/>
      </w:pPr>
      <w:r w:rsidRPr="006A75A2">
        <w:t>assets arising from construction contracts (refer Note 1(M)).</w:t>
      </w:r>
    </w:p>
    <w:p w:rsidR="004E6C32" w:rsidRPr="006A75A2" w:rsidRDefault="004E6C32" w:rsidP="004B5CB1">
      <w:r w:rsidRPr="006A75A2">
        <w:t>If there is an indication of impairment, the assets concerned are tested as to whether their carrying value exceeds their recoverable amount. Where an asset</w:t>
      </w:r>
      <w:r w:rsidR="00C96101" w:rsidRPr="006A75A2">
        <w:t>’</w:t>
      </w:r>
      <w:r w:rsidRPr="006A75A2">
        <w:t>s carrying value exceeds its recoverable amount, the difference is written off as an other economic flow, except to the extent that the write down can be debited to an asset revaluation surplus amount applicable to that class of asset.</w:t>
      </w:r>
    </w:p>
    <w:p w:rsidR="004E6C32" w:rsidRPr="006A75A2" w:rsidRDefault="004E6C32" w:rsidP="004B5CB1">
      <w:pPr>
        <w:spacing w:after="0"/>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r w:rsidRPr="006A75A2">
        <w:t>If there is an indication that there has been a change in the estimate of an asset</w:t>
      </w:r>
      <w:r w:rsidR="00C96101" w:rsidRPr="006A75A2">
        <w:t>’</w:t>
      </w:r>
      <w:r w:rsidRPr="006A75A2">
        <w:t>s recoverable amount since the last impairment loss was recognised, the carrying amount shall be increased to its recoverable amount. This reversal of the impairment loss occurs only to the extent that the asset</w:t>
      </w:r>
      <w:r w:rsidR="00C96101" w:rsidRPr="006A75A2">
        <w:t>’</w:t>
      </w:r>
      <w:r w:rsidRPr="006A75A2">
        <w:t xml:space="preserve">s carrying amount does not exceed the carrying amount that would have been determined, net of depreciation or amortisation, if no impairment loss had been recognised in prior years. </w:t>
      </w:r>
    </w:p>
    <w:p w:rsidR="004E6C32" w:rsidRPr="006A75A2" w:rsidRDefault="004E6C32" w:rsidP="004B5CB1">
      <w:r w:rsidRPr="006A75A2">
        <w:t>It is deemed that, in the event of the loss or destruction of an asset, the future economic benefits arising from the use of the asset will be replaced unless a specific decision to the contrary has been made. The recoverable amount for most assets is measured at the higher of depreciated replacement cost and fair value less costs to sell. Recoverable amount for assets held primarily to generate net cash inflows is measured at the higher of the present value of future cash flows expected to be obtained from the asset and fair value less costs to sell.</w:t>
      </w:r>
    </w:p>
    <w:p w:rsidR="004E6C32" w:rsidRPr="006A75A2" w:rsidRDefault="004E6C32" w:rsidP="004B5CB1">
      <w:r w:rsidRPr="006A75A2">
        <w:t>Refer to Note 1(M) in relation to the recognition and measurement of non</w:t>
      </w:r>
      <w:r w:rsidRPr="006A75A2">
        <w:noBreakHyphen/>
        <w:t>financial physical assets.</w:t>
      </w:r>
    </w:p>
    <w:p w:rsidR="004E6C32" w:rsidRPr="006A75A2" w:rsidRDefault="004E6C32" w:rsidP="004B5CB1">
      <w:pPr>
        <w:pStyle w:val="Heading4"/>
      </w:pPr>
      <w:r w:rsidRPr="006A75A2">
        <w:t>Other economic flows – other comprehensive income</w:t>
      </w:r>
    </w:p>
    <w:p w:rsidR="004E6C32" w:rsidRPr="006A75A2" w:rsidRDefault="004E6C32" w:rsidP="0067336F">
      <w:pPr>
        <w:pStyle w:val="Heading5"/>
      </w:pPr>
      <w:r w:rsidRPr="006A75A2">
        <w:t>Remeasurements of the net superannuation liability</w:t>
      </w:r>
    </w:p>
    <w:p w:rsidR="004E6C32" w:rsidRPr="006A75A2" w:rsidRDefault="004E6C32" w:rsidP="004B5CB1">
      <w:pPr>
        <w:autoSpaceDE w:val="0"/>
        <w:autoSpaceDN w:val="0"/>
        <w:adjustRightInd w:val="0"/>
        <w:rPr>
          <w:rFonts w:cs="Garamond"/>
          <w:szCs w:val="24"/>
        </w:rPr>
      </w:pPr>
      <w:r w:rsidRPr="006A75A2">
        <w:rPr>
          <w:rFonts w:cs="Garamond"/>
          <w:szCs w:val="24"/>
        </w:rPr>
        <w:t>Remeasurements of the net superannuation liability comprise:</w:t>
      </w:r>
    </w:p>
    <w:p w:rsidR="004E6C32" w:rsidRPr="006A75A2" w:rsidRDefault="004E6C32" w:rsidP="004B5CB1">
      <w:pPr>
        <w:pStyle w:val="BulletText"/>
      </w:pPr>
      <w:r w:rsidRPr="006A75A2">
        <w:t xml:space="preserve">actuarial gains and losses which reflect the change in the defined benefit obligation that has arisen due to differences between actual outcomes and the assumptions used to calculate the superannuation expense from transactions; and </w:t>
      </w:r>
    </w:p>
    <w:p w:rsidR="004E6C32" w:rsidRPr="006A75A2" w:rsidRDefault="004E6C32" w:rsidP="004B5CB1">
      <w:pPr>
        <w:pStyle w:val="BulletText"/>
      </w:pPr>
      <w:r w:rsidRPr="006A75A2">
        <w:t>the return on plan assets, excluding amounts included in the net superannuation interest expense.</w:t>
      </w:r>
    </w:p>
    <w:p w:rsidR="004E6C32" w:rsidRPr="006A75A2" w:rsidRDefault="004E6C32" w:rsidP="004B5CB1">
      <w:r w:rsidRPr="006A75A2">
        <w:t>The effect of any change in actuarial assumptions during the period is also included and the associated net actuarial gains or losses are fully recognised, as other comprehensive income, in the period in which they occur.</w:t>
      </w:r>
    </w:p>
    <w:p w:rsidR="004E6C32" w:rsidRPr="006A75A2" w:rsidRDefault="004E6C32" w:rsidP="004B5CB1">
      <w:pPr>
        <w:pStyle w:val="Heading3Numbering"/>
        <w:tabs>
          <w:tab w:val="clear" w:pos="720"/>
          <w:tab w:val="num" w:pos="360"/>
        </w:tabs>
        <w:ind w:left="0" w:firstLine="0"/>
        <w:rPr>
          <w:kern w:val="0"/>
        </w:rPr>
      </w:pPr>
      <w:r w:rsidRPr="006A75A2">
        <w:rPr>
          <w:kern w:val="0"/>
        </w:rPr>
        <w:t xml:space="preserve">Measurement of fair values </w:t>
      </w:r>
    </w:p>
    <w:p w:rsidR="004E6C32" w:rsidRPr="006A75A2" w:rsidRDefault="004E6C32" w:rsidP="004B5CB1">
      <w:r w:rsidRPr="006A75A2">
        <w:t xml:space="preserve">In accordance with AASB 13 </w:t>
      </w:r>
      <w:r w:rsidRPr="006A75A2">
        <w:rPr>
          <w:i/>
        </w:rPr>
        <w:t xml:space="preserve">Fair Value Measurement, </w:t>
      </w:r>
      <w:r w:rsidRPr="006A75A2">
        <w:t>the State determines the policies and procedures for both financial and non-financial assets and liabilities that are measured at fair value, including:</w:t>
      </w:r>
    </w:p>
    <w:p w:rsidR="004E6C32" w:rsidRPr="006A75A2" w:rsidRDefault="004E6C32" w:rsidP="004B5CB1">
      <w:pPr>
        <w:pStyle w:val="BulletText"/>
      </w:pPr>
      <w:r w:rsidRPr="006A75A2">
        <w:t>financial assets and liabilities at fair value through profit and loss (refer to Note 1 (K ));</w:t>
      </w:r>
    </w:p>
    <w:p w:rsidR="004E6C32" w:rsidRPr="006A75A2" w:rsidRDefault="004E6C32" w:rsidP="004B5CB1">
      <w:pPr>
        <w:pStyle w:val="BulletText"/>
      </w:pPr>
      <w:r w:rsidRPr="006A75A2">
        <w:t>available-for-sale financial assets (refer to Note 1 (K));</w:t>
      </w:r>
    </w:p>
    <w:p w:rsidR="004E6C32" w:rsidRPr="006A75A2" w:rsidRDefault="004E6C32" w:rsidP="004B5CB1">
      <w:pPr>
        <w:pStyle w:val="BulletText"/>
      </w:pPr>
      <w:r w:rsidRPr="006A75A2">
        <w:t>land, buildings, infrastructure, plant and equipment (refer to Note 1 (M));</w:t>
      </w:r>
    </w:p>
    <w:p w:rsidR="004E6C32" w:rsidRPr="006A75A2" w:rsidRDefault="004E6C32" w:rsidP="004B5CB1">
      <w:pPr>
        <w:pStyle w:val="BulletText"/>
      </w:pPr>
      <w:r w:rsidRPr="006A75A2">
        <w:t xml:space="preserve">investment properties (refer to Note 1 (M)); and </w:t>
      </w:r>
    </w:p>
    <w:p w:rsidR="004E6C32" w:rsidRPr="006A75A2" w:rsidRDefault="004E6C32" w:rsidP="004B5CB1">
      <w:pPr>
        <w:pStyle w:val="BulletText"/>
      </w:pPr>
      <w:r w:rsidRPr="006A75A2">
        <w:t xml:space="preserve">biological assets (refer to Note 1 (M)). </w:t>
      </w:r>
    </w:p>
    <w:p w:rsidR="004E6C32" w:rsidRPr="006A75A2" w:rsidRDefault="004E6C32" w:rsidP="004B5CB1">
      <w:r w:rsidRPr="006A75A2">
        <w:t>For the purpose of fair value disclosures, the State has determined classes of assets and liabilities on the basis of the nature, characteristics and risks of the asset or liability and the level of the fair value hierarchy, based on the lowest level input that is significant to the fair value measurement as a whole:</w:t>
      </w:r>
    </w:p>
    <w:p w:rsidR="004E6C32" w:rsidRPr="006A75A2" w:rsidRDefault="004E6C32" w:rsidP="004B5CB1">
      <w:pPr>
        <w:pStyle w:val="BulletText"/>
      </w:pPr>
      <w:r w:rsidRPr="006A75A2">
        <w:t>Level 1 – Quoted (unadjusted) market prices in active markets for identical assets or liabilities;</w:t>
      </w:r>
    </w:p>
    <w:p w:rsidR="004E6C32" w:rsidRPr="006A75A2" w:rsidRDefault="004E6C32" w:rsidP="004B5CB1">
      <w:pPr>
        <w:pStyle w:val="BulletText"/>
      </w:pPr>
      <w:r w:rsidRPr="006A75A2">
        <w:t>Level 2 – Valuation techniques for which the lowest level input that is significant to the fair value measurement is directly or indirectly observable; and</w:t>
      </w:r>
    </w:p>
    <w:p w:rsidR="004E6C32" w:rsidRPr="006A75A2" w:rsidRDefault="004E6C32" w:rsidP="004B5CB1">
      <w:pPr>
        <w:pStyle w:val="BulletText"/>
      </w:pPr>
      <w:r w:rsidRPr="006A75A2">
        <w:t>Level 3 – Valuation techniques for which the lowest level input that is significant to the fair value measurement is unobservable.</w:t>
      </w:r>
    </w:p>
    <w:p w:rsidR="004E6C32" w:rsidRPr="006A75A2" w:rsidRDefault="004E6C32" w:rsidP="004B5CB1">
      <w:r w:rsidRPr="006A75A2">
        <w:t>In addition, the State determines whether transfers have occurred between levels in the hierarchy by reassessing categorisation (based on the lowest level input that is significant to the fair value measurement as a whole) at the end of each reporting period.</w:t>
      </w:r>
    </w:p>
    <w:p w:rsidR="004E6C32" w:rsidRPr="006A75A2" w:rsidRDefault="004E6C32" w:rsidP="004B5CB1">
      <w:pPr>
        <w:pStyle w:val="Heading2NotesContd"/>
        <w:rPr>
          <w:i/>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3Numbering"/>
        <w:rPr>
          <w:kern w:val="0"/>
        </w:rPr>
      </w:pPr>
      <w:r w:rsidRPr="006A75A2">
        <w:rPr>
          <w:kern w:val="0"/>
        </w:rPr>
        <w:t>Financial instruments</w:t>
      </w:r>
    </w:p>
    <w:p w:rsidR="004E6C32" w:rsidRPr="006A75A2" w:rsidRDefault="004E6C32" w:rsidP="004B5CB1">
      <w:r w:rsidRPr="006A75A2">
        <w:t>Financial instruments arise out of contractual agreements that give rise to a financial asset of one entity and a financial liability or equity instrument of another entity. Due to the nature of the State</w:t>
      </w:r>
      <w:r w:rsidR="00C96101" w:rsidRPr="006A75A2">
        <w:t>’</w:t>
      </w:r>
      <w:r w:rsidRPr="006A75A2">
        <w:t xml:space="preserve">s activities, certain financial assets and financial liabilities arise under statute rather than a contract. Such financial assets and financial liabilities do not meet the definition of financial instruments in AASB 132 </w:t>
      </w:r>
      <w:r w:rsidRPr="006A75A2">
        <w:rPr>
          <w:i/>
        </w:rPr>
        <w:t>Financial Instruments: Presentation</w:t>
      </w:r>
      <w:r w:rsidRPr="006A75A2">
        <w:t>. For example, statutory receivables arising from taxes, fines and penalties do not meet the definition of financial instruments as they do not arise under contract. However, guarantees issued on behalf of the State are financial instruments because although authorised under statute, the terms and conditions for each financial guarantee may vary and are subject to an agreement.</w:t>
      </w:r>
    </w:p>
    <w:p w:rsidR="004E6C32" w:rsidRPr="006A75A2" w:rsidRDefault="004E6C32" w:rsidP="004B5CB1">
      <w:r w:rsidRPr="006A75A2">
        <w:t>Where relevant, for note disclosure purposes, a distinction has been made between those financial assets and financial liabilities that meet the definition of financial instruments in accordance with AASB 132 and those that do not.</w:t>
      </w:r>
    </w:p>
    <w:p w:rsidR="004E6C32" w:rsidRPr="006A75A2" w:rsidRDefault="004E6C32" w:rsidP="004B5CB1">
      <w:r w:rsidRPr="006A75A2">
        <w:t>The following refers to financial instruments unless otherwise stated.</w:t>
      </w:r>
    </w:p>
    <w:p w:rsidR="004E6C32" w:rsidRPr="006A75A2" w:rsidRDefault="004E6C32" w:rsidP="004B5CB1">
      <w:pPr>
        <w:pStyle w:val="Heading4"/>
      </w:pPr>
      <w:r w:rsidRPr="006A75A2">
        <w:t>Categories of non</w:t>
      </w:r>
      <w:r w:rsidRPr="006A75A2">
        <w:noBreakHyphen/>
        <w:t>derivative financial instruments</w:t>
      </w:r>
    </w:p>
    <w:p w:rsidR="004E6C32" w:rsidRPr="006A75A2" w:rsidRDefault="004E6C32" w:rsidP="0067336F">
      <w:pPr>
        <w:pStyle w:val="Heading5"/>
      </w:pPr>
      <w:r w:rsidRPr="006A75A2">
        <w:t xml:space="preserve">Loans and receivables </w:t>
      </w:r>
    </w:p>
    <w:p w:rsidR="004E6C32" w:rsidRPr="006A75A2" w:rsidRDefault="004E6C32" w:rsidP="004B5CB1">
      <w:r w:rsidRPr="006A75A2">
        <w:t>Loans and receivables are financial instrument assets with fixed and determinable payments that are not quoted on an active market. These assets are initially recognised at fair value plus any directly attributable transaction costs. Subsequent to initial measurement, loans and receivables are measured at amortised cost using the effective interest method, less any impairment.</w:t>
      </w:r>
    </w:p>
    <w:p w:rsidR="004E6C32" w:rsidRPr="006A75A2" w:rsidRDefault="004E6C32" w:rsidP="004B5CB1">
      <w:r w:rsidRPr="006A75A2">
        <w:t>Loans and receivables category includes cash and deposits, term deposits with maturity greater than three months, trade receivables, loans and other receivables, but not statutory receivables.</w:t>
      </w:r>
    </w:p>
    <w:p w:rsidR="004E6C32" w:rsidRPr="006A75A2" w:rsidRDefault="004E6C32" w:rsidP="0067336F">
      <w:pPr>
        <w:pStyle w:val="Heading5"/>
      </w:pPr>
      <w:r w:rsidRPr="006A75A2">
        <w:t>Available-for-sale financial assets</w:t>
      </w:r>
    </w:p>
    <w:p w:rsidR="004E6C32" w:rsidRPr="006A75A2" w:rsidRDefault="004E6C32" w:rsidP="004B5CB1">
      <w:r w:rsidRPr="006A75A2">
        <w:t xml:space="preserve">Available-for-sale financial instrument assets are those designated as available-for-sale or not classified in any other category of financial instrument asset. </w:t>
      </w:r>
    </w:p>
    <w:p w:rsidR="004E6C32" w:rsidRPr="006A75A2" w:rsidRDefault="004E6C32" w:rsidP="004B5CB1">
      <w:r w:rsidRPr="006A75A2">
        <w:t xml:space="preserve">Such assets are initially recognised at fair value. Subsequent to initial recognition, they are measured at fair value with gains and losses arising from changes in fair value, recognised in </w:t>
      </w:r>
      <w:r w:rsidR="00C96101" w:rsidRPr="006A75A2">
        <w:t>‘</w:t>
      </w:r>
      <w:r w:rsidRPr="006A75A2">
        <w:t>Other economic flows – other comprehensive income</w:t>
      </w:r>
      <w:r w:rsidR="00C96101" w:rsidRPr="006A75A2">
        <w:t>’</w:t>
      </w:r>
      <w:r w:rsidRPr="006A75A2">
        <w:t xml:space="preserve"> until the investment is disposed. Movements resulting from impairment and foreign currency changes are recognised in the net result as other economic flows. On disposal, the cumulative gain or loss previously recognised in </w:t>
      </w:r>
      <w:r w:rsidR="00C96101" w:rsidRPr="006A75A2">
        <w:t>‘</w:t>
      </w:r>
      <w:r w:rsidRPr="006A75A2">
        <w:t>Other economic flows – other comprehensive income</w:t>
      </w:r>
      <w:r w:rsidR="00C96101" w:rsidRPr="006A75A2">
        <w:t>’</w:t>
      </w:r>
      <w:r w:rsidRPr="006A75A2">
        <w:t xml:space="preserve"> is transferred to other economic flows in the net result. </w:t>
      </w:r>
    </w:p>
    <w:p w:rsidR="004E6C32" w:rsidRPr="006A75A2" w:rsidRDefault="004E6C32" w:rsidP="004B5CB1">
      <w:r w:rsidRPr="006A75A2">
        <w:t xml:space="preserve">Fair value is determined in the manner described in Note 33 </w:t>
      </w:r>
      <w:r w:rsidRPr="006A75A2">
        <w:rPr>
          <w:i/>
        </w:rPr>
        <w:t>Financial instruments</w:t>
      </w:r>
      <w:r w:rsidRPr="006A75A2">
        <w:t>.</w:t>
      </w:r>
    </w:p>
    <w:p w:rsidR="004E6C32" w:rsidRPr="006A75A2" w:rsidRDefault="004E6C32" w:rsidP="004B5CB1">
      <w:r w:rsidRPr="006A75A2">
        <w:t>Available-for-sale category includes certain equity investments and those debt securities that are designated as available-for-sale.</w:t>
      </w:r>
    </w:p>
    <w:p w:rsidR="004E6C32" w:rsidRPr="006A75A2" w:rsidRDefault="004E6C32" w:rsidP="004B5CB1">
      <w:pPr>
        <w:spacing w:after="0"/>
        <w:rPr>
          <w:rFonts w:ascii="Calibri" w:hAnsi="Calibri"/>
          <w:b/>
        </w:rPr>
      </w:pPr>
      <w:r w:rsidRPr="006A75A2">
        <w:br w:type="page"/>
      </w:r>
    </w:p>
    <w:p w:rsidR="004E6C32" w:rsidRPr="006A75A2" w:rsidRDefault="004E6C32" w:rsidP="004B5CB1">
      <w:pPr>
        <w:pStyle w:val="Heading2NotesContd"/>
        <w:rPr>
          <w:i/>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4E6C32" w:rsidRPr="006A75A2" w:rsidRDefault="004E6C32" w:rsidP="0067336F">
      <w:pPr>
        <w:pStyle w:val="Heading5"/>
      </w:pPr>
      <w:r w:rsidRPr="006A75A2">
        <w:t>Held to maturity financial assets</w:t>
      </w:r>
    </w:p>
    <w:p w:rsidR="004E6C32" w:rsidRPr="006A75A2" w:rsidRDefault="004E6C32" w:rsidP="004B5CB1">
      <w:r w:rsidRPr="006A75A2">
        <w:t xml:space="preserve">If the State has the positive intent and ability to hold nominated investments to maturity, then such financial assets may be classified as held to maturity. Held to maturity financial assets are recognised initially at fair value plus any directly attributable transaction costs. Subsequent to initial recognition held to maturity financial assets are measured at amortised cost using the effective interest method, less any impairment losses. </w:t>
      </w:r>
    </w:p>
    <w:p w:rsidR="004E6C32" w:rsidRPr="006A75A2" w:rsidRDefault="004E6C32" w:rsidP="004B5CB1">
      <w:r w:rsidRPr="006A75A2">
        <w:t xml:space="preserve">The State makes limited use of this classification because any sale or reclassification of more than an insignificant amount of held to maturity investments not close to their maturity, would result in the whole category being reclassified as available-for-sale. The State would also be prevented from classifying investment securities as held to maturity for the current and the following two financial years. </w:t>
      </w:r>
    </w:p>
    <w:p w:rsidR="004E6C32" w:rsidRPr="006A75A2" w:rsidRDefault="004E6C32" w:rsidP="004B5CB1">
      <w:r w:rsidRPr="006A75A2">
        <w:t>The held to maturity category includes certain term deposits and debt securities for which the State intends to hold to maturity.</w:t>
      </w:r>
    </w:p>
    <w:p w:rsidR="004E6C32" w:rsidRPr="006A75A2" w:rsidRDefault="004E6C32" w:rsidP="0067336F">
      <w:pPr>
        <w:pStyle w:val="Heading5"/>
      </w:pPr>
      <w:r w:rsidRPr="006A75A2">
        <w:t>Financial assets and liabilities at fair value through profit and loss</w:t>
      </w:r>
    </w:p>
    <w:p w:rsidR="004E6C32" w:rsidRPr="006A75A2" w:rsidRDefault="004E6C32" w:rsidP="004B5CB1">
      <w:r w:rsidRPr="006A75A2">
        <w:t xml:space="preserve">Financial assets are categorised as fair value through profit or loss at trade date if they are classified as held for trading or designated as such upon initial recognition. Financial instrument assets are designated at fair value through profit or loss on the basis that the financial assets form part of a group of financial assets that are managed by the State based on their fair values, and have their performance evaluated in accordance with documented risk management and investment strategies. </w:t>
      </w:r>
    </w:p>
    <w:p w:rsidR="004E6C32" w:rsidRPr="006A75A2" w:rsidRDefault="004E6C32" w:rsidP="004B5CB1">
      <w:r w:rsidRPr="006A75A2">
        <w:t>The State</w:t>
      </w:r>
      <w:r w:rsidR="00C96101" w:rsidRPr="006A75A2">
        <w:t>’</w:t>
      </w:r>
      <w:r w:rsidRPr="006A75A2">
        <w:t>s public borrowings, mainly raised through the Treasury Corporation of Victoria, are designated at fair value through profit or loss on trade date on the basis that the financial liability forms a group of financial liabilities which are managed on a fair value basis in accordance with documented risk strategies.</w:t>
      </w:r>
    </w:p>
    <w:p w:rsidR="004E6C32" w:rsidRPr="006A75A2" w:rsidRDefault="004E6C32" w:rsidP="004B5CB1">
      <w:r w:rsidRPr="006A75A2">
        <w:t>Financial instruments at fair value through profit or loss are initially measured at fair value and attributable transaction costs are expensed as incurred. Subsequently, any changes in fair value are recognised in the net result as other economic flows. Any dividend or interest on a financial asset is recognised in the net result from transactions.</w:t>
      </w:r>
    </w:p>
    <w:p w:rsidR="004E6C32" w:rsidRPr="006A75A2" w:rsidRDefault="004E6C32" w:rsidP="004B5CB1">
      <w:r w:rsidRPr="006A75A2">
        <w:t>Financial assets and liabilities at fair value through profit or loss include the majority of the State</w:t>
      </w:r>
      <w:r w:rsidR="00C96101" w:rsidRPr="006A75A2">
        <w:t>’</w:t>
      </w:r>
      <w:r w:rsidRPr="006A75A2">
        <w:t>s equity investments, debt securities, and borrowings.</w:t>
      </w:r>
    </w:p>
    <w:p w:rsidR="004E6C32" w:rsidRPr="006A75A2" w:rsidRDefault="004E6C32" w:rsidP="0067336F">
      <w:pPr>
        <w:pStyle w:val="Heading5"/>
      </w:pPr>
      <w:r w:rsidRPr="006A75A2">
        <w:t>Financial liabilities at amortised cost</w:t>
      </w:r>
    </w:p>
    <w:p w:rsidR="004E6C32" w:rsidRPr="006A75A2" w:rsidRDefault="004E6C32" w:rsidP="004B5CB1">
      <w:r w:rsidRPr="006A75A2">
        <w:t>Financial instrument liabilities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profit and loss over the period of the interest bearing liability, using the effective interest rate method (refer to Note 26).</w:t>
      </w:r>
    </w:p>
    <w:p w:rsidR="004E6C32" w:rsidRPr="006A75A2" w:rsidRDefault="004E6C32" w:rsidP="004B5CB1">
      <w:r w:rsidRPr="006A75A2">
        <w:t>Financial instrument liabilities measured at amortised cost include all of the State</w:t>
      </w:r>
      <w:r w:rsidR="00C96101" w:rsidRPr="006A75A2">
        <w:t>’</w:t>
      </w:r>
      <w:r w:rsidRPr="006A75A2">
        <w:t xml:space="preserve">s payables, deposits held and advances received, and interest bearing arrangements other than those designated at fair value through profit or loss. </w:t>
      </w:r>
    </w:p>
    <w:p w:rsidR="004E6C32" w:rsidRPr="006A75A2" w:rsidRDefault="004E6C32" w:rsidP="004B5CB1">
      <w:pPr>
        <w:pStyle w:val="Heading4"/>
      </w:pPr>
      <w:r w:rsidRPr="006A75A2">
        <w:t>Derivative financial instruments</w:t>
      </w:r>
    </w:p>
    <w:p w:rsidR="004E6C32" w:rsidRPr="006A75A2" w:rsidRDefault="004E6C32" w:rsidP="004B5CB1">
      <w:r w:rsidRPr="006A75A2">
        <w:t>Derivative financial instruments are classified as held for trading financial assets and liabilities, except for derivatives held by insurance entities which are designated at fair value. They are initially recognised at fair value on the date on which a derivative contract is entered into. Derivatives are carried as assets when their fair value is positive and as liabilities when their fair value is negative. Any gains or losses arising from changes in the fair value of derivatives after initial recognition, are recognised in the consolidated comprehensive operating statement as an other economic flow included in the net result.</w:t>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4"/>
      </w:pPr>
      <w:r w:rsidRPr="006A75A2">
        <w:t>Offsetting financial instruments</w:t>
      </w:r>
    </w:p>
    <w:p w:rsidR="004E6C32" w:rsidRPr="006A75A2" w:rsidRDefault="004E6C32" w:rsidP="004B5CB1">
      <w:r w:rsidRPr="006A75A2">
        <w:t xml:space="preserve">A master netting arrangement or similar arrangement can be set up with counterparties where required by general market practice. To the extent that these arrangements meet the criteria for offsetting in the consolidated balance sheet, they are reported on a net basis. </w:t>
      </w:r>
    </w:p>
    <w:p w:rsidR="004E6C32" w:rsidRPr="006A75A2" w:rsidRDefault="004E6C32" w:rsidP="004B5CB1">
      <w:r w:rsidRPr="006A75A2">
        <w:t xml:space="preserve">Financial instrument assets and liabilities are offset, with the net amount reported in the consolidated balance sheet only where there is a currently legally enforceable right to offset the recognised amounts and there is an intention to settle on a net basis or to realise the asset and settle the liability simultaneously. </w:t>
      </w:r>
    </w:p>
    <w:p w:rsidR="004E6C32" w:rsidRPr="006A75A2" w:rsidRDefault="004E6C32" w:rsidP="004B5CB1">
      <w:r w:rsidRPr="006A75A2">
        <w:t xml:space="preserve">Some master netting arrangements do not result in an offset of balance sheet assets and liabilities. Where the State does not have a legally enforceable right to offset recognised amounts, because the right to offset is enforceable only on the occurrence of future events such as default, insolvency or bankruptcy, they are reported on a gross basis. </w:t>
      </w:r>
    </w:p>
    <w:p w:rsidR="004E6C32" w:rsidRPr="006A75A2" w:rsidRDefault="004E6C32" w:rsidP="004B5CB1">
      <w:pPr>
        <w:pStyle w:val="Heading4"/>
      </w:pPr>
      <w:r w:rsidRPr="006A75A2">
        <w:t>Reclassification of financial instruments</w:t>
      </w:r>
    </w:p>
    <w:p w:rsidR="004E6C32" w:rsidRPr="006A75A2" w:rsidRDefault="004E6C32" w:rsidP="004B5CB1">
      <w:r w:rsidRPr="006A75A2">
        <w:t>Subsequent to initial recognition and under rare circumstances, non</w:t>
      </w:r>
      <w:r w:rsidRPr="006A75A2">
        <w:noBreakHyphen/>
        <w:t>derivative financial instruments assets that have been designated at fair value through profit or loss upon recognition, may be reclassified out of the fair value through profit or loss category, if they are no longer held for the purpose of selling or repurchasing in the near term.</w:t>
      </w:r>
    </w:p>
    <w:p w:rsidR="004E6C32" w:rsidRPr="006A75A2" w:rsidRDefault="004E6C32" w:rsidP="004B5CB1">
      <w:r w:rsidRPr="006A75A2">
        <w:t>Financial instrument assets that meet the definition of loans and receivables may be reclassified out of the fair value through profit and loss category into the loans and receivables category, where they would have met the definition of loans and receivables had they not been required to be classified as fair value through profit and loss. In these cases, the financial instrument assets may be reclassified out of the fair value through profit and loss category, if there is the intention and ability to hold them for the foreseeable future or until maturity.</w:t>
      </w:r>
    </w:p>
    <w:p w:rsidR="004E6C32" w:rsidRPr="006A75A2" w:rsidRDefault="004E6C32" w:rsidP="004B5CB1">
      <w:r w:rsidRPr="006A75A2">
        <w:t>Available-for-sale financial instrument assets that meet the definition of loans and receivables may be reclassified into the loans and receivables category if there is the intention and ability to hold them for the foreseeable future or until maturity.</w:t>
      </w:r>
    </w:p>
    <w:p w:rsidR="004E6C32" w:rsidRPr="006A75A2" w:rsidRDefault="004E6C32" w:rsidP="004B5CB1">
      <w:pPr>
        <w:pStyle w:val="Heading3Numbering"/>
        <w:rPr>
          <w:kern w:val="0"/>
        </w:rPr>
      </w:pPr>
      <w:r w:rsidRPr="006A75A2">
        <w:rPr>
          <w:kern w:val="0"/>
        </w:rPr>
        <w:t>Financial assets</w:t>
      </w:r>
    </w:p>
    <w:p w:rsidR="004E6C32" w:rsidRPr="006A75A2" w:rsidRDefault="004E6C32" w:rsidP="004B5CB1">
      <w:pPr>
        <w:pStyle w:val="Heading4"/>
      </w:pPr>
      <w:r w:rsidRPr="006A75A2">
        <w:t>Cash and deposits</w:t>
      </w:r>
    </w:p>
    <w:p w:rsidR="004E6C32" w:rsidRPr="006A75A2" w:rsidRDefault="004E6C32" w:rsidP="004B5CB1">
      <w:r w:rsidRPr="006A75A2">
        <w:t>Cash and deposits, including cash equivalents, comprise cash on hand and cash at bank, deposits at call and those highly liquid investments with an original maturity of three months or less, which are held for the purpose of meeting short</w:t>
      </w:r>
      <w:r w:rsidRPr="006A75A2">
        <w:noBreakHyphen/>
        <w:t xml:space="preserve">term cash commitments rather than for investment purposes, and which are readily convertible to known amounts of cash and are subject to an insignificant risk of changes in value. </w:t>
      </w:r>
    </w:p>
    <w:p w:rsidR="004E6C32" w:rsidRPr="006A75A2" w:rsidRDefault="004E6C32" w:rsidP="004B5CB1">
      <w:pPr>
        <w:pStyle w:val="Heading4"/>
      </w:pPr>
      <w:r w:rsidRPr="006A75A2">
        <w:t>Advances paid</w:t>
      </w:r>
    </w:p>
    <w:p w:rsidR="004E6C32" w:rsidRPr="006A75A2" w:rsidRDefault="004E6C32" w:rsidP="004B5CB1">
      <w:r w:rsidRPr="006A75A2">
        <w:t>Advances paid represent inter sector loans and advances, initially measured at fair value and subsequently measured at amortised cost, made by the Victorian general government sector to the PNFC and PFC sectors, for policy rather than liquidity management purposes. They exclude equity contributions, and are eliminated on consolidation of the State</w:t>
      </w:r>
      <w:r w:rsidR="00C96101" w:rsidRPr="006A75A2">
        <w:t>’</w:t>
      </w:r>
      <w:r w:rsidRPr="006A75A2">
        <w:t>s position.</w:t>
      </w:r>
    </w:p>
    <w:p w:rsidR="004E6C32" w:rsidRPr="006A75A2" w:rsidRDefault="004E6C32" w:rsidP="004B5CB1">
      <w:pPr>
        <w:spacing w:after="0"/>
        <w:rPr>
          <w:rFonts w:ascii="Calibri" w:hAnsi="Calibri"/>
          <w:i/>
          <w:sz w:val="26"/>
          <w:szCs w:val="22"/>
        </w:rPr>
      </w:pPr>
      <w:r w:rsidRPr="006A75A2">
        <w:br w:type="page"/>
      </w:r>
    </w:p>
    <w:p w:rsidR="004E6C32" w:rsidRPr="006A75A2" w:rsidRDefault="004E6C32" w:rsidP="004B5CB1">
      <w:pPr>
        <w:pStyle w:val="Heading2NotesContd"/>
        <w:rPr>
          <w:i/>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4"/>
      </w:pPr>
      <w:r w:rsidRPr="006A75A2">
        <w:t>Receivables</w:t>
      </w:r>
    </w:p>
    <w:p w:rsidR="004E6C32" w:rsidRPr="006A75A2" w:rsidRDefault="004E6C32" w:rsidP="004B5CB1">
      <w:r w:rsidRPr="006A75A2">
        <w:t>Receivables consist of:</w:t>
      </w:r>
    </w:p>
    <w:p w:rsidR="004E6C32" w:rsidRPr="006A75A2" w:rsidRDefault="004E6C32" w:rsidP="004B5CB1">
      <w:pPr>
        <w:pStyle w:val="BulletText"/>
      </w:pPr>
      <w:r w:rsidRPr="006A75A2">
        <w:t>contractual receivables, such as debtors in relation to goods and services, loans to third parties and accrued investment revenue; and</w:t>
      </w:r>
    </w:p>
    <w:p w:rsidR="004E6C32" w:rsidRPr="006A75A2" w:rsidRDefault="004E6C32" w:rsidP="004B5CB1">
      <w:pPr>
        <w:pStyle w:val="BulletText"/>
      </w:pPr>
      <w:r w:rsidRPr="006A75A2">
        <w:t xml:space="preserve">statutory receivables, such as taxes, fines and goods and services tax (GST) input tax credits recoverable. </w:t>
      </w:r>
    </w:p>
    <w:p w:rsidR="004E6C32" w:rsidRPr="006A75A2" w:rsidRDefault="004E6C32" w:rsidP="004B5CB1">
      <w:r w:rsidRPr="006A75A2">
        <w:t>Contractual receivables are classified as financial instruments and categorised as loans and receivables (refer to Note 1(K)) for recognition and measurement). Statutory receivables are recognised and measured similarly to contractual receivables (except for impairment), but are not classified as financial instruments because they do not arise from a contract.</w:t>
      </w:r>
    </w:p>
    <w:p w:rsidR="004E6C32" w:rsidRPr="006A75A2" w:rsidRDefault="004E6C32" w:rsidP="004B5CB1">
      <w:r w:rsidRPr="006A75A2">
        <w:t>Receivables are subject to impairment testing as described below. A provision for doubtful receivables is recognised when there is objective evidence that the debts may not be collected, and bad debts are written off when identified.</w:t>
      </w:r>
    </w:p>
    <w:p w:rsidR="004E6C32" w:rsidRPr="006A75A2" w:rsidRDefault="004E6C32" w:rsidP="004B5CB1">
      <w:pPr>
        <w:pStyle w:val="Heading4"/>
      </w:pPr>
      <w:r w:rsidRPr="006A75A2">
        <w:t>Investments, loans and placements</w:t>
      </w:r>
    </w:p>
    <w:p w:rsidR="004E6C32" w:rsidRPr="006A75A2" w:rsidRDefault="004E6C32" w:rsidP="004B5CB1">
      <w:r w:rsidRPr="006A75A2">
        <w:t>Investments are classified in the following categories:</w:t>
      </w:r>
    </w:p>
    <w:p w:rsidR="004E6C32" w:rsidRPr="006A75A2" w:rsidRDefault="004E6C32" w:rsidP="004B5CB1">
      <w:pPr>
        <w:pStyle w:val="BulletText"/>
      </w:pPr>
      <w:r w:rsidRPr="006A75A2">
        <w:t>financial assets at fair value through profit or loss;</w:t>
      </w:r>
    </w:p>
    <w:p w:rsidR="004E6C32" w:rsidRPr="006A75A2" w:rsidRDefault="004E6C32" w:rsidP="004B5CB1">
      <w:pPr>
        <w:pStyle w:val="BulletText"/>
      </w:pPr>
      <w:r w:rsidRPr="006A75A2">
        <w:t>loans and receivables;</w:t>
      </w:r>
    </w:p>
    <w:p w:rsidR="004E6C32" w:rsidRPr="006A75A2" w:rsidRDefault="004E6C32" w:rsidP="004B5CB1">
      <w:pPr>
        <w:pStyle w:val="BulletText"/>
      </w:pPr>
      <w:r w:rsidRPr="006A75A2">
        <w:t>held to maturity; and</w:t>
      </w:r>
    </w:p>
    <w:p w:rsidR="004E6C32" w:rsidRPr="006A75A2" w:rsidRDefault="004E6C32" w:rsidP="004B5CB1">
      <w:pPr>
        <w:pStyle w:val="BulletText"/>
      </w:pPr>
      <w:r w:rsidRPr="006A75A2">
        <w:t xml:space="preserve">available-for-sale financial assets. </w:t>
      </w:r>
    </w:p>
    <w:p w:rsidR="004E6C32" w:rsidRPr="006A75A2" w:rsidRDefault="004E6C32" w:rsidP="004B5CB1">
      <w:r w:rsidRPr="006A75A2">
        <w:t>The classification depends on the purpose for which the investments were acquired. Management determines the classification of its investments at initial recognition.</w:t>
      </w:r>
    </w:p>
    <w:p w:rsidR="004E6C32" w:rsidRPr="006A75A2" w:rsidRDefault="004E6C32" w:rsidP="004B5CB1">
      <w:r w:rsidRPr="006A75A2">
        <w:t>Any dividend or interest earned on the financial asset is recognised in the consolidated comprehensive operating statement as a transaction.</w:t>
      </w:r>
    </w:p>
    <w:p w:rsidR="004E6C32" w:rsidRPr="006A75A2" w:rsidRDefault="004E6C32" w:rsidP="004B5CB1">
      <w:pPr>
        <w:pStyle w:val="Heading4"/>
      </w:pPr>
      <w:r w:rsidRPr="006A75A2">
        <w:t>Investments accounted for using the equity method</w:t>
      </w:r>
    </w:p>
    <w:p w:rsidR="004E6C32" w:rsidRPr="006A75A2" w:rsidRDefault="004E6C32" w:rsidP="004B5CB1">
      <w:r w:rsidRPr="006A75A2">
        <w:t xml:space="preserve">Associates are those entities over which the State exercises significant influence, but not control. </w:t>
      </w:r>
    </w:p>
    <w:p w:rsidR="004E6C32" w:rsidRPr="006A75A2" w:rsidRDefault="004E6C32" w:rsidP="004B5CB1">
      <w:r w:rsidRPr="006A75A2">
        <w:t>Investments in associates are accounted for in the consolidated financial statements using the equity method. Under this method, the State</w:t>
      </w:r>
      <w:r w:rsidR="00C96101" w:rsidRPr="006A75A2">
        <w:t>’</w:t>
      </w:r>
      <w:r w:rsidRPr="006A75A2">
        <w:t>s share of the post-acquisition profits or losses of associates is recognised in the net result as other economic flows. The share of post-acquisition movements in revaluation surpluses and any other reserves is recognised in both the comprehensive operating statement and the statement of changes in equity. The cumulative post-acquisition movements are adjusted against the cost of the investment.</w:t>
      </w:r>
    </w:p>
    <w:p w:rsidR="004E6C32" w:rsidRPr="006A75A2" w:rsidRDefault="004E6C32" w:rsidP="004B5CB1">
      <w:r w:rsidRPr="006A75A2">
        <w:t>Joint ventures are contractual arrangements between the State or a subsidiary entity and one or more other parties to undertake an economic activity that is subject to joint control. Joint control only exists when the strategic financial and operating decisions relating to the activity require the unanimous consent of the parties sharing control (the venturers).</w:t>
      </w:r>
    </w:p>
    <w:p w:rsidR="004E6C32" w:rsidRPr="006A75A2" w:rsidRDefault="004E6C32" w:rsidP="004B5CB1">
      <w:r w:rsidRPr="006A75A2">
        <w:t>Interests in jointly controlled entities are accounted for in the consolidated financial statements using the equity method, as applied to investments in associates.</w:t>
      </w:r>
    </w:p>
    <w:p w:rsidR="004E6C32" w:rsidRPr="006A75A2" w:rsidRDefault="004E6C32" w:rsidP="004B5CB1">
      <w:pPr>
        <w:spacing w:after="0"/>
        <w:rPr>
          <w:rFonts w:ascii="Calibri" w:hAnsi="Calibri"/>
          <w:i/>
          <w:sz w:val="26"/>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4"/>
      </w:pPr>
      <w:r w:rsidRPr="006A75A2">
        <w:t>Investments in jointly controlled assets and operations</w:t>
      </w:r>
    </w:p>
    <w:p w:rsidR="004E6C32" w:rsidRPr="006A75A2" w:rsidRDefault="004E6C32" w:rsidP="004B5CB1">
      <w:r w:rsidRPr="006A75A2">
        <w:t>In respect of its interest in jointly controlled assets, the State recognises in the consolidated financial statements:</w:t>
      </w:r>
    </w:p>
    <w:p w:rsidR="004E6C32" w:rsidRPr="006A75A2" w:rsidRDefault="004E6C32" w:rsidP="004B5CB1">
      <w:pPr>
        <w:pStyle w:val="BulletText"/>
      </w:pPr>
      <w:r w:rsidRPr="006A75A2">
        <w:t>its share of jointly controlled assets;</w:t>
      </w:r>
    </w:p>
    <w:p w:rsidR="004E6C32" w:rsidRPr="006A75A2" w:rsidRDefault="004E6C32" w:rsidP="004B5CB1">
      <w:pPr>
        <w:pStyle w:val="BulletText"/>
      </w:pPr>
      <w:r w:rsidRPr="006A75A2">
        <w:t>any liabilities that it had incurred;</w:t>
      </w:r>
    </w:p>
    <w:p w:rsidR="004E6C32" w:rsidRPr="006A75A2" w:rsidRDefault="004E6C32" w:rsidP="004B5CB1">
      <w:pPr>
        <w:pStyle w:val="BulletText"/>
      </w:pPr>
      <w:r w:rsidRPr="006A75A2">
        <w:t>its share of liabilities incurred jointly by the joint venture;</w:t>
      </w:r>
    </w:p>
    <w:p w:rsidR="004E6C32" w:rsidRPr="006A75A2" w:rsidRDefault="004E6C32" w:rsidP="004B5CB1">
      <w:pPr>
        <w:pStyle w:val="BulletText"/>
      </w:pPr>
      <w:r w:rsidRPr="006A75A2">
        <w:t>any income earned from the selling or using of its share of the output from the joint venture; and</w:t>
      </w:r>
    </w:p>
    <w:p w:rsidR="004E6C32" w:rsidRPr="006A75A2" w:rsidRDefault="004E6C32" w:rsidP="004B5CB1">
      <w:pPr>
        <w:pStyle w:val="BulletText"/>
      </w:pPr>
      <w:r w:rsidRPr="006A75A2">
        <w:t>any expenses incurred in relation to being an investor in the joint venture.</w:t>
      </w:r>
    </w:p>
    <w:p w:rsidR="004E6C32" w:rsidRPr="006A75A2" w:rsidRDefault="004E6C32" w:rsidP="004B5CB1">
      <w:r w:rsidRPr="006A75A2">
        <w:t>For jointly controlled operations the State recognises: the assets that it controls and the liabilities that it incurs; expenses that it incurs; and its share of income that it earns from selling outputs of the joint venture.</w:t>
      </w:r>
    </w:p>
    <w:p w:rsidR="004E6C32" w:rsidRPr="006A75A2" w:rsidRDefault="004E6C32" w:rsidP="004B5CB1">
      <w:pPr>
        <w:pStyle w:val="Heading4"/>
      </w:pPr>
      <w:r w:rsidRPr="006A75A2">
        <w:t>Investments in other sector entities</w:t>
      </w:r>
    </w:p>
    <w:p w:rsidR="004E6C32" w:rsidRPr="006A75A2" w:rsidRDefault="004E6C32" w:rsidP="004B5CB1">
      <w:r w:rsidRPr="006A75A2">
        <w:t>Refer to Note 1(D).</w:t>
      </w:r>
    </w:p>
    <w:p w:rsidR="004E6C32" w:rsidRPr="006A75A2" w:rsidRDefault="004E6C32" w:rsidP="004B5CB1">
      <w:pPr>
        <w:pStyle w:val="Heading4"/>
      </w:pPr>
      <w:r w:rsidRPr="006A75A2">
        <w:t xml:space="preserve">Derecognition of financial assets </w:t>
      </w:r>
    </w:p>
    <w:p w:rsidR="004E6C32" w:rsidRPr="006A75A2" w:rsidRDefault="004E6C32" w:rsidP="004B5CB1">
      <w:r w:rsidRPr="006A75A2">
        <w:t xml:space="preserve">A financial asset (or, where applicable, a part of a financial asset or part of a group of similar financial assets) is derecognised when: </w:t>
      </w:r>
    </w:p>
    <w:p w:rsidR="004E6C32" w:rsidRPr="006A75A2" w:rsidRDefault="004E6C32" w:rsidP="004B5CB1">
      <w:pPr>
        <w:pStyle w:val="BulletText"/>
      </w:pPr>
      <w:r w:rsidRPr="006A75A2">
        <w:t>the rights to receive cash flows from the asset have expired; or</w:t>
      </w:r>
    </w:p>
    <w:p w:rsidR="004E6C32" w:rsidRPr="006A75A2" w:rsidRDefault="004E6C32" w:rsidP="004B5CB1">
      <w:pPr>
        <w:pStyle w:val="BulletText"/>
      </w:pPr>
      <w:r w:rsidRPr="006A75A2">
        <w:t xml:space="preserve">the State retains the right to receive cash flows from the asset, but has assumed an obligation to pay them in full without material delay to a third party under a </w:t>
      </w:r>
      <w:r w:rsidR="00C96101" w:rsidRPr="006A75A2">
        <w:t>‘</w:t>
      </w:r>
      <w:r w:rsidRPr="006A75A2">
        <w:t>pass through</w:t>
      </w:r>
      <w:r w:rsidR="00C96101" w:rsidRPr="006A75A2">
        <w:t>’</w:t>
      </w:r>
      <w:r w:rsidRPr="006A75A2">
        <w:t xml:space="preserve"> arrangement; or</w:t>
      </w:r>
    </w:p>
    <w:p w:rsidR="004E6C32" w:rsidRPr="006A75A2" w:rsidRDefault="004E6C32" w:rsidP="004B5CB1">
      <w:pPr>
        <w:pStyle w:val="BulletText"/>
      </w:pPr>
      <w:r w:rsidRPr="006A75A2">
        <w:t>the State has transferred its rights to receive cash flows from the asset and either:</w:t>
      </w:r>
    </w:p>
    <w:p w:rsidR="004E6C32" w:rsidRPr="006A75A2" w:rsidRDefault="004E6C32" w:rsidP="004B5CB1">
      <w:pPr>
        <w:tabs>
          <w:tab w:val="left" w:pos="810"/>
        </w:tabs>
        <w:ind w:left="360"/>
      </w:pPr>
      <w:r w:rsidRPr="006A75A2">
        <w:t>(a)</w:t>
      </w:r>
      <w:r w:rsidRPr="006A75A2">
        <w:tab/>
        <w:t>has transferred substantially all the risks and rewards of the asset; or</w:t>
      </w:r>
    </w:p>
    <w:p w:rsidR="004E6C32" w:rsidRPr="006A75A2" w:rsidRDefault="004E6C32" w:rsidP="004B5CB1">
      <w:pPr>
        <w:tabs>
          <w:tab w:val="left" w:pos="810"/>
        </w:tabs>
        <w:ind w:left="810" w:hanging="450"/>
      </w:pPr>
      <w:r w:rsidRPr="006A75A2">
        <w:t>(b)</w:t>
      </w:r>
      <w:r w:rsidRPr="006A75A2">
        <w:tab/>
        <w:t>has neither transferred nor retained substantially all the risks and rewards of the asset, but has transferred control of the asset.</w:t>
      </w:r>
    </w:p>
    <w:p w:rsidR="004E6C32" w:rsidRPr="006A75A2" w:rsidRDefault="004E6C32" w:rsidP="004B5CB1">
      <w:r w:rsidRPr="006A75A2">
        <w:t>Where the State has retained substantially all the risks and rewards and not transferred control, the asset is recognised to the extent of the State</w:t>
      </w:r>
      <w:r w:rsidR="00C96101" w:rsidRPr="006A75A2">
        <w:t>’</w:t>
      </w:r>
      <w:r w:rsidRPr="006A75A2">
        <w:t>s continuing involvement in the asset.</w:t>
      </w:r>
    </w:p>
    <w:p w:rsidR="004E6C32" w:rsidRPr="006A75A2" w:rsidRDefault="004E6C32" w:rsidP="004B5CB1">
      <w:pPr>
        <w:pStyle w:val="Heading4"/>
      </w:pPr>
      <w:r w:rsidRPr="006A75A2">
        <w:t>Impairment of financial assets</w:t>
      </w:r>
    </w:p>
    <w:p w:rsidR="004E6C32" w:rsidRPr="006A75A2" w:rsidRDefault="004E6C32" w:rsidP="004B5CB1">
      <w:r w:rsidRPr="006A75A2">
        <w:t>At the end of each reporting period, the State assesses whether there is objective evidence that a financial asset or group of financial assets is impaired. All financial instrument assets, except those measured at fair value through profit or loss, are subject to annual review for impairment.</w:t>
      </w:r>
    </w:p>
    <w:p w:rsidR="004E6C32" w:rsidRPr="006A75A2" w:rsidRDefault="004E6C32" w:rsidP="004B5CB1">
      <w:r w:rsidRPr="006A75A2">
        <w:t>Receivables are assessed for bad and doubtful debts on a regular basis. Those bad debts considered as written off by mutual consent are classified as a transaction expense. Bad debts not written off by mutual consent and the allowance for doubtful receivables are classified as other economic flows in the net result.</w:t>
      </w:r>
    </w:p>
    <w:p w:rsidR="004E6C32" w:rsidRPr="006A75A2" w:rsidRDefault="004E6C32" w:rsidP="004B5CB1">
      <w:r w:rsidRPr="006A75A2">
        <w:t>The amount of the allowance is the difference between the financial asset</w:t>
      </w:r>
      <w:r w:rsidR="00C96101" w:rsidRPr="006A75A2">
        <w:t>’</w:t>
      </w:r>
      <w:r w:rsidRPr="006A75A2">
        <w:t>s carrying amount and the present value of estimated future cash flows, discounted at the effective interest rate. In assessing impairment of statutory (non</w:t>
      </w:r>
      <w:r w:rsidRPr="006A75A2">
        <w:noBreakHyphen/>
        <w:t xml:space="preserve">contractual) financial assets, which are not financial instruments, professional judgement is applied in assessing materiality using estimates, averages and other computational methods in accordance with AASB 136 </w:t>
      </w:r>
      <w:r w:rsidRPr="006A75A2">
        <w:rPr>
          <w:i/>
        </w:rPr>
        <w:t>Impairment of Assets</w:t>
      </w:r>
      <w:r w:rsidRPr="006A75A2">
        <w:t>.</w:t>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3Numbering"/>
        <w:rPr>
          <w:kern w:val="0"/>
        </w:rPr>
      </w:pPr>
      <w:r w:rsidRPr="006A75A2">
        <w:rPr>
          <w:kern w:val="0"/>
        </w:rPr>
        <w:t>Non</w:t>
      </w:r>
      <w:r w:rsidRPr="006A75A2">
        <w:rPr>
          <w:kern w:val="0"/>
        </w:rPr>
        <w:noBreakHyphen/>
        <w:t>financial physical assets</w:t>
      </w:r>
    </w:p>
    <w:p w:rsidR="004E6C32" w:rsidRPr="006A75A2" w:rsidRDefault="004E6C32" w:rsidP="004B5CB1">
      <w:pPr>
        <w:pStyle w:val="Heading4"/>
      </w:pPr>
      <w:r w:rsidRPr="006A75A2">
        <w:t>Inventories</w:t>
      </w:r>
    </w:p>
    <w:p w:rsidR="004E6C32" w:rsidRPr="006A75A2" w:rsidRDefault="004E6C32" w:rsidP="004B5CB1">
      <w:r w:rsidRPr="006A75A2">
        <w:t>Inventories include goods and other property held either for sale, or for distribution at zero or nominal cost, or for consumption in the ordinary course of business operations.</w:t>
      </w:r>
    </w:p>
    <w:p w:rsidR="004E6C32" w:rsidRPr="006A75A2" w:rsidRDefault="004E6C32" w:rsidP="004B5CB1">
      <w:r w:rsidRPr="006A75A2">
        <w:t>Inventories held for distribution are measured at cost, adjusted for any loss of service potential. All other inventories, including land held for sale, are measured at the lower of cost and net realisable value. Where inventories are acquired for no cost or nominal consideration, they are measured at current replacement cost at the date of acquisition.</w:t>
      </w:r>
    </w:p>
    <w:p w:rsidR="004E6C32" w:rsidRPr="006A75A2" w:rsidRDefault="004E6C32" w:rsidP="004B5CB1">
      <w:r w:rsidRPr="006A75A2">
        <w:t>Cost includes an appropriate portion of fixed and variable overhead expenses. Cost is assigned to land held for sale (undeveloped, under development and developed) and to other high value, low volume inventory items on a specific identification of cost basis. Cost for all other inventory is measured on the basis of weighted average cost.</w:t>
      </w:r>
    </w:p>
    <w:p w:rsidR="004E6C32" w:rsidRPr="006A75A2" w:rsidRDefault="004E6C32" w:rsidP="004B5CB1">
      <w:r w:rsidRPr="006A75A2">
        <w:t xml:space="preserve">Bases used in assessing loss of service potential for inventories held for distribution include current replacement cost and technical or functional obsolescence. Technical obsolescence occurs when an item still functions for some or all of the tasks it was originally acquired to do, but no longer matches existing technologies. Functional obsolescence occurs when an item no longer functions the way it did when it was first acquired. </w:t>
      </w:r>
    </w:p>
    <w:p w:rsidR="004E6C32" w:rsidRPr="006A75A2" w:rsidRDefault="004E6C32" w:rsidP="004B5CB1">
      <w:pPr>
        <w:pStyle w:val="Heading4"/>
      </w:pPr>
      <w:r w:rsidRPr="006A75A2">
        <w:t>Non</w:t>
      </w:r>
      <w:r w:rsidRPr="006A75A2">
        <w:noBreakHyphen/>
        <w:t>financial physical assets held for sale</w:t>
      </w:r>
    </w:p>
    <w:p w:rsidR="004E6C32" w:rsidRPr="006A75A2" w:rsidRDefault="004E6C32" w:rsidP="004B5CB1">
      <w:r w:rsidRPr="006A75A2">
        <w:t>Non</w:t>
      </w:r>
      <w:r w:rsidRPr="006A75A2">
        <w:noBreakHyphen/>
        <w:t xml:space="preserve">financial physical assets (including disposal group assets) are treated as current and classified as held for sale if their carrying amount will be recovered through a sale transaction rather than through continuing use. </w:t>
      </w:r>
    </w:p>
    <w:p w:rsidR="004E6C32" w:rsidRPr="006A75A2" w:rsidRDefault="004E6C32" w:rsidP="004B5CB1">
      <w:r w:rsidRPr="006A75A2">
        <w:t>This condition is regarded as met only when:</w:t>
      </w:r>
    </w:p>
    <w:p w:rsidR="004E6C32" w:rsidRPr="006A75A2" w:rsidRDefault="004E6C32" w:rsidP="004B5CB1">
      <w:pPr>
        <w:pStyle w:val="BulletText"/>
      </w:pPr>
      <w:r w:rsidRPr="006A75A2">
        <w:t xml:space="preserve">the asset is available for immediate use in the current condition; and </w:t>
      </w:r>
    </w:p>
    <w:p w:rsidR="004E6C32" w:rsidRPr="006A75A2" w:rsidRDefault="004E6C32" w:rsidP="004B5CB1">
      <w:pPr>
        <w:pStyle w:val="BulletText"/>
      </w:pPr>
      <w:r w:rsidRPr="006A75A2">
        <w:t>the sale is highly probable and the asset</w:t>
      </w:r>
      <w:r w:rsidR="00C96101" w:rsidRPr="006A75A2">
        <w:t>’</w:t>
      </w:r>
      <w:r w:rsidRPr="006A75A2">
        <w:t>s sale is expected to be completed within 12 months from the date of classification.</w:t>
      </w:r>
    </w:p>
    <w:p w:rsidR="004E6C32" w:rsidRPr="006A75A2" w:rsidRDefault="004E6C32" w:rsidP="004B5CB1">
      <w:r w:rsidRPr="006A75A2">
        <w:t>These non</w:t>
      </w:r>
      <w:r w:rsidRPr="006A75A2">
        <w:noBreakHyphen/>
        <w:t>financial physical assets, related liabilities and financial assets are measured at the lower of carrying amount and fair value less costs to sell, and are not subject to depreciation or amortisation.</w:t>
      </w:r>
    </w:p>
    <w:p w:rsidR="004E6C32" w:rsidRPr="006A75A2" w:rsidRDefault="004E6C32" w:rsidP="004B5CB1">
      <w:pPr>
        <w:pStyle w:val="Heading4"/>
      </w:pPr>
      <w:r w:rsidRPr="006A75A2">
        <w:t>Land, buildings, infrastructure, plant and equipment</w:t>
      </w:r>
    </w:p>
    <w:p w:rsidR="004E6C32" w:rsidRPr="006A75A2" w:rsidRDefault="004E6C32" w:rsidP="004B5CB1">
      <w:r w:rsidRPr="006A75A2">
        <w:t>All non</w:t>
      </w:r>
      <w:r w:rsidRPr="006A75A2">
        <w:noBreakHyphen/>
        <w:t>financial physical assets are measured initially at cost and subsequently revalued at fair value less accumulated depreciation and impairment. Where an asset is acquired for no or nominal cost, the cost is its fair value at the date of acquisition.</w:t>
      </w:r>
    </w:p>
    <w:p w:rsidR="004E6C32" w:rsidRPr="006A75A2" w:rsidRDefault="004E6C32" w:rsidP="004B5CB1">
      <w:r w:rsidRPr="006A75A2">
        <w:t>The initial cost for non</w:t>
      </w:r>
      <w:r w:rsidRPr="006A75A2">
        <w:noBreakHyphen/>
        <w:t>financial physical assets under a finance lease (refer to Note 1(O)) is measured at amounts equal to the fair value of the leased asset or, if lower, the present value of the minimum lease payments, each determined at the inception of the lease.</w:t>
      </w:r>
    </w:p>
    <w:p w:rsidR="004E6C32" w:rsidRPr="006A75A2" w:rsidRDefault="004E6C32" w:rsidP="004B5CB1">
      <w:r w:rsidRPr="006A75A2">
        <w:t>Non</w:t>
      </w:r>
      <w:r w:rsidRPr="006A75A2">
        <w:noBreakHyphen/>
        <w:t>financial physical assets, including national parks, other Crown land and heritage assets, are measured at fair value with regard to the property</w:t>
      </w:r>
      <w:r w:rsidR="00C96101" w:rsidRPr="006A75A2">
        <w:t>’</w:t>
      </w:r>
      <w:r w:rsidRPr="006A75A2">
        <w:t xml:space="preserve">s highest and best use after due consideration is made for any legal or physical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 Therefore, unless otherwise disclosed, the current use of these non-financial physical assets will be their highest and best uses. </w:t>
      </w:r>
    </w:p>
    <w:p w:rsidR="004E6C32" w:rsidRPr="006A75A2" w:rsidRDefault="004E6C32" w:rsidP="004B5CB1">
      <w:pPr>
        <w:pStyle w:val="Heading2NotesContd"/>
        <w:rPr>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4E6C32" w:rsidRPr="006A75A2" w:rsidRDefault="004E6C32" w:rsidP="004B5CB1">
      <w:r w:rsidRPr="006A75A2">
        <w:t>The fair value of cultural assets and collections, heritage assets and other non</w:t>
      </w:r>
      <w:r w:rsidRPr="006A75A2">
        <w:noBreakHyphen/>
        <w:t>financial physical assets (including Crown land and infrastructure assets) that the State intends to preserve because of their unique historical, cultural or environmental attributes, is measured at the replacement cost of the asset less, where applicable, accumulated depreciation (calculated on the basis of such cost to reflect the already consumed or expired future economic benefits of the asset) and any accumulated impairment. These policies and any legislative limitations and restrictions imposed on their use and/or disposal may impact their fair value.</w:t>
      </w:r>
    </w:p>
    <w:p w:rsidR="004E6C32" w:rsidRPr="006A75A2" w:rsidRDefault="004E6C32" w:rsidP="004B5CB1">
      <w:r w:rsidRPr="006A75A2">
        <w:t xml:space="preserve">School building assets are measured initially at cost and subsequently revalued at fair value. School buildings are specialised assets that are restricted to providing education services. As there is no readily available market for these specialised assets, school buildings and other improvements are valued using the cost approach under AASB 13 </w:t>
      </w:r>
      <w:r w:rsidRPr="006A75A2">
        <w:rPr>
          <w:i/>
        </w:rPr>
        <w:t>Fair Value Measurement</w:t>
      </w:r>
      <w:r w:rsidRPr="006A75A2">
        <w:t xml:space="preserve"> by the Valuer-General Victoria (VGV). </w:t>
      </w:r>
    </w:p>
    <w:p w:rsidR="004E6C32" w:rsidRPr="006A75A2" w:rsidRDefault="004E6C32" w:rsidP="004B5CB1">
      <w:r w:rsidRPr="006A75A2">
        <w:t>The cost approach reflects the amount that would be required currently to replace the service capacity of an asset (also referred to as current replacement cost).</w:t>
      </w:r>
    </w:p>
    <w:p w:rsidR="004E6C32" w:rsidRPr="006A75A2" w:rsidRDefault="004E6C32" w:rsidP="004B5CB1">
      <w:r w:rsidRPr="006A75A2">
        <w:t xml:space="preserve">The VGV measures the current replacement cost and takes into account accumulated depreciation and any obsolescence which may exist in line with the requirements of AASB 13 </w:t>
      </w:r>
      <w:r w:rsidRPr="006A75A2">
        <w:rPr>
          <w:i/>
        </w:rPr>
        <w:t>Fair Value Measurement.</w:t>
      </w:r>
      <w:r w:rsidRPr="006A75A2">
        <w:t xml:space="preserve"> Current replacement cost is derived based on the physical inspection the school buildings by VGV every five years and adjusted for physical deterioration and functional obsolescence which may exist. Economic obsolescence is also considered as part of the valuation where floor space is assessed to be permanently in excess of teaching requirements by reference to long-term enrolment data. This methodology reflects that for the State, the economic benefit and service capacity of school assets is assessed by the contribution of these assets towards achieving the State</w:t>
      </w:r>
      <w:r w:rsidR="00C96101" w:rsidRPr="006A75A2">
        <w:t>’</w:t>
      </w:r>
      <w:r w:rsidRPr="006A75A2">
        <w:t>s objective of providing education. Where the floor space is in excess of the teaching space required to deliver such an objective, the fair value of the school assets is adjusted to reflect this permanent excess.</w:t>
      </w:r>
    </w:p>
    <w:p w:rsidR="004E6C32" w:rsidRPr="006A75A2" w:rsidRDefault="004E6C32" w:rsidP="004B5CB1">
      <w:r w:rsidRPr="006A75A2">
        <w:t>Road network assets (including earthworks of the declared road networks) are measured at fair value, determined by reference to the asset</w:t>
      </w:r>
      <w:r w:rsidR="00C96101" w:rsidRPr="006A75A2">
        <w:t>’</w:t>
      </w:r>
      <w:r w:rsidRPr="006A75A2">
        <w:t xml:space="preserve">s depreciated replacement cost. </w:t>
      </w:r>
    </w:p>
    <w:p w:rsidR="004E6C32" w:rsidRPr="006A75A2" w:rsidRDefault="004E6C32" w:rsidP="004B5CB1">
      <w:r w:rsidRPr="006A75A2">
        <w:t>Land under declared roads acquired prior to 1 July 2008 is measured at fair value. Land under declared roads acquired on or after 1 July 2008 is measured initially at cost of acquisition and subsequently at fair value. The fair value methodology applied by the Valuer</w:t>
      </w:r>
      <w:r w:rsidRPr="006A75A2">
        <w:noBreakHyphen/>
        <w:t>General Victoria is based on discounted site values for relevant municipal areas applied to land area under the arterial road network, including related reservations.</w:t>
      </w:r>
    </w:p>
    <w:p w:rsidR="004E6C32" w:rsidRPr="006A75A2" w:rsidRDefault="004E6C32" w:rsidP="004B5CB1">
      <w:r w:rsidRPr="006A75A2">
        <w:t>Infrastructure assets of water, rail and port authorities within the PNFC sector are measured at fair value.</w:t>
      </w:r>
    </w:p>
    <w:p w:rsidR="004E6C32" w:rsidRPr="006A75A2" w:rsidRDefault="004E6C32" w:rsidP="004B5CB1">
      <w:r w:rsidRPr="006A75A2">
        <w:t>The fair value of infrastructure systems and plant, equipment and vehicles, is normally determined by reference to the asset</w:t>
      </w:r>
      <w:r w:rsidR="00C96101" w:rsidRPr="006A75A2">
        <w:t>’</w:t>
      </w:r>
      <w:r w:rsidRPr="006A75A2">
        <w:t xml:space="preserve">s depreciated replacement cost, or where the infrastructure is held by a for profit entity, the fair value may be derived from estimates of the present value of future cash flows. </w:t>
      </w:r>
    </w:p>
    <w:p w:rsidR="004E6C32" w:rsidRPr="006A75A2" w:rsidRDefault="004E6C32" w:rsidP="004B5CB1">
      <w:r w:rsidRPr="006A75A2">
        <w:t>Certain assets are acquired under finance leases, which may form part of a service concession arrangement. Refer to Notes 1(Q) and 1(S) for more information.</w:t>
      </w:r>
    </w:p>
    <w:p w:rsidR="004E6C32" w:rsidRPr="006A75A2" w:rsidRDefault="004E6C32" w:rsidP="004B5CB1">
      <w:r w:rsidRPr="006A75A2">
        <w:t>The cost of constructed non</w:t>
      </w:r>
      <w:r w:rsidRPr="006A75A2">
        <w:noBreakHyphen/>
        <w:t>financial physical assets includes the cost of all materials used in construction, direct labour on the project, and an appropriate proportion of variable and fixed overheads.</w:t>
      </w:r>
    </w:p>
    <w:p w:rsidR="004E6C32" w:rsidRPr="006A75A2" w:rsidRDefault="004E6C32" w:rsidP="004B5CB1">
      <w:r w:rsidRPr="006A75A2">
        <w:t>For the accounting policy on impairment of non</w:t>
      </w:r>
      <w:r w:rsidRPr="006A75A2">
        <w:noBreakHyphen/>
        <w:t>financial physical assets, refer to impairment of non</w:t>
      </w:r>
      <w:r w:rsidRPr="006A75A2">
        <w:noBreakHyphen/>
        <w:t xml:space="preserve">financial assets under Note 1(I). </w:t>
      </w:r>
    </w:p>
    <w:p w:rsidR="004E6C32" w:rsidRPr="006A75A2" w:rsidRDefault="004E6C32" w:rsidP="004B5CB1">
      <w:pPr>
        <w:pStyle w:val="Heading4"/>
      </w:pPr>
      <w:r w:rsidRPr="006A75A2">
        <w:t>Leasehold improvements</w:t>
      </w:r>
    </w:p>
    <w:p w:rsidR="004E6C32" w:rsidRPr="006A75A2" w:rsidRDefault="004E6C32" w:rsidP="004B5CB1">
      <w:r w:rsidRPr="006A75A2">
        <w:t xml:space="preserve">The cost of leasehold improvements is capitalised as an asset and depreciated over the shorter of the remaining term of the lease or the estimated useful life of the improvements. </w:t>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4"/>
      </w:pPr>
      <w:r w:rsidRPr="006A75A2">
        <w:t>Revaluations of non</w:t>
      </w:r>
      <w:r w:rsidRPr="006A75A2">
        <w:noBreakHyphen/>
        <w:t>financial physical assets</w:t>
      </w:r>
    </w:p>
    <w:p w:rsidR="004E6C32" w:rsidRPr="006A75A2" w:rsidRDefault="004E6C32" w:rsidP="004B5CB1">
      <w:r w:rsidRPr="006A75A2">
        <w:t>Non</w:t>
      </w:r>
      <w:r w:rsidRPr="006A75A2">
        <w:noBreakHyphen/>
        <w:t>financial physical assets are measured on a cyclical basis in accordance with the Financial Reporting Directions (FRDs) issued by the Minister for Finance. A full revaluation normally occurs every five years, based upon the asset</w:t>
      </w:r>
      <w:r w:rsidR="00C96101" w:rsidRPr="006A75A2">
        <w:t>’</w:t>
      </w:r>
      <w:r w:rsidRPr="006A75A2">
        <w:t>s government purpose classification (refer to Note 41), but may occur more frequently if fair value assessments indicate material changes in values. Independent valuers are generally used to conduct these scheduled revaluations. Certain infrastructure assets are revalued using specialised advisors. Any interim revaluations are determined in accordance with the requirements of the FRDs.</w:t>
      </w:r>
    </w:p>
    <w:p w:rsidR="004E6C32" w:rsidRPr="006A75A2" w:rsidRDefault="004E6C32" w:rsidP="004B5CB1">
      <w:r w:rsidRPr="006A75A2">
        <w:t>Revaluation increases or decreases arise from differences between an asset</w:t>
      </w:r>
      <w:r w:rsidR="00C96101" w:rsidRPr="006A75A2">
        <w:t>’</w:t>
      </w:r>
      <w:r w:rsidRPr="006A75A2">
        <w:t>s carrying value and fair value.</w:t>
      </w:r>
    </w:p>
    <w:p w:rsidR="004E6C32" w:rsidRPr="006A75A2" w:rsidRDefault="004E6C32" w:rsidP="004B5CB1">
      <w:r w:rsidRPr="006A75A2">
        <w:t xml:space="preserve">Net revaluation increases (where the carrying amount of a class of assets is increased as a result of a revaluation) are recognised in </w:t>
      </w:r>
      <w:r w:rsidR="00C96101" w:rsidRPr="006A75A2">
        <w:t>‘</w:t>
      </w:r>
      <w:r w:rsidRPr="006A75A2">
        <w:t>Other economic flows – other comprehensive income</w:t>
      </w:r>
      <w:r w:rsidR="00C96101" w:rsidRPr="006A75A2">
        <w:t>’</w:t>
      </w:r>
      <w:r w:rsidRPr="006A75A2">
        <w:t xml:space="preserve"> and accumulated in equity under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rsidR="004E6C32" w:rsidRPr="006A75A2" w:rsidRDefault="004E6C32" w:rsidP="004B5CB1">
      <w:r w:rsidRPr="006A75A2">
        <w:t xml:space="preserve">Net revaluation decreases are recognised in </w:t>
      </w:r>
      <w:r w:rsidR="00C96101" w:rsidRPr="006A75A2">
        <w:t>‘</w:t>
      </w:r>
      <w:r w:rsidRPr="006A75A2">
        <w:t>Other economic flows – other comprehensive income</w:t>
      </w:r>
      <w:r w:rsidR="00C96101" w:rsidRPr="006A75A2">
        <w:t>’</w:t>
      </w:r>
      <w:r w:rsidRPr="006A75A2">
        <w:t xml:space="preserv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w:t>
      </w:r>
      <w:r w:rsidR="00C96101" w:rsidRPr="006A75A2">
        <w:t>‘</w:t>
      </w:r>
      <w:r w:rsidRPr="006A75A2">
        <w:t>Other economic flows – other comprehensive income</w:t>
      </w:r>
      <w:r w:rsidR="00C96101" w:rsidRPr="006A75A2">
        <w:t>’</w:t>
      </w:r>
      <w:r w:rsidRPr="006A75A2">
        <w:t xml:space="preserve"> reduces the amount accumulated in equity under the asset revaluation surplus. </w:t>
      </w:r>
    </w:p>
    <w:p w:rsidR="004E6C32" w:rsidRPr="006A75A2" w:rsidRDefault="004E6C32" w:rsidP="004B5CB1">
      <w:r w:rsidRPr="006A75A2">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rsidR="004E6C32" w:rsidRPr="006A75A2" w:rsidRDefault="004E6C32" w:rsidP="004B5CB1">
      <w:pPr>
        <w:pStyle w:val="Heading4"/>
      </w:pPr>
      <w:r w:rsidRPr="006A75A2">
        <w:t>Other non</w:t>
      </w:r>
      <w:r w:rsidRPr="006A75A2">
        <w:noBreakHyphen/>
        <w:t>financial assets</w:t>
      </w:r>
    </w:p>
    <w:p w:rsidR="004E6C32" w:rsidRPr="006A75A2" w:rsidRDefault="004E6C32" w:rsidP="004B5CB1">
      <w:r w:rsidRPr="006A75A2">
        <w:t>Where an asset is received for no or nominal consideration the cost is the asset</w:t>
      </w:r>
      <w:r w:rsidR="00C96101" w:rsidRPr="006A75A2">
        <w:t>’</w:t>
      </w:r>
      <w:r w:rsidRPr="006A75A2">
        <w:t>s fair value at the date of acquisition.</w:t>
      </w:r>
    </w:p>
    <w:p w:rsidR="004E6C32" w:rsidRPr="006A75A2" w:rsidRDefault="004E6C32" w:rsidP="0067336F">
      <w:pPr>
        <w:pStyle w:val="Heading5"/>
      </w:pPr>
      <w:r w:rsidRPr="006A75A2">
        <w:t>Intangible assets</w:t>
      </w:r>
    </w:p>
    <w:p w:rsidR="004E6C32" w:rsidRPr="006A75A2" w:rsidRDefault="004E6C32" w:rsidP="004B5CB1">
      <w:r w:rsidRPr="006A75A2">
        <w:t>Purchased intangible assets are initially recognised at cost. Subsequently, intangible assets with finite useful lives are carried at cost less accumulated amortisation and accumulated impairment losses. Costs incurred subsequent to initial acquisition are capitalised when it is expected that additional future economic benefits will flow to the State.</w:t>
      </w:r>
    </w:p>
    <w:p w:rsidR="004E6C32" w:rsidRPr="006A75A2" w:rsidRDefault="004E6C32" w:rsidP="004B5CB1">
      <w:r w:rsidRPr="006A75A2">
        <w:t xml:space="preserve">When the recognition criteria in AASB 138 </w:t>
      </w:r>
      <w:r w:rsidRPr="006A75A2">
        <w:rPr>
          <w:i/>
        </w:rPr>
        <w:t>Intangible Assets</w:t>
      </w:r>
      <w:r w:rsidRPr="006A75A2">
        <w:t xml:space="preserve"> is met, internally generated intangible assets are recognised and measured at cost less accumulated amortisation and impairment. </w:t>
      </w:r>
    </w:p>
    <w:p w:rsidR="004E6C32" w:rsidRPr="006A75A2" w:rsidRDefault="004E6C32" w:rsidP="004B5CB1">
      <w:r w:rsidRPr="006A75A2">
        <w:t>Refer to Note 1(H) for the policy on the depreciation of produced intangible assets, amortisation of non</w:t>
      </w:r>
      <w:r w:rsidRPr="006A75A2">
        <w:noBreakHyphen/>
        <w:t>produced intangible assets and Note 1(I) for impairment of intangible assets.</w:t>
      </w:r>
    </w:p>
    <w:p w:rsidR="004E6C32" w:rsidRPr="006A75A2" w:rsidRDefault="004E6C32" w:rsidP="0067336F">
      <w:pPr>
        <w:pStyle w:val="Heading5"/>
      </w:pPr>
      <w:r w:rsidRPr="006A75A2">
        <w:t>Investment properties</w:t>
      </w:r>
    </w:p>
    <w:p w:rsidR="004E6C32" w:rsidRPr="006A75A2" w:rsidRDefault="004E6C32" w:rsidP="004B5CB1">
      <w:r w:rsidRPr="006A75A2">
        <w:t>Investment properties represent properties held to earn rentals or for capital appreciation, or both. Investment properties exclude properties held to meet service delivery objectives of the State.</w:t>
      </w:r>
    </w:p>
    <w:p w:rsidR="004E6C32" w:rsidRPr="006A75A2" w:rsidRDefault="004E6C32" w:rsidP="004B5CB1">
      <w:r w:rsidRPr="006A75A2">
        <w:t>Investment properties are initially recognised at cost. Costs incurred subsequent to initial acquisition are capitalised when it is probable that future economic benefits in excess of the originally assessed performance of the asset will flow to the State.</w:t>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r w:rsidRPr="006A75A2">
        <w:t>Subsequent to initial recognition at cost, investment properties are revalued to fair value with changes in the fair value recognised as other economic flows in the comprehensive operating statement in the period that they arise. These properties are neither depreciated nor tested for impairment. Fair values are determined based on a market comparable approach, that reflects recent transaction prices for similar properties.</w:t>
      </w:r>
    </w:p>
    <w:p w:rsidR="004E6C32" w:rsidRPr="006A75A2" w:rsidRDefault="004E6C32" w:rsidP="004B5CB1">
      <w:r w:rsidRPr="006A75A2">
        <w:t>Rental revenue from the leasing of investment properties is recognised in the comprehensive operating statement on a straight line basis over the lease term.</w:t>
      </w:r>
    </w:p>
    <w:p w:rsidR="004E6C32" w:rsidRPr="006A75A2" w:rsidRDefault="004E6C32" w:rsidP="0067336F">
      <w:pPr>
        <w:pStyle w:val="Heading5"/>
      </w:pPr>
      <w:r w:rsidRPr="006A75A2">
        <w:t xml:space="preserve">Biological assets </w:t>
      </w:r>
    </w:p>
    <w:p w:rsidR="004E6C32" w:rsidRPr="006A75A2" w:rsidRDefault="004E6C32" w:rsidP="004B5CB1">
      <w:r w:rsidRPr="006A75A2">
        <w:t>Productive trees in commercial native forests and breeding livestock are recognised as biological assets. These biological assets are measured at fair value less costs to sell and are revalued at 30 June each year.</w:t>
      </w:r>
    </w:p>
    <w:p w:rsidR="004E6C32" w:rsidRPr="006A75A2" w:rsidRDefault="004E6C32" w:rsidP="004B5CB1">
      <w:r w:rsidRPr="006A75A2">
        <w:t>For breeding livestock, fair value is based on the amount that could be expected to be received from the disposal of livestock with similar attributes.</w:t>
      </w:r>
    </w:p>
    <w:p w:rsidR="004E6C32" w:rsidRPr="006A75A2" w:rsidRDefault="004E6C32" w:rsidP="004B5CB1">
      <w:r w:rsidRPr="006A75A2">
        <w:t>For productive trees, revaluation to fair value is determined using a discounted cash flow method based on expected net future cash flows, discounted by a current market determined rate. After harvest, productive trees are treated as inventories (refer to Note 1(M)).</w:t>
      </w:r>
    </w:p>
    <w:p w:rsidR="004E6C32" w:rsidRPr="006A75A2" w:rsidRDefault="004E6C32" w:rsidP="004B5CB1">
      <w:r w:rsidRPr="006A75A2">
        <w:t xml:space="preserve">An increase or decrease in the fair value of these biological assets is recognised in the consolidated comprehensive operating statement as an </w:t>
      </w:r>
      <w:r w:rsidR="00C96101" w:rsidRPr="006A75A2">
        <w:t>‘</w:t>
      </w:r>
      <w:r w:rsidRPr="006A75A2">
        <w:t>Other economic flow</w:t>
      </w:r>
      <w:r w:rsidR="00C96101" w:rsidRPr="006A75A2">
        <w:t>’</w:t>
      </w:r>
      <w:r w:rsidRPr="006A75A2">
        <w:t>.</w:t>
      </w:r>
    </w:p>
    <w:p w:rsidR="004E6C32" w:rsidRPr="006A75A2" w:rsidRDefault="004E6C32" w:rsidP="0067336F">
      <w:pPr>
        <w:pStyle w:val="Heading5"/>
      </w:pPr>
      <w:r w:rsidRPr="006A75A2">
        <w:t>Other assets</w:t>
      </w:r>
    </w:p>
    <w:p w:rsidR="004E6C32" w:rsidRPr="006A75A2" w:rsidRDefault="004E6C32" w:rsidP="004B5CB1">
      <w:r w:rsidRPr="006A75A2">
        <w:t>Other non</w:t>
      </w:r>
      <w:r w:rsidRPr="006A75A2">
        <w:noBreakHyphen/>
        <w:t>financial assets include prepayments which represent payments in advance of receipt of goods or services or that part of expenditure made in one accounting period covering a term extending beyond that period.</w:t>
      </w:r>
    </w:p>
    <w:p w:rsidR="004E6C32" w:rsidRPr="006A75A2" w:rsidRDefault="004E6C32" w:rsidP="004B5CB1">
      <w:pPr>
        <w:pStyle w:val="Heading3Numbering"/>
        <w:rPr>
          <w:kern w:val="0"/>
        </w:rPr>
      </w:pPr>
      <w:r w:rsidRPr="006A75A2">
        <w:rPr>
          <w:kern w:val="0"/>
        </w:rPr>
        <w:t>Liabilities</w:t>
      </w:r>
    </w:p>
    <w:p w:rsidR="004E6C32" w:rsidRPr="006A75A2" w:rsidRDefault="004E6C32" w:rsidP="004B5CB1">
      <w:pPr>
        <w:pStyle w:val="Heading4"/>
      </w:pPr>
      <w:r w:rsidRPr="006A75A2">
        <w:t>Deposits held and advances received</w:t>
      </w:r>
    </w:p>
    <w:p w:rsidR="004E6C32" w:rsidRPr="006A75A2" w:rsidRDefault="004E6C32" w:rsidP="004B5CB1">
      <w:r w:rsidRPr="006A75A2">
        <w:t>Deposits held include deposits, security deposits, and trust fund provisions held on behalf of public or private sector bodies. Advances received include loans and other repayable funds from public sector bodies for policy purposes.</w:t>
      </w:r>
    </w:p>
    <w:p w:rsidR="004E6C32" w:rsidRPr="006A75A2" w:rsidRDefault="004E6C32" w:rsidP="004B5CB1">
      <w:r w:rsidRPr="006A75A2">
        <w:t>Deposits held and advances received are categorised as financial liabilities at amortised cost (refer to Note 1(K)).</w:t>
      </w:r>
    </w:p>
    <w:p w:rsidR="004E6C32" w:rsidRPr="006A75A2" w:rsidRDefault="004E6C32" w:rsidP="004B5CB1">
      <w:pPr>
        <w:pStyle w:val="Heading4"/>
      </w:pPr>
      <w:r w:rsidRPr="006A75A2">
        <w:t>Payables</w:t>
      </w:r>
    </w:p>
    <w:p w:rsidR="004E6C32" w:rsidRPr="006A75A2" w:rsidRDefault="004E6C32" w:rsidP="004B5CB1">
      <w:r w:rsidRPr="006A75A2">
        <w:t>Payables consist of:</w:t>
      </w:r>
    </w:p>
    <w:p w:rsidR="004E6C32" w:rsidRPr="006A75A2" w:rsidRDefault="004E6C32" w:rsidP="004B5CB1">
      <w:pPr>
        <w:pStyle w:val="BulletText"/>
      </w:pPr>
      <w:r w:rsidRPr="006A75A2">
        <w:t>contractual payables, such as accounts payable, and unearned revenue liability including deferred revenue from concession notes. Accounts payable represent liabilities for goods and services provided to the State prior to the end of the financial year that are unpaid, and arise when the State becomes obliged to make future payments in respect of the purchase of those goods and services; and</w:t>
      </w:r>
    </w:p>
    <w:p w:rsidR="004E6C32" w:rsidRPr="006A75A2" w:rsidRDefault="004E6C32" w:rsidP="004B5CB1">
      <w:pPr>
        <w:pStyle w:val="BulletText"/>
      </w:pPr>
      <w:r w:rsidRPr="006A75A2">
        <w:t>statutory payables, such as GST and fringe benefits tax payables.</w:t>
      </w:r>
    </w:p>
    <w:p w:rsidR="004E6C32" w:rsidRPr="006A75A2" w:rsidRDefault="004E6C32" w:rsidP="004B5CB1">
      <w:r w:rsidRPr="006A75A2">
        <w:t>Contractual payables are classified as financial instruments and categorised as financial liabilities at amortised cost (refer to Note 1(K)). Statutory payables are recognised and measured similarly to contractual payables, but are not classified as financial instruments and not included in the category of financial liabilities at amortised cost, because they do not arise from a contract.</w:t>
      </w:r>
    </w:p>
    <w:p w:rsidR="004E6C32" w:rsidRPr="006A75A2" w:rsidRDefault="004E6C32" w:rsidP="004B5CB1">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4"/>
      </w:pPr>
      <w:r w:rsidRPr="006A75A2">
        <w:t>Borrowings</w:t>
      </w:r>
    </w:p>
    <w:p w:rsidR="004E6C32" w:rsidRPr="006A75A2" w:rsidRDefault="004E6C32" w:rsidP="004B5CB1">
      <w:r w:rsidRPr="006A75A2">
        <w:t xml:space="preserve">The State (consistent with the paragraphs of AASB 123 </w:t>
      </w:r>
      <w:r w:rsidRPr="006A75A2">
        <w:rPr>
          <w:i/>
        </w:rPr>
        <w:t>Borrowing Costs</w:t>
      </w:r>
      <w:r w:rsidRPr="006A75A2">
        <w:t xml:space="preserve"> for not-for-profit public sector entities) recognises borrowing costs immediately as an expense, even where they are directly attributable to the acquisition, construction or production of a qualifying asset.</w:t>
      </w:r>
    </w:p>
    <w:p w:rsidR="004E6C32" w:rsidRPr="006A75A2" w:rsidRDefault="004E6C32" w:rsidP="004B5CB1">
      <w:r w:rsidRPr="006A75A2">
        <w:t>All interest bearing liabilities are initially recognised at the fair value of the consideration received less directly attributable transaction costs. The measurement basis subsequent to initial recognition depends on whether the State has categorised its interest bearing liabilities as either financial liabilities designated at fair value through profit or loss, or financial liabilities at amortised cost. The classification depends on the nature and purpose of the interest bearing liabilities. The State determines the classification of its interest bearing liabilities at initial recognition.</w:t>
      </w:r>
    </w:p>
    <w:p w:rsidR="004E6C32" w:rsidRPr="006A75A2" w:rsidRDefault="004E6C32" w:rsidP="004B5CB1">
      <w:pPr>
        <w:pStyle w:val="Heading4"/>
      </w:pPr>
      <w:r w:rsidRPr="006A75A2">
        <w:t>Employee benefits</w:t>
      </w:r>
    </w:p>
    <w:p w:rsidR="004E6C32" w:rsidRPr="006A75A2" w:rsidRDefault="004E6C32" w:rsidP="004B5CB1">
      <w:r w:rsidRPr="006A75A2">
        <w:t>Provision is made for benefits accruing to employees in respect of wages and salaries, annual leave and long service leave for services rendered to the reporting date.</w:t>
      </w:r>
    </w:p>
    <w:p w:rsidR="004E6C32" w:rsidRPr="006A75A2" w:rsidRDefault="004E6C32" w:rsidP="0067336F">
      <w:pPr>
        <w:pStyle w:val="Heading5"/>
      </w:pPr>
      <w:r w:rsidRPr="006A75A2">
        <w:t>(i)</w:t>
      </w:r>
      <w:r w:rsidRPr="006A75A2">
        <w:tab/>
        <w:t>Wages and salaries, annual leave and sick leave</w:t>
      </w:r>
    </w:p>
    <w:p w:rsidR="004E6C32" w:rsidRPr="006A75A2" w:rsidRDefault="004E6C32" w:rsidP="004B5CB1">
      <w:r w:rsidRPr="006A75A2">
        <w:t>Liabilities for wages and salaries, including non</w:t>
      </w:r>
      <w:r w:rsidRPr="006A75A2">
        <w:noBreakHyphen/>
        <w:t xml:space="preserve">monetary benefits, annual leave and accumulating sick leave are recognised in the provision for employee benefits, classified as current liabilities, because the State does not have an unconditional right to defer settlements of these liabilities. </w:t>
      </w:r>
    </w:p>
    <w:p w:rsidR="004E6C32" w:rsidRPr="006A75A2" w:rsidRDefault="004E6C32" w:rsidP="0067336F">
      <w:pPr>
        <w:pStyle w:val="Heading5"/>
      </w:pPr>
      <w:r w:rsidRPr="006A75A2">
        <w:t>(ii)</w:t>
      </w:r>
      <w:r w:rsidRPr="006A75A2">
        <w:tab/>
        <w:t>Long service leave</w:t>
      </w:r>
    </w:p>
    <w:p w:rsidR="004E6C32" w:rsidRPr="006A75A2" w:rsidRDefault="004E6C32" w:rsidP="004B5CB1">
      <w:r w:rsidRPr="006A75A2">
        <w:t>Liability for long service leave (LSL) is recognised in the provision for employee benefits.</w:t>
      </w:r>
    </w:p>
    <w:p w:rsidR="004E6C32" w:rsidRPr="006A75A2" w:rsidRDefault="004E6C32" w:rsidP="004B5CB1">
      <w:r w:rsidRPr="006A75A2">
        <w:t xml:space="preserve">Unconditional LSL is disclosed in the notes to the financial statements as a current liability; even where the State does not expect to settle the liability within 12 months because it will not have the unconditional right to defer the settlement of the entitlement should an employee take leave within 12 months. </w:t>
      </w:r>
    </w:p>
    <w:p w:rsidR="004E6C32" w:rsidRPr="006A75A2" w:rsidRDefault="004E6C32" w:rsidP="004B5CB1">
      <w:r w:rsidRPr="006A75A2">
        <w:t>The components of this current LSL liability are measured at:</w:t>
      </w:r>
    </w:p>
    <w:p w:rsidR="004E6C32" w:rsidRPr="006A75A2" w:rsidRDefault="004E6C32" w:rsidP="004B5CB1">
      <w:pPr>
        <w:pStyle w:val="BulletText"/>
      </w:pPr>
      <w:r w:rsidRPr="006A75A2">
        <w:t>undiscounted value – if the State expects to wholly settle within 12 months; or</w:t>
      </w:r>
    </w:p>
    <w:p w:rsidR="004E6C32" w:rsidRPr="006A75A2" w:rsidRDefault="004E6C32" w:rsidP="004B5CB1">
      <w:pPr>
        <w:pStyle w:val="BulletText"/>
      </w:pPr>
      <w:r w:rsidRPr="006A75A2">
        <w:t>present value – if the State does not expect to wholly settle within 12 months.</w:t>
      </w:r>
    </w:p>
    <w:p w:rsidR="004E6C32" w:rsidRPr="006A75A2" w:rsidRDefault="004E6C32" w:rsidP="004B5CB1">
      <w:r w:rsidRPr="006A75A2">
        <w:t>Conditional LSL is disclosed as a non</w:t>
      </w:r>
      <w:r w:rsidRPr="006A75A2">
        <w:noBreakHyphen/>
        <w:t>current liability. There is an unconditional right to defer the settlement of the entitlement until the employee has completed the requisite years of service. This non</w:t>
      </w:r>
      <w:r w:rsidRPr="006A75A2">
        <w:noBreakHyphen/>
        <w:t>current LSL liability is measured at present value.</w:t>
      </w:r>
    </w:p>
    <w:p w:rsidR="004E6C32" w:rsidRPr="006A75A2" w:rsidRDefault="004E6C32" w:rsidP="004B5CB1">
      <w:r w:rsidRPr="006A75A2">
        <w:t>Any gain or loss following revaluation of the present value of non</w:t>
      </w:r>
      <w:r w:rsidRPr="006A75A2">
        <w:noBreakHyphen/>
        <w:t>current LSL liability is recognised as a transaction, except to the extent that a gain or loss arises due to changes in bond interest rates for which it is then recognised as an other economic flow in the net result.</w:t>
      </w:r>
    </w:p>
    <w:p w:rsidR="004E6C32" w:rsidRPr="006A75A2" w:rsidRDefault="004E6C32" w:rsidP="0067336F">
      <w:pPr>
        <w:pStyle w:val="Heading5"/>
      </w:pPr>
      <w:r w:rsidRPr="006A75A2">
        <w:t>(iii)</w:t>
      </w:r>
      <w:r w:rsidRPr="006A75A2">
        <w:tab/>
        <w:t>Employee benefits on costs</w:t>
      </w:r>
    </w:p>
    <w:p w:rsidR="004E6C32" w:rsidRPr="006A75A2" w:rsidRDefault="004E6C32" w:rsidP="004B5CB1">
      <w:r w:rsidRPr="006A75A2">
        <w:t>Employee benefits on costs such as payroll tax, workers compensation and superannuation are recognised separately from the provision for employee benefits.</w:t>
      </w:r>
    </w:p>
    <w:p w:rsidR="004E6C32" w:rsidRPr="006A75A2" w:rsidRDefault="004E6C32" w:rsidP="004B5CB1">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4"/>
      </w:pPr>
      <w:r w:rsidRPr="006A75A2">
        <w:t>Superannuation</w:t>
      </w:r>
    </w:p>
    <w:p w:rsidR="004E6C32" w:rsidRPr="006A75A2" w:rsidRDefault="004E6C32" w:rsidP="004B5CB1">
      <w:r w:rsidRPr="006A75A2">
        <w:t>Defined benefit superannuation plans provide benefits based on years of service and final average salary. At each reporting date, a liability or asset in respect of defined benefit superannuation obligations is recognised. This is measured as the difference between the present value of accrued liabilities at the reporting date and the net market value of the superannuation plan</w:t>
      </w:r>
      <w:r w:rsidR="00C96101" w:rsidRPr="006A75A2">
        <w:t>’</w:t>
      </w:r>
      <w:r w:rsidRPr="006A75A2">
        <w:t xml:space="preserve">s assets at that date. </w:t>
      </w:r>
    </w:p>
    <w:p w:rsidR="004E6C32" w:rsidRPr="006A75A2" w:rsidRDefault="004E6C32" w:rsidP="004B5CB1">
      <w:r w:rsidRPr="006A75A2">
        <w:t>The present value of accrued liabilities is based upon future payments which are expected to arise due to membership of the superannuation plan taking into account the taxes payable by the plan, including imputation tax credits. Consideration is given to expected future salary levels and the experience of employee departures. In accordance with prevailing accounting standards, expected future payments are discounted to present values using rates applying to long-term Commonwealth Government Bonds. Furthermore, the inflation assumption is based upon the relationship between nominal and index linked bond yields of similar duration. This approach ensures that the inflation assumption reflects market expectations and is compatible with the market based discount rate that is used to value the outstanding liability.</w:t>
      </w:r>
    </w:p>
    <w:p w:rsidR="004E6C32" w:rsidRPr="006A75A2" w:rsidRDefault="004E6C32" w:rsidP="004B5CB1">
      <w:pPr>
        <w:pStyle w:val="Heading4"/>
      </w:pPr>
      <w:r w:rsidRPr="006A75A2">
        <w:t>Other provisions</w:t>
      </w:r>
    </w:p>
    <w:p w:rsidR="004E6C32" w:rsidRPr="006A75A2" w:rsidRDefault="004E6C32" w:rsidP="004B5CB1">
      <w:r w:rsidRPr="006A75A2">
        <w:t>Other provisions are recognised when the State has a present obligation, the future sacrifice of economic benefits is probable, and the amount of the provision can be measured reliably.</w:t>
      </w:r>
    </w:p>
    <w:p w:rsidR="004E6C32" w:rsidRPr="006A75A2" w:rsidRDefault="004E6C32" w:rsidP="004B5CB1">
      <w:r w:rsidRPr="006A75A2">
        <w:t>The amount recognised as a provision is the best estimate of the consideration required to settle the present obligation at reporting date, taking into account the risks and uncertainties surrounding the obligation. Where a provision is measured using the cash flows estimated to settle the present obligation, its carrying amount is the present value of those cash flows.</w:t>
      </w:r>
    </w:p>
    <w:p w:rsidR="004E6C32" w:rsidRPr="006A75A2" w:rsidRDefault="004E6C32" w:rsidP="004B5CB1">
      <w:r w:rsidRPr="006A75A2">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rsidR="004E6C32" w:rsidRPr="006A75A2" w:rsidRDefault="004E6C32" w:rsidP="004B5CB1">
      <w:r w:rsidRPr="006A75A2">
        <w:t xml:space="preserve">Other provisions include a liability for outstanding insurance claims, which is independently assessed by actuaries. This liability covers claims reported but not yet paid, claims incurred but not yet reported, and the anticipated costs of settling those claims. Due to the inherent uncertainty in the estimate of the outstanding insurance claims, a risk margin is included. The risk margin is set to increase the probability that the liability estimate will be sufficient. </w:t>
      </w:r>
    </w:p>
    <w:p w:rsidR="004E6C32" w:rsidRPr="006A75A2" w:rsidRDefault="004E6C32" w:rsidP="004B5CB1">
      <w:r w:rsidRPr="006A75A2">
        <w:t>The actuaries take into account projected inflation and other factors to arrive at expected future payments. These are then discounted at the reporting date using a market determined, risk-free discount rate.</w:t>
      </w:r>
    </w:p>
    <w:p w:rsidR="004E6C32" w:rsidRPr="006A75A2" w:rsidRDefault="004E6C32" w:rsidP="0067336F">
      <w:pPr>
        <w:pStyle w:val="Heading5"/>
      </w:pPr>
      <w:r w:rsidRPr="006A75A2">
        <w:t>Onerous contracts</w:t>
      </w:r>
    </w:p>
    <w:p w:rsidR="004E6C32" w:rsidRPr="006A75A2" w:rsidRDefault="004E6C32" w:rsidP="004B5CB1">
      <w:r w:rsidRPr="006A75A2">
        <w:t>An onerous contract is considered to exist when the unavoidable cost of meeting the contractual obligations exceeds the estimated economic benefits to be received. Present obligations arising under onerous contracts are recognised as a provision to the extent that the present obligation exceeds the estimated economic benefits to be received.</w:t>
      </w:r>
    </w:p>
    <w:p w:rsidR="004E6C32" w:rsidRPr="006A75A2" w:rsidRDefault="004E6C32" w:rsidP="004B5CB1">
      <w:r w:rsidRPr="006A75A2">
        <w:t>The State</w:t>
      </w:r>
      <w:r w:rsidR="00C96101" w:rsidRPr="006A75A2">
        <w:t>’</w:t>
      </w:r>
      <w:r w:rsidRPr="006A75A2">
        <w:t>s major onerous contractual obligation is for the supply of electricity to the aluminium smelters at Portland and Point Henry. A yearly review of the contract is undertaken to remeasure the liability, taking into account the effects of market changes during the year relating to the National Electricity Market and assumptions including aluminium prices, with reference to electricity prices.</w:t>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4"/>
      </w:pPr>
      <w:r w:rsidRPr="006A75A2">
        <w:t>Derecognition of financial liabilities</w:t>
      </w:r>
    </w:p>
    <w:p w:rsidR="004E6C32" w:rsidRPr="006A75A2" w:rsidRDefault="004E6C32" w:rsidP="004B5CB1">
      <w:r w:rsidRPr="006A75A2">
        <w:t xml:space="preserve">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rsidR="00C96101" w:rsidRPr="006A75A2">
        <w:t>‘</w:t>
      </w:r>
      <w:r w:rsidRPr="006A75A2">
        <w:t>Other economic flow</w:t>
      </w:r>
      <w:r w:rsidR="00C96101" w:rsidRPr="006A75A2">
        <w:t>’</w:t>
      </w:r>
      <w:r w:rsidRPr="006A75A2">
        <w:t xml:space="preserve"> in the consolidated comprehensive operating statement.</w:t>
      </w:r>
    </w:p>
    <w:p w:rsidR="004E6C32" w:rsidRPr="006A75A2" w:rsidRDefault="004E6C32" w:rsidP="004B5CB1">
      <w:pPr>
        <w:pStyle w:val="Heading3Numbering"/>
        <w:rPr>
          <w:kern w:val="0"/>
        </w:rPr>
      </w:pPr>
      <w:r w:rsidRPr="006A75A2">
        <w:rPr>
          <w:kern w:val="0"/>
        </w:rPr>
        <w:t>Leases</w:t>
      </w:r>
    </w:p>
    <w:p w:rsidR="004E6C32" w:rsidRPr="006A75A2" w:rsidRDefault="004E6C32" w:rsidP="004B5CB1">
      <w:r w:rsidRPr="006A75A2">
        <w:t>A lease is a right to use an asset for an agreed period of time in exchange for payment.</w:t>
      </w:r>
    </w:p>
    <w:p w:rsidR="004E6C32" w:rsidRPr="006A75A2" w:rsidRDefault="004E6C32" w:rsidP="004B5CB1">
      <w:r w:rsidRPr="006A75A2">
        <w:t>Leases are classified at their inception as either operating or finance leases based on the economic substance of the agreement so as to reflect the risks and rewards incidental to ownership. Leases of infrastructure, property, plant and equipment are classified as finance leases whenever the terms of the lease transfer substantially all the risks and rewards of ownership from the lessor to the lessee. All other leases are classified as operating leases.</w:t>
      </w:r>
    </w:p>
    <w:p w:rsidR="004E6C32" w:rsidRPr="006A75A2" w:rsidRDefault="004E6C32" w:rsidP="004B5CB1">
      <w:pPr>
        <w:pStyle w:val="Heading4"/>
      </w:pPr>
      <w:r w:rsidRPr="006A75A2">
        <w:t>Finance leases</w:t>
      </w:r>
    </w:p>
    <w:p w:rsidR="004E6C32" w:rsidRPr="006A75A2" w:rsidRDefault="004E6C32" w:rsidP="0067336F">
      <w:pPr>
        <w:pStyle w:val="Heading5"/>
      </w:pPr>
      <w:r w:rsidRPr="006A75A2">
        <w:t>State as lessor</w:t>
      </w:r>
    </w:p>
    <w:p w:rsidR="004E6C32" w:rsidRPr="006A75A2" w:rsidRDefault="004E6C32" w:rsidP="004B5CB1">
      <w:r w:rsidRPr="006A75A2">
        <w:t>Amounts due from lessees under finance leases are recorded as receivables. Finance lease receivables are initially recorded at amounts equal to the present value of the minimum lease payments receivable plus the present value of any unguaranteed residual value expected to accrue at the end of the lease term. Finance lease receipts are apportioned between periodic interest revenue and reduction of the lease receivable over the term of the lease in order to reflect a constant periodic rate of return on the net investment outstanding in respect of the lease.</w:t>
      </w:r>
    </w:p>
    <w:p w:rsidR="004E6C32" w:rsidRPr="006A75A2" w:rsidRDefault="004E6C32" w:rsidP="0067336F">
      <w:pPr>
        <w:pStyle w:val="Heading5"/>
      </w:pPr>
      <w:r w:rsidRPr="006A75A2">
        <w:t>State as lessee</w:t>
      </w:r>
    </w:p>
    <w:p w:rsidR="004E6C32" w:rsidRPr="006A75A2" w:rsidRDefault="004E6C32" w:rsidP="004B5CB1">
      <w:r w:rsidRPr="006A75A2">
        <w:t>At the commencement of the lease term, finance leases are initially recognised as assets and liabilities at amounts equal to the fair value of the leased property or, if lower, the present value of the minimum lease payment, each determined at the inception of the lease. The leased asset is accounted for as a non</w:t>
      </w:r>
      <w:r w:rsidRPr="006A75A2">
        <w:noBreakHyphen/>
        <w:t xml:space="preserve">financial physical asset and depreciated over the shorter of the estimated useful life of the asset or the term of the lease. </w:t>
      </w:r>
    </w:p>
    <w:p w:rsidR="004E6C32" w:rsidRPr="006A75A2" w:rsidRDefault="004E6C32" w:rsidP="004B5CB1">
      <w:r w:rsidRPr="006A75A2">
        <w:t xml:space="preserve">Minimum finance lease payments are apportioned between the reduction of the outstanding lease liability and the periodic finance expense which is calculated using the interest rate implicit in the lease and charged directly to the consolidated comprehensive operating statement. Contingent rentals associated with finance leases are recognised as an expense in the period in which they are incurred. </w:t>
      </w:r>
    </w:p>
    <w:p w:rsidR="004E6C32" w:rsidRPr="006A75A2" w:rsidRDefault="004E6C32" w:rsidP="004B5CB1">
      <w:pPr>
        <w:spacing w:after="0"/>
        <w:rPr>
          <w:rFonts w:ascii="Calibri" w:hAnsi="Calibri"/>
          <w:i/>
          <w:sz w:val="26"/>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4"/>
      </w:pPr>
      <w:r w:rsidRPr="006A75A2">
        <w:t>Operating leases</w:t>
      </w:r>
    </w:p>
    <w:p w:rsidR="004E6C32" w:rsidRPr="006A75A2" w:rsidRDefault="004E6C32" w:rsidP="0067336F">
      <w:pPr>
        <w:pStyle w:val="Heading5"/>
      </w:pPr>
      <w:r w:rsidRPr="006A75A2">
        <w:t>State as lessor</w:t>
      </w:r>
    </w:p>
    <w:p w:rsidR="004E6C32" w:rsidRPr="006A75A2" w:rsidRDefault="004E6C32" w:rsidP="004B5CB1">
      <w:r w:rsidRPr="006A75A2">
        <w:t>Rental revenue from operating leases is recognised on a straight line basis over the term of the relevant lease.</w:t>
      </w:r>
    </w:p>
    <w:p w:rsidR="004E6C32" w:rsidRPr="006A75A2" w:rsidRDefault="004E6C32" w:rsidP="004B5CB1">
      <w:r w:rsidRPr="006A75A2">
        <w:t>All incentives for the agreement of a new or renewed operating lease are recognised as an integral part of the net consideration agreed for the use of the leased asset, irrespective of the incentive</w:t>
      </w:r>
      <w:r w:rsidR="00C96101" w:rsidRPr="006A75A2">
        <w:t>’</w:t>
      </w:r>
      <w:r w:rsidRPr="006A75A2">
        <w:t>s nature or form or the timing of payments.</w:t>
      </w:r>
    </w:p>
    <w:p w:rsidR="004E6C32" w:rsidRPr="006A75A2" w:rsidRDefault="004E6C32" w:rsidP="004B5CB1">
      <w:r w:rsidRPr="006A75A2">
        <w:t>In the event that lease incentives are given to the lessee, the aggregate cost of incentives are recognised as a reduction of rental revenue over the lease term on a straight line basis, unless another systematic basis is more representative of the time pattern over which the economic benefit of the leased asset is diminished.</w:t>
      </w:r>
    </w:p>
    <w:p w:rsidR="004E6C32" w:rsidRPr="006A75A2" w:rsidRDefault="004E6C32" w:rsidP="0067336F">
      <w:pPr>
        <w:pStyle w:val="Heading5"/>
      </w:pPr>
      <w:r w:rsidRPr="006A75A2">
        <w:t>State as lessee</w:t>
      </w:r>
    </w:p>
    <w:p w:rsidR="004E6C32" w:rsidRPr="006A75A2" w:rsidRDefault="004E6C32" w:rsidP="004B5CB1">
      <w:r w:rsidRPr="006A75A2">
        <w:t>Operating lease payments, including any contingent rentals, are recognised as an expense from transactions in the consolidated comprehensive operating statement on a straight line basis over the lease term, except where another systematic basis is more representative of the time pattern of the benefits derived from the use of the leased asset. The leased asset is not recognised in the balance sheet.</w:t>
      </w:r>
    </w:p>
    <w:p w:rsidR="004E6C32" w:rsidRPr="006A75A2" w:rsidRDefault="004E6C32" w:rsidP="004B5CB1">
      <w:r w:rsidRPr="006A75A2">
        <w:t>All incentives for the agreement of a new or renewed operating lease are recognised as an integral part of the net consideration agreed for the use of the leased asset, irrespective of the incentive</w:t>
      </w:r>
      <w:r w:rsidR="00C96101" w:rsidRPr="006A75A2">
        <w:t>’</w:t>
      </w:r>
      <w:r w:rsidRPr="006A75A2">
        <w:t>s nature or form or the timing of payments.</w:t>
      </w:r>
    </w:p>
    <w:p w:rsidR="004E6C32" w:rsidRPr="006A75A2" w:rsidRDefault="004E6C32" w:rsidP="004B5CB1">
      <w:r w:rsidRPr="006A75A2">
        <w:t>In the event that lease incentives are received to enter into operating leases, the aggregate benefit of incentives are recognised as a reduction of rental expense over the lease term on a straight line basis, unless another systematic basis is more representative of the time pattern in which economic benefits from the leased asset are consumed.</w:t>
      </w:r>
    </w:p>
    <w:p w:rsidR="004E6C32" w:rsidRPr="006A75A2" w:rsidRDefault="004E6C32" w:rsidP="004B5CB1">
      <w:pPr>
        <w:pStyle w:val="Heading3Numbering"/>
        <w:rPr>
          <w:kern w:val="0"/>
        </w:rPr>
      </w:pPr>
      <w:r w:rsidRPr="006A75A2">
        <w:rPr>
          <w:kern w:val="0"/>
        </w:rPr>
        <w:t>Budgetary information for the Victorian general government sector</w:t>
      </w:r>
    </w:p>
    <w:p w:rsidR="004E6C32" w:rsidRPr="006A75A2" w:rsidRDefault="004E6C32" w:rsidP="004B5CB1">
      <w:r w:rsidRPr="006A75A2">
        <w:t>Note 32 presents the original and revised published budget estimates for the Victorian general government sector, and explains material variances between the budget estimates and actual outcomes as presented in these annual financial statements.</w:t>
      </w:r>
    </w:p>
    <w:p w:rsidR="004E6C32" w:rsidRPr="006A75A2" w:rsidRDefault="004E6C32" w:rsidP="004B5CB1">
      <w:pPr>
        <w:pStyle w:val="Heading3Numbering"/>
        <w:rPr>
          <w:kern w:val="0"/>
        </w:rPr>
      </w:pPr>
      <w:r w:rsidRPr="006A75A2">
        <w:rPr>
          <w:kern w:val="0"/>
        </w:rPr>
        <w:t>Commitments</w:t>
      </w:r>
    </w:p>
    <w:p w:rsidR="004E6C32" w:rsidRPr="006A75A2" w:rsidRDefault="004E6C32" w:rsidP="004B5CB1">
      <w:r w:rsidRPr="006A75A2">
        <w:t xml:space="preserve">Commitments for future expenditure include operating and capital commitments arising from contracts. These commitments are disclosed by way of a note (refer to Note 34 </w:t>
      </w:r>
      <w:r w:rsidRPr="006A75A2">
        <w:rPr>
          <w:i/>
        </w:rPr>
        <w:t>Commitments</w:t>
      </w:r>
      <w:r w:rsidRPr="006A75A2">
        <w:t xml:space="preserve">) at their nominal value and inclusive of the GST payable. In addition, where it is considered appropriate and provides additional relevant information to users, the net present values of significant individual projects are stated. These future expenditures cease to be disclosed as commitments once the related liabilities are recognised in the consolidated balance sheet. </w:t>
      </w:r>
    </w:p>
    <w:p w:rsidR="004E6C32" w:rsidRPr="006A75A2" w:rsidRDefault="004E6C32" w:rsidP="004B5CB1">
      <w:pPr>
        <w:spacing w:after="0"/>
        <w:rPr>
          <w:rFonts w:ascii="Calibri" w:hAnsi="Calibri"/>
          <w:b/>
          <w:i/>
          <w:sz w:val="26"/>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3Numbering"/>
        <w:rPr>
          <w:kern w:val="0"/>
        </w:rPr>
      </w:pPr>
      <w:r w:rsidRPr="006A75A2">
        <w:rPr>
          <w:kern w:val="0"/>
        </w:rPr>
        <w:t>Contingent assets and contingent liabilities</w:t>
      </w:r>
    </w:p>
    <w:p w:rsidR="004E6C32" w:rsidRPr="006A75A2" w:rsidRDefault="004E6C32" w:rsidP="004B5CB1">
      <w:r w:rsidRPr="006A75A2">
        <w:t xml:space="preserve">Contingent assets and contingent liabilities are not recognised in the balance sheet but are disclosed by way of a note (refer to Note 35 </w:t>
      </w:r>
      <w:r w:rsidRPr="006A75A2">
        <w:rPr>
          <w:i/>
        </w:rPr>
        <w:t>Contingent assets and contingent liabilities</w:t>
      </w:r>
      <w:r w:rsidRPr="006A75A2">
        <w:t xml:space="preserve"> </w:t>
      </w:r>
      <w:r w:rsidRPr="006A75A2">
        <w:rPr>
          <w:i/>
        </w:rPr>
        <w:t>(State of Victoria)</w:t>
      </w:r>
      <w:r w:rsidRPr="006A75A2">
        <w:t xml:space="preserve">), and, if quantifiable, are measured at nominal value. Contingent assets and liabilities are presented inclusive of GST receivable or payable respectively. </w:t>
      </w:r>
    </w:p>
    <w:p w:rsidR="004E6C32" w:rsidRPr="006A75A2" w:rsidRDefault="004E6C32" w:rsidP="004B5CB1">
      <w:pPr>
        <w:pStyle w:val="Heading3Numbering"/>
        <w:rPr>
          <w:kern w:val="0"/>
        </w:rPr>
      </w:pPr>
      <w:r w:rsidRPr="006A75A2">
        <w:rPr>
          <w:kern w:val="0"/>
        </w:rPr>
        <w:t>Service concession arrangements</w:t>
      </w:r>
    </w:p>
    <w:p w:rsidR="004E6C32" w:rsidRPr="006A75A2" w:rsidRDefault="004E6C32" w:rsidP="004B5CB1">
      <w:r w:rsidRPr="006A75A2">
        <w:t xml:space="preserve">The State sometimes enters into certain arrangements with private sector participants to design and construct or upgrade assets used to provide public services. These arrangements are typically complex and usually include the provision of operational and maintenance services for a specified period of time. These arrangements are often referred to as either public private partnerships (PPPs) or service concession arrangements (SCAs). </w:t>
      </w:r>
    </w:p>
    <w:p w:rsidR="004E6C32" w:rsidRPr="006A75A2" w:rsidRDefault="004E6C32" w:rsidP="004B5CB1">
      <w:r w:rsidRPr="006A75A2">
        <w:t>These SCAs usually take one of two main forms. In the more common form, the State pays the operator over the period of the arrangement,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a lease payment in accordance with the lease policy (see Note 1(O)). The remaining components are accounted for as commitments for operating costs which are expensed in the comprehensive operating statement as they are incurred.</w:t>
      </w:r>
    </w:p>
    <w:p w:rsidR="004E6C32" w:rsidRPr="006A75A2" w:rsidRDefault="004E6C32" w:rsidP="004B5CB1">
      <w:r w:rsidRPr="006A75A2">
        <w:t xml:space="preserve">The other, less common form of SCA, is one in which the State grants to an operator, for a specified period of time, the right to collect fees from users of the SCA asset, in return for which the operator constructs the asset and has the obligation to supply agreed upon services, including maintenance of the asset for the period of the concession. These private sector entities typically lease land, and sometimes State works, from the State and construct infrastructure. At the end of the concession period, the land and state works, together with the constructed facilities, will be returned to the State. </w:t>
      </w:r>
    </w:p>
    <w:p w:rsidR="004E6C32" w:rsidRPr="006A75A2" w:rsidRDefault="004E6C32" w:rsidP="004B5CB1">
      <w:pPr>
        <w:rPr>
          <w:b/>
        </w:rPr>
      </w:pPr>
      <w:r w:rsidRPr="006A75A2">
        <w:t xml:space="preserve">Such service concession arrangements include the CityLink network, which has a nominal term of 33.5 years expiring 15 January 2034 and EastLink, which is also a tollway, with a nominal term of 35 years expiring 30 November 2043. </w:t>
      </w:r>
    </w:p>
    <w:p w:rsidR="004E6C32" w:rsidRPr="006A75A2" w:rsidRDefault="004E6C32" w:rsidP="004B5CB1">
      <w:r w:rsidRPr="006A75A2">
        <w:t xml:space="preserve">There is currently no authoritative accounting guidance applicable to grantors (the State) on the recognition and measurement of the right of the State to receive assets from such concession arrangements. Due to the lack of such guidance, there has been no change to existing policy and those assets are not currently recognised. </w:t>
      </w:r>
    </w:p>
    <w:p w:rsidR="004E6C32" w:rsidRPr="006A75A2" w:rsidRDefault="004E6C32" w:rsidP="004B5CB1">
      <w:pPr>
        <w:spacing w:after="0"/>
        <w:rPr>
          <w:rFonts w:ascii="Calibri" w:hAnsi="Calibri"/>
          <w:b/>
          <w:i/>
          <w:sz w:val="26"/>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 xml:space="preserve">Summary of significant accounting policies </w:t>
      </w:r>
      <w:r w:rsidRPr="006A75A2">
        <w:rPr>
          <w:i/>
          <w:kern w:val="0"/>
        </w:rPr>
        <w:t>(continued)</w:t>
      </w:r>
    </w:p>
    <w:p w:rsidR="004E6C32" w:rsidRPr="006A75A2" w:rsidRDefault="004E6C32" w:rsidP="004B5CB1">
      <w:pPr>
        <w:pStyle w:val="Heading3Numbering"/>
        <w:rPr>
          <w:kern w:val="0"/>
        </w:rPr>
      </w:pPr>
      <w:r w:rsidRPr="006A75A2">
        <w:rPr>
          <w:kern w:val="0"/>
        </w:rPr>
        <w:t>Accounting for the goods and services tax</w:t>
      </w:r>
    </w:p>
    <w:p w:rsidR="004E6C32" w:rsidRPr="006A75A2" w:rsidRDefault="004E6C32" w:rsidP="004B5CB1">
      <w:r w:rsidRPr="006A75A2">
        <w:t>Revenues, expenses and assets are recognised net of the amount of associated GST, except where the GST incurred is not recoverable from the taxation authority. In this case the GST payable is recognised as part of the cost of acquisition of an asset or part of an item of expense.</w:t>
      </w:r>
    </w:p>
    <w:p w:rsidR="004E6C32" w:rsidRPr="006A75A2" w:rsidRDefault="004E6C32" w:rsidP="004B5CB1">
      <w:r w:rsidRPr="006A75A2">
        <w:t>Receivables and payables are stated inclusive of GST receivable or payable. The net amount of GST recoverable from, or payable to, the taxation authority is included with other receivables or payables in the consolidated balance sheet.</w:t>
      </w:r>
    </w:p>
    <w:p w:rsidR="004E6C32" w:rsidRPr="006A75A2" w:rsidRDefault="004E6C32" w:rsidP="004B5CB1">
      <w:r w:rsidRPr="006A75A2">
        <w:t>Cash flows are presented on a gross basis. The GST components of cash flows arising from investing or financing activities which are recoverable from, or payable to the taxation authority, are presented as an operating cash flow.</w:t>
      </w:r>
    </w:p>
    <w:p w:rsidR="004E6C32" w:rsidRPr="006A75A2" w:rsidRDefault="004E6C32" w:rsidP="004B5CB1">
      <w:r w:rsidRPr="006A75A2">
        <w:t>Commitments and contingent assets and liabilities are also stated inclusive of GST.</w:t>
      </w:r>
    </w:p>
    <w:p w:rsidR="004E6C32" w:rsidRPr="006A75A2" w:rsidRDefault="004E6C32" w:rsidP="004B5CB1">
      <w:pPr>
        <w:pStyle w:val="Heading3Numbering"/>
        <w:rPr>
          <w:kern w:val="0"/>
        </w:rPr>
      </w:pPr>
      <w:r w:rsidRPr="006A75A2">
        <w:rPr>
          <w:kern w:val="0"/>
        </w:rPr>
        <w:t>Foreign currency balances/transactions</w:t>
      </w:r>
    </w:p>
    <w:p w:rsidR="004E6C32" w:rsidRPr="006A75A2" w:rsidRDefault="004E6C32" w:rsidP="004B5CB1">
      <w:r w:rsidRPr="006A75A2">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Non</w:t>
      </w:r>
      <w:r w:rsidRPr="006A75A2">
        <w:noBreakHyphen/>
        <w:t xml:space="preserve">monetary assets carried at fair value that are denominated in foreign currencies are translated to the functional currency at the rates prevailing at the date when the fair value was determined. </w:t>
      </w:r>
    </w:p>
    <w:p w:rsidR="004E6C32" w:rsidRPr="006A75A2" w:rsidRDefault="004E6C32" w:rsidP="004B5CB1">
      <w:r w:rsidRPr="006A75A2">
        <w:t>Foreign currency translation differences are recognised in other economic flows in the consolidated comprehensive operating statement and accumulated in a separate component of equity, in the period in which they arise.</w:t>
      </w:r>
    </w:p>
    <w:p w:rsidR="004E6C32" w:rsidRPr="006A75A2" w:rsidRDefault="004E6C32" w:rsidP="004B5CB1">
      <w:pPr>
        <w:pStyle w:val="Heading3Numbering"/>
        <w:rPr>
          <w:kern w:val="0"/>
        </w:rPr>
      </w:pPr>
      <w:r w:rsidRPr="006A75A2">
        <w:rPr>
          <w:kern w:val="0"/>
        </w:rPr>
        <w:t>Australian Accounting Standards issued that are not yet effective</w:t>
      </w:r>
    </w:p>
    <w:p w:rsidR="004E6C32" w:rsidRPr="006A75A2" w:rsidRDefault="004E6C32" w:rsidP="004B5CB1">
      <w:r w:rsidRPr="006A75A2">
        <w:t>The following AASs have been issued by the AASB but are not yet effective. They become effective for the first consolidated financial statements for reporting periods commencing after the operative dates stated as follows:</w:t>
      </w:r>
    </w:p>
    <w:p w:rsidR="004E6C32" w:rsidRPr="006A75A2" w:rsidRDefault="004E6C32" w:rsidP="004B5CB1">
      <w:pPr>
        <w:pStyle w:val="BulletText"/>
      </w:pPr>
      <w:r w:rsidRPr="006A75A2">
        <w:t xml:space="preserve">AASB 10 </w:t>
      </w:r>
      <w:r w:rsidRPr="006A75A2">
        <w:rPr>
          <w:i/>
        </w:rPr>
        <w:t>Consolidated Financial Statements</w:t>
      </w:r>
      <w:r w:rsidRPr="006A75A2">
        <w:t xml:space="preserve">, operative for reporting periods beginning from 1 January 2014. This Standard establishes principles for the presentation and preparation of consolidated financial statements when an entity controls one or more other entities and replaces those requirements in AASB 127 </w:t>
      </w:r>
      <w:r w:rsidRPr="006A75A2">
        <w:rPr>
          <w:i/>
        </w:rPr>
        <w:t>Consolidated and Separate Financial Statements</w:t>
      </w:r>
      <w:r w:rsidRPr="006A75A2">
        <w:t xml:space="preserve"> and Interpretation 112 </w:t>
      </w:r>
      <w:r w:rsidRPr="006A75A2">
        <w:rPr>
          <w:i/>
        </w:rPr>
        <w:t>Consolidation – Special Purpose Entities</w:t>
      </w:r>
      <w:r w:rsidRPr="006A75A2">
        <w:t>. AASB 10 builds on the control guidance that existed in AASB 127 and Interpretation 112 and is not expected to change which entities need to be consolidated.</w:t>
      </w:r>
    </w:p>
    <w:p w:rsidR="004E6C32" w:rsidRPr="006A75A2" w:rsidRDefault="004E6C32" w:rsidP="004B5CB1">
      <w:pPr>
        <w:pStyle w:val="BulletText"/>
      </w:pPr>
      <w:r w:rsidRPr="006A75A2">
        <w:t xml:space="preserve">AASB 11 </w:t>
      </w:r>
      <w:r w:rsidRPr="006A75A2">
        <w:rPr>
          <w:i/>
        </w:rPr>
        <w:t>Joint Arrangements</w:t>
      </w:r>
      <w:r w:rsidRPr="006A75A2">
        <w:t xml:space="preserve">, operative for reporting periods beginning from 1 January 2014. This Standard requires entities that have an interest in arrangements that are controlled jointly to assess whether the arrangement is a joint operation or joint venture. If the arrangement is assessed to be a joint operation, it shall be accounted for as per AASB 11. If the arrangement is assessed to be a joint venture, it shall be accounted for as per AASB 128 </w:t>
      </w:r>
      <w:r w:rsidRPr="006A75A2">
        <w:rPr>
          <w:i/>
        </w:rPr>
        <w:t>Investments in Associates and Joint Ventures</w:t>
      </w:r>
      <w:r w:rsidRPr="006A75A2">
        <w:t xml:space="preserve"> (see below). AASB 11 replaces those requirements in AASB 131 </w:t>
      </w:r>
      <w:r w:rsidRPr="006A75A2">
        <w:rPr>
          <w:i/>
        </w:rPr>
        <w:t>Interests in Joint Ventures</w:t>
      </w:r>
      <w:r w:rsidRPr="006A75A2">
        <w:t>. Based on current assessment, entities already apply the equity method when accounting for joint ventures. It is anticipated that there would be no material impact from this standard.</w:t>
      </w:r>
    </w:p>
    <w:p w:rsidR="004E6C32" w:rsidRPr="006A75A2" w:rsidRDefault="004E6C32" w:rsidP="004B5CB1">
      <w:pPr>
        <w:spacing w:after="0"/>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4E6C32" w:rsidRPr="006A75A2" w:rsidRDefault="004E6C32" w:rsidP="004B5CB1">
      <w:pPr>
        <w:pStyle w:val="BulletText"/>
      </w:pPr>
      <w:r w:rsidRPr="006A75A2">
        <w:t xml:space="preserve">AASB 12 </w:t>
      </w:r>
      <w:r w:rsidRPr="006A75A2">
        <w:rPr>
          <w:i/>
        </w:rPr>
        <w:t>Disclosure of Interests in Other Entities</w:t>
      </w:r>
      <w:r w:rsidRPr="006A75A2">
        <w:t xml:space="preserve">, operative for reporting periods beginning from 1 January 2014. This Standard requires disclosure of information that enables users of financial statements to evaluate the nature of, and risks associated with, interests in other entities and the effects of those interests on the financial statements. This Standard replaces the disclosure requirements in AASB 127 </w:t>
      </w:r>
      <w:r w:rsidRPr="006A75A2">
        <w:rPr>
          <w:i/>
        </w:rPr>
        <w:t>Separate Financial Statements</w:t>
      </w:r>
      <w:r w:rsidRPr="006A75A2">
        <w:t xml:space="preserve"> and AASB 131 </w:t>
      </w:r>
      <w:r w:rsidRPr="006A75A2">
        <w:rPr>
          <w:i/>
        </w:rPr>
        <w:t>Interests in Joint Ventures</w:t>
      </w:r>
      <w:r w:rsidRPr="006A75A2">
        <w:t xml:space="preserve">. The new standard will require additional disclosures for reporting entities with unconsolidated structured entities. </w:t>
      </w:r>
    </w:p>
    <w:p w:rsidR="004E6C32" w:rsidRPr="006A75A2" w:rsidRDefault="004E6C32" w:rsidP="004B5CB1">
      <w:pPr>
        <w:pStyle w:val="BulletText"/>
      </w:pPr>
      <w:r w:rsidRPr="006A75A2">
        <w:t xml:space="preserve">AASB 127 </w:t>
      </w:r>
      <w:r w:rsidRPr="006A75A2">
        <w:rPr>
          <w:i/>
        </w:rPr>
        <w:t>Separate Financial Statements</w:t>
      </w:r>
      <w:r w:rsidRPr="006A75A2">
        <w:t>, operative for reporting periods beginning from 1 January 2014. This revised Standard prescribes the accounting and disclosure requirements for investments in subsidiaries, joint ventures and associates when an entity prepares separate financial statements. The current assessment indicates that there is limited impact on Victorian Public Sector (VPS) entities.</w:t>
      </w:r>
    </w:p>
    <w:p w:rsidR="004E6C32" w:rsidRPr="006A75A2" w:rsidRDefault="004E6C32" w:rsidP="004B5CB1">
      <w:pPr>
        <w:pStyle w:val="BulletText"/>
      </w:pPr>
      <w:r w:rsidRPr="006A75A2">
        <w:t xml:space="preserve">AASB 128 </w:t>
      </w:r>
      <w:r w:rsidRPr="006A75A2">
        <w:rPr>
          <w:i/>
        </w:rPr>
        <w:t>Investments in Associates and Joint Ventures</w:t>
      </w:r>
      <w:r w:rsidRPr="006A75A2">
        <w:t>, operative for reporting periods beginning from 1 January 2014. This revised Standard sets out the requirements for the application of the equity method when accounting for investments in associates and joint ventures. The current assessment indicates that there is limited impact on VPS entities.</w:t>
      </w:r>
    </w:p>
    <w:p w:rsidR="004E6C32" w:rsidRPr="006A75A2" w:rsidRDefault="004E6C32" w:rsidP="004B5CB1">
      <w:pPr>
        <w:pStyle w:val="BulletText"/>
      </w:pPr>
      <w:r w:rsidRPr="006A75A2">
        <w:t xml:space="preserve">AASB 1055 </w:t>
      </w:r>
      <w:r w:rsidRPr="006A75A2">
        <w:rPr>
          <w:i/>
        </w:rPr>
        <w:t>Budgetary Reporting</w:t>
      </w:r>
      <w:r w:rsidRPr="006A75A2">
        <w:t>, operative for reporting periods beginning from 1 January 2014. AASB 1055 extends the scope for budget reporting that is currently applicable for the whole of government and general government sector to NFP entities within the general government sector, to the extent that the entities provide separate budgeted information to the parliament. Where an entity presents a budget separately to the Parliament, the entity will be required to restate in the financial statements the budgetary information in accordance with the presentation format prescribed in Australian Accounting Standards and explain the significant variances from the original budget. However, where no separate budget is presented to the parliament, this Standard would not be applicable.</w:t>
      </w:r>
    </w:p>
    <w:p w:rsidR="004E6C32" w:rsidRPr="006A75A2" w:rsidRDefault="004E6C32" w:rsidP="004B5CB1">
      <w:pPr>
        <w:pStyle w:val="BulletText"/>
      </w:pPr>
      <w:r w:rsidRPr="006A75A2">
        <w:t xml:space="preserve">AASB 1056 </w:t>
      </w:r>
      <w:r w:rsidRPr="006A75A2">
        <w:rPr>
          <w:i/>
        </w:rPr>
        <w:t xml:space="preserve">Superannuation Entities </w:t>
      </w:r>
      <w:r w:rsidRPr="006A75A2">
        <w:t>replaces AAS 25</w:t>
      </w:r>
      <w:r w:rsidRPr="006A75A2">
        <w:rPr>
          <w:i/>
        </w:rPr>
        <w:t xml:space="preserve"> Financial Reporting by Superannuation Plans</w:t>
      </w:r>
      <w:r w:rsidRPr="006A75A2">
        <w:t xml:space="preserve"> and is operative from 1 January 2016. The standard was developed in light of changes in recent years, developments in the superannuation industry and Australia</w:t>
      </w:r>
      <w:r w:rsidR="00C96101" w:rsidRPr="006A75A2">
        <w:t>’</w:t>
      </w:r>
      <w:r w:rsidRPr="006A75A2">
        <w:t>s adoption of IFRS. The preliminary assessment has not identified any material impact arising from AASB 1056.</w:t>
      </w:r>
    </w:p>
    <w:p w:rsidR="004E6C32" w:rsidRPr="006A75A2" w:rsidRDefault="004E6C32" w:rsidP="004B5CB1">
      <w:pPr>
        <w:pStyle w:val="BulletText"/>
      </w:pPr>
      <w:r w:rsidRPr="006A75A2">
        <w:t xml:space="preserve">AASB 9 </w:t>
      </w:r>
      <w:r w:rsidRPr="006A75A2">
        <w:rPr>
          <w:i/>
        </w:rPr>
        <w:t>Financial Instruments</w:t>
      </w:r>
      <w:r w:rsidRPr="006A75A2">
        <w:t xml:space="preserve">, operative for reporting periods beginning from 1 January 2017. This standard simplifies requirements for the classification and measurement of financial assets and replaces these requirements in AASB 139 </w:t>
      </w:r>
      <w:r w:rsidRPr="006A75A2">
        <w:rPr>
          <w:i/>
        </w:rPr>
        <w:t>Financial Instruments: Recognition and Measurement</w:t>
      </w:r>
      <w:r w:rsidRPr="006A75A2">
        <w:t xml:space="preserve">. The preliminary assessment has identified that for investments in equity instruments that are not held for trading, an irrevocable election must be made to present all gains and losses on that investment in other comprehensive income, otherwise the gains and losses will be recognised in profit or loss. </w:t>
      </w:r>
    </w:p>
    <w:p w:rsidR="004E6C32" w:rsidRPr="006A75A2" w:rsidRDefault="004E6C32" w:rsidP="004B5CB1">
      <w:r w:rsidRPr="006A75A2">
        <w:t>Several other amending standards have been issued that are applicable for future reporting periods which have insignificant impacts on public sector reporting.</w:t>
      </w:r>
    </w:p>
    <w:p w:rsidR="004E6C32" w:rsidRPr="006A75A2" w:rsidRDefault="004E6C32" w:rsidP="004B5CB1">
      <w:r w:rsidRPr="006A75A2">
        <w:t>At this stage, there is no intention to early adopt the above accounting standards.</w:t>
      </w:r>
    </w:p>
    <w:p w:rsidR="004E6C32" w:rsidRPr="006A75A2" w:rsidRDefault="004E6C32" w:rsidP="004B5CB1">
      <w:pPr>
        <w:spacing w:after="0"/>
        <w:rPr>
          <w:rFonts w:ascii="Calibri" w:hAnsi="Calibri"/>
          <w:b/>
          <w:i/>
          <w:sz w:val="26"/>
          <w:szCs w:val="22"/>
        </w:rPr>
      </w:pPr>
      <w:r w:rsidRPr="006A75A2">
        <w:br w:type="page"/>
      </w:r>
    </w:p>
    <w:p w:rsidR="004E6C32" w:rsidRPr="006A75A2" w:rsidRDefault="004E6C32" w:rsidP="004B5CB1">
      <w:pPr>
        <w:pStyle w:val="Heading2NotesContd"/>
        <w:rPr>
          <w:kern w:val="0"/>
        </w:rPr>
      </w:pPr>
      <w:r w:rsidRPr="006A75A2">
        <w:rPr>
          <w:kern w:val="0"/>
        </w:rPr>
        <w:lastRenderedPageBreak/>
        <w:t>Note 1:</w:t>
      </w:r>
      <w:r w:rsidRPr="006A75A2">
        <w:rPr>
          <w:kern w:val="0"/>
        </w:rPr>
        <w:tab/>
        <w:t>Summary of significant accounting policies</w:t>
      </w:r>
      <w:r w:rsidRPr="006A75A2">
        <w:rPr>
          <w:i/>
          <w:kern w:val="0"/>
        </w:rPr>
        <w:t xml:space="preserve"> (continued)</w:t>
      </w:r>
    </w:p>
    <w:p w:rsidR="004E6C32" w:rsidRPr="006A75A2" w:rsidRDefault="004E6C32" w:rsidP="004B5CB1">
      <w:pPr>
        <w:pStyle w:val="Heading3Numbering"/>
        <w:rPr>
          <w:kern w:val="0"/>
        </w:rPr>
      </w:pPr>
      <w:r w:rsidRPr="006A75A2">
        <w:rPr>
          <w:kern w:val="0"/>
        </w:rPr>
        <w:t>Events after the reporting period</w:t>
      </w:r>
    </w:p>
    <w:p w:rsidR="004E6C32" w:rsidRPr="006A75A2" w:rsidRDefault="004E6C32" w:rsidP="004B5CB1">
      <w:r w:rsidRPr="006A75A2">
        <w:t xml:space="preserve">Assets, liabilities, revenues or expenses arise from past transactions or other past events. Adjustments are made to amounts recognised in the financial statements for events which occur after the reporting period and before the date the statements are authorised for issue, where those events provide information about conditions which existed at the reporting date. If required, note disclosure is made about events that occur between the end of the reporting period and the date the statements are authorised for issue where the events relate to conditions which arose after the reporting period that are considered to be of material interest (refer to Note 38 </w:t>
      </w:r>
      <w:r w:rsidRPr="006A75A2">
        <w:rPr>
          <w:i/>
        </w:rPr>
        <w:t>Subsequent events</w:t>
      </w:r>
      <w:r w:rsidRPr="006A75A2">
        <w:t>).</w:t>
      </w:r>
    </w:p>
    <w:p w:rsidR="004E6C32" w:rsidRPr="006A75A2" w:rsidRDefault="004E6C32" w:rsidP="004B5CB1"/>
    <w:p w:rsidR="004E6C32" w:rsidRPr="006A75A2" w:rsidRDefault="004E6C32" w:rsidP="004B5CB1"/>
    <w:p w:rsidR="004E6C32" w:rsidRPr="006A75A2" w:rsidRDefault="004E6C32" w:rsidP="004B5CB1">
      <w:pPr>
        <w:pStyle w:val="Heading1"/>
      </w:pPr>
      <w:r w:rsidRPr="006A75A2">
        <w:rPr>
          <w:caps w:val="0"/>
        </w:rPr>
        <w:br w:type="page"/>
      </w:r>
    </w:p>
    <w:p w:rsidR="004E6C32" w:rsidRPr="006A75A2" w:rsidRDefault="004E6C32" w:rsidP="004B5CB1">
      <w:pPr>
        <w:pStyle w:val="Heading2Notes"/>
        <w:rPr>
          <w:kern w:val="0"/>
        </w:rPr>
      </w:pPr>
      <w:bookmarkStart w:id="31" w:name="_Toc400040249"/>
      <w:r w:rsidRPr="006A75A2">
        <w:rPr>
          <w:kern w:val="0"/>
        </w:rPr>
        <w:lastRenderedPageBreak/>
        <w:t>Note 2:</w:t>
      </w:r>
      <w:r w:rsidRPr="006A75A2">
        <w:rPr>
          <w:kern w:val="0"/>
        </w:rPr>
        <w:tab/>
        <w:t>Disaggregated information</w:t>
      </w:r>
      <w:bookmarkEnd w:id="31"/>
    </w:p>
    <w:p w:rsidR="004E6C32" w:rsidRPr="006A75A2" w:rsidRDefault="004E6C32" w:rsidP="004B5CB1">
      <w:pPr>
        <w:pStyle w:val="Heading2NotesContd"/>
        <w:spacing w:before="120"/>
        <w:ind w:left="1151" w:hanging="1151"/>
        <w:rPr>
          <w:kern w:val="0"/>
        </w:rPr>
      </w:pPr>
      <w:r w:rsidRPr="006A75A2">
        <w:rPr>
          <w:kern w:val="0"/>
        </w:rPr>
        <w:t>Disaggregated operating statement for the financial year ended 30 June</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244"/>
        <w:gridCol w:w="101"/>
        <w:gridCol w:w="775"/>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sz w:val="18"/>
                <w:lang w:eastAsia="en-AU"/>
              </w:rPr>
            </w:pPr>
            <w:r w:rsidRPr="006A75A2">
              <w:rPr>
                <w:rFonts w:eastAsiaTheme="minorEastAsia"/>
                <w:sz w:val="18"/>
                <w:lang w:eastAsia="en-AU"/>
              </w:rPr>
              <w:t xml:space="preserve"> </w:t>
            </w:r>
          </w:p>
        </w:tc>
        <w:tc>
          <w:tcPr>
            <w:tcW w:w="2240" w:type="dxa"/>
            <w:gridSpan w:val="4"/>
            <w:tcBorders>
              <w:top w:val="single" w:sz="6" w:space="0" w:color="auto"/>
              <w:left w:val="nil"/>
              <w:bottom w:val="nil"/>
              <w:right w:val="nil"/>
            </w:tcBorders>
            <w:shd w:val="clear" w:color="000000" w:fill="000000"/>
          </w:tcPr>
          <w:p w:rsidR="002E6139" w:rsidRPr="006A75A2" w:rsidRDefault="002E6139" w:rsidP="004B5CB1">
            <w:pPr>
              <w:pStyle w:val="TabletextheadingCentred"/>
              <w:rPr>
                <w:sz w:val="18"/>
              </w:rPr>
            </w:pPr>
            <w:r w:rsidRPr="006A75A2">
              <w:rPr>
                <w:sz w:val="18"/>
              </w:rPr>
              <w:t>General</w:t>
            </w:r>
            <w:r w:rsidRPr="006A75A2">
              <w:rPr>
                <w:rFonts w:eastAsiaTheme="minorEastAsia"/>
                <w:sz w:val="18"/>
              </w:rPr>
              <w:t xml:space="preserve"> </w:t>
            </w:r>
          </w:p>
          <w:p w:rsidR="002E6139" w:rsidRPr="006A75A2" w:rsidRDefault="002E6139" w:rsidP="004B5CB1">
            <w:pPr>
              <w:pStyle w:val="TabletextheadingCentred"/>
              <w:rPr>
                <w:rFonts w:eastAsiaTheme="minorEastAsia" w:cs="Calibri"/>
                <w:iCs/>
                <w:sz w:val="18"/>
                <w:lang w:eastAsia="en-AU"/>
              </w:rPr>
            </w:pPr>
            <w:r w:rsidRPr="006A75A2">
              <w:rPr>
                <w:sz w:val="18"/>
              </w:rPr>
              <w:t>government sector</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sz w:val="18"/>
              </w:rPr>
            </w:pPr>
            <w:r w:rsidRPr="006A75A2">
              <w:rPr>
                <w:sz w:val="18"/>
              </w:rPr>
              <w:t>Public non-financial corporations</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 xml:space="preserve"> </w:t>
            </w:r>
          </w:p>
        </w:tc>
        <w:tc>
          <w:tcPr>
            <w:tcW w:w="1120" w:type="dxa"/>
            <w:gridSpan w:val="3"/>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Revenue from transactions</w:t>
            </w:r>
          </w:p>
        </w:tc>
        <w:tc>
          <w:tcPr>
            <w:tcW w:w="1120" w:type="dxa"/>
            <w:gridSpan w:val="3"/>
            <w:tcBorders>
              <w:top w:val="single" w:sz="6" w:space="0" w:color="auto"/>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Taxation revenue</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16 900.9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15 530.7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r>
      <w:tr w:rsidR="004E6C32" w:rsidRPr="006A75A2" w:rsidTr="004B5CB1">
        <w:trPr>
          <w:trHeight w:val="87"/>
        </w:trPr>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Interest</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831.2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700.7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56.4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77.2</w:t>
            </w:r>
          </w:p>
        </w:tc>
      </w:tr>
      <w:tr w:rsidR="004E6C32" w:rsidRPr="006A75A2" w:rsidTr="004B5CB1">
        <w:tc>
          <w:tcPr>
            <w:tcW w:w="5505" w:type="dxa"/>
            <w:gridSpan w:val="3"/>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 xml:space="preserve">Dividends and income tax equivalent and rate equivalent revenue </w:t>
            </w:r>
          </w:p>
        </w:tc>
        <w:tc>
          <w:tcPr>
            <w:tcW w:w="775"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445.9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1 341.7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88.0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144.2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Sales of goods and services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6 724.8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6 869.3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6 090.9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4 915.7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Grants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25 144.9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21 902.2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2 646.4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2 654.4</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Other revenue</w:t>
            </w:r>
          </w:p>
        </w:tc>
        <w:tc>
          <w:tcPr>
            <w:tcW w:w="1120" w:type="dxa"/>
            <w:gridSpan w:val="3"/>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2 316.9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2 268.3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489.1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460.6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Total revenue</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52 364.7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48 612.9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9 370.9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8 252.0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Expenses from transactions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Employee expenses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18 012.0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17 788.5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1 058.7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1 039.6</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sz w:val="20"/>
                <w:vertAlign w:val="superscript"/>
                <w:lang w:eastAsia="en-AU"/>
              </w:rPr>
            </w:pPr>
            <w:r w:rsidRPr="006A75A2">
              <w:rPr>
                <w:rFonts w:eastAsiaTheme="minorEastAsia"/>
                <w:sz w:val="18"/>
                <w:lang w:eastAsia="en-AU"/>
              </w:rPr>
              <w:t>Superannuation interest expense</w:t>
            </w:r>
            <w:r w:rsidRPr="006A75A2">
              <w:rPr>
                <w:rFonts w:eastAsiaTheme="minorEastAsia"/>
                <w:sz w:val="18"/>
                <w:vertAlign w:val="superscript"/>
                <w:lang w:eastAsia="en-AU"/>
              </w:rPr>
              <w:t>(a)</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1 052.1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1 079.3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(2.5)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Other superannuation</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1 876.4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1 924.0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98.8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92.9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Depreciation</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2 363.8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2 254.3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1 887.3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1 838.1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Interest expense</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2 138.5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1 775.3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1 171.5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1 001.4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vertAlign w:val="superscript"/>
                <w:lang w:eastAsia="en-AU"/>
              </w:rPr>
            </w:pPr>
            <w:r w:rsidRPr="006A75A2">
              <w:rPr>
                <w:rFonts w:eastAsiaTheme="minorEastAsia"/>
                <w:sz w:val="18"/>
                <w:lang w:eastAsia="en-AU"/>
              </w:rPr>
              <w:t>Other operating expenses</w:t>
            </w:r>
            <w:r w:rsidRPr="006A75A2">
              <w:rPr>
                <w:rFonts w:eastAsiaTheme="minorEastAsia"/>
                <w:sz w:val="18"/>
                <w:vertAlign w:val="superscript"/>
                <w:lang w:eastAsia="en-AU"/>
              </w:rPr>
              <w:t xml:space="preserve">  </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17 360.1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16 094.1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4 847.0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4 263.0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Grants and other transfers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7 585.6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8 013.9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243.1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206.9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Other property expenses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10.3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110.9</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2D2F70">
            <w:pPr>
              <w:pStyle w:val="Tabletext"/>
              <w:rPr>
                <w:rFonts w:eastAsiaTheme="minorEastAsia"/>
                <w:b/>
                <w:bCs/>
                <w:sz w:val="18"/>
                <w:vertAlign w:val="superscript"/>
                <w:lang w:eastAsia="en-AU"/>
              </w:rPr>
            </w:pPr>
            <w:r w:rsidRPr="006A75A2">
              <w:rPr>
                <w:rFonts w:eastAsiaTheme="minorEastAsia"/>
                <w:b/>
                <w:bCs/>
                <w:sz w:val="18"/>
                <w:lang w:eastAsia="en-AU"/>
              </w:rPr>
              <w:t>Total expenses</w:t>
            </w:r>
            <w:r w:rsidRPr="006A75A2">
              <w:rPr>
                <w:rFonts w:eastAsiaTheme="minorEastAsia"/>
                <w:b/>
                <w:bCs/>
                <w:sz w:val="18"/>
                <w:vertAlign w:val="superscript"/>
                <w:lang w:eastAsia="en-AU"/>
              </w:rPr>
              <w:t>(a)</w:t>
            </w:r>
          </w:p>
        </w:tc>
        <w:tc>
          <w:tcPr>
            <w:tcW w:w="1120" w:type="dxa"/>
            <w:gridSpan w:val="3"/>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50 388.5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48 929.4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9 319.4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8 550.3</w:t>
            </w:r>
          </w:p>
        </w:tc>
      </w:tr>
      <w:tr w:rsidR="004E6C32" w:rsidRPr="006A75A2" w:rsidTr="004B5CB1">
        <w:tc>
          <w:tcPr>
            <w:tcW w:w="5160" w:type="dxa"/>
            <w:tcBorders>
              <w:top w:val="single" w:sz="6" w:space="0" w:color="auto"/>
              <w:left w:val="nil"/>
              <w:bottom w:val="single" w:sz="12" w:space="0" w:color="auto"/>
              <w:right w:val="nil"/>
            </w:tcBorders>
          </w:tcPr>
          <w:p w:rsidR="004E6C32" w:rsidRPr="006A75A2" w:rsidRDefault="004E6C32" w:rsidP="002D2F70">
            <w:pPr>
              <w:pStyle w:val="Tabletext"/>
              <w:rPr>
                <w:rFonts w:eastAsiaTheme="minorEastAsia" w:cs="Calibri"/>
                <w:b/>
                <w:bCs/>
                <w:sz w:val="20"/>
                <w:vertAlign w:val="superscript"/>
                <w:lang w:eastAsia="en-AU"/>
              </w:rPr>
            </w:pPr>
            <w:r w:rsidRPr="006A75A2">
              <w:rPr>
                <w:rFonts w:eastAsiaTheme="minorEastAsia"/>
                <w:b/>
                <w:bCs/>
                <w:sz w:val="18"/>
                <w:lang w:eastAsia="en-AU"/>
              </w:rPr>
              <w:t>Net result from transactions – net operating balance</w:t>
            </w:r>
            <w:r w:rsidRPr="006A75A2">
              <w:rPr>
                <w:rFonts w:eastAsiaTheme="minorEastAsia"/>
                <w:b/>
                <w:bCs/>
                <w:sz w:val="18"/>
                <w:vertAlign w:val="superscript"/>
                <w:lang w:eastAsia="en-AU"/>
              </w:rPr>
              <w:t>(a)</w:t>
            </w:r>
          </w:p>
        </w:tc>
        <w:tc>
          <w:tcPr>
            <w:tcW w:w="1120" w:type="dxa"/>
            <w:gridSpan w:val="3"/>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1 976.2</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vertAlign w:val="superscript"/>
                <w:lang w:eastAsia="en-AU"/>
              </w:rPr>
            </w:pPr>
            <w:r w:rsidRPr="006A75A2">
              <w:rPr>
                <w:rFonts w:eastAsiaTheme="minorEastAsia"/>
                <w:b/>
                <w:bCs/>
                <w:sz w:val="18"/>
                <w:lang w:eastAsia="en-AU"/>
              </w:rPr>
              <w:t>(316.6)</w:t>
            </w:r>
            <w:r w:rsidRPr="006A75A2">
              <w:rPr>
                <w:rFonts w:eastAsiaTheme="minorEastAsia"/>
                <w:b/>
                <w:bCs/>
                <w:sz w:val="18"/>
                <w:vertAlign w:val="superscript"/>
                <w:lang w:eastAsia="en-AU"/>
              </w:rPr>
              <w:t>(a)</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51.5</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(298.2)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Other economic flows included in net result</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Net gain/(loss) on disposal of non-financial assets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(25.0)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20.8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12.8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Net gain/(loss) on financial assets or liabilities at fair value</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52.6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19.3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(116.0)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(48.8)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Share of net profit/(loss) from associates/joint venture entities, excluding dividends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46.3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(77.7)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 xml:space="preserve">Other gains/(losses) from other economic flows </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(1 230.7)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(262.3)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47.5</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2D2F70">
            <w:pPr>
              <w:pStyle w:val="Tabletext"/>
              <w:rPr>
                <w:rFonts w:eastAsiaTheme="minorEastAsia" w:cs="Calibri"/>
                <w:b/>
                <w:bCs/>
                <w:sz w:val="20"/>
                <w:vertAlign w:val="superscript"/>
                <w:lang w:eastAsia="en-AU"/>
              </w:rPr>
            </w:pPr>
            <w:r w:rsidRPr="006A75A2">
              <w:rPr>
                <w:rFonts w:eastAsiaTheme="minorEastAsia"/>
                <w:b/>
                <w:bCs/>
                <w:sz w:val="18"/>
                <w:lang w:eastAsia="en-AU"/>
              </w:rPr>
              <w:t>Total other economic flows included in net result</w:t>
            </w:r>
            <w:r w:rsidRPr="006A75A2">
              <w:rPr>
                <w:rFonts w:eastAsiaTheme="minorEastAsia" w:cs="Calibri"/>
                <w:b/>
                <w:bCs/>
                <w:sz w:val="20"/>
                <w:vertAlign w:val="superscript"/>
                <w:lang w:eastAsia="en-AU"/>
              </w:rPr>
              <w:t>(a)</w:t>
            </w:r>
          </w:p>
        </w:tc>
        <w:tc>
          <w:tcPr>
            <w:tcW w:w="1120" w:type="dxa"/>
            <w:gridSpan w:val="3"/>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(1 203.1)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b/>
                <w:sz w:val="18"/>
                <w:lang w:eastAsia="en-AU"/>
              </w:rPr>
              <w:t>(217.4)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25.4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b/>
                <w:sz w:val="18"/>
                <w:lang w:eastAsia="en-AU"/>
              </w:rPr>
              <w:t>(78.6)</w:t>
            </w:r>
          </w:p>
        </w:tc>
      </w:tr>
      <w:tr w:rsidR="004E6C32" w:rsidRPr="006A75A2" w:rsidTr="004B5CB1">
        <w:tc>
          <w:tcPr>
            <w:tcW w:w="5160" w:type="dxa"/>
            <w:tcBorders>
              <w:top w:val="single" w:sz="6" w:space="0" w:color="auto"/>
              <w:left w:val="nil"/>
              <w:bottom w:val="nil"/>
              <w:right w:val="nil"/>
            </w:tcBorders>
          </w:tcPr>
          <w:p w:rsidR="004E6C32" w:rsidRPr="006A75A2" w:rsidRDefault="004E6C32" w:rsidP="002D2F70">
            <w:pPr>
              <w:pStyle w:val="Tabletext"/>
              <w:rPr>
                <w:rFonts w:eastAsiaTheme="minorEastAsia" w:cs="Calibri"/>
                <w:b/>
                <w:bCs/>
                <w:sz w:val="20"/>
                <w:vertAlign w:val="superscript"/>
                <w:lang w:eastAsia="en-AU"/>
              </w:rPr>
            </w:pPr>
            <w:r w:rsidRPr="006A75A2">
              <w:rPr>
                <w:rFonts w:eastAsiaTheme="minorEastAsia"/>
                <w:b/>
                <w:bCs/>
                <w:sz w:val="18"/>
                <w:lang w:eastAsia="en-AU"/>
              </w:rPr>
              <w:t>Net result</w:t>
            </w:r>
            <w:r w:rsidRPr="006A75A2">
              <w:rPr>
                <w:rFonts w:eastAsiaTheme="minorEastAsia"/>
                <w:b/>
                <w:bCs/>
                <w:sz w:val="18"/>
                <w:vertAlign w:val="superscript"/>
                <w:lang w:eastAsia="en-AU"/>
              </w:rPr>
              <w:t>(a)</w:t>
            </w:r>
          </w:p>
        </w:tc>
        <w:tc>
          <w:tcPr>
            <w:tcW w:w="1120" w:type="dxa"/>
            <w:gridSpan w:val="3"/>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773.1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(533.9)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76.9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(376.8)</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cs="Calibri"/>
                <w:b/>
                <w:bCs/>
                <w:sz w:val="20"/>
                <w:vertAlign w:val="superscript"/>
                <w:lang w:eastAsia="en-AU"/>
              </w:rPr>
            </w:pPr>
            <w:r w:rsidRPr="006A75A2">
              <w:rPr>
                <w:rFonts w:eastAsiaTheme="minorEastAsia"/>
                <w:b/>
                <w:bCs/>
                <w:sz w:val="18"/>
                <w:lang w:eastAsia="en-AU"/>
              </w:rPr>
              <w:t>Other economic flows – other comprehensive income</w:t>
            </w:r>
            <w:r w:rsidRPr="006A75A2">
              <w:rPr>
                <w:rFonts w:eastAsiaTheme="minorEastAsia"/>
                <w:b/>
                <w:bCs/>
                <w:sz w:val="18"/>
                <w:vertAlign w:val="superscript"/>
                <w:lang w:eastAsia="en-AU"/>
              </w:rPr>
              <w:t xml:space="preserve"> </w:t>
            </w:r>
          </w:p>
        </w:tc>
        <w:tc>
          <w:tcPr>
            <w:tcW w:w="1120" w:type="dxa"/>
            <w:gridSpan w:val="3"/>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Items that will not be reclassified to net result</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sz w:val="20"/>
                <w:vertAlign w:val="superscript"/>
                <w:lang w:eastAsia="en-AU"/>
              </w:rPr>
            </w:pPr>
            <w:r w:rsidRPr="006A75A2">
              <w:rPr>
                <w:rFonts w:eastAsiaTheme="minorEastAsia"/>
                <w:sz w:val="18"/>
                <w:lang w:eastAsia="en-AU"/>
              </w:rPr>
              <w:t>Changes in non-financial assets revaluation surplus</w:t>
            </w:r>
            <w:r w:rsidRPr="006A75A2">
              <w:rPr>
                <w:rFonts w:eastAsiaTheme="minorEastAsia"/>
                <w:sz w:val="18"/>
                <w:vertAlign w:val="superscript"/>
                <w:lang w:eastAsia="en-AU"/>
              </w:rPr>
              <w:t>(b)</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2 228.8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720.7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2 821.9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(133.2)</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sz w:val="20"/>
                <w:vertAlign w:val="superscript"/>
                <w:lang w:eastAsia="en-AU"/>
              </w:rPr>
            </w:pPr>
            <w:r w:rsidRPr="006A75A2">
              <w:rPr>
                <w:rFonts w:eastAsiaTheme="minorEastAsia"/>
                <w:sz w:val="18"/>
                <w:lang w:eastAsia="en-AU"/>
              </w:rPr>
              <w:t>Remeasurement of superannuation defined benefits plans</w:t>
            </w:r>
            <w:r w:rsidRPr="006A75A2">
              <w:rPr>
                <w:rFonts w:eastAsiaTheme="minorEastAsia"/>
                <w:sz w:val="18"/>
                <w:vertAlign w:val="superscript"/>
                <w:lang w:eastAsia="en-AU"/>
              </w:rPr>
              <w:t>(a)</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(286.2)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7 947.8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24.3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42.0</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sz w:val="20"/>
                <w:vertAlign w:val="superscript"/>
                <w:lang w:eastAsia="en-AU"/>
              </w:rPr>
            </w:pPr>
            <w:r w:rsidRPr="006A75A2">
              <w:rPr>
                <w:rFonts w:eastAsiaTheme="minorEastAsia"/>
                <w:sz w:val="18"/>
                <w:lang w:eastAsia="en-AU"/>
              </w:rPr>
              <w:t>Net gain/(loss) on equity investments in other sector entities at proportional share of the carrying amount of net asset</w:t>
            </w:r>
            <w:r w:rsidR="002D2F70" w:rsidRPr="006A75A2">
              <w:rPr>
                <w:rFonts w:eastAsiaTheme="minorEastAsia"/>
                <w:sz w:val="18"/>
                <w:lang w:eastAsia="en-AU"/>
              </w:rPr>
              <w:t>s</w:t>
            </w:r>
            <w:r w:rsidRPr="006A75A2">
              <w:rPr>
                <w:rFonts w:eastAsiaTheme="minorEastAsia"/>
                <w:sz w:val="18"/>
                <w:vertAlign w:val="superscript"/>
                <w:lang w:eastAsia="en-AU"/>
              </w:rPr>
              <w:t>(b)</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3 813.8</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(497.7)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sz w:val="20"/>
                <w:vertAlign w:val="superscript"/>
                <w:lang w:eastAsia="en-AU"/>
              </w:rPr>
            </w:pPr>
            <w:r w:rsidRPr="006A75A2">
              <w:rPr>
                <w:rFonts w:eastAsiaTheme="minorEastAsia"/>
                <w:sz w:val="18"/>
                <w:lang w:eastAsia="en-AU"/>
              </w:rPr>
              <w:t>Other movements in equity</w:t>
            </w:r>
            <w:r w:rsidRPr="006A75A2">
              <w:rPr>
                <w:rFonts w:eastAsiaTheme="minorEastAsia"/>
                <w:sz w:val="18"/>
                <w:vertAlign w:val="superscript"/>
                <w:lang w:eastAsia="en-AU"/>
              </w:rPr>
              <w:t>(b)</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780.1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849.1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34.3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(270.4)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Items that may be reclassified subsequently to net result</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Net gain/(loss) on financial assets at fair value</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(5.2)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20.1</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(3.4)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63.9</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2D2F70">
            <w:pPr>
              <w:pStyle w:val="Tabletext"/>
              <w:rPr>
                <w:rFonts w:eastAsiaTheme="minorEastAsia" w:cs="Calibri"/>
                <w:b/>
                <w:bCs/>
                <w:sz w:val="20"/>
                <w:vertAlign w:val="superscript"/>
                <w:lang w:eastAsia="en-AU"/>
              </w:rPr>
            </w:pPr>
            <w:r w:rsidRPr="006A75A2">
              <w:rPr>
                <w:rFonts w:eastAsiaTheme="minorEastAsia"/>
                <w:b/>
                <w:bCs/>
                <w:sz w:val="18"/>
                <w:lang w:eastAsia="en-AU"/>
              </w:rPr>
              <w:t>Total other economic flows – other comprehensive income</w:t>
            </w:r>
            <w:r w:rsidRPr="006A75A2">
              <w:rPr>
                <w:rFonts w:eastAsiaTheme="minorEastAsia"/>
                <w:b/>
                <w:bCs/>
                <w:sz w:val="18"/>
                <w:vertAlign w:val="superscript"/>
                <w:lang w:eastAsia="en-AU"/>
              </w:rPr>
              <w:t>(a)(b)</w:t>
            </w:r>
          </w:p>
        </w:tc>
        <w:tc>
          <w:tcPr>
            <w:tcW w:w="1120" w:type="dxa"/>
            <w:gridSpan w:val="3"/>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6 531.4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9 040.0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b/>
                <w:sz w:val="18"/>
                <w:lang w:eastAsia="en-AU"/>
              </w:rPr>
              <w:t>2 877.2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b/>
                <w:sz w:val="18"/>
                <w:lang w:eastAsia="en-AU"/>
              </w:rPr>
              <w:t>(297.7)</w:t>
            </w:r>
          </w:p>
        </w:tc>
      </w:tr>
      <w:tr w:rsidR="004E6C32" w:rsidRPr="006A75A2" w:rsidTr="004B5CB1">
        <w:trPr>
          <w:trHeight w:val="104"/>
        </w:trPr>
        <w:tc>
          <w:tcPr>
            <w:tcW w:w="5160" w:type="dxa"/>
            <w:tcBorders>
              <w:top w:val="single" w:sz="6" w:space="0" w:color="auto"/>
              <w:left w:val="nil"/>
              <w:bottom w:val="single" w:sz="12" w:space="0" w:color="auto"/>
              <w:right w:val="nil"/>
            </w:tcBorders>
          </w:tcPr>
          <w:p w:rsidR="004E6C32" w:rsidRPr="006A75A2" w:rsidRDefault="004E6C32" w:rsidP="002D2F70">
            <w:pPr>
              <w:pStyle w:val="Tabletext"/>
              <w:rPr>
                <w:rFonts w:eastAsiaTheme="minorEastAsia" w:cs="Calibri"/>
                <w:b/>
                <w:bCs/>
                <w:sz w:val="20"/>
                <w:vertAlign w:val="superscript"/>
                <w:lang w:eastAsia="en-AU"/>
              </w:rPr>
            </w:pPr>
            <w:r w:rsidRPr="006A75A2">
              <w:rPr>
                <w:rFonts w:eastAsiaTheme="minorEastAsia"/>
                <w:b/>
                <w:bCs/>
                <w:sz w:val="18"/>
                <w:lang w:eastAsia="en-AU"/>
              </w:rPr>
              <w:t>Comprehensive result – total change in net worth</w:t>
            </w:r>
            <w:r w:rsidRPr="006A75A2">
              <w:rPr>
                <w:rFonts w:eastAsiaTheme="minorEastAsia"/>
                <w:b/>
                <w:bCs/>
                <w:sz w:val="18"/>
                <w:vertAlign w:val="superscript"/>
                <w:lang w:eastAsia="en-AU"/>
              </w:rPr>
              <w:t>(b)</w:t>
            </w:r>
          </w:p>
        </w:tc>
        <w:tc>
          <w:tcPr>
            <w:tcW w:w="1120" w:type="dxa"/>
            <w:gridSpan w:val="3"/>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7 304.5</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8 506.0</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18"/>
                <w:lang w:eastAsia="en-AU"/>
              </w:rPr>
            </w:pPr>
            <w:r w:rsidRPr="006A75A2">
              <w:rPr>
                <w:rFonts w:eastAsiaTheme="minorEastAsia"/>
                <w:b/>
                <w:bCs/>
                <w:sz w:val="18"/>
                <w:lang w:eastAsia="en-AU"/>
              </w:rPr>
              <w:t>2 954.1</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(674.5)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FISCAL AGGREGATES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b/>
                <w:bCs/>
                <w:sz w:val="20"/>
                <w:vertAlign w:val="superscript"/>
                <w:lang w:eastAsia="en-AU"/>
              </w:rPr>
            </w:pPr>
            <w:r w:rsidRPr="006A75A2">
              <w:rPr>
                <w:rFonts w:eastAsiaTheme="minorEastAsia"/>
                <w:b/>
                <w:bCs/>
                <w:sz w:val="18"/>
                <w:lang w:eastAsia="en-AU"/>
              </w:rPr>
              <w:t>Net operating balance</w:t>
            </w:r>
            <w:r w:rsidRPr="006A75A2">
              <w:rPr>
                <w:rFonts w:eastAsiaTheme="minorEastAsia"/>
                <w:b/>
                <w:bCs/>
                <w:sz w:val="18"/>
                <w:vertAlign w:val="superscript"/>
                <w:lang w:eastAsia="en-AU"/>
              </w:rPr>
              <w:t>(a)</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1 976.2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vertAlign w:val="superscript"/>
                <w:lang w:eastAsia="en-AU"/>
              </w:rPr>
            </w:pPr>
            <w:r w:rsidRPr="006A75A2">
              <w:rPr>
                <w:rFonts w:eastAsiaTheme="minorEastAsia"/>
                <w:b/>
                <w:bCs/>
                <w:sz w:val="18"/>
                <w:lang w:eastAsia="en-AU"/>
              </w:rPr>
              <w:t>(316.6)</w:t>
            </w:r>
            <w:r w:rsidRPr="006A75A2">
              <w:rPr>
                <w:rFonts w:eastAsiaTheme="minorEastAsia"/>
                <w:b/>
                <w:bCs/>
                <w:sz w:val="18"/>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51.5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(298.2)</w:t>
            </w:r>
          </w:p>
        </w:tc>
      </w:tr>
      <w:tr w:rsidR="004E6C32" w:rsidRPr="006A75A2" w:rsidTr="004B5CB1">
        <w:trPr>
          <w:trHeight w:val="119"/>
        </w:trPr>
        <w:tc>
          <w:tcPr>
            <w:tcW w:w="5160" w:type="dxa"/>
            <w:tcBorders>
              <w:top w:val="nil"/>
              <w:left w:val="nil"/>
              <w:bottom w:val="nil"/>
              <w:right w:val="nil"/>
            </w:tcBorders>
          </w:tcPr>
          <w:p w:rsidR="004E6C32" w:rsidRPr="006A75A2" w:rsidRDefault="004E6C32" w:rsidP="004B5CB1">
            <w:pPr>
              <w:pStyle w:val="Tabletext"/>
              <w:rPr>
                <w:rFonts w:eastAsiaTheme="minorEastAsia"/>
                <w:b/>
                <w:bCs/>
                <w:sz w:val="18"/>
                <w:lang w:eastAsia="en-AU"/>
              </w:rPr>
            </w:pPr>
            <w:r w:rsidRPr="006A75A2">
              <w:rPr>
                <w:rFonts w:eastAsiaTheme="minorEastAsia"/>
                <w:b/>
                <w:bCs/>
                <w:sz w:val="18"/>
                <w:lang w:eastAsia="en-AU"/>
              </w:rPr>
              <w:t>Net acquisition of non-financial assets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w:t>
            </w:r>
          </w:p>
        </w:tc>
      </w:tr>
      <w:tr w:rsidR="004E6C32" w:rsidRPr="006A75A2" w:rsidTr="004B5CB1">
        <w:tc>
          <w:tcPr>
            <w:tcW w:w="5404" w:type="dxa"/>
            <w:gridSpan w:val="2"/>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Purchases of non-financial assets (including change in inventories)</w:t>
            </w:r>
          </w:p>
        </w:tc>
        <w:tc>
          <w:tcPr>
            <w:tcW w:w="876" w:type="dxa"/>
            <w:gridSpan w:val="2"/>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3 997.3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4 133.2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3 271.5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3 702.5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Less: Sales of non-financial assets</w:t>
            </w:r>
          </w:p>
        </w:tc>
        <w:tc>
          <w:tcPr>
            <w:tcW w:w="1120" w:type="dxa"/>
            <w:gridSpan w:val="3"/>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(270.9)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(248.0)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(206.4)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(156.4)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8"/>
                <w:lang w:eastAsia="en-AU"/>
              </w:rPr>
            </w:pPr>
            <w:r w:rsidRPr="006A75A2">
              <w:rPr>
                <w:rFonts w:eastAsiaTheme="minorEastAsia"/>
                <w:sz w:val="18"/>
                <w:lang w:eastAsia="en-AU"/>
              </w:rPr>
              <w:t>Less: Depreciation and amortisation</w:t>
            </w:r>
          </w:p>
        </w:tc>
        <w:tc>
          <w:tcPr>
            <w:tcW w:w="1120" w:type="dxa"/>
            <w:gridSpan w:val="3"/>
            <w:tcBorders>
              <w:top w:val="nil"/>
              <w:left w:val="nil"/>
              <w:bottom w:val="nil"/>
              <w:right w:val="nil"/>
            </w:tcBorders>
            <w:shd w:val="solid" w:color="FFFFFF" w:fill="auto"/>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(2 363.8)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(2 254.3)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(1 887.3)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(1 838.1)</w:t>
            </w:r>
          </w:p>
        </w:tc>
      </w:tr>
      <w:tr w:rsidR="004E6C32" w:rsidRPr="006A75A2" w:rsidTr="004B5CB1">
        <w:trPr>
          <w:trHeight w:val="119"/>
        </w:trPr>
        <w:tc>
          <w:tcPr>
            <w:tcW w:w="5160" w:type="dxa"/>
            <w:tcBorders>
              <w:top w:val="nil"/>
              <w:left w:val="nil"/>
              <w:bottom w:val="nil"/>
              <w:right w:val="nil"/>
            </w:tcBorders>
          </w:tcPr>
          <w:p w:rsidR="004E6C32" w:rsidRPr="006A75A2" w:rsidRDefault="004E6C32" w:rsidP="002D2F70">
            <w:pPr>
              <w:pStyle w:val="Tabletext"/>
              <w:rPr>
                <w:rFonts w:eastAsiaTheme="minorEastAsia"/>
                <w:sz w:val="18"/>
                <w:vertAlign w:val="superscript"/>
                <w:lang w:eastAsia="en-AU"/>
              </w:rPr>
            </w:pPr>
            <w:r w:rsidRPr="006A75A2">
              <w:rPr>
                <w:rFonts w:eastAsiaTheme="minorEastAsia"/>
                <w:sz w:val="18"/>
                <w:lang w:eastAsia="en-AU"/>
              </w:rPr>
              <w:t>Plus: Other movements in non-financial assets</w:t>
            </w:r>
            <w:r w:rsidRPr="006A75A2">
              <w:rPr>
                <w:rFonts w:eastAsiaTheme="minorEastAsia"/>
                <w:sz w:val="18"/>
                <w:vertAlign w:val="superscript"/>
                <w:lang w:eastAsia="en-AU"/>
              </w:rPr>
              <w:t>(c)</w:t>
            </w:r>
          </w:p>
        </w:tc>
        <w:tc>
          <w:tcPr>
            <w:tcW w:w="1120" w:type="dxa"/>
            <w:gridSpan w:val="3"/>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(645.4)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(114.5)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1 043.1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5 641.0</w:t>
            </w:r>
          </w:p>
        </w:tc>
      </w:tr>
      <w:tr w:rsidR="004E6C32" w:rsidRPr="006A75A2" w:rsidTr="004B5CB1">
        <w:tc>
          <w:tcPr>
            <w:tcW w:w="5160" w:type="dxa"/>
            <w:tcBorders>
              <w:top w:val="nil"/>
              <w:left w:val="nil"/>
              <w:bottom w:val="single" w:sz="6" w:space="0" w:color="auto"/>
              <w:right w:val="nil"/>
            </w:tcBorders>
          </w:tcPr>
          <w:p w:rsidR="004E6C32" w:rsidRPr="006A75A2" w:rsidRDefault="004E6C32" w:rsidP="002D2F70">
            <w:pPr>
              <w:pStyle w:val="Tabletext"/>
              <w:rPr>
                <w:rFonts w:eastAsiaTheme="minorEastAsia" w:cs="Calibri"/>
                <w:b/>
                <w:bCs/>
                <w:sz w:val="20"/>
                <w:vertAlign w:val="superscript"/>
                <w:lang w:eastAsia="en-AU"/>
              </w:rPr>
            </w:pPr>
            <w:r w:rsidRPr="006A75A2">
              <w:rPr>
                <w:rFonts w:eastAsiaTheme="minorEastAsia"/>
                <w:b/>
                <w:bCs/>
                <w:sz w:val="18"/>
                <w:lang w:eastAsia="en-AU"/>
              </w:rPr>
              <w:t>Less: Net acquisition of non-financial assets</w:t>
            </w:r>
            <w:r w:rsidRPr="006A75A2">
              <w:rPr>
                <w:rFonts w:eastAsiaTheme="minorEastAsia"/>
                <w:b/>
                <w:bCs/>
                <w:sz w:val="18"/>
                <w:vertAlign w:val="superscript"/>
                <w:lang w:eastAsia="en-AU"/>
              </w:rPr>
              <w:t>(</w:t>
            </w:r>
            <w:r w:rsidRPr="006A75A2">
              <w:rPr>
                <w:rFonts w:eastAsiaTheme="minorEastAsia" w:cs="Calibri"/>
                <w:b/>
                <w:bCs/>
                <w:sz w:val="20"/>
                <w:vertAlign w:val="superscript"/>
                <w:lang w:eastAsia="en-AU"/>
              </w:rPr>
              <w:t>c)</w:t>
            </w:r>
          </w:p>
        </w:tc>
        <w:tc>
          <w:tcPr>
            <w:tcW w:w="1120" w:type="dxa"/>
            <w:gridSpan w:val="3"/>
            <w:tcBorders>
              <w:top w:val="nil"/>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717.2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1 516.4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2 221.0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7 349.0</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8"/>
                <w:vertAlign w:val="superscript"/>
                <w:lang w:eastAsia="en-AU"/>
              </w:rPr>
            </w:pPr>
            <w:r w:rsidRPr="006A75A2">
              <w:rPr>
                <w:rFonts w:eastAsiaTheme="minorEastAsia"/>
                <w:b/>
                <w:bCs/>
                <w:sz w:val="18"/>
                <w:lang w:eastAsia="en-AU"/>
              </w:rPr>
              <w:t>Net lending/(borrowing)</w:t>
            </w:r>
          </w:p>
        </w:tc>
        <w:tc>
          <w:tcPr>
            <w:tcW w:w="1120" w:type="dxa"/>
            <w:gridSpan w:val="3"/>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1 259.0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(1 832.9)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(2 169.4)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(7 647.2)</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Pr>
        <w:pStyle w:val="Notes"/>
      </w:pPr>
      <w:r w:rsidRPr="006A75A2">
        <w:t>(b)</w:t>
      </w:r>
      <w:r w:rsidRPr="006A75A2">
        <w:tab/>
        <w:t>June 2013 comparative figures have been restated. See Note 37.</w:t>
      </w:r>
    </w:p>
    <w:p w:rsidR="004E6C32" w:rsidRPr="006A75A2" w:rsidRDefault="004E6C32" w:rsidP="004B5CB1">
      <w:pPr>
        <w:pStyle w:val="Notes"/>
      </w:pPr>
      <w:r w:rsidRPr="006A75A2">
        <w:t>(c)</w:t>
      </w:r>
      <w:r w:rsidRPr="006A75A2">
        <w:tab/>
        <w:t>June 2013 comparative figures have been restated to include the fixed asset transfers to and from the general government sector.</w:t>
      </w:r>
    </w:p>
    <w:p w:rsidR="004E6C32" w:rsidRPr="006A75A2" w:rsidRDefault="004E6C32" w:rsidP="004B5CB1">
      <w:pPr>
        <w:pStyle w:val="Heading2Notes"/>
        <w:rPr>
          <w:kern w:val="0"/>
        </w:rPr>
      </w:pPr>
    </w:p>
    <w:p w:rsidR="004E6C32" w:rsidRPr="006A75A2" w:rsidRDefault="004E6C32" w:rsidP="004B5CB1">
      <w:pPr>
        <w:pStyle w:val="Heading2NotesContd"/>
        <w:spacing w:before="120"/>
        <w:ind w:left="1151" w:hanging="1151"/>
        <w:rPr>
          <w:kern w:val="0"/>
        </w:rPr>
      </w:pPr>
    </w:p>
    <w:p w:rsidR="004E6C32" w:rsidRPr="006A75A2" w:rsidRDefault="004E6C32" w:rsidP="004B5CB1">
      <w:pPr>
        <w:pStyle w:val="million"/>
      </w:pPr>
    </w:p>
    <w:tbl>
      <w:tblPr>
        <w:tblW w:w="9640" w:type="dxa"/>
        <w:tblInd w:w="28" w:type="dxa"/>
        <w:tblLayout w:type="fixed"/>
        <w:tblCellMar>
          <w:left w:w="45" w:type="dxa"/>
          <w:right w:w="45" w:type="dxa"/>
        </w:tblCellMar>
        <w:tblLook w:val="0000" w:firstRow="0" w:lastRow="0" w:firstColumn="0" w:lastColumn="0" w:noHBand="0" w:noVBand="0"/>
      </w:tblPr>
      <w:tblGrid>
        <w:gridCol w:w="1606"/>
        <w:gridCol w:w="1607"/>
        <w:gridCol w:w="1607"/>
        <w:gridCol w:w="1606"/>
        <w:gridCol w:w="1607"/>
        <w:gridCol w:w="1607"/>
      </w:tblGrid>
      <w:tr w:rsidR="002E6139" w:rsidRPr="006A75A2" w:rsidTr="002E6139">
        <w:tc>
          <w:tcPr>
            <w:tcW w:w="3213" w:type="dxa"/>
            <w:gridSpan w:val="2"/>
            <w:tcBorders>
              <w:top w:val="single" w:sz="6" w:space="0" w:color="auto"/>
              <w:left w:val="single" w:sz="6" w:space="0" w:color="auto"/>
              <w:bottom w:val="nil"/>
              <w:right w:val="nil"/>
            </w:tcBorders>
            <w:shd w:val="clear" w:color="000000" w:fill="000000"/>
          </w:tcPr>
          <w:p w:rsidR="002E6139" w:rsidRPr="006A75A2" w:rsidRDefault="002E6139" w:rsidP="002E6139">
            <w:pPr>
              <w:pStyle w:val="Tabletext"/>
              <w:jc w:val="center"/>
              <w:rPr>
                <w:rFonts w:eastAsiaTheme="minorEastAsia"/>
                <w:i/>
                <w:sz w:val="18"/>
                <w:lang w:eastAsia="en-AU"/>
              </w:rPr>
            </w:pPr>
            <w:r w:rsidRPr="006A75A2">
              <w:rPr>
                <w:rFonts w:eastAsiaTheme="minorEastAsia"/>
                <w:i/>
                <w:sz w:val="18"/>
                <w:lang w:eastAsia="en-AU"/>
              </w:rPr>
              <w:t>Public</w:t>
            </w:r>
          </w:p>
          <w:p w:rsidR="002E6139" w:rsidRPr="006A75A2" w:rsidRDefault="002E6139" w:rsidP="004B5CB1">
            <w:pPr>
              <w:pStyle w:val="TabletextheadingCentred"/>
              <w:rPr>
                <w:rFonts w:eastAsiaTheme="minorEastAsia" w:cs="Calibri"/>
                <w:iCs/>
                <w:sz w:val="18"/>
                <w:lang w:eastAsia="en-AU"/>
              </w:rPr>
            </w:pPr>
            <w:r w:rsidRPr="006A75A2">
              <w:rPr>
                <w:rFonts w:eastAsiaTheme="minorEastAsia"/>
                <w:sz w:val="18"/>
                <w:lang w:eastAsia="en-AU"/>
              </w:rPr>
              <w:t>financial corporations</w:t>
            </w:r>
          </w:p>
        </w:tc>
        <w:tc>
          <w:tcPr>
            <w:tcW w:w="3213"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sz w:val="18"/>
                <w:lang w:eastAsia="en-AU"/>
              </w:rPr>
            </w:pPr>
          </w:p>
          <w:p w:rsidR="002E6139" w:rsidRPr="006A75A2" w:rsidRDefault="002E6139" w:rsidP="004B5CB1">
            <w:pPr>
              <w:pStyle w:val="TabletextheadingCentred"/>
              <w:rPr>
                <w:rFonts w:eastAsiaTheme="minorEastAsia" w:cs="Calibri"/>
                <w:iCs/>
                <w:sz w:val="20"/>
                <w:lang w:eastAsia="en-AU"/>
              </w:rPr>
            </w:pPr>
            <w:r w:rsidRPr="006A75A2">
              <w:rPr>
                <w:rFonts w:eastAsiaTheme="minorEastAsia" w:cs="Calibri"/>
                <w:iCs/>
                <w:sz w:val="18"/>
                <w:lang w:eastAsia="en-AU"/>
              </w:rPr>
              <w:t>Inter-sector eliminations</w:t>
            </w:r>
          </w:p>
        </w:tc>
        <w:tc>
          <w:tcPr>
            <w:tcW w:w="3214"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sz w:val="18"/>
                <w:lang w:eastAsia="en-AU"/>
              </w:rPr>
            </w:pPr>
          </w:p>
          <w:p w:rsidR="002E6139" w:rsidRPr="006A75A2" w:rsidRDefault="002E6139" w:rsidP="004B5CB1">
            <w:pPr>
              <w:pStyle w:val="TabletextheadingCentred"/>
            </w:pPr>
            <w:r w:rsidRPr="006A75A2">
              <w:rPr>
                <w:rFonts w:eastAsiaTheme="minorEastAsia"/>
                <w:sz w:val="18"/>
                <w:lang w:eastAsia="en-AU"/>
              </w:rPr>
              <w:t>State</w:t>
            </w:r>
            <w:r w:rsidRPr="006A75A2">
              <w:rPr>
                <w:sz w:val="18"/>
              </w:rPr>
              <w:t xml:space="preserve"> of Victoria</w:t>
            </w:r>
          </w:p>
        </w:tc>
      </w:tr>
      <w:tr w:rsidR="004E6C32" w:rsidRPr="006A75A2" w:rsidTr="004B5CB1">
        <w:tc>
          <w:tcPr>
            <w:tcW w:w="1606"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2014</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2014</w:t>
            </w:r>
          </w:p>
        </w:tc>
        <w:tc>
          <w:tcPr>
            <w:tcW w:w="160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2014</w:t>
            </w:r>
          </w:p>
        </w:tc>
        <w:tc>
          <w:tcPr>
            <w:tcW w:w="1607"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18"/>
                <w:lang w:eastAsia="en-AU"/>
              </w:rPr>
            </w:pPr>
            <w:r w:rsidRPr="006A75A2">
              <w:rPr>
                <w:rFonts w:eastAsiaTheme="minorEastAsia"/>
                <w:sz w:val="18"/>
                <w:lang w:eastAsia="en-AU"/>
              </w:rPr>
              <w:t>2013</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6"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(410.5)</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(346.0)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16 490.4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15 184.7</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2 498.9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2 388.6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(2 448.0)</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(2 196.1)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938.6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970.4</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805.5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460.1</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(424.7)</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(1 335.1)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914.7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610.9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3 895.3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3 723.3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(2 477.8)</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(2 611.2)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14 233.3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12 896.9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(2 772.2)</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(2 769.0)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25 019.1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21 790.4</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20.5</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20.7</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(76.2)</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2 750.2</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2 749.6</w:t>
            </w:r>
          </w:p>
        </w:tc>
      </w:tr>
      <w:tr w:rsidR="004E6C32" w:rsidRPr="006A75A2" w:rsidTr="004B5CB1">
        <w:trPr>
          <w:trHeight w:val="91"/>
        </w:trPr>
        <w:tc>
          <w:tcPr>
            <w:tcW w:w="1606"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7 220.1</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6 595.5</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(8 609.4)</w:t>
            </w:r>
          </w:p>
        </w:tc>
        <w:tc>
          <w:tcPr>
            <w:tcW w:w="1606"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(9 257.4)</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60 346.3</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54 203.0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6"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nil"/>
              <w:left w:val="nil"/>
              <w:bottom w:val="nil"/>
              <w:right w:val="nil"/>
            </w:tcBorders>
          </w:tcPr>
          <w:p w:rsidR="004E6C32" w:rsidRPr="006A75A2" w:rsidRDefault="004E6C32" w:rsidP="004B5CB1">
            <w:pPr>
              <w:pStyle w:val="TableofFigures"/>
              <w:rPr>
                <w:sz w:val="18"/>
              </w:rPr>
            </w:pPr>
          </w:p>
        </w:tc>
        <w:tc>
          <w:tcPr>
            <w:tcW w:w="1607" w:type="dxa"/>
            <w:tcBorders>
              <w:top w:val="nil"/>
              <w:left w:val="nil"/>
              <w:bottom w:val="nil"/>
              <w:right w:val="nil"/>
            </w:tcBorders>
          </w:tcPr>
          <w:p w:rsidR="004E6C32" w:rsidRPr="006A75A2" w:rsidRDefault="004E6C32" w:rsidP="004B5CB1">
            <w:pPr>
              <w:pStyle w:val="TableofFigures"/>
              <w:rPr>
                <w:sz w:val="18"/>
              </w:rPr>
            </w:pP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309.9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302.4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(343.1)</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(335.5)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19 037.6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18 794.9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18"/>
                <w:lang w:eastAsia="en-AU"/>
              </w:rPr>
            </w:pPr>
            <w:r w:rsidRPr="006A75A2">
              <w:rPr>
                <w:rFonts w:eastAsiaTheme="minorEastAsia"/>
                <w:sz w:val="18"/>
                <w:lang w:eastAsia="en-AU"/>
              </w:rPr>
              <w:t>1 054.7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1 076.8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23.6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23.3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1 998.9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2 040.1</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43.1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39.3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4 294.1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4 131.6</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2 092.4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1 957.9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(2 447.9)</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(2 196.1)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2 954.4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2 538.6</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5 507.4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5 234.0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(2 601.0)</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(2 248.6)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25 113.5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23 342.6</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(2 792.3)</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(2 822.6)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5 036.5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5 398.3</w:t>
            </w:r>
          </w:p>
        </w:tc>
      </w:tr>
      <w:tr w:rsidR="004E6C32" w:rsidRPr="006A75A2" w:rsidTr="004B5CB1">
        <w:trPr>
          <w:trHeight w:val="106"/>
        </w:trPr>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338.7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17.2</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(349.0)</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(128.1)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8 315.2</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7 574.0</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(8 533.3)</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(7 730.9)</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59 489.7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57 322.8</w:t>
            </w:r>
          </w:p>
        </w:tc>
      </w:tr>
      <w:tr w:rsidR="004E6C32" w:rsidRPr="006A75A2" w:rsidTr="004B5CB1">
        <w:tc>
          <w:tcPr>
            <w:tcW w:w="160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18"/>
                <w:lang w:eastAsia="en-AU"/>
              </w:rPr>
            </w:pPr>
            <w:r w:rsidRPr="006A75A2">
              <w:rPr>
                <w:rFonts w:eastAsiaTheme="minorEastAsia"/>
                <w:b/>
                <w:bCs/>
                <w:sz w:val="18"/>
                <w:lang w:eastAsia="en-AU"/>
              </w:rPr>
              <w:t>(1 095.0)</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(978.5)</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(76.1)</w:t>
            </w:r>
          </w:p>
        </w:tc>
        <w:tc>
          <w:tcPr>
            <w:tcW w:w="160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(1 526.5)</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856.6</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vertAlign w:val="superscript"/>
                <w:lang w:eastAsia="en-AU"/>
              </w:rPr>
            </w:pPr>
            <w:r w:rsidRPr="006A75A2">
              <w:rPr>
                <w:rFonts w:eastAsiaTheme="minorEastAsia"/>
                <w:b/>
                <w:bCs/>
                <w:sz w:val="18"/>
                <w:lang w:eastAsia="en-AU"/>
              </w:rPr>
              <w:t>(3 119.8)</w:t>
            </w:r>
            <w:r w:rsidRPr="006A75A2">
              <w:rPr>
                <w:rFonts w:eastAsiaTheme="minorEastAsia"/>
                <w:b/>
                <w:bCs/>
                <w:sz w:val="18"/>
                <w:vertAlign w:val="superscript"/>
                <w:lang w:eastAsia="en-AU"/>
              </w:rPr>
              <w:t>(a)</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6"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nil"/>
              <w:left w:val="nil"/>
              <w:bottom w:val="nil"/>
              <w:right w:val="nil"/>
            </w:tcBorders>
          </w:tcPr>
          <w:p w:rsidR="004E6C32" w:rsidRPr="006A75A2" w:rsidRDefault="004E6C32" w:rsidP="004B5CB1">
            <w:pPr>
              <w:pStyle w:val="TableofFigures"/>
              <w:rPr>
                <w:sz w:val="18"/>
              </w:rPr>
            </w:pPr>
          </w:p>
        </w:tc>
        <w:tc>
          <w:tcPr>
            <w:tcW w:w="1607" w:type="dxa"/>
            <w:tcBorders>
              <w:top w:val="nil"/>
              <w:left w:val="nil"/>
              <w:bottom w:val="nil"/>
              <w:right w:val="nil"/>
            </w:tcBorders>
          </w:tcPr>
          <w:p w:rsidR="004E6C32" w:rsidRPr="006A75A2" w:rsidRDefault="004E6C32" w:rsidP="004B5CB1">
            <w:pPr>
              <w:pStyle w:val="TableofFigures"/>
              <w:rPr>
                <w:sz w:val="18"/>
              </w:rPr>
            </w:pP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(0.4)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(0.1)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(12.7)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21.0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1 222.4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3 168.3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29.6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1 159.0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3 168.5</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(10.7)</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(10.6)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35.6</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(83.4)</w:t>
            </w:r>
          </w:p>
        </w:tc>
      </w:tr>
      <w:tr w:rsidR="004E6C32" w:rsidRPr="006A75A2" w:rsidTr="004B5CB1">
        <w:tc>
          <w:tcPr>
            <w:tcW w:w="1606" w:type="dxa"/>
            <w:tcBorders>
              <w:top w:val="nil"/>
              <w:left w:val="nil"/>
              <w:bottom w:val="nil"/>
              <w:right w:val="nil"/>
            </w:tcBorders>
          </w:tcPr>
          <w:p w:rsidR="00C96101" w:rsidRPr="006A75A2" w:rsidRDefault="00C96101" w:rsidP="004B5CB1">
            <w:pPr>
              <w:pStyle w:val="TableofFigures"/>
              <w:rPr>
                <w:rFonts w:eastAsiaTheme="minorEastAsia"/>
                <w:sz w:val="18"/>
                <w:lang w:eastAsia="en-AU"/>
              </w:rPr>
            </w:pPr>
          </w:p>
          <w:p w:rsidR="004E6C32" w:rsidRPr="006A75A2" w:rsidRDefault="00C96101" w:rsidP="004B5CB1">
            <w:pPr>
              <w:pStyle w:val="TableofFigures"/>
              <w:rPr>
                <w:rFonts w:eastAsiaTheme="minorEastAsia"/>
                <w:sz w:val="18"/>
                <w:lang w:eastAsia="en-AU"/>
              </w:rPr>
            </w:pPr>
            <w:r w:rsidRPr="006A75A2">
              <w:rPr>
                <w:rFonts w:eastAsiaTheme="minorEastAsia"/>
                <w:sz w:val="18"/>
                <w:lang w:eastAsia="en-AU"/>
              </w:rPr>
              <w:t xml:space="preserve"> 547.7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1 069.9</w:t>
            </w:r>
          </w:p>
        </w:tc>
        <w:tc>
          <w:tcPr>
            <w:tcW w:w="1607" w:type="dxa"/>
            <w:tcBorders>
              <w:top w:val="nil"/>
              <w:left w:val="nil"/>
              <w:bottom w:val="nil"/>
              <w:right w:val="nil"/>
            </w:tcBorders>
          </w:tcPr>
          <w:p w:rsidR="00C96101" w:rsidRPr="006A75A2" w:rsidRDefault="00C96101" w:rsidP="004B5CB1">
            <w:pPr>
              <w:pStyle w:val="TableofFigures"/>
              <w:rPr>
                <w:rFonts w:eastAsiaTheme="minorEastAsia"/>
                <w:sz w:val="18"/>
                <w:lang w:eastAsia="en-AU"/>
              </w:rPr>
            </w:pPr>
          </w:p>
          <w:p w:rsidR="004E6C32" w:rsidRPr="006A75A2" w:rsidRDefault="00C96101" w:rsidP="004B5CB1">
            <w:pPr>
              <w:pStyle w:val="TableofFigures"/>
              <w:rPr>
                <w:rFonts w:eastAsiaTheme="minorEastAsia"/>
                <w:sz w:val="18"/>
                <w:lang w:eastAsia="en-AU"/>
              </w:rPr>
            </w:pPr>
            <w:r w:rsidRPr="006A75A2">
              <w:rPr>
                <w:rFonts w:eastAsiaTheme="minorEastAsia"/>
                <w:sz w:val="18"/>
                <w:lang w:eastAsia="en-AU"/>
              </w:rPr>
              <w:t xml:space="preserve"> 221.6</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694.6</w:t>
            </w:r>
          </w:p>
        </w:tc>
        <w:tc>
          <w:tcPr>
            <w:tcW w:w="1607" w:type="dxa"/>
            <w:tcBorders>
              <w:top w:val="nil"/>
              <w:left w:val="nil"/>
              <w:bottom w:val="nil"/>
              <w:right w:val="nil"/>
            </w:tcBorders>
          </w:tcPr>
          <w:p w:rsidR="00C96101" w:rsidRPr="006A75A2" w:rsidRDefault="00C96101" w:rsidP="004B5CB1">
            <w:pPr>
              <w:pStyle w:val="TableofFigures"/>
              <w:rPr>
                <w:rFonts w:eastAsiaTheme="minorEastAsia"/>
                <w:sz w:val="18"/>
                <w:lang w:eastAsia="en-AU"/>
              </w:rPr>
            </w:pPr>
          </w:p>
          <w:p w:rsidR="004E6C32" w:rsidRPr="006A75A2" w:rsidRDefault="00C96101" w:rsidP="004B5CB1">
            <w:pPr>
              <w:pStyle w:val="TableofFigures"/>
              <w:rPr>
                <w:rFonts w:eastAsiaTheme="minorEastAsia" w:cs="Calibri"/>
                <w:sz w:val="20"/>
                <w:lang w:eastAsia="en-AU"/>
              </w:rPr>
            </w:pPr>
            <w:r w:rsidRPr="006A75A2">
              <w:rPr>
                <w:rFonts w:eastAsiaTheme="minorEastAsia"/>
                <w:sz w:val="18"/>
                <w:lang w:eastAsia="en-AU"/>
              </w:rPr>
              <w:t>( 379.2)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1 549.7</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1 769.6</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4 238.1</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210.9</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713.6</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802.7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4 655.8</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674.5</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3 259.7</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134.8</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(812.9)</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1 659.3</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1 536.0</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6" w:type="dxa"/>
            <w:tcBorders>
              <w:top w:val="single" w:sz="6" w:space="0" w:color="auto"/>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sz w:val="18"/>
              </w:rPr>
            </w:pPr>
          </w:p>
        </w:tc>
        <w:tc>
          <w:tcPr>
            <w:tcW w:w="1607" w:type="dxa"/>
            <w:tcBorders>
              <w:top w:val="single" w:sz="6" w:space="0" w:color="auto"/>
              <w:left w:val="nil"/>
              <w:bottom w:val="nil"/>
              <w:right w:val="nil"/>
            </w:tcBorders>
          </w:tcPr>
          <w:p w:rsidR="004E6C32" w:rsidRPr="006A75A2" w:rsidRDefault="004E6C32" w:rsidP="004B5CB1">
            <w:pPr>
              <w:pStyle w:val="TableofFigures"/>
              <w:rPr>
                <w:sz w:val="18"/>
              </w:rPr>
            </w:pP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6" w:type="dxa"/>
            <w:tcBorders>
              <w:top w:val="nil"/>
              <w:left w:val="nil"/>
              <w:bottom w:val="nil"/>
              <w:right w:val="nil"/>
            </w:tcBorders>
          </w:tcPr>
          <w:p w:rsidR="004E6C32" w:rsidRPr="006A75A2" w:rsidRDefault="004E6C32" w:rsidP="004B5CB1">
            <w:pPr>
              <w:pStyle w:val="TableofFigures"/>
              <w:rPr>
                <w:sz w:val="18"/>
              </w:rPr>
            </w:pPr>
            <w:r w:rsidRPr="006A75A2">
              <w:rPr>
                <w:sz w:val="18"/>
              </w:rPr>
              <w:t xml:space="preserve">  </w:t>
            </w:r>
          </w:p>
        </w:tc>
        <w:tc>
          <w:tcPr>
            <w:tcW w:w="1607" w:type="dxa"/>
            <w:tcBorders>
              <w:top w:val="nil"/>
              <w:left w:val="nil"/>
              <w:bottom w:val="nil"/>
              <w:right w:val="nil"/>
            </w:tcBorders>
          </w:tcPr>
          <w:p w:rsidR="004E6C32" w:rsidRPr="006A75A2" w:rsidRDefault="004E6C32" w:rsidP="004B5CB1">
            <w:pPr>
              <w:pStyle w:val="TableofFigures"/>
              <w:rPr>
                <w:sz w:val="18"/>
              </w:rPr>
            </w:pPr>
          </w:p>
        </w:tc>
        <w:tc>
          <w:tcPr>
            <w:tcW w:w="1607" w:type="dxa"/>
            <w:tcBorders>
              <w:top w:val="nil"/>
              <w:left w:val="nil"/>
              <w:bottom w:val="nil"/>
              <w:right w:val="nil"/>
            </w:tcBorders>
          </w:tcPr>
          <w:p w:rsidR="004E6C32" w:rsidRPr="006A75A2" w:rsidRDefault="004E6C32" w:rsidP="004B5CB1">
            <w:pPr>
              <w:pStyle w:val="TableofFigures"/>
              <w:rPr>
                <w:sz w:val="18"/>
              </w:rPr>
            </w:pP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(12.9)</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173.7</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(72.1)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5 211.5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514.5</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(261.9)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7 989.8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r w:rsidRPr="006A75A2">
              <w:rPr>
                <w:rFonts w:eastAsiaTheme="minorEastAsia"/>
                <w:sz w:val="18"/>
                <w:lang w:eastAsia="en-AU"/>
              </w:rPr>
              <w:br/>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(3 813.8)</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497.7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12.4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33.5</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71.6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860.4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650.2</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(8.6)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84.0</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sz w:val="20"/>
                <w:lang w:eastAsia="en-AU"/>
              </w:rPr>
            </w:pPr>
            <w:r w:rsidRPr="006A75A2">
              <w:rPr>
                <w:rFonts w:eastAsiaTheme="minorEastAsia"/>
                <w:b/>
                <w:sz w:val="18"/>
                <w:lang w:eastAsia="en-AU"/>
              </w:rPr>
              <w:t>(0.5)</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sz w:val="20"/>
                <w:lang w:eastAsia="en-AU"/>
              </w:rPr>
            </w:pPr>
            <w:r w:rsidRPr="006A75A2">
              <w:rPr>
                <w:rFonts w:eastAsiaTheme="minorEastAsia"/>
                <w:b/>
                <w:sz w:val="18"/>
                <w:lang w:eastAsia="en-AU"/>
              </w:rPr>
              <w:t>(1.0)</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(3 606.6)</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 xml:space="preserve"> 497.2</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sz w:val="18"/>
                <w:lang w:eastAsia="en-AU"/>
              </w:rPr>
            </w:pPr>
            <w:r w:rsidRPr="006A75A2">
              <w:rPr>
                <w:rFonts w:eastAsiaTheme="minorEastAsia"/>
                <w:b/>
                <w:sz w:val="18"/>
                <w:lang w:eastAsia="en-AU"/>
              </w:rPr>
              <w:t>5 801.4</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8"/>
                <w:lang w:eastAsia="en-AU"/>
              </w:rPr>
            </w:pPr>
            <w:r w:rsidRPr="006A75A2">
              <w:rPr>
                <w:rFonts w:eastAsiaTheme="minorEastAsia"/>
                <w:b/>
                <w:sz w:val="18"/>
                <w:lang w:eastAsia="en-AU"/>
              </w:rPr>
              <w:t>9 238.5</w:t>
            </w:r>
          </w:p>
        </w:tc>
      </w:tr>
      <w:tr w:rsidR="004E6C32" w:rsidRPr="006A75A2" w:rsidTr="004B5CB1">
        <w:tc>
          <w:tcPr>
            <w:tcW w:w="160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674.0</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3 258.7</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18"/>
                <w:lang w:eastAsia="en-AU"/>
              </w:rPr>
            </w:pPr>
            <w:r w:rsidRPr="006A75A2">
              <w:rPr>
                <w:rFonts w:eastAsiaTheme="minorEastAsia"/>
                <w:b/>
                <w:bCs/>
                <w:sz w:val="18"/>
                <w:lang w:eastAsia="en-AU"/>
              </w:rPr>
              <w:t>(3 471.8)</w:t>
            </w:r>
          </w:p>
        </w:tc>
        <w:tc>
          <w:tcPr>
            <w:tcW w:w="160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(315.7)</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7 460.7</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10 774.5</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cs="Calibri"/>
                <w:b/>
                <w:bCs/>
                <w:sz w:val="18"/>
                <w:lang w:eastAsia="en-AU"/>
              </w:rPr>
            </w:pPr>
            <w:r w:rsidRPr="006A75A2">
              <w:rPr>
                <w:rFonts w:eastAsiaTheme="minorEastAsia"/>
                <w:b/>
                <w:bCs/>
                <w:sz w:val="18"/>
                <w:lang w:eastAsia="en-AU"/>
              </w:rPr>
              <w:t>(1 095.0)</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(978.5)</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(76.1)</w:t>
            </w:r>
          </w:p>
        </w:tc>
        <w:tc>
          <w:tcPr>
            <w:tcW w:w="1606"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(1 526.5)</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856.6</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8"/>
                <w:vertAlign w:val="superscript"/>
                <w:lang w:eastAsia="en-AU"/>
              </w:rPr>
            </w:pPr>
            <w:r w:rsidRPr="006A75A2">
              <w:rPr>
                <w:rFonts w:eastAsiaTheme="minorEastAsia"/>
                <w:b/>
                <w:bCs/>
                <w:sz w:val="18"/>
                <w:lang w:eastAsia="en-AU"/>
              </w:rPr>
              <w:t>(3 119.8)</w:t>
            </w:r>
            <w:r w:rsidRPr="006A75A2">
              <w:rPr>
                <w:rFonts w:eastAsiaTheme="minorEastAsia"/>
                <w:b/>
                <w:bCs/>
                <w:sz w:val="18"/>
                <w:vertAlign w:val="superscript"/>
                <w:lang w:eastAsia="en-AU"/>
              </w:rPr>
              <w:t>(a)</w:t>
            </w:r>
          </w:p>
        </w:tc>
      </w:tr>
      <w:tr w:rsidR="004E6C32" w:rsidRPr="006A75A2" w:rsidTr="004B5CB1">
        <w:trPr>
          <w:trHeight w:val="106"/>
        </w:trPr>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8"/>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37.3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74.4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(312.2)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7 306.0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7 597.8</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(19.0)</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(1.9)</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(496.4)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(406.3)</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(43.1)</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(39.3)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(4 294.1)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(4 131.6)</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 w:val="20"/>
                <w:lang w:eastAsia="en-AU"/>
              </w:rPr>
            </w:pPr>
            <w:r w:rsidRPr="006A75A2">
              <w:rPr>
                <w:rFonts w:eastAsiaTheme="minorEastAsia"/>
                <w:sz w:val="18"/>
                <w:lang w:eastAsia="en-AU"/>
              </w:rPr>
              <w:t>(51.4)</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 xml:space="preserve"> 346.4</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8"/>
                <w:lang w:eastAsia="en-AU"/>
              </w:rPr>
            </w:pPr>
            <w:r w:rsidRPr="006A75A2">
              <w:rPr>
                <w:rFonts w:eastAsiaTheme="minorEastAsia"/>
                <w:sz w:val="18"/>
                <w:lang w:eastAsia="en-AU"/>
              </w:rPr>
              <w:t>5 526.4</w:t>
            </w:r>
          </w:p>
        </w:tc>
      </w:tr>
      <w:tr w:rsidR="004E6C32" w:rsidRPr="006A75A2" w:rsidTr="004B5CB1">
        <w:trPr>
          <w:trHeight w:val="106"/>
        </w:trPr>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(24.9)</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 xml:space="preserve"> 33.2</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(51.4)</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(312.3)</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2 861.9</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8 586.3</w:t>
            </w:r>
          </w:p>
        </w:tc>
      </w:tr>
      <w:tr w:rsidR="004E6C32" w:rsidRPr="006A75A2" w:rsidTr="004B5CB1">
        <w:trPr>
          <w:trHeight w:val="91"/>
        </w:trPr>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18"/>
                <w:lang w:eastAsia="en-AU"/>
              </w:rPr>
              <w:t>(1 070.1)</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1"/>
                <w:szCs w:val="21"/>
                <w:lang w:eastAsia="en-AU"/>
              </w:rPr>
            </w:pPr>
            <w:r w:rsidRPr="006A75A2">
              <w:rPr>
                <w:rFonts w:eastAsiaTheme="minorEastAsia"/>
                <w:b/>
                <w:bCs/>
                <w:sz w:val="21"/>
                <w:szCs w:val="21"/>
                <w:lang w:eastAsia="en-AU"/>
              </w:rPr>
              <w:t xml:space="preserve">(1 </w:t>
            </w:r>
            <w:r w:rsidRPr="006A75A2">
              <w:rPr>
                <w:rFonts w:eastAsiaTheme="minorEastAsia" w:cs="Calibri"/>
                <w:b/>
                <w:bCs/>
                <w:sz w:val="21"/>
                <w:szCs w:val="21"/>
                <w:lang w:eastAsia="en-AU"/>
              </w:rPr>
              <w:t>011.7)</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lang w:eastAsia="en-AU"/>
              </w:rPr>
            </w:pPr>
            <w:r w:rsidRPr="006A75A2">
              <w:rPr>
                <w:rFonts w:eastAsiaTheme="minorEastAsia"/>
                <w:b/>
                <w:bCs/>
                <w:sz w:val="21"/>
                <w:szCs w:val="21"/>
                <w:lang w:eastAsia="en-AU"/>
              </w:rPr>
              <w:t>(24.8)</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(1 214.3)</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(2 005.3)</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8"/>
                <w:lang w:eastAsia="en-AU"/>
              </w:rPr>
            </w:pPr>
            <w:r w:rsidRPr="006A75A2">
              <w:rPr>
                <w:rFonts w:eastAsiaTheme="minorEastAsia"/>
                <w:b/>
                <w:bCs/>
                <w:sz w:val="18"/>
                <w:lang w:eastAsia="en-AU"/>
              </w:rPr>
              <w:t>(11 706.1)</w:t>
            </w:r>
          </w:p>
        </w:tc>
      </w:tr>
    </w:tbl>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2:</w:t>
      </w:r>
      <w:r w:rsidRPr="006A75A2">
        <w:rPr>
          <w:kern w:val="0"/>
        </w:rPr>
        <w:tab/>
        <w:t>Disaggregated balance sheet as at 30 June</w:t>
      </w:r>
    </w:p>
    <w:p w:rsidR="004E6C32" w:rsidRPr="006A75A2" w:rsidRDefault="004E6C32" w:rsidP="004B5CB1">
      <w:pPr>
        <w:pStyle w:val="million"/>
        <w:rPr>
          <w:rFonts w:ascii="Times New Roman" w:hAnsi="Times New Roman"/>
          <w:b/>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Public non-financial corporations</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4 500.9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3 962.0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984.5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797.9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Advances paid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4 586.9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4 626.8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50.4</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pPr>
            <w:r w:rsidRPr="006A75A2">
              <w:rPr>
                <w:rFonts w:eastAsiaTheme="minorEastAsia"/>
                <w:lang w:eastAsia="en-AU"/>
              </w:rPr>
              <w:t>Receivables</w:t>
            </w:r>
            <w:r w:rsidRPr="006A75A2">
              <w:rPr>
                <w:vertAlign w:val="superscript"/>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4 940.6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5 061.0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1 443.6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1 312.3</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pPr>
            <w:r w:rsidRPr="006A75A2">
              <w:rPr>
                <w:rFonts w:eastAsiaTheme="minorEastAsia"/>
                <w:lang w:eastAsia="en-AU"/>
              </w:rPr>
              <w:t>Investments, loans and placements</w:t>
            </w:r>
            <w:r w:rsidRPr="006A75A2">
              <w:rPr>
                <w:vertAlign w:val="superscript"/>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3 117.6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3 383.4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979.0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1 056.2</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Loans receivable from non-financial public sector</w:t>
            </w:r>
            <w:r w:rsidRPr="006A75A2">
              <w:rPr>
                <w:rFonts w:eastAsiaTheme="minorEastAsia"/>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Investments accounted for using the equity method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1 243.2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1 319.2</w:t>
            </w:r>
          </w:p>
        </w:tc>
      </w:tr>
      <w:tr w:rsidR="004E6C32" w:rsidRPr="006A75A2" w:rsidTr="004B5CB1">
        <w:tc>
          <w:tcPr>
            <w:tcW w:w="5160" w:type="dxa"/>
            <w:tcBorders>
              <w:top w:val="nil"/>
              <w:left w:val="nil"/>
              <w:bottom w:val="single" w:sz="6" w:space="0" w:color="auto"/>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Investments in other sector entities</w:t>
            </w:r>
            <w:r w:rsidRPr="006A75A2">
              <w:rPr>
                <w:rFonts w:eastAsiaTheme="minorEastAsia"/>
                <w:vertAlign w:val="superscript"/>
                <w:lang w:eastAsia="en-AU"/>
              </w:rPr>
              <w:t>(a)</w:t>
            </w:r>
            <w:r w:rsidRPr="006A75A2">
              <w:rPr>
                <w:rFonts w:eastAsiaTheme="minorEastAsia" w:cs="Calibri"/>
                <w:szCs w:val="22"/>
                <w:vertAlign w:val="superscript"/>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75 869.2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69 714.8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2D2F70">
            <w:pPr>
              <w:pStyle w:val="Tabletext"/>
              <w:rPr>
                <w:rFonts w:eastAsiaTheme="minorEastAsia" w:cs="Calibri"/>
                <w:b/>
                <w:bCs/>
                <w:szCs w:val="22"/>
                <w:vertAlign w:val="superscript"/>
                <w:lang w:eastAsia="en-AU"/>
              </w:rPr>
            </w:pPr>
            <w:r w:rsidRPr="006A75A2">
              <w:rPr>
                <w:rFonts w:eastAsiaTheme="minorEastAsia"/>
                <w:b/>
                <w:bCs/>
                <w:lang w:eastAsia="en-AU"/>
              </w:rPr>
              <w:t>Total financial assets</w:t>
            </w:r>
            <w:r w:rsidRPr="006A75A2">
              <w:rPr>
                <w:rFonts w:eastAsiaTheme="minorEastAsia"/>
                <w:b/>
                <w:bCs/>
                <w:vertAlign w:val="superscript"/>
                <w:lang w:eastAsia="en-AU"/>
              </w:rPr>
              <w:t>(a)</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93 059.4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86 797.4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4 704.2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4 536.0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Non-financial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Inventories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192.1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625.6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678.9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Non-financial assets held for sale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142.5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142.1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Land, buildings, infrastructure, plant and equipment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103 644.2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100 804.0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93 410.2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88 605.2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non-financial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1 204.8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954.3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1 302.5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1 080.2</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non-financial assets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105 168.0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102 092.5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95 361.4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90 368.7</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b/>
                <w:bCs/>
                <w:szCs w:val="22"/>
                <w:vertAlign w:val="superscript"/>
                <w:lang w:eastAsia="en-AU"/>
              </w:rPr>
            </w:pPr>
            <w:r w:rsidRPr="006A75A2">
              <w:rPr>
                <w:rFonts w:eastAsiaTheme="minorEastAsia"/>
                <w:b/>
                <w:bCs/>
                <w:lang w:eastAsia="en-AU"/>
              </w:rPr>
              <w:t>Total assets</w:t>
            </w:r>
            <w:r w:rsidRPr="006A75A2">
              <w:rPr>
                <w:rFonts w:eastAsiaTheme="minorEastAsia"/>
                <w:b/>
                <w:bCs/>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198 227.4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188 889.9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100 065.6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94 904.7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Deposits held and advances received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426.5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449.0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420.0</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pPr>
            <w:r w:rsidRPr="006A75A2">
              <w:rPr>
                <w:rFonts w:eastAsiaTheme="minorEastAsia"/>
                <w:lang w:eastAsia="en-AU"/>
              </w:rPr>
              <w:t>Payables</w:t>
            </w:r>
            <w:r w:rsidRPr="006A75A2">
              <w:rPr>
                <w:vertAlign w:val="superscript"/>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5 746.5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5 958.4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1 645.7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1 568.6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Borrowings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32 953.6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31 345.3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16 369.6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16 249.7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Employee benefits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5 302.7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5 208.8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354.6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326.4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Superannuation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25 680.7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25 142.5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83.0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provisions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603.3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8 272.7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8 491.5</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70 740.6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68 707.4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27 092.4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27 139.2</w:t>
            </w:r>
          </w:p>
        </w:tc>
      </w:tr>
      <w:tr w:rsidR="004E6C32" w:rsidRPr="006A75A2" w:rsidTr="004B5CB1">
        <w:tc>
          <w:tcPr>
            <w:tcW w:w="5160" w:type="dxa"/>
            <w:tcBorders>
              <w:top w:val="single" w:sz="6" w:space="0" w:color="auto"/>
              <w:left w:val="nil"/>
              <w:bottom w:val="single" w:sz="12" w:space="0" w:color="auto"/>
              <w:right w:val="nil"/>
            </w:tcBorders>
          </w:tcPr>
          <w:p w:rsidR="004E6C32" w:rsidRPr="006A75A2" w:rsidRDefault="004E6C32" w:rsidP="002D2F70">
            <w:pPr>
              <w:pStyle w:val="Tabletext"/>
              <w:rPr>
                <w:rFonts w:eastAsiaTheme="minorEastAsia" w:cs="Calibri"/>
                <w:b/>
                <w:bCs/>
                <w:szCs w:val="22"/>
                <w:vertAlign w:val="superscript"/>
                <w:lang w:eastAsia="en-AU"/>
              </w:rPr>
            </w:pPr>
            <w:r w:rsidRPr="006A75A2">
              <w:rPr>
                <w:rFonts w:eastAsiaTheme="minorEastAsia"/>
                <w:b/>
                <w:bCs/>
                <w:lang w:eastAsia="en-AU"/>
              </w:rPr>
              <w:t>Net assets</w:t>
            </w:r>
            <w:r w:rsidRPr="006A75A2">
              <w:rPr>
                <w:rFonts w:eastAsiaTheme="minorEastAsia"/>
                <w:b/>
                <w:bCs/>
                <w:vertAlign w:val="superscript"/>
                <w:lang w:eastAsia="en-AU"/>
              </w:rPr>
              <w:t>(a)</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127 486.9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120 182.6</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72 973.2</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67 765.5</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Accumulated surplus/(deficit)</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44 410.0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43 174.7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5 094.5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5 088.6</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pPr>
            <w:r w:rsidRPr="006A75A2">
              <w:rPr>
                <w:rFonts w:eastAsiaTheme="minorEastAsia"/>
                <w:lang w:eastAsia="en-AU"/>
              </w:rPr>
              <w:t>Other reserves</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83 026.9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76 957.9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67 878.7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62 676.9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Non-controlling interest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12" w:space="0" w:color="auto"/>
              <w:right w:val="nil"/>
            </w:tcBorders>
          </w:tcPr>
          <w:p w:rsidR="004E6C32" w:rsidRPr="006A75A2" w:rsidRDefault="004E6C32" w:rsidP="002D2F70">
            <w:pPr>
              <w:pStyle w:val="Tabletext"/>
              <w:rPr>
                <w:rFonts w:eastAsiaTheme="minorEastAsia" w:cs="Calibri"/>
                <w:b/>
                <w:bCs/>
                <w:szCs w:val="22"/>
                <w:vertAlign w:val="superscript"/>
                <w:lang w:eastAsia="en-AU"/>
              </w:rPr>
            </w:pPr>
            <w:r w:rsidRPr="006A75A2">
              <w:rPr>
                <w:rFonts w:eastAsiaTheme="minorEastAsia"/>
                <w:b/>
                <w:bCs/>
                <w:lang w:eastAsia="en-AU"/>
              </w:rPr>
              <w:t>Net worth</w:t>
            </w:r>
            <w:r w:rsidRPr="006A75A2">
              <w:rPr>
                <w:rFonts w:eastAsiaTheme="minorEastAsia"/>
                <w:b/>
                <w:bCs/>
                <w:vertAlign w:val="superscript"/>
                <w:lang w:eastAsia="en-AU"/>
              </w:rPr>
              <w:t>(a)(c)</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127 486.9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120 182.6</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72 973.2</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67 765.5</w:t>
            </w:r>
          </w:p>
        </w:tc>
      </w:tr>
      <w:tr w:rsidR="004E6C32" w:rsidRPr="006A75A2" w:rsidTr="004B5CB1">
        <w:trPr>
          <w:trHeight w:hRule="exact" w:val="120"/>
        </w:trPr>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FISCAL AGGREGATES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Net financial worth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22 318.8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18 090.1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(22 388.3)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(22 603.2)</w:t>
            </w:r>
          </w:p>
        </w:tc>
      </w:tr>
      <w:tr w:rsidR="004E6C32" w:rsidRPr="006A75A2" w:rsidTr="004B5CB1">
        <w:tc>
          <w:tcPr>
            <w:tcW w:w="5160" w:type="dxa"/>
            <w:tcBorders>
              <w:top w:val="nil"/>
              <w:left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financial liabilities</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53 550.4</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51 624.7</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22 388.3</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22 603.2</w:t>
            </w:r>
          </w:p>
        </w:tc>
      </w:tr>
      <w:tr w:rsidR="004E6C32" w:rsidRPr="006A75A2" w:rsidTr="004B5CB1">
        <w:tc>
          <w:tcPr>
            <w:tcW w:w="5160"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Net debt </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21 174.6</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19 822.1</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14 753.8</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14 765.3</w:t>
            </w:r>
          </w:p>
        </w:tc>
      </w:tr>
    </w:tbl>
    <w:p w:rsidR="004E6C32" w:rsidRPr="006A75A2" w:rsidRDefault="004E6C32" w:rsidP="004B5CB1">
      <w:pPr>
        <w:pStyle w:val="Notes"/>
      </w:pPr>
      <w:r w:rsidRPr="006A75A2">
        <w:t>Notes:</w:t>
      </w:r>
    </w:p>
    <w:p w:rsidR="004E6C32" w:rsidRPr="006A75A2" w:rsidRDefault="004E6C32" w:rsidP="004E6C32">
      <w:pPr>
        <w:pStyle w:val="Notes"/>
        <w:numPr>
          <w:ilvl w:val="0"/>
          <w:numId w:val="14"/>
        </w:numPr>
      </w:pPr>
      <w:r w:rsidRPr="006A75A2">
        <w:t>June 2013 comparati</w:t>
      </w:r>
      <w:r w:rsidR="002D2F70" w:rsidRPr="006A75A2">
        <w:t xml:space="preserve">ve figures have been restated. </w:t>
      </w:r>
      <w:r w:rsidRPr="006A75A2">
        <w:t xml:space="preserve">See Note 37. </w:t>
      </w:r>
    </w:p>
    <w:p w:rsidR="004E6C32" w:rsidRPr="006A75A2" w:rsidRDefault="004E6C32" w:rsidP="004E6C32">
      <w:pPr>
        <w:pStyle w:val="Notes"/>
        <w:numPr>
          <w:ilvl w:val="0"/>
          <w:numId w:val="14"/>
        </w:numPr>
      </w:pPr>
      <w:r w:rsidRPr="006A75A2">
        <w:t>Loans receivable from the non-financial public sector are reported at amortised cost.</w:t>
      </w:r>
    </w:p>
    <w:p w:rsidR="004E6C32" w:rsidRPr="006A75A2" w:rsidRDefault="004E6C32" w:rsidP="004E6C32">
      <w:pPr>
        <w:pStyle w:val="Notes"/>
        <w:numPr>
          <w:ilvl w:val="0"/>
          <w:numId w:val="14"/>
        </w:numPr>
      </w:pPr>
      <w:r w:rsidRPr="006A75A2">
        <w:t>The net assets and net worth of the public financial corporations sector incorporates the impact of Treasury Corporation of Victoria</w:t>
      </w:r>
      <w:r w:rsidR="00C96101" w:rsidRPr="006A75A2">
        <w:t>’</w:t>
      </w:r>
      <w:r w:rsidRPr="006A75A2">
        <w:t>s external loan liabilities being reported at market value while the corresponding assets, that is lending to the non-financial public sector, being reported at amortised cost. This mismatch has contributed to the negative net asset position of the sector.</w:t>
      </w: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p>
    <w:p w:rsidR="004E6C32" w:rsidRPr="006A75A2" w:rsidRDefault="004E6C32" w:rsidP="004B5CB1">
      <w:pPr>
        <w:pStyle w:val="million"/>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606"/>
        <w:gridCol w:w="1607"/>
        <w:gridCol w:w="1607"/>
        <w:gridCol w:w="1606"/>
        <w:gridCol w:w="1607"/>
        <w:gridCol w:w="1607"/>
      </w:tblGrid>
      <w:tr w:rsidR="002E6139" w:rsidRPr="006A75A2" w:rsidTr="002E6139">
        <w:tc>
          <w:tcPr>
            <w:tcW w:w="3213" w:type="dxa"/>
            <w:gridSpan w:val="2"/>
            <w:tcBorders>
              <w:top w:val="single" w:sz="6" w:space="0" w:color="auto"/>
              <w:left w:val="single" w:sz="6" w:space="0" w:color="auto"/>
              <w:bottom w:val="nil"/>
              <w:right w:val="nil"/>
            </w:tcBorders>
            <w:shd w:val="clear" w:color="000000" w:fill="000000"/>
          </w:tcPr>
          <w:p w:rsidR="002E6139" w:rsidRPr="006A75A2" w:rsidRDefault="002E6139" w:rsidP="002E6139">
            <w:pPr>
              <w:pStyle w:val="Tabletext"/>
              <w:jc w:val="center"/>
              <w:rPr>
                <w:rFonts w:eastAsiaTheme="minorEastAsia"/>
                <w:i/>
                <w:lang w:eastAsia="en-AU"/>
              </w:rPr>
            </w:pPr>
            <w:r w:rsidRPr="006A75A2">
              <w:rPr>
                <w:rFonts w:eastAsiaTheme="minorEastAsia"/>
                <w:i/>
                <w:lang w:eastAsia="en-AU"/>
              </w:rPr>
              <w:t>Public</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financial corporations</w:t>
            </w:r>
          </w:p>
        </w:tc>
        <w:tc>
          <w:tcPr>
            <w:tcW w:w="3213"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cs="Calibri"/>
                <w:iCs/>
                <w:szCs w:val="22"/>
                <w:lang w:eastAsia="en-AU"/>
              </w:rPr>
            </w:pPr>
            <w:r w:rsidRPr="006A75A2">
              <w:rPr>
                <w:rFonts w:eastAsiaTheme="minorEastAsia"/>
                <w:lang w:eastAsia="en-AU"/>
              </w:rPr>
              <w:t>Inter-sector eliminations</w:t>
            </w:r>
          </w:p>
        </w:tc>
        <w:tc>
          <w:tcPr>
            <w:tcW w:w="3214"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pPr>
            <w:r w:rsidRPr="006A75A2">
              <w:rPr>
                <w:rFonts w:eastAsiaTheme="minorEastAsia"/>
                <w:lang w:eastAsia="en-AU"/>
              </w:rPr>
              <w:t>State</w:t>
            </w:r>
            <w:r w:rsidRPr="006A75A2">
              <w:t xml:space="preserve"> of Victoria</w:t>
            </w:r>
          </w:p>
        </w:tc>
      </w:tr>
      <w:tr w:rsidR="004E6C32" w:rsidRPr="006A75A2" w:rsidTr="004B5CB1">
        <w:tc>
          <w:tcPr>
            <w:tcW w:w="1606"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ofFigures"/>
              <w:rPr>
                <w:rFonts w:eastAsiaTheme="minorEastAsia"/>
                <w:i/>
                <w:lang w:eastAsia="en-AU"/>
              </w:rPr>
            </w:pPr>
            <w:r w:rsidRPr="006A75A2">
              <w:rPr>
                <w:rFonts w:eastAsiaTheme="minorEastAsia"/>
                <w:i/>
                <w:lang w:eastAsia="en-AU"/>
              </w:rPr>
              <w:t>2014</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2013 </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7"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2013 </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5 691.4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4 158.4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(2 976.1)</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(2 665.4)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8 200.7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6 252.9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1 727.9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1 674.5</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(4 573.7)</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(4 624.4)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1 795.1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1 727.3</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1 432.1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2 653.3</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(1 419.8)</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(1 623.7)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6 396.5</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7 402.9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27 390.4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24 096.1</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(1 718.3)</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(2 407.1)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29 768.8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26 128.7</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35 585.9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33 501.6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(35 585.9)</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(33 501.6)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267.8</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297.4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1 555.1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1 666.1</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(75 869.2)</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(69 714.8)</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71 827.8</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66 083.9</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(121 875.2)</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(114 239.6)</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47 716.2</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43 177.7</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802.2</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871.0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166.6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173.0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197 137.0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189 473.0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1 104.8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1 710.2</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(1 154.1)</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(1 691.6)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2 458.1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2 053.1</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1 188.5</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1 800.4</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(1 154.1)</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(1 691.6)</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200 563.9</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192 570.0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73 016.4</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67 884.3</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(123 029.3)</w:t>
            </w:r>
          </w:p>
        </w:tc>
        <w:tc>
          <w:tcPr>
            <w:tcW w:w="160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(115 931.1)</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248 280.1</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235 747.8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5 926.9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5 986.4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(4 684.3)</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(4 766.5)</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2 070.7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2 088.9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1 496.0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1 829.7</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(1 </w:t>
            </w:r>
            <w:r w:rsidRPr="006A75A2">
              <w:rPr>
                <w:rFonts w:eastAsiaTheme="minorEastAsia" w:cs="Calibri"/>
                <w:szCs w:val="22"/>
                <w:lang w:eastAsia="en-AU"/>
              </w:rPr>
              <w:t>155.9)</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(1 159.6)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7 732.2</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8 197.2</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42 153.6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38 303.9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(40 199.4)</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(38 461.9)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51 277.4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47 437.0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89.5</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5 745.1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5 624.7</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25 729.0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25 225.4</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23 664.4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22 527.5</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(7 934.6)</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(8 079.9)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24 632.9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23 542.4</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73 328.7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68 737.1</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(53 974.3)</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(52 467.9)</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117 187.4</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112 115.7</w:t>
            </w:r>
          </w:p>
        </w:tc>
      </w:tr>
      <w:tr w:rsidR="004E6C32" w:rsidRPr="006A75A2" w:rsidTr="004B5CB1">
        <w:tc>
          <w:tcPr>
            <w:tcW w:w="160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(312.3)</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(852.8)</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(69 055.1)</w:t>
            </w:r>
          </w:p>
        </w:tc>
        <w:tc>
          <w:tcPr>
            <w:tcW w:w="160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(63 463.2)</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131 092.7</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123 632.1</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(749.2)</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(1 765.4)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(2 544.0)</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(2 932.8)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46 211.3</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43 565.1</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436.9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912.6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(66 511.1)</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(60 530.4)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84 831.3</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80 017.0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r>
      <w:tr w:rsidR="004E6C32" w:rsidRPr="006A75A2" w:rsidTr="004B5CB1">
        <w:tc>
          <w:tcPr>
            <w:tcW w:w="160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(312.3)</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(852.8)</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(69 055.1)</w:t>
            </w:r>
          </w:p>
        </w:tc>
        <w:tc>
          <w:tcPr>
            <w:tcW w:w="160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(63 463.2)</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131 092.7</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123 632.1</w:t>
            </w:r>
          </w:p>
        </w:tc>
      </w:tr>
      <w:tr w:rsidR="004E6C32" w:rsidRPr="006A75A2" w:rsidTr="004B5CB1">
        <w:trPr>
          <w:trHeight w:hRule="exact" w:val="120"/>
        </w:trPr>
        <w:tc>
          <w:tcPr>
            <w:tcW w:w="160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(1 </w:t>
            </w:r>
            <w:r w:rsidRPr="006A75A2">
              <w:rPr>
                <w:rFonts w:eastAsiaTheme="minorEastAsia" w:cs="Calibri"/>
                <w:szCs w:val="22"/>
                <w:lang w:eastAsia="en-AU"/>
              </w:rPr>
              <w:t>500.9)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(2 653.2)</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(67 900.9)</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(61 771.6)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(69 471.2)</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(68 937.9)</w:t>
            </w:r>
          </w:p>
        </w:tc>
      </w:tr>
      <w:tr w:rsidR="004E6C32" w:rsidRPr="006A75A2" w:rsidTr="004B5CB1">
        <w:tc>
          <w:tcPr>
            <w:tcW w:w="1606"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1 500.9</w:t>
            </w:r>
          </w:p>
        </w:tc>
        <w:tc>
          <w:tcPr>
            <w:tcW w:w="1607"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2 653.2</w:t>
            </w:r>
          </w:p>
        </w:tc>
        <w:tc>
          <w:tcPr>
            <w:tcW w:w="1607"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(7 968.3)</w:t>
            </w:r>
          </w:p>
        </w:tc>
        <w:tc>
          <w:tcPr>
            <w:tcW w:w="1606"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(7 943.2)</w:t>
            </w:r>
          </w:p>
        </w:tc>
        <w:tc>
          <w:tcPr>
            <w:tcW w:w="1607"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69 471.2</w:t>
            </w:r>
          </w:p>
        </w:tc>
        <w:tc>
          <w:tcPr>
            <w:tcW w:w="1607"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68 937.9</w:t>
            </w:r>
          </w:p>
        </w:tc>
      </w:tr>
      <w:tr w:rsidR="004E6C32" w:rsidRPr="006A75A2" w:rsidTr="004B5CB1">
        <w:tc>
          <w:tcPr>
            <w:tcW w:w="1606"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(22 315.1)</w:t>
            </w:r>
          </w:p>
        </w:tc>
        <w:tc>
          <w:tcPr>
            <w:tcW w:w="1607"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(19 140.3)</w:t>
            </w:r>
          </w:p>
        </w:tc>
        <w:tc>
          <w:tcPr>
            <w:tcW w:w="1607"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(29.8)</w:t>
            </w:r>
          </w:p>
        </w:tc>
        <w:tc>
          <w:tcPr>
            <w:tcW w:w="1606"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(30.0)</w:t>
            </w:r>
          </w:p>
        </w:tc>
        <w:tc>
          <w:tcPr>
            <w:tcW w:w="1607"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13 583.6</w:t>
            </w:r>
          </w:p>
        </w:tc>
        <w:tc>
          <w:tcPr>
            <w:tcW w:w="1607"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15 417.1</w:t>
            </w:r>
          </w:p>
        </w:tc>
      </w:tr>
    </w:tbl>
    <w:p w:rsidR="004E6C32" w:rsidRPr="006A75A2" w:rsidRDefault="004E6C32" w:rsidP="004B5CB1">
      <w:pPr>
        <w:pStyle w:val="Heading2Notes"/>
        <w:rPr>
          <w:kern w:val="0"/>
        </w:rPr>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2:</w:t>
      </w:r>
      <w:r w:rsidRPr="006A75A2">
        <w:rPr>
          <w:kern w:val="0"/>
        </w:rPr>
        <w:tab/>
        <w:t>Disaggregated cash flow statement for the financial year ended 30 June</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sz w:val="16"/>
                <w:szCs w:val="16"/>
                <w:lang w:eastAsia="en-AU"/>
              </w:rPr>
            </w:pPr>
            <w:r w:rsidRPr="006A75A2">
              <w:rPr>
                <w:rFonts w:eastAsiaTheme="minorEastAsia"/>
                <w:sz w:val="16"/>
                <w:szCs w:val="16"/>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
              <w:jc w:val="center"/>
              <w:rPr>
                <w:rFonts w:eastAsiaTheme="minorEastAsia" w:cs="Calibri"/>
                <w:iCs/>
                <w:szCs w:val="22"/>
                <w:lang w:eastAsia="en-AU"/>
              </w:rPr>
            </w:pPr>
            <w:r w:rsidRPr="006A75A2">
              <w:rPr>
                <w:rFonts w:eastAsiaTheme="minorEastAsia"/>
                <w:sz w:val="16"/>
                <w:szCs w:val="16"/>
                <w:lang w:eastAsia="en-AU"/>
              </w:rPr>
              <w:t>General</w:t>
            </w:r>
          </w:p>
          <w:p w:rsidR="002E6139" w:rsidRPr="006A75A2" w:rsidRDefault="002E6139" w:rsidP="004B5CB1">
            <w:pPr>
              <w:pStyle w:val="Tabletextheading"/>
              <w:jc w:val="center"/>
              <w:rPr>
                <w:rFonts w:eastAsiaTheme="minorEastAsia"/>
                <w:sz w:val="16"/>
                <w:szCs w:val="16"/>
                <w:lang w:eastAsia="en-AU"/>
              </w:rPr>
            </w:pPr>
            <w:r w:rsidRPr="006A75A2">
              <w:rPr>
                <w:rFonts w:eastAsiaTheme="minorEastAsia"/>
                <w:sz w:val="16"/>
                <w:szCs w:val="16"/>
                <w:lang w:eastAsia="en-AU"/>
              </w:rPr>
              <w:t>government sector</w:t>
            </w:r>
          </w:p>
        </w:tc>
        <w:tc>
          <w:tcPr>
            <w:tcW w:w="2240" w:type="dxa"/>
            <w:gridSpan w:val="2"/>
            <w:tcBorders>
              <w:top w:val="single" w:sz="6" w:space="0" w:color="auto"/>
              <w:left w:val="nil"/>
              <w:bottom w:val="nil"/>
              <w:right w:val="single" w:sz="6" w:space="0" w:color="auto"/>
            </w:tcBorders>
            <w:shd w:val="clear" w:color="000000" w:fill="000000"/>
            <w:vAlign w:val="bottom"/>
          </w:tcPr>
          <w:p w:rsidR="002E6139" w:rsidRPr="006A75A2" w:rsidRDefault="002E6139" w:rsidP="002E6139">
            <w:pPr>
              <w:pStyle w:val="Tabletextheading"/>
              <w:jc w:val="center"/>
              <w:rPr>
                <w:rFonts w:eastAsiaTheme="minorEastAsia"/>
                <w:sz w:val="16"/>
                <w:szCs w:val="16"/>
                <w:lang w:eastAsia="en-AU"/>
              </w:rPr>
            </w:pPr>
            <w:r w:rsidRPr="006A75A2">
              <w:rPr>
                <w:rFonts w:eastAsiaTheme="minorEastAsia"/>
                <w:sz w:val="16"/>
                <w:szCs w:val="16"/>
                <w:lang w:eastAsia="en-AU"/>
              </w:rPr>
              <w:t xml:space="preserve">Public non-financial </w:t>
            </w:r>
            <w:r w:rsidRPr="006A75A2">
              <w:rPr>
                <w:rFonts w:eastAsiaTheme="minorEastAsia"/>
                <w:sz w:val="16"/>
                <w:szCs w:val="16"/>
                <w:lang w:eastAsia="en-AU"/>
              </w:rPr>
              <w:br/>
              <w:t>corporations</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6"/>
                <w:szCs w:val="16"/>
                <w:lang w:eastAsia="en-AU"/>
              </w:rPr>
            </w:pPr>
            <w:r w:rsidRPr="006A75A2">
              <w:rPr>
                <w:rFonts w:eastAsiaTheme="minorEastAsia"/>
                <w:sz w:val="16"/>
                <w:szCs w:val="16"/>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6"/>
                <w:szCs w:val="16"/>
                <w:lang w:eastAsia="en-AU"/>
              </w:rPr>
            </w:pPr>
            <w:r w:rsidRPr="006A75A2">
              <w:rPr>
                <w:rFonts w:eastAsiaTheme="minorEastAsia"/>
                <w:sz w:val="16"/>
                <w:szCs w:val="16"/>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6"/>
                <w:szCs w:val="16"/>
                <w:lang w:eastAsia="en-AU"/>
              </w:rPr>
            </w:pPr>
            <w:r w:rsidRPr="006A75A2">
              <w:rPr>
                <w:rFonts w:eastAsiaTheme="minorEastAsia"/>
                <w:sz w:val="16"/>
                <w:szCs w:val="16"/>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16"/>
                <w:szCs w:val="16"/>
                <w:lang w:eastAsia="en-AU"/>
              </w:rPr>
            </w:pPr>
            <w:r w:rsidRPr="006A75A2">
              <w:rPr>
                <w:rFonts w:eastAsiaTheme="minorEastAsia"/>
                <w:sz w:val="16"/>
                <w:szCs w:val="16"/>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Cash flows from operating activities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Receipts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Taxes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16 719.4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15 231.9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Grants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25 140.4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21 991.9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2 810.3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2 727.2</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sz w:val="16"/>
                <w:szCs w:val="16"/>
                <w:vertAlign w:val="superscript"/>
                <w:lang w:eastAsia="en-AU"/>
              </w:rPr>
            </w:pPr>
            <w:r w:rsidRPr="006A75A2">
              <w:rPr>
                <w:rFonts w:eastAsiaTheme="minorEastAsia"/>
                <w:sz w:val="16"/>
                <w:szCs w:val="16"/>
                <w:lang w:eastAsia="en-AU"/>
              </w:rPr>
              <w:t>Sales of goods and services</w:t>
            </w:r>
            <w:r w:rsidRPr="006A75A2">
              <w:rPr>
                <w:rFonts w:eastAsiaTheme="minorEastAsia"/>
                <w:sz w:val="16"/>
                <w:szCs w:val="16"/>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7 381.1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7 132.3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6 659.2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5 490.5</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sz w:val="16"/>
                <w:szCs w:val="16"/>
                <w:vertAlign w:val="superscript"/>
                <w:lang w:eastAsia="en-AU"/>
              </w:rPr>
            </w:pPr>
            <w:r w:rsidRPr="006A75A2">
              <w:rPr>
                <w:rFonts w:eastAsiaTheme="minorEastAsia"/>
                <w:sz w:val="16"/>
                <w:szCs w:val="16"/>
                <w:lang w:eastAsia="en-AU"/>
              </w:rPr>
              <w:t>Interest received</w:t>
            </w:r>
            <w:r w:rsidRPr="006A75A2">
              <w:rPr>
                <w:rFonts w:eastAsiaTheme="minorEastAsia"/>
                <w:sz w:val="16"/>
                <w:szCs w:val="16"/>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807.8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674.8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49.3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64.2</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sz w:val="16"/>
                <w:szCs w:val="16"/>
                <w:vertAlign w:val="superscript"/>
                <w:lang w:eastAsia="en-AU"/>
              </w:rPr>
            </w:pPr>
            <w:r w:rsidRPr="006A75A2">
              <w:rPr>
                <w:rFonts w:eastAsiaTheme="minorEastAsia"/>
                <w:sz w:val="16"/>
                <w:szCs w:val="16"/>
                <w:lang w:eastAsia="en-AU"/>
              </w:rPr>
              <w:t>Dividends and income tax equivalent and rate equivalent receipts</w:t>
            </w:r>
            <w:r w:rsidRPr="006A75A2">
              <w:rPr>
                <w:rFonts w:eastAsiaTheme="minorEastAsia"/>
                <w:sz w:val="16"/>
                <w:szCs w:val="16"/>
                <w:vertAlign w:val="superscript"/>
                <w:lang w:eastAsia="en-AU"/>
              </w:rPr>
              <w:t>(c)</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591.8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1 198.9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88.1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144.1</w:t>
            </w:r>
          </w:p>
        </w:tc>
      </w:tr>
      <w:tr w:rsidR="004E6C32" w:rsidRPr="006A75A2" w:rsidTr="004B5CB1">
        <w:tc>
          <w:tcPr>
            <w:tcW w:w="5160" w:type="dxa"/>
            <w:tcBorders>
              <w:top w:val="nil"/>
              <w:left w:val="nil"/>
              <w:bottom w:val="single" w:sz="6" w:space="0" w:color="auto"/>
              <w:right w:val="nil"/>
            </w:tcBorders>
          </w:tcPr>
          <w:p w:rsidR="004E6C32" w:rsidRPr="006A75A2" w:rsidRDefault="004E6C32" w:rsidP="002D2F70">
            <w:pPr>
              <w:pStyle w:val="Tabletext"/>
              <w:rPr>
                <w:rFonts w:eastAsiaTheme="minorEastAsia"/>
                <w:sz w:val="16"/>
                <w:szCs w:val="16"/>
                <w:vertAlign w:val="superscript"/>
                <w:lang w:eastAsia="en-AU"/>
              </w:rPr>
            </w:pPr>
            <w:r w:rsidRPr="006A75A2">
              <w:rPr>
                <w:rFonts w:eastAsiaTheme="minorEastAsia"/>
                <w:sz w:val="16"/>
                <w:szCs w:val="16"/>
                <w:lang w:eastAsia="en-AU"/>
              </w:rPr>
              <w:t>Other receipts</w:t>
            </w:r>
            <w:r w:rsidRPr="006A75A2">
              <w:rPr>
                <w:rFonts w:eastAsiaTheme="minorEastAsia"/>
                <w:sz w:val="16"/>
                <w:szCs w:val="16"/>
                <w:vertAlign w:val="superscript"/>
                <w:lang w:eastAsia="en-AU"/>
              </w:rPr>
              <w:t>(b)</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1 803.8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1 728.8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131.6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198.9</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b/>
                <w:bCs/>
                <w:sz w:val="16"/>
                <w:szCs w:val="16"/>
                <w:vertAlign w:val="superscript"/>
                <w:lang w:eastAsia="en-AU"/>
              </w:rPr>
            </w:pPr>
            <w:r w:rsidRPr="006A75A2">
              <w:rPr>
                <w:rFonts w:eastAsiaTheme="minorEastAsia"/>
                <w:b/>
                <w:bCs/>
                <w:sz w:val="16"/>
                <w:szCs w:val="16"/>
                <w:lang w:eastAsia="en-AU"/>
              </w:rPr>
              <w:t>Total receipts</w:t>
            </w:r>
            <w:r w:rsidRPr="006A75A2">
              <w:rPr>
                <w:rFonts w:eastAsiaTheme="minorEastAsia"/>
                <w:b/>
                <w:bCs/>
                <w:sz w:val="16"/>
                <w:szCs w:val="16"/>
                <w:vertAlign w:val="superscript"/>
                <w:lang w:eastAsia="en-AU"/>
              </w:rPr>
              <w:t>(c)</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52 444.2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47 958.7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9 738.5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8 624.8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Payments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Payments for employees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(17 926.6)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(17 563.6)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(1 029.9)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(1 035.0)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Superannuation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(2 676.5)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(2 510.5)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(111.9)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(118.7)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Interest paid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(2 081.6)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(1 702.6)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(1 127.8)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(961.6)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Grants and subsidies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(7 647.0)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(8 196.5)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(129.9)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(189.9)</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sz w:val="16"/>
                <w:szCs w:val="16"/>
                <w:vertAlign w:val="superscript"/>
                <w:lang w:eastAsia="en-AU"/>
              </w:rPr>
            </w:pPr>
            <w:r w:rsidRPr="006A75A2">
              <w:rPr>
                <w:rFonts w:eastAsiaTheme="minorEastAsia"/>
                <w:sz w:val="16"/>
                <w:szCs w:val="16"/>
                <w:lang w:eastAsia="en-AU"/>
              </w:rPr>
              <w:t>Goods and services</w:t>
            </w:r>
            <w:r w:rsidRPr="006A75A2">
              <w:rPr>
                <w:rFonts w:eastAsiaTheme="minorEastAsia"/>
                <w:sz w:val="16"/>
                <w:szCs w:val="16"/>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(16 949.3)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(15 692.1)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(3 913.4)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(3 375.8)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Other payments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(1 220.6)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(601.2)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(1 484.3)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(1 467.3)</w:t>
            </w:r>
          </w:p>
        </w:tc>
      </w:tr>
      <w:tr w:rsidR="004E6C32" w:rsidRPr="006A75A2" w:rsidTr="004B5CB1">
        <w:tc>
          <w:tcPr>
            <w:tcW w:w="516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Total payments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(48 501.7)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(46 266.4)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(7 797.3)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(7 148.3)</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b/>
                <w:bCs/>
                <w:sz w:val="16"/>
                <w:szCs w:val="16"/>
                <w:vertAlign w:val="superscript"/>
                <w:lang w:eastAsia="en-AU"/>
              </w:rPr>
            </w:pPr>
            <w:r w:rsidRPr="006A75A2">
              <w:rPr>
                <w:rFonts w:eastAsiaTheme="minorEastAsia"/>
                <w:b/>
                <w:bCs/>
                <w:sz w:val="16"/>
                <w:szCs w:val="16"/>
                <w:lang w:eastAsia="en-AU"/>
              </w:rPr>
              <w:t>Net cash flows from operating activities</w:t>
            </w:r>
            <w:r w:rsidRPr="006A75A2">
              <w:rPr>
                <w:rFonts w:eastAsiaTheme="minorEastAsia"/>
                <w:b/>
                <w:bCs/>
                <w:sz w:val="16"/>
                <w:szCs w:val="16"/>
                <w:vertAlign w:val="superscript"/>
                <w:lang w:eastAsia="en-AU"/>
              </w:rPr>
              <w:t>(c)</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3 942.5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1 692.3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1 941.2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1 476.5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Cash flows from investing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Purchases of non-financial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(3 997.3)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(4 133.2)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(3 271.5)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(3 702.5)</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Sales of non-financial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270.9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248.0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206.4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156.4</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Cash flows from investments in non-financial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(3 726.4)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(3 885.2)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(3 065.1)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(3 546.1)</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Cash flows from investments in financial assets for policy purposes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Cash inflows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463.0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110.0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344.6</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Cash outflows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(1 481.5)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(1 779.7)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(82.9)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(376.5)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Net cash flows from investments in financial assets for policy purposes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(1 478.3)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(1 316.8)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27.2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(45.0)</w:t>
            </w:r>
          </w:p>
        </w:tc>
      </w:tr>
      <w:tr w:rsidR="004E6C32" w:rsidRPr="006A75A2" w:rsidTr="004B5CB1">
        <w:tc>
          <w:tcPr>
            <w:tcW w:w="5160" w:type="dxa"/>
            <w:tcBorders>
              <w:top w:val="nil"/>
              <w:left w:val="nil"/>
              <w:bottom w:val="single" w:sz="6" w:space="0" w:color="auto"/>
              <w:right w:val="nil"/>
            </w:tcBorders>
          </w:tcPr>
          <w:p w:rsidR="004E6C32" w:rsidRPr="006A75A2" w:rsidRDefault="004E6C32" w:rsidP="002D2F70">
            <w:pPr>
              <w:pStyle w:val="Tabletext"/>
              <w:rPr>
                <w:rFonts w:eastAsiaTheme="minorEastAsia"/>
                <w:sz w:val="16"/>
                <w:szCs w:val="16"/>
                <w:vertAlign w:val="superscript"/>
                <w:lang w:eastAsia="en-AU"/>
              </w:rPr>
            </w:pPr>
            <w:r w:rsidRPr="006A75A2">
              <w:rPr>
                <w:rFonts w:eastAsiaTheme="minorEastAsia"/>
                <w:sz w:val="16"/>
                <w:szCs w:val="16"/>
                <w:lang w:eastAsia="en-AU"/>
              </w:rPr>
              <w:t>Net cash flows from investments in financial assets for liquidity management purposes</w:t>
            </w:r>
            <w:r w:rsidRPr="006A75A2">
              <w:rPr>
                <w:rFonts w:eastAsiaTheme="minorEastAsia"/>
                <w:sz w:val="16"/>
                <w:szCs w:val="16"/>
                <w:vertAlign w:val="superscript"/>
                <w:lang w:eastAsia="en-AU"/>
              </w:rPr>
              <w:t>(c)(d)(e)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331.8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(1 174.0)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(79.1)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12.3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Net cash flows from investing activities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(4 872.8)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(6 375.9)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(3 117.0)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(3 578.8)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Cash flows from financing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Advances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13.5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Advances repaid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(0.2)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(0.6)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(6.9)</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Advances received (net)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(0.2)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6.6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Borrowings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2 851.3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3 672.1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2 055.6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2 475.0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Borrowings repaid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(1 359.5)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(110.6)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(1 927.8)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(1 421.7)</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16"/>
                <w:szCs w:val="16"/>
                <w:vertAlign w:val="superscript"/>
                <w:lang w:eastAsia="en-AU"/>
              </w:rPr>
            </w:pPr>
            <w:r w:rsidRPr="006A75A2">
              <w:rPr>
                <w:rFonts w:eastAsiaTheme="minorEastAsia"/>
                <w:sz w:val="16"/>
                <w:szCs w:val="16"/>
                <w:lang w:eastAsia="en-AU"/>
              </w:rPr>
              <w:t xml:space="preserve">Net borrowings </w:t>
            </w:r>
            <w:r w:rsidRPr="006A75A2">
              <w:rPr>
                <w:rFonts w:eastAsiaTheme="minorEastAsia"/>
                <w:sz w:val="16"/>
                <w:szCs w:val="16"/>
                <w:vertAlign w:val="superscript"/>
                <w:lang w:eastAsia="en-AU"/>
              </w:rPr>
              <w:t>(e)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1 491.8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3 561.5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127.8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1 053.3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Deposits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373.1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301.5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47.8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62.4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Deposits repaid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(395.8)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(218.5)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(42.3)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Deposits received (net)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6"/>
                <w:szCs w:val="16"/>
                <w:lang w:eastAsia="en-AU"/>
              </w:rPr>
              <w:t>(22.7)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82.9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(19.8)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20.1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Other financing inflows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1 511.0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1 747.8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Other financing outflows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(258.7)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(701.4)</w:t>
            </w:r>
          </w:p>
        </w:tc>
      </w:tr>
      <w:tr w:rsidR="004E6C32" w:rsidRPr="006A75A2" w:rsidTr="004B5CB1">
        <w:tc>
          <w:tcPr>
            <w:tcW w:w="516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Other financing (net)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1 252.4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1 046.5</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Net cash flows from financing activities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1 469.2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3 644.2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1 361.7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2 126.5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Net increase/(decrease) in cash and cash equivalents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538.9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(1 039.4)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185.8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24.1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Cash and cash equivalents at beginning of the financial year</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3 962.0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5 001.3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797.9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773.8</w:t>
            </w:r>
          </w:p>
        </w:tc>
      </w:tr>
      <w:tr w:rsidR="004E6C32" w:rsidRPr="006A75A2" w:rsidTr="004B5CB1">
        <w:tc>
          <w:tcPr>
            <w:tcW w:w="5160" w:type="dxa"/>
            <w:tcBorders>
              <w:top w:val="single" w:sz="6" w:space="0" w:color="auto"/>
              <w:left w:val="nil"/>
              <w:bottom w:val="single" w:sz="12" w:space="0" w:color="auto"/>
              <w:right w:val="nil"/>
            </w:tcBorders>
          </w:tcPr>
          <w:p w:rsidR="004E6C32" w:rsidRPr="006A75A2" w:rsidRDefault="004E6C32" w:rsidP="002D2F70">
            <w:pPr>
              <w:pStyle w:val="Tabletext"/>
              <w:rPr>
                <w:rFonts w:eastAsiaTheme="minorEastAsia"/>
                <w:b/>
                <w:bCs/>
                <w:sz w:val="16"/>
                <w:szCs w:val="16"/>
                <w:vertAlign w:val="superscript"/>
                <w:lang w:eastAsia="en-AU"/>
              </w:rPr>
            </w:pPr>
            <w:r w:rsidRPr="006A75A2">
              <w:rPr>
                <w:rFonts w:eastAsiaTheme="minorEastAsia"/>
                <w:b/>
                <w:bCs/>
                <w:sz w:val="16"/>
                <w:szCs w:val="16"/>
                <w:lang w:eastAsia="en-AU"/>
              </w:rPr>
              <w:t>Cash and cash equivalents at end of the financial year</w:t>
            </w:r>
            <w:r w:rsidRPr="006A75A2">
              <w:rPr>
                <w:rFonts w:eastAsiaTheme="minorEastAsia"/>
                <w:b/>
                <w:bCs/>
                <w:sz w:val="16"/>
                <w:szCs w:val="16"/>
                <w:vertAlign w:val="superscript"/>
                <w:lang w:eastAsia="en-AU"/>
              </w:rPr>
              <w:t>(f)</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4 500.9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3 962.0</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983.7</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797.9</w:t>
            </w:r>
          </w:p>
        </w:tc>
      </w:tr>
      <w:tr w:rsidR="004E6C32" w:rsidRPr="006A75A2" w:rsidTr="004B5CB1">
        <w:trPr>
          <w:trHeight w:hRule="exact" w:val="120"/>
        </w:trPr>
        <w:tc>
          <w:tcPr>
            <w:tcW w:w="5160" w:type="dxa"/>
            <w:tcBorders>
              <w:top w:val="nil"/>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FISCAL AGGREGATES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6"/>
                <w:szCs w:val="16"/>
                <w:lang w:eastAsia="en-AU"/>
              </w:rPr>
            </w:pPr>
            <w:r w:rsidRPr="006A75A2">
              <w:rPr>
                <w:rFonts w:eastAsiaTheme="minorEastAsia"/>
                <w:b/>
                <w:sz w:val="16"/>
                <w:szCs w:val="16"/>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Net cash flows from operating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3 942.5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1 692.3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1 941.2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1 476.5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Dividends paid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(84.5)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(720.3)</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16"/>
                <w:szCs w:val="16"/>
                <w:lang w:eastAsia="en-AU"/>
              </w:rPr>
            </w:pPr>
            <w:r w:rsidRPr="006A75A2">
              <w:rPr>
                <w:rFonts w:eastAsiaTheme="minorEastAsia"/>
                <w:sz w:val="16"/>
                <w:szCs w:val="16"/>
                <w:lang w:eastAsia="en-AU"/>
              </w:rPr>
              <w:t>Net cash flows from investments in non-financial assets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(3 726.4)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(3 885.2)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(3 065.1)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(3 546.1)</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6"/>
                <w:szCs w:val="16"/>
                <w:lang w:eastAsia="en-AU"/>
              </w:rPr>
            </w:pPr>
            <w:r w:rsidRPr="006A75A2">
              <w:rPr>
                <w:rFonts w:eastAsiaTheme="minorEastAsia"/>
                <w:b/>
                <w:bCs/>
                <w:sz w:val="16"/>
                <w:szCs w:val="16"/>
                <w:lang w:eastAsia="en-AU"/>
              </w:rPr>
              <w:t>Cash surplus/(deficit)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216.2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(2 192.9)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(1 208.4)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(2 789.9)</w:t>
            </w:r>
          </w:p>
        </w:tc>
      </w:tr>
    </w:tbl>
    <w:p w:rsidR="004E6C32" w:rsidRPr="006A75A2" w:rsidRDefault="004E6C32" w:rsidP="004B5CB1">
      <w:pPr>
        <w:pStyle w:val="Notes"/>
      </w:pPr>
      <w:r w:rsidRPr="006A75A2">
        <w:t>Notes:</w:t>
      </w:r>
    </w:p>
    <w:p w:rsidR="004E6C32" w:rsidRPr="006A75A2" w:rsidRDefault="004E6C32" w:rsidP="004E6C32">
      <w:pPr>
        <w:pStyle w:val="Notes"/>
        <w:numPr>
          <w:ilvl w:val="0"/>
          <w:numId w:val="16"/>
        </w:numPr>
      </w:pPr>
      <w:r w:rsidRPr="006A75A2">
        <w:t>These items are inclusive of goods and services tax.</w:t>
      </w:r>
    </w:p>
    <w:p w:rsidR="004E6C32" w:rsidRPr="006A75A2" w:rsidRDefault="004E6C32" w:rsidP="004E6C32">
      <w:pPr>
        <w:pStyle w:val="Notes"/>
        <w:numPr>
          <w:ilvl w:val="0"/>
          <w:numId w:val="16"/>
        </w:numPr>
      </w:pPr>
      <w:r w:rsidRPr="006A75A2">
        <w:t>2012-13 comparative cash flows have been restated to more accurately reflect the classification of interest cash flows.</w:t>
      </w:r>
    </w:p>
    <w:p w:rsidR="004E6C32" w:rsidRPr="006A75A2" w:rsidRDefault="004E6C32" w:rsidP="004E6C32">
      <w:pPr>
        <w:pStyle w:val="Notes"/>
        <w:numPr>
          <w:ilvl w:val="0"/>
          <w:numId w:val="16"/>
        </w:numPr>
      </w:pPr>
      <w:r w:rsidRPr="006A75A2">
        <w:t>2012-13 comparative cash flows have been restated to reflect the reallocation of investments sold but not yet settled.</w:t>
      </w:r>
    </w:p>
    <w:p w:rsidR="004E6C32" w:rsidRPr="006A75A2" w:rsidRDefault="004E6C32" w:rsidP="004E6C32">
      <w:pPr>
        <w:pStyle w:val="Notes"/>
        <w:numPr>
          <w:ilvl w:val="0"/>
          <w:numId w:val="16"/>
        </w:numPr>
      </w:pPr>
      <w:r w:rsidRPr="006A75A2">
        <w:t>The cash flows for this item are presented net of inflows due to the high volume and short</w:t>
      </w:r>
      <w:r w:rsidRPr="006A75A2">
        <w:noBreakHyphen/>
        <w:t>term nature of these transactions.</w:t>
      </w:r>
    </w:p>
    <w:p w:rsidR="004E6C32" w:rsidRPr="006A75A2" w:rsidRDefault="004E6C32" w:rsidP="004E6C32">
      <w:pPr>
        <w:pStyle w:val="Notes"/>
        <w:numPr>
          <w:ilvl w:val="0"/>
          <w:numId w:val="16"/>
        </w:numPr>
      </w:pPr>
      <w:r w:rsidRPr="006A75A2">
        <w:t>Cash flows associated with derivatives in insurance public financial corporations are included under net cash flows from investments in financial assets for liquidity management purposes. See Notes 16 and 26 for balance sheet classification.</w:t>
      </w:r>
    </w:p>
    <w:p w:rsidR="004E6C32" w:rsidRPr="006A75A2" w:rsidRDefault="004E6C32" w:rsidP="004E6C32">
      <w:pPr>
        <w:pStyle w:val="Notes"/>
        <w:numPr>
          <w:ilvl w:val="0"/>
          <w:numId w:val="16"/>
        </w:numPr>
      </w:pPr>
      <w:r w:rsidRPr="006A75A2">
        <w:t>Cash and cash equivalents at the end of the reporting period does not equal cash and deposits on the balance sheet. This is due to overdrafts being included in the cash flow statement. See Note 30(a).</w:t>
      </w:r>
    </w:p>
    <w:p w:rsidR="004E6C32" w:rsidRPr="006A75A2" w:rsidRDefault="004E6C32" w:rsidP="004B5CB1">
      <w:pPr>
        <w:pStyle w:val="Notes"/>
      </w:pPr>
    </w:p>
    <w:p w:rsidR="004E6C32" w:rsidRPr="006A75A2" w:rsidRDefault="004E6C32">
      <w:pPr>
        <w:spacing w:after="0"/>
        <w:rPr>
          <w:rFonts w:ascii="Calibri" w:hAnsi="Calibri"/>
          <w:i/>
          <w:sz w:val="16"/>
        </w:rPr>
      </w:pPr>
      <w:r w:rsidRPr="006A75A2">
        <w:br w:type="page"/>
      </w:r>
    </w:p>
    <w:p w:rsidR="004E6C32" w:rsidRPr="006A75A2" w:rsidRDefault="004E6C32" w:rsidP="004B5CB1">
      <w:pPr>
        <w:pStyle w:val="Heading2NotesContd"/>
        <w:rPr>
          <w:kern w:val="0"/>
        </w:rPr>
      </w:pPr>
    </w:p>
    <w:p w:rsidR="004E6C32" w:rsidRPr="006A75A2" w:rsidRDefault="004E6C32" w:rsidP="004B5CB1">
      <w:pPr>
        <w:pStyle w:val="million"/>
        <w:rPr>
          <w:rFonts w:ascii="Times New Roman" w:hAnsi="Times New Roman"/>
          <w:b/>
          <w:szCs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606"/>
        <w:gridCol w:w="1607"/>
        <w:gridCol w:w="1607"/>
        <w:gridCol w:w="1606"/>
        <w:gridCol w:w="1607"/>
        <w:gridCol w:w="1607"/>
      </w:tblGrid>
      <w:tr w:rsidR="002E6139" w:rsidRPr="006A75A2" w:rsidTr="002E6139">
        <w:tc>
          <w:tcPr>
            <w:tcW w:w="3213" w:type="dxa"/>
            <w:gridSpan w:val="2"/>
            <w:tcBorders>
              <w:top w:val="single" w:sz="6" w:space="0" w:color="auto"/>
              <w:left w:val="single" w:sz="6" w:space="0" w:color="auto"/>
              <w:bottom w:val="nil"/>
              <w:right w:val="nil"/>
            </w:tcBorders>
            <w:shd w:val="clear" w:color="000000" w:fill="000000"/>
          </w:tcPr>
          <w:p w:rsidR="002E6139" w:rsidRPr="006A75A2" w:rsidRDefault="002E6139" w:rsidP="002E6139">
            <w:pPr>
              <w:pStyle w:val="Tabletext"/>
              <w:jc w:val="center"/>
              <w:rPr>
                <w:rFonts w:eastAsiaTheme="minorEastAsia"/>
                <w:i/>
                <w:sz w:val="16"/>
                <w:szCs w:val="16"/>
                <w:lang w:eastAsia="en-AU"/>
              </w:rPr>
            </w:pPr>
            <w:r w:rsidRPr="006A75A2">
              <w:rPr>
                <w:rFonts w:eastAsiaTheme="minorEastAsia"/>
                <w:i/>
                <w:sz w:val="16"/>
                <w:szCs w:val="16"/>
                <w:lang w:eastAsia="en-AU"/>
              </w:rPr>
              <w:t xml:space="preserve">Public financial </w:t>
            </w:r>
            <w:r w:rsidRPr="006A75A2">
              <w:rPr>
                <w:rFonts w:eastAsiaTheme="minorEastAsia"/>
                <w:i/>
                <w:sz w:val="16"/>
                <w:szCs w:val="16"/>
                <w:lang w:eastAsia="en-AU"/>
              </w:rPr>
              <w:br/>
              <w:t>corporations</w:t>
            </w:r>
          </w:p>
        </w:tc>
        <w:tc>
          <w:tcPr>
            <w:tcW w:w="3213"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
              <w:jc w:val="center"/>
              <w:rPr>
                <w:rFonts w:eastAsiaTheme="minorEastAsia"/>
                <w:sz w:val="16"/>
                <w:szCs w:val="16"/>
                <w:lang w:eastAsia="en-AU"/>
              </w:rPr>
            </w:pPr>
            <w:r w:rsidRPr="006A75A2">
              <w:rPr>
                <w:rFonts w:eastAsiaTheme="minorEastAsia"/>
                <w:sz w:val="16"/>
                <w:szCs w:val="16"/>
                <w:lang w:eastAsia="en-AU"/>
              </w:rPr>
              <w:t xml:space="preserve">Inter-sector </w:t>
            </w:r>
            <w:r w:rsidRPr="006A75A2">
              <w:rPr>
                <w:rFonts w:eastAsiaTheme="minorEastAsia"/>
                <w:sz w:val="16"/>
                <w:szCs w:val="16"/>
                <w:lang w:eastAsia="en-AU"/>
              </w:rPr>
              <w:br/>
              <w:t>eliminations</w:t>
            </w:r>
          </w:p>
        </w:tc>
        <w:tc>
          <w:tcPr>
            <w:tcW w:w="3214"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
              <w:jc w:val="center"/>
              <w:rPr>
                <w:rFonts w:eastAsiaTheme="minorEastAsia"/>
                <w:sz w:val="16"/>
              </w:rPr>
            </w:pPr>
          </w:p>
          <w:p w:rsidR="002E6139" w:rsidRPr="006A75A2" w:rsidRDefault="002E6139" w:rsidP="004B5CB1">
            <w:pPr>
              <w:pStyle w:val="Tabletextheading"/>
              <w:jc w:val="center"/>
              <w:rPr>
                <w:rFonts w:eastAsiaTheme="minorEastAsia"/>
              </w:rPr>
            </w:pPr>
            <w:r w:rsidRPr="006A75A2">
              <w:rPr>
                <w:rFonts w:eastAsiaTheme="minorEastAsia"/>
                <w:sz w:val="16"/>
              </w:rPr>
              <w:t>State of Victoria</w:t>
            </w:r>
          </w:p>
        </w:tc>
      </w:tr>
      <w:tr w:rsidR="004E6C32" w:rsidRPr="006A75A2" w:rsidTr="004B5CB1">
        <w:tc>
          <w:tcPr>
            <w:tcW w:w="1606"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jc w:val="right"/>
              <w:rPr>
                <w:rFonts w:eastAsiaTheme="minorEastAsia"/>
                <w:i/>
                <w:sz w:val="16"/>
                <w:szCs w:val="16"/>
                <w:lang w:eastAsia="en-AU"/>
              </w:rPr>
            </w:pPr>
            <w:r w:rsidRPr="006A75A2">
              <w:rPr>
                <w:rFonts w:eastAsiaTheme="minorEastAsia"/>
                <w:i/>
                <w:sz w:val="16"/>
                <w:szCs w:val="16"/>
                <w:lang w:eastAsia="en-AU"/>
              </w:rPr>
              <w:t>2014</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6"/>
                <w:szCs w:val="16"/>
                <w:lang w:eastAsia="en-AU"/>
              </w:rPr>
            </w:pPr>
            <w:r w:rsidRPr="006A75A2">
              <w:rPr>
                <w:rFonts w:eastAsiaTheme="minorEastAsia"/>
                <w:sz w:val="16"/>
                <w:szCs w:val="16"/>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6"/>
                <w:szCs w:val="16"/>
                <w:lang w:eastAsia="en-AU"/>
              </w:rPr>
            </w:pPr>
            <w:r w:rsidRPr="006A75A2">
              <w:rPr>
                <w:rFonts w:eastAsiaTheme="minorEastAsia"/>
                <w:sz w:val="16"/>
                <w:szCs w:val="16"/>
                <w:lang w:eastAsia="en-AU"/>
              </w:rPr>
              <w:t>2014</w:t>
            </w:r>
          </w:p>
        </w:tc>
        <w:tc>
          <w:tcPr>
            <w:tcW w:w="160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6"/>
                <w:szCs w:val="16"/>
                <w:lang w:eastAsia="en-AU"/>
              </w:rPr>
            </w:pPr>
            <w:r w:rsidRPr="006A75A2">
              <w:rPr>
                <w:rFonts w:eastAsiaTheme="minorEastAsia"/>
                <w:sz w:val="16"/>
                <w:szCs w:val="16"/>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6"/>
                <w:szCs w:val="16"/>
                <w:lang w:eastAsia="en-AU"/>
              </w:rPr>
            </w:pPr>
            <w:r w:rsidRPr="006A75A2">
              <w:rPr>
                <w:rFonts w:eastAsiaTheme="minorEastAsia"/>
                <w:sz w:val="16"/>
                <w:szCs w:val="16"/>
                <w:lang w:eastAsia="en-AU"/>
              </w:rPr>
              <w:t>2014</w:t>
            </w:r>
          </w:p>
        </w:tc>
        <w:tc>
          <w:tcPr>
            <w:tcW w:w="1607"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16"/>
                <w:szCs w:val="16"/>
                <w:lang w:eastAsia="en-AU"/>
              </w:rPr>
            </w:pPr>
            <w:r w:rsidRPr="006A75A2">
              <w:rPr>
                <w:rFonts w:eastAsiaTheme="minorEastAsia"/>
                <w:sz w:val="16"/>
                <w:szCs w:val="16"/>
                <w:lang w:eastAsia="en-AU"/>
              </w:rPr>
              <w:t>2013</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(410.5)</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(360.0)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16 308.9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14 872.0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0.1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2.9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(2 905.3)</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(2 822.3)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25 045.5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21 899.6</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4 277.2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4 116.4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(2 419.0)</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(3 191.1)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15 898.4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13 548.2</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2 428.6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2 202.6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(2 431.7)</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(2 002.8)</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853.9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938.8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805.5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460.1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(570.8)</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(1 192.2)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914.6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610.8</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285.7</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68.4</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(69.2)</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150.3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2 151.9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2 146.5</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7 797.0</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6 850.5</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(8 806.5)</w:t>
            </w:r>
          </w:p>
        </w:tc>
        <w:tc>
          <w:tcPr>
            <w:tcW w:w="1606"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(9 418.1)</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61 173.2</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54 015.9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(310.8)</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(288.5)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343.1</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335.5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(18 924.3)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(18 551.6)</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(23.6)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(23.3)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(2 812.0)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(2 652.5)</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(2 118.1)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(1 954.5)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2 431.7</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2 234.5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(2 895.8)</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(2 384.2)</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2 739.6</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2 766.9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(5 037.3)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(5 619.5)</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(3 922.8)</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(3 685.9)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1 000.1</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1 354.1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(23 785.5)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(21 399.7)</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(20.9)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(16.5)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1 907.4</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1 488.9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(818.3)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(596.0)</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(6 396.1)</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(5 968.6)</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8 421.9</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8 179.9</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(54 273.2)</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(51 203.4)</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1 400.9</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881.9</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(384.6)</w:t>
            </w:r>
          </w:p>
        </w:tc>
        <w:tc>
          <w:tcPr>
            <w:tcW w:w="1606"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(1 238.2)</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6 900.0</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2 812.4</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(37.3)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(74.4)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312.2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(7 306.0)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(7 597.8)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19.0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496.4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406.3</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(18.2)</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(72.5)</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312.3</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(6 809.6)</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(7 191.5)</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812.3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957.8</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(5.4)</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(709.0)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920.0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1 056.4</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(866.4)</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(1 004.4)</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1 472.2</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2 366.9</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(958.5)</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(793.8)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(54.1)</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(46.6)</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1 466.8</w:t>
            </w:r>
          </w:p>
        </w:tc>
        <w:tc>
          <w:tcPr>
            <w:tcW w:w="1606"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1 671.0</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(38.5)</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262.6</w:t>
            </w:r>
          </w:p>
        </w:tc>
      </w:tr>
      <w:tr w:rsidR="004E6C32" w:rsidRPr="006A75A2" w:rsidTr="004B5CB1">
        <w:tc>
          <w:tcPr>
            <w:tcW w:w="1606" w:type="dxa"/>
            <w:tcBorders>
              <w:top w:val="nil"/>
              <w:left w:val="nil"/>
              <w:bottom w:val="nil"/>
              <w:right w:val="nil"/>
            </w:tcBorders>
          </w:tcPr>
          <w:p w:rsidR="004E6C32" w:rsidRPr="006A75A2" w:rsidRDefault="00C96101" w:rsidP="00513750">
            <w:pPr>
              <w:pStyle w:val="Tabletext"/>
              <w:jc w:val="right"/>
              <w:rPr>
                <w:rFonts w:eastAsiaTheme="minorEastAsia"/>
                <w:sz w:val="16"/>
                <w:szCs w:val="16"/>
                <w:lang w:eastAsia="en-AU"/>
              </w:rPr>
            </w:pPr>
            <w:r w:rsidRPr="006A75A2">
              <w:rPr>
                <w:rFonts w:eastAsiaTheme="minorEastAsia"/>
                <w:sz w:val="16"/>
                <w:szCs w:val="16"/>
                <w:lang w:eastAsia="en-AU"/>
              </w:rPr>
              <w:t>(3 482.4)</w:t>
            </w:r>
            <w:r w:rsidR="00513750">
              <w:rPr>
                <w:rFonts w:eastAsiaTheme="minorEastAsia"/>
                <w:sz w:val="16"/>
                <w:szCs w:val="16"/>
                <w:lang w:eastAsia="en-AU"/>
              </w:rPr>
              <w:br/>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(3 311.2)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1 378.2</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5 240.4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(1 851.4)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767.5</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(3 554.7)</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(3 430.3)</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2 845.0</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7 223.6</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(8 699.5)</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(6 161.4)</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55.9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351.3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(26.8)</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(60.3)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31.0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304.5</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(25.2)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(141.7)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25.2</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139.0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(0.6)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(9.7)</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30.7</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209.6</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(1.6)</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78.7</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30.4</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294.8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13 485.1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12 797.9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(4 643.4)</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(6 868.6)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13 748.6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12 076.4</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(9 605.3)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(10 205.1)</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2 905.9</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2 235.7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(9 986.7)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(9 501.8)</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3 879.8</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2 592.8</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(1 737.5)</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(4 633.0)</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3 761.9</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2 574.6</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25 440.0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32 166.9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(25 042.1)</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(32 021.9)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818.8</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508.9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(25 530.2)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(32 863.9)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25 126.0</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33 292.7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(867.6)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167.9</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(90.2)</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(697.0)</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83.9</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1 270.8</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6"/>
                <w:szCs w:val="16"/>
                <w:lang w:eastAsia="en-AU"/>
              </w:rPr>
              <w:t>(48.7)</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676.8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17.7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(1 511.0)</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(1 765.5)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(133.5)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(461.5)</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395.2</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1 162.8</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(133.5)</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(443.8)</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(1 115.9)</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(602.7)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3.0</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3 686.8</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1 661.7</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(2 771.1)</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(3 886.1)</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3 746.6</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3 546.2</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1 533.0</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(886.8)</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(310.7)</w:t>
            </w:r>
          </w:p>
        </w:tc>
        <w:tc>
          <w:tcPr>
            <w:tcW w:w="1606"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2 099.2</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1 947.1</w:t>
            </w:r>
          </w:p>
        </w:tc>
        <w:tc>
          <w:tcPr>
            <w:tcW w:w="1607" w:type="dxa"/>
            <w:tcBorders>
              <w:top w:val="nil"/>
              <w:left w:val="nil"/>
              <w:bottom w:val="nil"/>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197.2</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4 158.4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5 045.2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(2 665.4)</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(4 764.7)</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6 252.9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6 055.6</w:t>
            </w:r>
          </w:p>
        </w:tc>
      </w:tr>
      <w:tr w:rsidR="004E6C32" w:rsidRPr="006A75A2" w:rsidTr="004B5CB1">
        <w:tc>
          <w:tcPr>
            <w:tcW w:w="1606" w:type="dxa"/>
            <w:tcBorders>
              <w:top w:val="single" w:sz="6" w:space="0" w:color="auto"/>
              <w:left w:val="nil"/>
              <w:bottom w:val="single" w:sz="12" w:space="0" w:color="auto"/>
              <w:right w:val="nil"/>
            </w:tcBorders>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5 691.4</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4 158.4</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(2 976.1)</w:t>
            </w:r>
          </w:p>
        </w:tc>
        <w:tc>
          <w:tcPr>
            <w:tcW w:w="160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(2 665.4)</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8 199.9</w:t>
            </w:r>
          </w:p>
        </w:tc>
        <w:tc>
          <w:tcPr>
            <w:tcW w:w="160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6 252.9</w:t>
            </w:r>
          </w:p>
        </w:tc>
      </w:tr>
      <w:tr w:rsidR="004E6C32" w:rsidRPr="006A75A2" w:rsidTr="004B5CB1">
        <w:trPr>
          <w:trHeight w:hRule="exact" w:val="120"/>
        </w:trPr>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1 400.9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881.9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(384.6)</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(1 238.2)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6 900.0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2 812.4</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(136.0)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(440.6)</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220.5</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1 160.9</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text"/>
              <w:jc w:val="right"/>
              <w:rPr>
                <w:rFonts w:eastAsiaTheme="minorEastAsia"/>
                <w:sz w:val="16"/>
                <w:szCs w:val="16"/>
                <w:lang w:eastAsia="en-AU"/>
              </w:rPr>
            </w:pPr>
            <w:r w:rsidRPr="006A75A2">
              <w:rPr>
                <w:rFonts w:eastAsiaTheme="minorEastAsia"/>
                <w:sz w:val="16"/>
                <w:szCs w:val="16"/>
                <w:lang w:eastAsia="en-AU"/>
              </w:rPr>
              <w:t>(18.2)</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(72.5)</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 xml:space="preserve"> 312.3</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(6 809.6)</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6"/>
                <w:szCs w:val="16"/>
                <w:lang w:eastAsia="en-AU"/>
              </w:rPr>
            </w:pPr>
            <w:r w:rsidRPr="006A75A2">
              <w:rPr>
                <w:rFonts w:eastAsiaTheme="minorEastAsia"/>
                <w:sz w:val="16"/>
                <w:szCs w:val="16"/>
                <w:lang w:eastAsia="en-AU"/>
              </w:rPr>
              <w:t>(7 191.5)</w:t>
            </w:r>
          </w:p>
        </w:tc>
      </w:tr>
      <w:tr w:rsidR="004E6C32" w:rsidRPr="006A75A2" w:rsidTr="004B5CB1">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jc w:val="right"/>
              <w:rPr>
                <w:rFonts w:eastAsiaTheme="minorEastAsia"/>
                <w:b/>
                <w:bCs/>
                <w:sz w:val="16"/>
                <w:szCs w:val="16"/>
                <w:lang w:eastAsia="en-AU"/>
              </w:rPr>
            </w:pPr>
            <w:r w:rsidRPr="006A75A2">
              <w:rPr>
                <w:rFonts w:eastAsiaTheme="minorEastAsia"/>
                <w:b/>
                <w:bCs/>
                <w:sz w:val="16"/>
                <w:szCs w:val="16"/>
                <w:lang w:eastAsia="en-AU"/>
              </w:rPr>
              <w:t>1 246.7</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368.8</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(164.0)</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234.9</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 xml:space="preserve"> 90.4</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6"/>
                <w:szCs w:val="16"/>
                <w:lang w:eastAsia="en-AU"/>
              </w:rPr>
            </w:pPr>
            <w:r w:rsidRPr="006A75A2">
              <w:rPr>
                <w:rFonts w:eastAsiaTheme="minorEastAsia"/>
                <w:b/>
                <w:bCs/>
                <w:sz w:val="16"/>
                <w:szCs w:val="16"/>
                <w:lang w:eastAsia="en-AU"/>
              </w:rPr>
              <w:t>(4 379.1)</w:t>
            </w:r>
          </w:p>
        </w:tc>
      </w:tr>
    </w:tbl>
    <w:p w:rsidR="004E6C32" w:rsidRPr="006A75A2" w:rsidRDefault="004E6C32" w:rsidP="004B5CB1">
      <w:pPr>
        <w:pStyle w:val="Heading2Notes"/>
        <w:rPr>
          <w:kern w:val="0"/>
        </w:rPr>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2:</w:t>
      </w:r>
      <w:r w:rsidRPr="006A75A2">
        <w:rPr>
          <w:kern w:val="0"/>
        </w:rPr>
        <w:tab/>
        <w:t>Disaggregated statement of changes in equity for the financial year ended 30 June</w:t>
      </w:r>
    </w:p>
    <w:p w:rsidR="004E6C32" w:rsidRPr="006A75A2" w:rsidRDefault="004E6C32" w:rsidP="004B5CB1">
      <w:pPr>
        <w:pStyle w:val="million"/>
        <w:rPr>
          <w:rFonts w:ascii="Times New Roman" w:hAnsi="Times New Roman"/>
          <w:b/>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687"/>
        <w:gridCol w:w="1843"/>
        <w:gridCol w:w="2110"/>
      </w:tblGrid>
      <w:tr w:rsidR="004E6C32" w:rsidRPr="006A75A2" w:rsidTr="002E6139">
        <w:tc>
          <w:tcPr>
            <w:tcW w:w="5687" w:type="dxa"/>
            <w:tcBorders>
              <w:top w:val="single" w:sz="6" w:space="0" w:color="auto"/>
              <w:left w:val="single" w:sz="6" w:space="0" w:color="auto"/>
              <w:bottom w:val="single" w:sz="6" w:space="0" w:color="auto"/>
              <w:right w:val="nil"/>
            </w:tcBorders>
            <w:shd w:val="clear" w:color="000000" w:fill="000000"/>
            <w:vAlign w:val="bottom"/>
          </w:tcPr>
          <w:p w:rsidR="004E6C32" w:rsidRPr="006A75A2" w:rsidRDefault="004E6C32" w:rsidP="002E6139">
            <w:pPr>
              <w:pStyle w:val="TabletextheadingLeft"/>
              <w:rPr>
                <w:rFonts w:eastAsiaTheme="minorEastAsia" w:cs="Calibri"/>
                <w:iCs/>
                <w:szCs w:val="22"/>
                <w:lang w:eastAsia="en-AU"/>
              </w:rPr>
            </w:pPr>
            <w:r w:rsidRPr="006A75A2">
              <w:rPr>
                <w:rFonts w:eastAsiaTheme="minorEastAsia"/>
                <w:lang w:eastAsia="en-AU"/>
              </w:rPr>
              <w:t>2014</w:t>
            </w:r>
          </w:p>
        </w:tc>
        <w:tc>
          <w:tcPr>
            <w:tcW w:w="1843"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Accumulated surplus/(deficit)</w:t>
            </w:r>
          </w:p>
        </w:tc>
        <w:tc>
          <w:tcPr>
            <w:tcW w:w="211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Contribution by owners</w:t>
            </w:r>
          </w:p>
        </w:tc>
      </w:tr>
      <w:tr w:rsidR="004E6C32" w:rsidRPr="006A75A2" w:rsidTr="004B5CB1">
        <w:tc>
          <w:tcPr>
            <w:tcW w:w="5687"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General government sector</w:t>
            </w:r>
          </w:p>
        </w:tc>
        <w:tc>
          <w:tcPr>
            <w:tcW w:w="1843"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1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43 174.7</w:t>
            </w:r>
          </w:p>
        </w:tc>
        <w:tc>
          <w:tcPr>
            <w:tcW w:w="211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773.1</w:t>
            </w:r>
          </w:p>
        </w:tc>
        <w:tc>
          <w:tcPr>
            <w:tcW w:w="211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462.3</w:t>
            </w:r>
          </w:p>
        </w:tc>
        <w:tc>
          <w:tcPr>
            <w:tcW w:w="211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1843"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1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2014</w:t>
            </w:r>
          </w:p>
        </w:tc>
        <w:tc>
          <w:tcPr>
            <w:tcW w:w="1843"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44 410.0</w:t>
            </w:r>
          </w:p>
        </w:tc>
        <w:tc>
          <w:tcPr>
            <w:tcW w:w="211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PNFC sector</w:t>
            </w:r>
          </w:p>
        </w:tc>
        <w:tc>
          <w:tcPr>
            <w:tcW w:w="18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1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5 088.6</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30 624.9</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76.9</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13.5</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paid</w:t>
            </w:r>
          </w:p>
        </w:tc>
        <w:tc>
          <w:tcPr>
            <w:tcW w:w="184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(84.5)</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2 338.1</w:t>
            </w:r>
          </w:p>
        </w:tc>
      </w:tr>
      <w:tr w:rsidR="004E6C32" w:rsidRPr="006A75A2" w:rsidTr="004B5CB1">
        <w:tc>
          <w:tcPr>
            <w:tcW w:w="5687"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2014</w:t>
            </w:r>
          </w:p>
        </w:tc>
        <w:tc>
          <w:tcPr>
            <w:tcW w:w="18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5 094.5</w:t>
            </w:r>
          </w:p>
        </w:tc>
        <w:tc>
          <w:tcPr>
            <w:tcW w:w="211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32 963.0</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PFC sector</w:t>
            </w:r>
          </w:p>
        </w:tc>
        <w:tc>
          <w:tcPr>
            <w:tcW w:w="18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1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(1 765.4)</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251.8</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674.5</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477.7</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paid</w:t>
            </w:r>
          </w:p>
        </w:tc>
        <w:tc>
          <w:tcPr>
            <w:tcW w:w="184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(136.0)</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1843"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1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w:t>
            </w:r>
          </w:p>
        </w:tc>
      </w:tr>
      <w:tr w:rsidR="004E6C32" w:rsidRPr="006A75A2" w:rsidTr="004B5CB1">
        <w:tc>
          <w:tcPr>
            <w:tcW w:w="5687"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2014</w:t>
            </w:r>
          </w:p>
        </w:tc>
        <w:tc>
          <w:tcPr>
            <w:tcW w:w="18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(749.2)</w:t>
            </w:r>
          </w:p>
        </w:tc>
        <w:tc>
          <w:tcPr>
            <w:tcW w:w="211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254.3</w:t>
            </w:r>
          </w:p>
        </w:tc>
      </w:tr>
      <w:tr w:rsidR="004E6C32" w:rsidRPr="006A75A2" w:rsidTr="004B5CB1">
        <w:tc>
          <w:tcPr>
            <w:tcW w:w="5687"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Eliminations</w:t>
            </w:r>
          </w:p>
        </w:tc>
        <w:tc>
          <w:tcPr>
            <w:tcW w:w="18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(2 544.0)</w:t>
            </w:r>
          </w:p>
        </w:tc>
        <w:tc>
          <w:tcPr>
            <w:tcW w:w="211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(33 217.2)</w:t>
            </w:r>
          </w:p>
        </w:tc>
      </w:tr>
      <w:tr w:rsidR="004E6C32" w:rsidRPr="006A75A2" w:rsidTr="004B5CB1">
        <w:tc>
          <w:tcPr>
            <w:tcW w:w="568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State of Victoria</w:t>
            </w:r>
          </w:p>
        </w:tc>
        <w:tc>
          <w:tcPr>
            <w:tcW w:w="184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46 211.3</w:t>
            </w:r>
          </w:p>
        </w:tc>
        <w:tc>
          <w:tcPr>
            <w:tcW w:w="211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bl>
    <w:p w:rsidR="004E6C32" w:rsidRPr="006A75A2" w:rsidRDefault="004E6C32" w:rsidP="004B5CB1">
      <w:pPr>
        <w:pStyle w:val="Heading2Notes"/>
        <w:rPr>
          <w:kern w:val="0"/>
        </w:rPr>
      </w:pPr>
    </w:p>
    <w:p w:rsidR="004E6C32" w:rsidRPr="006A75A2" w:rsidRDefault="004E6C32" w:rsidP="004B5CB1">
      <w:pPr>
        <w:pStyle w:val="Heading1"/>
      </w:pPr>
      <w:r w:rsidRPr="006A75A2">
        <w:rPr>
          <w:caps w:val="0"/>
        </w:rPr>
        <w:br w:type="page"/>
      </w:r>
    </w:p>
    <w:p w:rsidR="004E6C32" w:rsidRPr="006A75A2" w:rsidRDefault="004E6C32" w:rsidP="004B5CB1">
      <w:pPr>
        <w:pStyle w:val="Heading2NotesContd"/>
        <w:rPr>
          <w:kern w:val="0"/>
        </w:rPr>
      </w:pPr>
      <w:r w:rsidRPr="006A75A2">
        <w:rPr>
          <w:kern w:val="0"/>
        </w:rPr>
        <w:lastRenderedPageBreak/>
        <w:br/>
      </w:r>
    </w:p>
    <w:p w:rsidR="004E6C32" w:rsidRPr="006A75A2" w:rsidRDefault="004E6C32" w:rsidP="004B5CB1">
      <w:pPr>
        <w:pStyle w:val="million"/>
        <w:rPr>
          <w:rFonts w:ascii="Times New Roman" w:hAnsi="Times New Roman"/>
          <w:b/>
          <w:szCs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2002"/>
        <w:gridCol w:w="2977"/>
        <w:gridCol w:w="2126"/>
        <w:gridCol w:w="1276"/>
        <w:gridCol w:w="1259"/>
      </w:tblGrid>
      <w:tr w:rsidR="004E6C32" w:rsidRPr="006A75A2" w:rsidTr="004B5CB1">
        <w:tc>
          <w:tcPr>
            <w:tcW w:w="2002"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Non-controlling Interest</w:t>
            </w:r>
          </w:p>
        </w:tc>
        <w:tc>
          <w:tcPr>
            <w:tcW w:w="297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Land, buildings, infrastructure, plant and equipment revaluation surplus</w:t>
            </w:r>
          </w:p>
        </w:tc>
        <w:tc>
          <w:tcPr>
            <w:tcW w:w="212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Investment in other sector entities revaluation surplus</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Other </w:t>
            </w:r>
          </w:p>
          <w:p w:rsidR="004E6C32" w:rsidRPr="006A75A2" w:rsidRDefault="004E6C32" w:rsidP="004B5CB1">
            <w:pPr>
              <w:pStyle w:val="Tabletextheading"/>
              <w:rPr>
                <w:rFonts w:eastAsiaTheme="minorEastAsia"/>
                <w:lang w:eastAsia="en-AU"/>
              </w:rPr>
            </w:pPr>
            <w:r w:rsidRPr="006A75A2">
              <w:rPr>
                <w:rFonts w:eastAsiaTheme="minorEastAsia"/>
                <w:lang w:eastAsia="en-AU"/>
              </w:rPr>
              <w:t>reserves</w:t>
            </w:r>
          </w:p>
        </w:tc>
        <w:tc>
          <w:tcPr>
            <w:tcW w:w="1259"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Total</w:t>
            </w:r>
          </w:p>
        </w:tc>
      </w:tr>
      <w:tr w:rsidR="004E6C32" w:rsidRPr="006A75A2" w:rsidTr="004B5CB1">
        <w:tc>
          <w:tcPr>
            <w:tcW w:w="2002"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977"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26"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59"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297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37 970.4</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38 373.5</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614.0</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120 182.6</w:t>
            </w:r>
          </w:p>
        </w:tc>
      </w:tr>
      <w:tr w:rsidR="004E6C32" w:rsidRPr="006A75A2" w:rsidTr="004B5CB1">
        <w:tc>
          <w:tcPr>
            <w:tcW w:w="200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773.1</w:t>
            </w:r>
          </w:p>
        </w:tc>
      </w:tr>
      <w:tr w:rsidR="004E6C32" w:rsidRPr="006A75A2" w:rsidTr="004B5CB1">
        <w:tc>
          <w:tcPr>
            <w:tcW w:w="200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2 228.8</w:t>
            </w:r>
          </w:p>
        </w:tc>
        <w:tc>
          <w:tcPr>
            <w:tcW w:w="212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3 813.8</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26.4</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6 531.4</w:t>
            </w:r>
          </w:p>
        </w:tc>
      </w:tr>
      <w:tr w:rsidR="004E6C32" w:rsidRPr="006A75A2" w:rsidTr="004B5CB1">
        <w:tc>
          <w:tcPr>
            <w:tcW w:w="200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002" w:type="dxa"/>
            <w:tcBorders>
              <w:top w:val="nil"/>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50.0</w:t>
            </w:r>
          </w:p>
        </w:tc>
        <w:tc>
          <w:tcPr>
            <w:tcW w:w="2977"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40 199.2</w:t>
            </w:r>
          </w:p>
        </w:tc>
        <w:tc>
          <w:tcPr>
            <w:tcW w:w="2126"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42 187.3</w:t>
            </w:r>
          </w:p>
        </w:tc>
        <w:tc>
          <w:tcPr>
            <w:tcW w:w="1276"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640.3</w:t>
            </w:r>
          </w:p>
        </w:tc>
        <w:tc>
          <w:tcPr>
            <w:tcW w:w="1259"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127 486.9</w:t>
            </w:r>
          </w:p>
        </w:tc>
      </w:tr>
      <w:tr w:rsidR="004E6C32" w:rsidRPr="006A75A2" w:rsidTr="004B5CB1">
        <w:tc>
          <w:tcPr>
            <w:tcW w:w="200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97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2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7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59"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31 754.1</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297.9</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67 765.5</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76.9</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2 821.9</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41.8</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2 877.2</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(84.5)</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2 338.1</w:t>
            </w:r>
          </w:p>
        </w:tc>
      </w:tr>
      <w:tr w:rsidR="004E6C32" w:rsidRPr="006A75A2" w:rsidTr="004B5CB1">
        <w:tc>
          <w:tcPr>
            <w:tcW w:w="2002"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34 576.1</w:t>
            </w:r>
          </w:p>
        </w:tc>
        <w:tc>
          <w:tcPr>
            <w:tcW w:w="2126"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27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339.6</w:t>
            </w:r>
          </w:p>
        </w:tc>
        <w:tc>
          <w:tcPr>
            <w:tcW w:w="1259"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72 973.2</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97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7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59"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15.0</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645.9</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(852.8)</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674.5</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(12.9)</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(465.3)</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(0.5)</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(136.0)</w:t>
            </w:r>
          </w:p>
        </w:tc>
      </w:tr>
      <w:tr w:rsidR="004E6C32" w:rsidRPr="006A75A2" w:rsidTr="004B5CB1">
        <w:tc>
          <w:tcPr>
            <w:tcW w:w="2002"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w:t>
            </w:r>
          </w:p>
        </w:tc>
      </w:tr>
      <w:tr w:rsidR="004E6C32" w:rsidRPr="006A75A2" w:rsidTr="004B5CB1">
        <w:tc>
          <w:tcPr>
            <w:tcW w:w="2002"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2.1</w:t>
            </w:r>
          </w:p>
        </w:tc>
        <w:tc>
          <w:tcPr>
            <w:tcW w:w="2126"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27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180.6</w:t>
            </w:r>
          </w:p>
        </w:tc>
        <w:tc>
          <w:tcPr>
            <w:tcW w:w="1259"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(312.3)</w:t>
            </w:r>
          </w:p>
        </w:tc>
      </w:tr>
      <w:tr w:rsidR="004E6C32" w:rsidRPr="006A75A2" w:rsidTr="004B5CB1">
        <w:tc>
          <w:tcPr>
            <w:tcW w:w="200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8 893.5</w:t>
            </w:r>
          </w:p>
        </w:tc>
        <w:tc>
          <w:tcPr>
            <w:tcW w:w="212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(42 187.3)</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(69 055.1)</w:t>
            </w:r>
          </w:p>
        </w:tc>
      </w:tr>
      <w:tr w:rsidR="004E6C32" w:rsidRPr="006A75A2" w:rsidTr="004B5CB1">
        <w:tc>
          <w:tcPr>
            <w:tcW w:w="200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c>
          <w:tcPr>
            <w:tcW w:w="297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83 670.8</w:t>
            </w:r>
          </w:p>
        </w:tc>
        <w:tc>
          <w:tcPr>
            <w:tcW w:w="212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1 160.5</w:t>
            </w:r>
          </w:p>
        </w:tc>
        <w:tc>
          <w:tcPr>
            <w:tcW w:w="125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131 092.7</w:t>
            </w:r>
          </w:p>
        </w:tc>
      </w:tr>
    </w:tbl>
    <w:p w:rsidR="004E6C32" w:rsidRPr="006A75A2" w:rsidRDefault="004E6C32" w:rsidP="004B5CB1">
      <w:pPr>
        <w:pStyle w:val="Heading2Notes"/>
        <w:rPr>
          <w:kern w:val="0"/>
        </w:rPr>
      </w:pPr>
    </w:p>
    <w:p w:rsidR="004E6C32" w:rsidRPr="006A75A2" w:rsidRDefault="004E6C32" w:rsidP="004B5CB1">
      <w:pPr>
        <w:pStyle w:val="Heading1"/>
      </w:pPr>
      <w:r w:rsidRPr="006A75A2">
        <w:rPr>
          <w:caps w:val="0"/>
        </w:rPr>
        <w:br w:type="page"/>
      </w:r>
    </w:p>
    <w:p w:rsidR="004E6C32" w:rsidRPr="006A75A2" w:rsidRDefault="004E6C32" w:rsidP="004B5CB1">
      <w:pPr>
        <w:pStyle w:val="Heading2NotesContd"/>
        <w:rPr>
          <w:kern w:val="0"/>
        </w:rPr>
      </w:pPr>
      <w:r w:rsidRPr="006A75A2">
        <w:rPr>
          <w:kern w:val="0"/>
        </w:rPr>
        <w:lastRenderedPageBreak/>
        <w:t>Note 2:</w:t>
      </w:r>
      <w:r w:rsidRPr="006A75A2">
        <w:rPr>
          <w:kern w:val="0"/>
        </w:rPr>
        <w:tab/>
        <w:t xml:space="preserve">Disaggregated statement of changes in equity for the financial year ended 30 June </w:t>
      </w:r>
      <w:r w:rsidRPr="006A75A2">
        <w:rPr>
          <w:i/>
          <w:kern w:val="0"/>
        </w:rPr>
        <w:t>(continued)</w:t>
      </w:r>
    </w:p>
    <w:p w:rsidR="004E6C32" w:rsidRPr="006A75A2" w:rsidRDefault="004E6C32" w:rsidP="004B5CB1">
      <w:pPr>
        <w:pStyle w:val="million"/>
        <w:rPr>
          <w:rFonts w:ascii="Times New Roman" w:hAnsi="Times New Roman"/>
          <w:b/>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687"/>
        <w:gridCol w:w="1843"/>
        <w:gridCol w:w="2110"/>
      </w:tblGrid>
      <w:tr w:rsidR="004E6C32" w:rsidRPr="006A75A2" w:rsidTr="002E6139">
        <w:tc>
          <w:tcPr>
            <w:tcW w:w="5687" w:type="dxa"/>
            <w:tcBorders>
              <w:top w:val="single" w:sz="6" w:space="0" w:color="auto"/>
              <w:left w:val="single" w:sz="6" w:space="0" w:color="auto"/>
              <w:bottom w:val="single" w:sz="6" w:space="0" w:color="auto"/>
              <w:right w:val="nil"/>
            </w:tcBorders>
            <w:shd w:val="clear" w:color="000000" w:fill="000000"/>
            <w:vAlign w:val="bottom"/>
          </w:tcPr>
          <w:p w:rsidR="004E6C32" w:rsidRPr="006A75A2" w:rsidRDefault="004E6C32" w:rsidP="002E6139">
            <w:pPr>
              <w:pStyle w:val="TabletextheadingLeft"/>
              <w:rPr>
                <w:rFonts w:eastAsiaTheme="minorEastAsia" w:cs="Calibri"/>
                <w:iCs/>
                <w:szCs w:val="22"/>
                <w:vertAlign w:val="superscript"/>
                <w:lang w:eastAsia="en-AU"/>
              </w:rPr>
            </w:pPr>
            <w:r w:rsidRPr="006A75A2">
              <w:rPr>
                <w:rFonts w:eastAsiaTheme="minorEastAsia"/>
                <w:lang w:eastAsia="en-AU"/>
              </w:rPr>
              <w:t>2013</w:t>
            </w:r>
          </w:p>
        </w:tc>
        <w:tc>
          <w:tcPr>
            <w:tcW w:w="1843"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Accumulated surplus/(deficit)</w:t>
            </w:r>
          </w:p>
        </w:tc>
        <w:tc>
          <w:tcPr>
            <w:tcW w:w="211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Contribution by owners</w:t>
            </w:r>
          </w:p>
        </w:tc>
      </w:tr>
      <w:tr w:rsidR="004E6C32" w:rsidRPr="006A75A2" w:rsidTr="004B5CB1">
        <w:tc>
          <w:tcPr>
            <w:tcW w:w="5687"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General government sector</w:t>
            </w:r>
          </w:p>
        </w:tc>
        <w:tc>
          <w:tcPr>
            <w:tcW w:w="1843"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1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687" w:type="dxa"/>
            <w:tcBorders>
              <w:top w:val="nil"/>
              <w:left w:val="nil"/>
              <w:bottom w:val="nil"/>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Balance at 1 July 2012</w:t>
            </w:r>
            <w:r w:rsidRPr="006A75A2">
              <w:rPr>
                <w:rFonts w:eastAsiaTheme="minorEastAsia"/>
                <w:vertAlign w:val="superscript"/>
                <w:lang w:eastAsia="en-AU"/>
              </w:rPr>
              <w:t>(a)</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34 808.2</w:t>
            </w:r>
          </w:p>
        </w:tc>
        <w:tc>
          <w:tcPr>
            <w:tcW w:w="211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Net result for the year</w:t>
            </w:r>
            <w:r w:rsidRPr="006A75A2">
              <w:rPr>
                <w:rFonts w:eastAsiaTheme="minorEastAsia"/>
                <w:vertAlign w:val="superscript"/>
                <w:lang w:eastAsia="en-AU"/>
              </w:rPr>
              <w:t>(b)</w:t>
            </w:r>
          </w:p>
        </w:tc>
        <w:tc>
          <w:tcPr>
            <w:tcW w:w="184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(533.9)</w:t>
            </w:r>
          </w:p>
        </w:tc>
        <w:tc>
          <w:tcPr>
            <w:tcW w:w="211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Other comprehensive income for the year</w:t>
            </w:r>
            <w:r w:rsidRPr="006A75A2">
              <w:rPr>
                <w:rFonts w:eastAsiaTheme="minorEastAsia"/>
                <w:vertAlign w:val="superscript"/>
                <w:lang w:eastAsia="en-AU"/>
              </w:rPr>
              <w:t>(a)(b)</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8 900.4</w:t>
            </w:r>
          </w:p>
        </w:tc>
        <w:tc>
          <w:tcPr>
            <w:tcW w:w="211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18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1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2013</w:t>
            </w:r>
          </w:p>
        </w:tc>
        <w:tc>
          <w:tcPr>
            <w:tcW w:w="1843"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43 174.7</w:t>
            </w:r>
          </w:p>
        </w:tc>
        <w:tc>
          <w:tcPr>
            <w:tcW w:w="2110"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PNFC sector</w:t>
            </w:r>
          </w:p>
        </w:tc>
        <w:tc>
          <w:tcPr>
            <w:tcW w:w="18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1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687" w:type="dxa"/>
            <w:tcBorders>
              <w:top w:val="nil"/>
              <w:left w:val="nil"/>
              <w:bottom w:val="nil"/>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Balance at 1 July 2012</w:t>
            </w:r>
            <w:r w:rsidRPr="006A75A2">
              <w:rPr>
                <w:rFonts w:eastAsiaTheme="minorEastAsia"/>
                <w:vertAlign w:val="superscript"/>
                <w:lang w:eastAsia="en-AU"/>
              </w:rPr>
              <w:t>(a)</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5 742.8</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27 854.1</w:t>
            </w:r>
          </w:p>
        </w:tc>
      </w:tr>
      <w:tr w:rsidR="004E6C32" w:rsidRPr="006A75A2" w:rsidTr="004B5CB1">
        <w:tc>
          <w:tcPr>
            <w:tcW w:w="5687" w:type="dxa"/>
            <w:tcBorders>
              <w:top w:val="nil"/>
              <w:left w:val="nil"/>
              <w:bottom w:val="nil"/>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Net result for the year</w:t>
            </w:r>
            <w:r w:rsidRPr="006A75A2">
              <w:rPr>
                <w:rFonts w:eastAsiaTheme="minorEastAsia"/>
                <w:vertAlign w:val="superscript"/>
                <w:lang w:eastAsia="en-AU"/>
              </w:rPr>
              <w:t>(b)</w:t>
            </w:r>
          </w:p>
        </w:tc>
        <w:tc>
          <w:tcPr>
            <w:tcW w:w="184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(376.8)</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Other comprehensive income for the year</w:t>
            </w:r>
            <w:r w:rsidRPr="006A75A2">
              <w:rPr>
                <w:rFonts w:eastAsiaTheme="minorEastAsia"/>
                <w:vertAlign w:val="superscript"/>
                <w:lang w:eastAsia="en-AU"/>
              </w:rPr>
              <w:t>(a)(b)</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442.9</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paid</w:t>
            </w:r>
          </w:p>
        </w:tc>
        <w:tc>
          <w:tcPr>
            <w:tcW w:w="184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(720.3)</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18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2 770.8</w:t>
            </w:r>
          </w:p>
        </w:tc>
      </w:tr>
      <w:tr w:rsidR="004E6C32" w:rsidRPr="006A75A2" w:rsidTr="004B5CB1">
        <w:tc>
          <w:tcPr>
            <w:tcW w:w="5687" w:type="dxa"/>
            <w:tcBorders>
              <w:top w:val="single" w:sz="6" w:space="0" w:color="auto"/>
              <w:left w:val="nil"/>
              <w:bottom w:val="single" w:sz="12" w:space="0" w:color="auto"/>
              <w:right w:val="nil"/>
            </w:tcBorders>
          </w:tcPr>
          <w:p w:rsidR="004E6C32" w:rsidRPr="006A75A2" w:rsidRDefault="004E6C32" w:rsidP="002D2F70">
            <w:pPr>
              <w:pStyle w:val="Tabletext"/>
              <w:rPr>
                <w:rFonts w:eastAsiaTheme="minorEastAsia" w:cs="Calibri"/>
                <w:b/>
                <w:bCs/>
                <w:szCs w:val="22"/>
                <w:vertAlign w:val="superscript"/>
                <w:lang w:eastAsia="en-AU"/>
              </w:rPr>
            </w:pPr>
            <w:r w:rsidRPr="006A75A2">
              <w:rPr>
                <w:rFonts w:eastAsiaTheme="minorEastAsia"/>
                <w:b/>
                <w:bCs/>
                <w:lang w:eastAsia="en-AU"/>
              </w:rPr>
              <w:t>Total equity as at 30 June 2013</w:t>
            </w:r>
            <w:r w:rsidRPr="006A75A2">
              <w:rPr>
                <w:rFonts w:eastAsiaTheme="minorEastAsia"/>
                <w:b/>
                <w:bCs/>
                <w:vertAlign w:val="superscript"/>
                <w:lang w:eastAsia="en-AU"/>
              </w:rPr>
              <w:t>(a)</w:t>
            </w:r>
          </w:p>
        </w:tc>
        <w:tc>
          <w:tcPr>
            <w:tcW w:w="18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5 088.6</w:t>
            </w:r>
          </w:p>
        </w:tc>
        <w:tc>
          <w:tcPr>
            <w:tcW w:w="211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30 624.9</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PFC sector</w:t>
            </w:r>
          </w:p>
        </w:tc>
        <w:tc>
          <w:tcPr>
            <w:tcW w:w="18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1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2012</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(4 675.8)</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254.9</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3 259.7</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91.3</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paid</w:t>
            </w:r>
          </w:p>
        </w:tc>
        <w:tc>
          <w:tcPr>
            <w:tcW w:w="184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(440.6)</w:t>
            </w:r>
          </w:p>
        </w:tc>
        <w:tc>
          <w:tcPr>
            <w:tcW w:w="21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687"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18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1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(3.2)</w:t>
            </w:r>
          </w:p>
        </w:tc>
      </w:tr>
      <w:tr w:rsidR="004E6C32" w:rsidRPr="006A75A2" w:rsidTr="004B5CB1">
        <w:tc>
          <w:tcPr>
            <w:tcW w:w="5687"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2013</w:t>
            </w:r>
          </w:p>
        </w:tc>
        <w:tc>
          <w:tcPr>
            <w:tcW w:w="18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(1 765.4)</w:t>
            </w:r>
          </w:p>
        </w:tc>
        <w:tc>
          <w:tcPr>
            <w:tcW w:w="211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251.8</w:t>
            </w:r>
          </w:p>
        </w:tc>
      </w:tr>
      <w:tr w:rsidR="004E6C32" w:rsidRPr="006A75A2" w:rsidTr="004B5CB1">
        <w:tc>
          <w:tcPr>
            <w:tcW w:w="5687" w:type="dxa"/>
            <w:tcBorders>
              <w:top w:val="nil"/>
              <w:left w:val="nil"/>
              <w:bottom w:val="single" w:sz="6" w:space="0" w:color="auto"/>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Eliminations</w:t>
            </w:r>
            <w:r w:rsidRPr="006A75A2">
              <w:rPr>
                <w:rFonts w:eastAsiaTheme="minorEastAsia"/>
                <w:vertAlign w:val="superscript"/>
                <w:lang w:eastAsia="en-AU"/>
              </w:rPr>
              <w:t>(a)</w:t>
            </w:r>
          </w:p>
        </w:tc>
        <w:tc>
          <w:tcPr>
            <w:tcW w:w="18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(2 932.8)</w:t>
            </w:r>
          </w:p>
        </w:tc>
        <w:tc>
          <w:tcPr>
            <w:tcW w:w="211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(30 876.7)</w:t>
            </w:r>
          </w:p>
        </w:tc>
      </w:tr>
      <w:tr w:rsidR="004E6C32" w:rsidRPr="006A75A2" w:rsidTr="004B5CB1">
        <w:tc>
          <w:tcPr>
            <w:tcW w:w="5687" w:type="dxa"/>
            <w:tcBorders>
              <w:top w:val="single" w:sz="6" w:space="0" w:color="auto"/>
              <w:left w:val="nil"/>
              <w:bottom w:val="single" w:sz="12" w:space="0" w:color="000000"/>
              <w:right w:val="nil"/>
            </w:tcBorders>
            <w:shd w:val="clear" w:color="auto" w:fill="auto"/>
          </w:tcPr>
          <w:p w:rsidR="004E6C32" w:rsidRPr="006A75A2" w:rsidRDefault="004E6C32" w:rsidP="002D2F70">
            <w:pPr>
              <w:pStyle w:val="Tabletext"/>
              <w:rPr>
                <w:rFonts w:eastAsiaTheme="minorEastAsia" w:cs="Calibri"/>
                <w:b/>
                <w:bCs/>
                <w:szCs w:val="22"/>
                <w:vertAlign w:val="superscript"/>
                <w:lang w:eastAsia="en-AU"/>
              </w:rPr>
            </w:pPr>
            <w:r w:rsidRPr="006A75A2">
              <w:rPr>
                <w:rFonts w:eastAsiaTheme="minorEastAsia"/>
                <w:b/>
                <w:bCs/>
                <w:lang w:eastAsia="en-AU"/>
              </w:rPr>
              <w:t>Total State of Victoria</w:t>
            </w:r>
            <w:r w:rsidRPr="006A75A2">
              <w:rPr>
                <w:rFonts w:eastAsiaTheme="minorEastAsia"/>
                <w:b/>
                <w:bCs/>
                <w:vertAlign w:val="superscript"/>
                <w:lang w:eastAsia="en-AU"/>
              </w:rPr>
              <w:t>(a)</w:t>
            </w:r>
          </w:p>
        </w:tc>
        <w:tc>
          <w:tcPr>
            <w:tcW w:w="184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43 565.1</w:t>
            </w:r>
          </w:p>
        </w:tc>
        <w:tc>
          <w:tcPr>
            <w:tcW w:w="211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bl>
    <w:p w:rsidR="004E6C32" w:rsidRPr="006A75A2" w:rsidRDefault="004E6C32" w:rsidP="004B5CB1">
      <w:pPr>
        <w:pStyle w:val="Notes"/>
      </w:pPr>
      <w:r w:rsidRPr="006A75A2">
        <w:t>Notes:</w:t>
      </w:r>
    </w:p>
    <w:p w:rsidR="004E6C32" w:rsidRPr="006A75A2" w:rsidRDefault="004E6C32" w:rsidP="004B5CB1">
      <w:pPr>
        <w:pStyle w:val="Notes"/>
        <w:numPr>
          <w:ilvl w:val="0"/>
          <w:numId w:val="11"/>
        </w:numPr>
      </w:pPr>
      <w:r w:rsidRPr="006A75A2">
        <w:t xml:space="preserve">June 2013 comparative figures have been restated. See Note 37. </w:t>
      </w:r>
    </w:p>
    <w:p w:rsidR="004E6C32" w:rsidRPr="006A75A2" w:rsidRDefault="004E6C32" w:rsidP="004B5CB1">
      <w:pPr>
        <w:pStyle w:val="Notes"/>
        <w:numPr>
          <w:ilvl w:val="0"/>
          <w:numId w:val="11"/>
        </w:numPr>
      </w:pPr>
      <w:r w:rsidRPr="006A75A2">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Pr>
        <w:pStyle w:val="Notes"/>
        <w:ind w:left="360" w:firstLine="0"/>
      </w:pPr>
    </w:p>
    <w:p w:rsidR="004E6C32" w:rsidRPr="006A75A2" w:rsidRDefault="004E6C32" w:rsidP="004B5CB1">
      <w:pPr>
        <w:pStyle w:val="Notes"/>
        <w:ind w:left="0" w:firstLine="0"/>
      </w:pPr>
    </w:p>
    <w:p w:rsidR="004E6C32" w:rsidRPr="006A75A2" w:rsidRDefault="004E6C32" w:rsidP="004B5CB1">
      <w:pPr>
        <w:pStyle w:val="Notes"/>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r w:rsidRPr="006A75A2">
        <w:rPr>
          <w:kern w:val="0"/>
        </w:rPr>
        <w:lastRenderedPageBreak/>
        <w:br/>
      </w:r>
    </w:p>
    <w:p w:rsidR="004E6C32" w:rsidRPr="006A75A2" w:rsidRDefault="004E6C32" w:rsidP="004B5CB1">
      <w:pPr>
        <w:pStyle w:val="million"/>
        <w:rPr>
          <w:rFonts w:ascii="Times New Roman" w:hAnsi="Times New Roman"/>
          <w:b/>
          <w:szCs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2002"/>
        <w:gridCol w:w="2977"/>
        <w:gridCol w:w="2126"/>
        <w:gridCol w:w="1276"/>
        <w:gridCol w:w="1259"/>
      </w:tblGrid>
      <w:tr w:rsidR="004E6C32" w:rsidRPr="006A75A2" w:rsidTr="004B5CB1">
        <w:tc>
          <w:tcPr>
            <w:tcW w:w="2002"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Non-controlling Interest</w:t>
            </w:r>
          </w:p>
        </w:tc>
        <w:tc>
          <w:tcPr>
            <w:tcW w:w="297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Land, buildings, infrastructure, plant and equipment revaluation surplus</w:t>
            </w:r>
          </w:p>
        </w:tc>
        <w:tc>
          <w:tcPr>
            <w:tcW w:w="212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Investment in other sector entities revaluation surplus</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Other </w:t>
            </w:r>
          </w:p>
          <w:p w:rsidR="004E6C32" w:rsidRPr="006A75A2" w:rsidRDefault="004E6C32" w:rsidP="004B5CB1">
            <w:pPr>
              <w:pStyle w:val="Tabletextheading"/>
              <w:rPr>
                <w:rFonts w:eastAsiaTheme="minorEastAsia"/>
                <w:lang w:eastAsia="en-AU"/>
              </w:rPr>
            </w:pPr>
            <w:r w:rsidRPr="006A75A2">
              <w:rPr>
                <w:rFonts w:eastAsiaTheme="minorEastAsia"/>
                <w:lang w:eastAsia="en-AU"/>
              </w:rPr>
              <w:t>reserves</w:t>
            </w:r>
          </w:p>
        </w:tc>
        <w:tc>
          <w:tcPr>
            <w:tcW w:w="1259"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Total</w:t>
            </w:r>
          </w:p>
        </w:tc>
      </w:tr>
      <w:tr w:rsidR="004E6C32" w:rsidRPr="006A75A2" w:rsidTr="004B5CB1">
        <w:tc>
          <w:tcPr>
            <w:tcW w:w="2002"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977"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26"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59"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200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37 249.6</w:t>
            </w:r>
          </w:p>
        </w:tc>
        <w:tc>
          <w:tcPr>
            <w:tcW w:w="212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38 871.2</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697.4</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111 676.5</w:t>
            </w:r>
          </w:p>
        </w:tc>
      </w:tr>
      <w:tr w:rsidR="004E6C32" w:rsidRPr="006A75A2" w:rsidTr="004B5CB1">
        <w:tc>
          <w:tcPr>
            <w:tcW w:w="200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(533.9)</w:t>
            </w:r>
          </w:p>
        </w:tc>
      </w:tr>
      <w:tr w:rsidR="004E6C32" w:rsidRPr="006A75A2" w:rsidTr="004B5CB1">
        <w:tc>
          <w:tcPr>
            <w:tcW w:w="200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720.8</w:t>
            </w:r>
          </w:p>
        </w:tc>
        <w:tc>
          <w:tcPr>
            <w:tcW w:w="212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(497.7)</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(83.4)</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9 040.0</w:t>
            </w:r>
          </w:p>
        </w:tc>
      </w:tr>
      <w:tr w:rsidR="004E6C32" w:rsidRPr="006A75A2" w:rsidTr="004B5CB1">
        <w:tc>
          <w:tcPr>
            <w:tcW w:w="200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002"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c>
          <w:tcPr>
            <w:tcW w:w="2977"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37 970.4</w:t>
            </w:r>
          </w:p>
        </w:tc>
        <w:tc>
          <w:tcPr>
            <w:tcW w:w="2126"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38 373.5</w:t>
            </w:r>
          </w:p>
        </w:tc>
        <w:tc>
          <w:tcPr>
            <w:tcW w:w="1276"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614.0</w:t>
            </w:r>
          </w:p>
        </w:tc>
        <w:tc>
          <w:tcPr>
            <w:tcW w:w="1259"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120 182.6</w:t>
            </w:r>
          </w:p>
        </w:tc>
      </w:tr>
      <w:tr w:rsidR="004E6C32" w:rsidRPr="006A75A2" w:rsidTr="004B5CB1">
        <w:tc>
          <w:tcPr>
            <w:tcW w:w="200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97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2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7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59"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31 887.3</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905.3</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66 389.5</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(376.8)</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(133.2)</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(607.5)</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(297.7)</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(720.3)</w:t>
            </w:r>
          </w:p>
        </w:tc>
      </w:tr>
      <w:tr w:rsidR="004E6C32" w:rsidRPr="006A75A2" w:rsidTr="004B5CB1">
        <w:tc>
          <w:tcPr>
            <w:tcW w:w="2002"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2 770.8</w:t>
            </w:r>
          </w:p>
        </w:tc>
      </w:tr>
      <w:tr w:rsidR="004E6C32" w:rsidRPr="006A75A2" w:rsidTr="004B5CB1">
        <w:tc>
          <w:tcPr>
            <w:tcW w:w="2002"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297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31 754.1</w:t>
            </w:r>
          </w:p>
        </w:tc>
        <w:tc>
          <w:tcPr>
            <w:tcW w:w="2126"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27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297.9</w:t>
            </w:r>
          </w:p>
        </w:tc>
        <w:tc>
          <w:tcPr>
            <w:tcW w:w="1259"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67 765.5</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97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76"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259"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16.0</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737.2</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(3 667.7)</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3 259.7</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(1.0)</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(91.3)</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(1.0)</w:t>
            </w:r>
          </w:p>
        </w:tc>
      </w:tr>
      <w:tr w:rsidR="004E6C32" w:rsidRPr="006A75A2" w:rsidTr="004B5CB1">
        <w:tc>
          <w:tcPr>
            <w:tcW w:w="200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(440.6)</w:t>
            </w:r>
          </w:p>
        </w:tc>
      </w:tr>
      <w:tr w:rsidR="004E6C32" w:rsidRPr="006A75A2" w:rsidTr="004B5CB1">
        <w:tc>
          <w:tcPr>
            <w:tcW w:w="2002"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12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(3.2)</w:t>
            </w:r>
          </w:p>
        </w:tc>
      </w:tr>
      <w:tr w:rsidR="004E6C32" w:rsidRPr="006A75A2" w:rsidTr="004B5CB1">
        <w:tc>
          <w:tcPr>
            <w:tcW w:w="2002"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297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15.0</w:t>
            </w:r>
          </w:p>
        </w:tc>
        <w:tc>
          <w:tcPr>
            <w:tcW w:w="2126"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27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645.9</w:t>
            </w:r>
          </w:p>
        </w:tc>
        <w:tc>
          <w:tcPr>
            <w:tcW w:w="1259"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(852.8)</w:t>
            </w:r>
          </w:p>
        </w:tc>
      </w:tr>
      <w:tr w:rsidR="004E6C32" w:rsidRPr="006A75A2" w:rsidTr="004B5CB1">
        <w:tc>
          <w:tcPr>
            <w:tcW w:w="200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97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8 719.8</w:t>
            </w:r>
          </w:p>
        </w:tc>
        <w:tc>
          <w:tcPr>
            <w:tcW w:w="212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(38 373.5)</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(63 463.2)</w:t>
            </w:r>
          </w:p>
        </w:tc>
      </w:tr>
      <w:tr w:rsidR="004E6C32" w:rsidRPr="006A75A2" w:rsidTr="004B5CB1">
        <w:tc>
          <w:tcPr>
            <w:tcW w:w="200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c>
          <w:tcPr>
            <w:tcW w:w="297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78 459.3</w:t>
            </w:r>
          </w:p>
        </w:tc>
        <w:tc>
          <w:tcPr>
            <w:tcW w:w="212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1 557.8</w:t>
            </w:r>
          </w:p>
        </w:tc>
        <w:tc>
          <w:tcPr>
            <w:tcW w:w="125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123 632.1</w:t>
            </w:r>
          </w:p>
        </w:tc>
      </w:tr>
    </w:tbl>
    <w:p w:rsidR="004E6C32" w:rsidRPr="006A75A2" w:rsidRDefault="004E6C32" w:rsidP="004B5CB1">
      <w:pPr>
        <w:pStyle w:val="Heading2Notes"/>
        <w:rPr>
          <w:kern w:val="0"/>
        </w:rPr>
      </w:pPr>
    </w:p>
    <w:p w:rsidR="004E6C32" w:rsidRPr="006A75A2" w:rsidRDefault="004E6C32" w:rsidP="004B5CB1">
      <w:pPr>
        <w:pStyle w:val="Heading1"/>
      </w:pPr>
      <w:r w:rsidRPr="006A75A2">
        <w:rPr>
          <w:caps w:val="0"/>
        </w:rPr>
        <w:br w:type="page"/>
      </w:r>
    </w:p>
    <w:p w:rsidR="004E6C32" w:rsidRPr="006A75A2" w:rsidRDefault="004E6C32" w:rsidP="004B5CB1">
      <w:pPr>
        <w:pStyle w:val="Heading2Notes"/>
        <w:rPr>
          <w:kern w:val="0"/>
        </w:rPr>
      </w:pPr>
      <w:bookmarkStart w:id="32" w:name="_Toc400040250"/>
      <w:r w:rsidRPr="006A75A2">
        <w:rPr>
          <w:kern w:val="0"/>
        </w:rPr>
        <w:lastRenderedPageBreak/>
        <w:t>Note 3:</w:t>
      </w:r>
      <w:r w:rsidRPr="006A75A2">
        <w:rPr>
          <w:kern w:val="0"/>
        </w:rPr>
        <w:tab/>
        <w:t>Taxation revenue</w:t>
      </w:r>
      <w:bookmarkEnd w:id="32"/>
    </w:p>
    <w:p w:rsidR="004E6C32" w:rsidRPr="006A75A2" w:rsidRDefault="004E6C32" w:rsidP="004B5CB1">
      <w:pPr>
        <w:pStyle w:val="million"/>
        <w:rPr>
          <w:rFonts w:ascii="Times New Roman" w:hAnsi="Times New Roman"/>
          <w:b/>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811"/>
        <w:gridCol w:w="309"/>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3"/>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General</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gridSpan w:val="2"/>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Taxes on employers</w:t>
            </w:r>
            <w:r w:rsidR="00C96101" w:rsidRPr="006A75A2">
              <w:rPr>
                <w:rFonts w:eastAsiaTheme="minorEastAsia"/>
                <w:b/>
                <w:bCs/>
                <w:lang w:eastAsia="en-AU"/>
              </w:rPr>
              <w:t>’</w:t>
            </w:r>
            <w:r w:rsidRPr="006A75A2">
              <w:rPr>
                <w:rFonts w:eastAsiaTheme="minorEastAsia"/>
                <w:b/>
                <w:bCs/>
                <w:lang w:eastAsia="en-AU"/>
              </w:rPr>
              <w:t xml:space="preserve"> payroll and labour force</w:t>
            </w:r>
          </w:p>
        </w:tc>
        <w:tc>
          <w:tcPr>
            <w:tcW w:w="1120"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4 882.1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4 686.7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4 949.1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4 750.9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Taxes on property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Taxes on immovable property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Land tax</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1 620.6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1 550.4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1 658.7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1 589.2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Fire Services Property Levy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630.6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Congestion levy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83.9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83.9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Metropolitan improvement levy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151.0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136.8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151.0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136.8</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Property owner contributions to fire brigades</w:t>
            </w:r>
          </w:p>
        </w:tc>
        <w:tc>
          <w:tcPr>
            <w:tcW w:w="1120" w:type="dxa"/>
            <w:gridSpan w:val="2"/>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taxes on immovable property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2 486.1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1 773.2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2 524.1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1 812.0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Financial and capital transactions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Land transfer duty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4 167.5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3 276.1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4 167.5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3 276.1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Other property duties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Financial accommodation levy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115.3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Growth Areas Infrastructure Contribution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56.4</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financial and capital transactions</w:t>
            </w:r>
          </w:p>
        </w:tc>
        <w:tc>
          <w:tcPr>
            <w:tcW w:w="1120"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4 264.6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3 339.1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4 380.0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3 436.0</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taxes on property</w:t>
            </w:r>
          </w:p>
        </w:tc>
        <w:tc>
          <w:tcPr>
            <w:tcW w:w="1120"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6 750.8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5 112.3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6 904.1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5 247.9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Taxes on the provision of goods and services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Gambling taxes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Private lotteries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428.9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428.9</w:t>
            </w:r>
          </w:p>
        </w:tc>
      </w:tr>
      <w:tr w:rsidR="004E6C32" w:rsidRPr="006A75A2" w:rsidTr="004B5CB1">
        <w:tc>
          <w:tcPr>
            <w:tcW w:w="5160" w:type="dxa"/>
            <w:tcBorders>
              <w:top w:val="nil"/>
              <w:left w:val="nil"/>
              <w:bottom w:val="nil"/>
              <w:right w:val="nil"/>
            </w:tcBorders>
          </w:tcPr>
          <w:p w:rsidR="004E6C32" w:rsidRPr="006A75A2" w:rsidRDefault="002E6139" w:rsidP="004B5CB1">
            <w:pPr>
              <w:pStyle w:val="Tabletext"/>
              <w:rPr>
                <w:rFonts w:eastAsiaTheme="minorEastAsia"/>
                <w:lang w:eastAsia="en-AU"/>
              </w:rPr>
            </w:pPr>
            <w:r w:rsidRPr="006A75A2">
              <w:rPr>
                <w:rFonts w:eastAsiaTheme="minorEastAsia"/>
                <w:lang w:eastAsia="en-AU"/>
              </w:rPr>
              <w:t xml:space="preserve"> </w:t>
            </w:r>
            <w:r w:rsidR="004E6C32" w:rsidRPr="006A75A2">
              <w:rPr>
                <w:rFonts w:eastAsiaTheme="minorEastAsia"/>
                <w:lang w:eastAsia="en-AU"/>
              </w:rPr>
              <w:t xml:space="preserve">  Electronic gaming machines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967.1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1 009.9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967.1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1 009.9</w:t>
            </w:r>
          </w:p>
        </w:tc>
      </w:tr>
      <w:tr w:rsidR="004E6C32" w:rsidRPr="006A75A2" w:rsidTr="004B5CB1">
        <w:tc>
          <w:tcPr>
            <w:tcW w:w="5160" w:type="dxa"/>
            <w:tcBorders>
              <w:top w:val="nil"/>
              <w:left w:val="nil"/>
              <w:bottom w:val="nil"/>
              <w:right w:val="nil"/>
            </w:tcBorders>
          </w:tcPr>
          <w:p w:rsidR="004E6C32" w:rsidRPr="006A75A2" w:rsidRDefault="002E6139" w:rsidP="004B5CB1">
            <w:pPr>
              <w:pStyle w:val="Tabletext"/>
              <w:rPr>
                <w:rFonts w:eastAsiaTheme="minorEastAsia"/>
                <w:lang w:eastAsia="en-AU"/>
              </w:rPr>
            </w:pPr>
            <w:r w:rsidRPr="006A75A2">
              <w:rPr>
                <w:rFonts w:eastAsiaTheme="minorEastAsia"/>
                <w:lang w:eastAsia="en-AU"/>
              </w:rPr>
              <w:t xml:space="preserve"> </w:t>
            </w:r>
            <w:r w:rsidR="004E6C32" w:rsidRPr="006A75A2">
              <w:rPr>
                <w:rFonts w:eastAsiaTheme="minorEastAsia"/>
                <w:lang w:eastAsia="en-AU"/>
              </w:rPr>
              <w:t xml:space="preserve">  Casino</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200.8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200.8</w:t>
            </w:r>
          </w:p>
        </w:tc>
      </w:tr>
      <w:tr w:rsidR="004E6C32" w:rsidRPr="006A75A2" w:rsidTr="004B5CB1">
        <w:tc>
          <w:tcPr>
            <w:tcW w:w="5160" w:type="dxa"/>
            <w:tcBorders>
              <w:top w:val="nil"/>
              <w:left w:val="nil"/>
              <w:bottom w:val="nil"/>
              <w:right w:val="nil"/>
            </w:tcBorders>
          </w:tcPr>
          <w:p w:rsidR="004E6C32" w:rsidRPr="006A75A2" w:rsidRDefault="002E6139" w:rsidP="004B5CB1">
            <w:pPr>
              <w:pStyle w:val="Tabletext"/>
              <w:rPr>
                <w:rFonts w:eastAsiaTheme="minorEastAsia"/>
                <w:lang w:eastAsia="en-AU"/>
              </w:rPr>
            </w:pPr>
            <w:r w:rsidRPr="006A75A2">
              <w:rPr>
                <w:rFonts w:eastAsiaTheme="minorEastAsia"/>
                <w:lang w:eastAsia="en-AU"/>
              </w:rPr>
              <w:t xml:space="preserve"> </w:t>
            </w:r>
            <w:r w:rsidR="004E6C32" w:rsidRPr="006A75A2">
              <w:rPr>
                <w:rFonts w:eastAsiaTheme="minorEastAsia"/>
                <w:lang w:eastAsia="en-AU"/>
              </w:rPr>
              <w:t xml:space="preserve">  Racing</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87.5</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Other</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gambling taxes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1 672.2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1 745.3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1 672.2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1 745.3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Levies on statutory corporations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112.0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69.4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Taxes on insurance</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b/>
                <w:lang w:eastAsia="en-AU"/>
              </w:rPr>
              <w:t>1 066.6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1 627.5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b/>
                <w:lang w:eastAsia="en-AU"/>
              </w:rPr>
              <w:t>1 066.6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1 627.5</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taxes on the provision of goods and services</w:t>
            </w:r>
          </w:p>
        </w:tc>
        <w:tc>
          <w:tcPr>
            <w:tcW w:w="1120"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2 738.9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3 372.8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2 850.8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3 442.3</w:t>
            </w:r>
          </w:p>
        </w:tc>
      </w:tr>
      <w:tr w:rsidR="004E6C32" w:rsidRPr="006A75A2" w:rsidTr="004B5CB1">
        <w:tc>
          <w:tcPr>
            <w:tcW w:w="5971" w:type="dxa"/>
            <w:gridSpan w:val="2"/>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Taxes on the use of goods and performance of activities</w:t>
            </w:r>
          </w:p>
        </w:tc>
        <w:tc>
          <w:tcPr>
            <w:tcW w:w="309"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Motor vehicle taxes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Vehicle registration fees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1 231.0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1 173.1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1 232.8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1 174.7</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r w:rsidR="002E6139" w:rsidRPr="006A75A2">
              <w:rPr>
                <w:rFonts w:eastAsiaTheme="minorEastAsia"/>
                <w:lang w:eastAsia="en-AU"/>
              </w:rPr>
              <w:t xml:space="preserve"> </w:t>
            </w:r>
            <w:r w:rsidRPr="006A75A2">
              <w:rPr>
                <w:rFonts w:eastAsiaTheme="minorEastAsia"/>
                <w:lang w:eastAsia="en-AU"/>
              </w:rPr>
              <w:t xml:space="preserve"> Duty on vehicle registrations and transfers</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663.1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636.1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663.1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636.1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motor vehicle taxes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1 894.1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1 809.2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1 895.9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1 810.8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Liquor licence fees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23.3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22.8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23.3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22.8</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Other</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201.3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180.9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277.7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255.9</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taxes on the use of goods and performance of activities</w:t>
            </w:r>
          </w:p>
        </w:tc>
        <w:tc>
          <w:tcPr>
            <w:tcW w:w="1120"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2 118.7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2 012.9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2 196.9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2 089.5</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taxation revenue</w:t>
            </w:r>
          </w:p>
        </w:tc>
        <w:tc>
          <w:tcPr>
            <w:tcW w:w="112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16 490.4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15 184.7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16 900.9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15 530.7</w:t>
            </w:r>
          </w:p>
        </w:tc>
      </w:tr>
    </w:tbl>
    <w:p w:rsidR="004E6C32" w:rsidRPr="006A75A2" w:rsidRDefault="004E6C32" w:rsidP="004B5CB1">
      <w:pPr>
        <w:pStyle w:val="Heading2Notes"/>
        <w:rPr>
          <w:kern w:val="0"/>
        </w:rPr>
      </w:pPr>
    </w:p>
    <w:p w:rsidR="004E6C32" w:rsidRPr="006A75A2" w:rsidRDefault="004E6C32" w:rsidP="004B5CB1">
      <w:pPr>
        <w:pStyle w:val="Heading1"/>
      </w:pPr>
      <w:r w:rsidRPr="006A75A2">
        <w:rPr>
          <w:caps w:val="0"/>
        </w:rPr>
        <w:br w:type="page"/>
      </w:r>
    </w:p>
    <w:p w:rsidR="004E6C32" w:rsidRPr="006A75A2" w:rsidRDefault="004E6C32" w:rsidP="004B5CB1">
      <w:pPr>
        <w:pStyle w:val="Heading2Notes"/>
        <w:rPr>
          <w:kern w:val="0"/>
        </w:rPr>
      </w:pPr>
      <w:bookmarkStart w:id="33" w:name="_Toc400040251"/>
      <w:r w:rsidRPr="006A75A2">
        <w:rPr>
          <w:kern w:val="0"/>
        </w:rPr>
        <w:lastRenderedPageBreak/>
        <w:t>Note 4:</w:t>
      </w:r>
      <w:r w:rsidRPr="006A75A2">
        <w:rPr>
          <w:kern w:val="0"/>
        </w:rPr>
        <w:tab/>
        <w:t>Dividends and income tax equivalent and rate equivalent revenue</w:t>
      </w:r>
      <w:bookmarkEnd w:id="33"/>
    </w:p>
    <w:p w:rsidR="004E6C32" w:rsidRPr="006A75A2" w:rsidRDefault="004E6C32" w:rsidP="0067336F">
      <w:pPr>
        <w:pStyle w:val="Heading5"/>
      </w:pPr>
      <w:r w:rsidRPr="006A75A2">
        <w:t xml:space="preserve">(a) </w:t>
      </w:r>
      <w:r w:rsidRPr="006A75A2">
        <w:tab/>
        <w:t>Dividends and income tax equivalent and rate equivalent revenue</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General</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from PFC sector</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136.0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440.7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from PNFC sector</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from non-public sector</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842.2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Dividends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842.2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477.5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241.1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1 167.5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Income tax equivalent from PFC sector</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Income tax equivalent from PNFC sector</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177.9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153.3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Income tax equivalent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200.1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171.2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Local government rate equivalent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Other dividends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133.4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dividends and income tax equivalent and rate equivalent revenue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914.7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610.9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445.9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1 341.7</w:t>
            </w:r>
          </w:p>
        </w:tc>
      </w:tr>
    </w:tbl>
    <w:p w:rsidR="004E6C32" w:rsidRPr="006A75A2" w:rsidRDefault="004E6C32" w:rsidP="004B5CB1"/>
    <w:p w:rsidR="004E6C32" w:rsidRPr="006A75A2" w:rsidRDefault="004E6C32" w:rsidP="004B5CB1"/>
    <w:p w:rsidR="004E6C32" w:rsidRPr="006A75A2" w:rsidRDefault="004E6C32" w:rsidP="0067336F">
      <w:pPr>
        <w:pStyle w:val="Heading5"/>
      </w:pPr>
      <w:r w:rsidRPr="006A75A2">
        <w:t xml:space="preserve">(b) </w:t>
      </w:r>
      <w:r w:rsidRPr="006A75A2">
        <w:tab/>
        <w:t>Dividends by entity</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280"/>
        <w:gridCol w:w="1180"/>
        <w:gridCol w:w="1180"/>
      </w:tblGrid>
      <w:tr w:rsidR="002E6139" w:rsidRPr="006A75A2" w:rsidTr="002E6139">
        <w:tc>
          <w:tcPr>
            <w:tcW w:w="7280" w:type="dxa"/>
            <w:tcBorders>
              <w:top w:val="single" w:sz="6" w:space="0" w:color="auto"/>
              <w:left w:val="single" w:sz="6" w:space="0" w:color="auto"/>
              <w:right w:val="nil"/>
            </w:tcBorders>
            <w:shd w:val="clear" w:color="000000" w:fill="000000"/>
          </w:tcPr>
          <w:p w:rsidR="002E6139" w:rsidRPr="006A75A2" w:rsidRDefault="002E6139" w:rsidP="004B5CB1">
            <w:pPr>
              <w:pStyle w:val="Tabletext"/>
              <w:rPr>
                <w:rFonts w:eastAsiaTheme="minorEastAsia"/>
                <w:lang w:eastAsia="en-AU"/>
              </w:rPr>
            </w:pPr>
          </w:p>
        </w:tc>
        <w:tc>
          <w:tcPr>
            <w:tcW w:w="2360" w:type="dxa"/>
            <w:gridSpan w:val="2"/>
            <w:tcBorders>
              <w:top w:val="single" w:sz="6" w:space="0" w:color="auto"/>
              <w:left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General</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7280" w:type="dxa"/>
            <w:tcBorders>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p>
        </w:tc>
        <w:tc>
          <w:tcPr>
            <w:tcW w:w="118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80" w:type="dxa"/>
            <w:tcBorders>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728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Public financial corporations</w:t>
            </w:r>
          </w:p>
        </w:tc>
        <w:tc>
          <w:tcPr>
            <w:tcW w:w="118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p>
        </w:tc>
        <w:tc>
          <w:tcPr>
            <w:tcW w:w="118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Victorian WorkCover Authority</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59.3</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192.5</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Transport Accident Commission</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176.0</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Treasury Corporation of Victoria</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56.3</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54.7</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Rural Finance Corporation of Victoria</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16.2</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15.3</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State Trustees Ltd</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Victorian Funds Management Corporation</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2.6</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w:t>
            </w:r>
          </w:p>
        </w:tc>
      </w:tr>
      <w:tr w:rsidR="004E6C32" w:rsidRPr="006A75A2" w:rsidTr="004B5CB1">
        <w:tc>
          <w:tcPr>
            <w:tcW w:w="728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Dividends from PFC sector</w:t>
            </w:r>
          </w:p>
        </w:tc>
        <w:tc>
          <w:tcPr>
            <w:tcW w:w="118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136.0</w:t>
            </w:r>
          </w:p>
        </w:tc>
        <w:tc>
          <w:tcPr>
            <w:tcW w:w="118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440.7</w:t>
            </w:r>
          </w:p>
        </w:tc>
      </w:tr>
      <w:tr w:rsidR="004E6C32" w:rsidRPr="006A75A2" w:rsidTr="004B5CB1">
        <w:trPr>
          <w:trHeight w:hRule="exact" w:val="120"/>
        </w:trPr>
        <w:tc>
          <w:tcPr>
            <w:tcW w:w="7280" w:type="dxa"/>
            <w:tcBorders>
              <w:top w:val="nil"/>
              <w:left w:val="nil"/>
              <w:bottom w:val="nil"/>
              <w:right w:val="nil"/>
            </w:tcBorders>
          </w:tcPr>
          <w:p w:rsidR="004E6C32" w:rsidRPr="006A75A2" w:rsidRDefault="004E6C32" w:rsidP="004B5CB1">
            <w:pPr>
              <w:pStyle w:val="Tabletext"/>
              <w:rPr>
                <w:rFonts w:eastAsiaTheme="minorEastAsia"/>
                <w:b/>
                <w:bCs/>
                <w:lang w:eastAsia="en-AU"/>
              </w:rPr>
            </w:pPr>
          </w:p>
        </w:tc>
        <w:tc>
          <w:tcPr>
            <w:tcW w:w="118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8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Public non-financial corporations</w:t>
            </w:r>
          </w:p>
        </w:tc>
        <w:tc>
          <w:tcPr>
            <w:tcW w:w="118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8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Melbourne Water Corporation</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94.5</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City West Water Corporation</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4.7</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24.8</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South East Water Corporation</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16.0</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61.5</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Yarra Valley Water Corporation</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17.7</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57.5</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Port of Melbourne Corporation</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43.7</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29.7</w:t>
            </w:r>
          </w:p>
        </w:tc>
      </w:tr>
      <w:tr w:rsidR="004E6C32" w:rsidRPr="006A75A2" w:rsidTr="004B5CB1">
        <w:tc>
          <w:tcPr>
            <w:tcW w:w="72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State Electricity Commission of Victoria (Shell) </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8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413.8</w:t>
            </w:r>
          </w:p>
        </w:tc>
      </w:tr>
      <w:tr w:rsidR="004E6C32" w:rsidRPr="006A75A2" w:rsidTr="004B5CB1">
        <w:tc>
          <w:tcPr>
            <w:tcW w:w="728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Others</w:t>
            </w:r>
          </w:p>
        </w:tc>
        <w:tc>
          <w:tcPr>
            <w:tcW w:w="118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w:t>
            </w:r>
          </w:p>
        </w:tc>
        <w:tc>
          <w:tcPr>
            <w:tcW w:w="118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38.4</w:t>
            </w:r>
          </w:p>
        </w:tc>
      </w:tr>
      <w:tr w:rsidR="004E6C32" w:rsidRPr="006A75A2" w:rsidTr="004B5CB1">
        <w:tc>
          <w:tcPr>
            <w:tcW w:w="728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Dividends from PNFC sector</w:t>
            </w:r>
          </w:p>
        </w:tc>
        <w:tc>
          <w:tcPr>
            <w:tcW w:w="118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84.0</w:t>
            </w:r>
          </w:p>
        </w:tc>
        <w:tc>
          <w:tcPr>
            <w:tcW w:w="118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720.3</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Pr>
        <w:pStyle w:val="million"/>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34" w:name="_Toc400040252"/>
      <w:r w:rsidRPr="006A75A2">
        <w:rPr>
          <w:kern w:val="0"/>
        </w:rPr>
        <w:lastRenderedPageBreak/>
        <w:t>Note 5:</w:t>
      </w:r>
      <w:r w:rsidRPr="006A75A2">
        <w:rPr>
          <w:kern w:val="0"/>
        </w:rPr>
        <w:tab/>
        <w:t>Sales of goods and services</w:t>
      </w:r>
      <w:bookmarkEnd w:id="34"/>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General</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Motor vehicle regulatory fees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222.2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168.6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222.2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168.6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regulatory fees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502.4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486.4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485.7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 of goods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643.1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457.6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83.3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Provision of services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12 579.1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11 557.5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4 287.4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4 614.4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Rental</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Refunds and reimbursements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205.4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149.2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57.7</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Inter-sector capital asset charge</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1 524.4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1 421.2</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sale of goods and services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14 233.3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12 896.9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6 724.8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6 869.3</w:t>
            </w:r>
          </w:p>
        </w:tc>
      </w:tr>
    </w:tbl>
    <w:p w:rsidR="004E6C32" w:rsidRPr="006A75A2" w:rsidRDefault="004E6C32" w:rsidP="004B5CB1"/>
    <w:p w:rsidR="004E6C32" w:rsidRPr="006A75A2" w:rsidRDefault="004E6C32" w:rsidP="004B5CB1"/>
    <w:p w:rsidR="004E6C32" w:rsidRPr="006A75A2" w:rsidRDefault="004E6C32" w:rsidP="004B5CB1">
      <w:pPr>
        <w:pStyle w:val="Heading2Notes"/>
        <w:rPr>
          <w:kern w:val="0"/>
        </w:rPr>
      </w:pPr>
      <w:bookmarkStart w:id="35" w:name="_Toc400040253"/>
      <w:r w:rsidRPr="006A75A2">
        <w:rPr>
          <w:kern w:val="0"/>
        </w:rPr>
        <w:t>Note 6:</w:t>
      </w:r>
      <w:r w:rsidRPr="006A75A2">
        <w:rPr>
          <w:kern w:val="0"/>
        </w:rPr>
        <w:tab/>
        <w:t>Grants</w:t>
      </w:r>
      <w:bookmarkEnd w:id="35"/>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General</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General purpose grants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11 507.4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10 989.5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11 507.4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10 989.5</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Specific purpose grants for on-passing</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2 704.3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2 746.3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2 704.3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2 746.3</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Other specific purpose grants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10 805.8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8 050.2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10 800.8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8 048.5</w:t>
            </w:r>
          </w:p>
        </w:tc>
      </w:tr>
      <w:tr w:rsidR="004E6C32" w:rsidRPr="006A75A2" w:rsidTr="004B5CB1">
        <w:tc>
          <w:tcPr>
            <w:tcW w:w="5160"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Total</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25 017.5</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21 786.0</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25 012.5</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21 784.3</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contributions and grants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132.4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118.0</w:t>
            </w:r>
          </w:p>
        </w:tc>
      </w:tr>
      <w:tr w:rsidR="004E6C32" w:rsidRPr="006A75A2" w:rsidTr="004B5CB1">
        <w:tc>
          <w:tcPr>
            <w:tcW w:w="516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grants</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25 019.1</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21 790.4</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25 144.9</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21 902.2</w:t>
            </w:r>
          </w:p>
        </w:tc>
      </w:tr>
    </w:tbl>
    <w:p w:rsidR="004E6C32" w:rsidRPr="006A75A2" w:rsidRDefault="004E6C32" w:rsidP="004B5CB1"/>
    <w:p w:rsidR="004E6C32" w:rsidRPr="006A75A2" w:rsidRDefault="004E6C32" w:rsidP="004B5CB1"/>
    <w:p w:rsidR="004E6C32" w:rsidRPr="006A75A2" w:rsidRDefault="004E6C32" w:rsidP="004B5CB1">
      <w:pPr>
        <w:pStyle w:val="Heading2Notes"/>
        <w:rPr>
          <w:kern w:val="0"/>
        </w:rPr>
      </w:pPr>
      <w:bookmarkStart w:id="36" w:name="_Toc400040254"/>
      <w:r w:rsidRPr="006A75A2">
        <w:rPr>
          <w:kern w:val="0"/>
        </w:rPr>
        <w:t>Note 7:</w:t>
      </w:r>
      <w:r w:rsidRPr="006A75A2">
        <w:rPr>
          <w:kern w:val="0"/>
        </w:rPr>
        <w:tab/>
        <w:t>Other revenue</w:t>
      </w:r>
      <w:bookmarkEnd w:id="36"/>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General</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Fair value of assets received free of charge or for nominal consideration</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235.9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259.9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139.4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99.4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667.2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704.3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663.4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700.3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Royalties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52.4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Donations and gifts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299.0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311.2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272.3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non-property rental</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29.4</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miscellaneous revenue</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1 360.8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1 351.9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1 123.8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1 121.9</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other revenue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2 750.2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2 749.6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2 316.9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2 268.3</w:t>
            </w:r>
          </w:p>
        </w:tc>
      </w:tr>
    </w:tbl>
    <w:p w:rsidR="004E6C32" w:rsidRPr="006A75A2" w:rsidRDefault="004E6C32" w:rsidP="004B5CB1"/>
    <w:p w:rsidR="004E6C32" w:rsidRPr="006A75A2" w:rsidRDefault="004E6C32" w:rsidP="004B5CB1"/>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37" w:name="_Toc396755854"/>
      <w:bookmarkStart w:id="38" w:name="_Toc400040255"/>
      <w:r w:rsidRPr="006A75A2">
        <w:rPr>
          <w:kern w:val="0"/>
        </w:rPr>
        <w:lastRenderedPageBreak/>
        <w:t>Note 8:</w:t>
      </w:r>
      <w:r w:rsidRPr="006A75A2">
        <w:rPr>
          <w:kern w:val="0"/>
        </w:rPr>
        <w:tab/>
        <w:t>Superannuation</w:t>
      </w:r>
      <w:bookmarkEnd w:id="37"/>
      <w:bookmarkEnd w:id="38"/>
    </w:p>
    <w:p w:rsidR="004E6C32" w:rsidRPr="006A75A2" w:rsidRDefault="004E6C32" w:rsidP="004B5CB1">
      <w:pPr>
        <w:keepNext/>
        <w:spacing w:before="240"/>
        <w:outlineLvl w:val="2"/>
        <w:rPr>
          <w:rFonts w:ascii="Calibri" w:hAnsi="Calibri"/>
          <w:b/>
          <w:i/>
          <w:sz w:val="26"/>
          <w:szCs w:val="22"/>
        </w:rPr>
      </w:pPr>
      <w:r w:rsidRPr="006A75A2">
        <w:rPr>
          <w:rFonts w:ascii="Calibri" w:hAnsi="Calibri"/>
          <w:b/>
          <w:i/>
          <w:sz w:val="26"/>
          <w:szCs w:val="22"/>
        </w:rPr>
        <w:t>Expense</w:t>
      </w:r>
    </w:p>
    <w:p w:rsidR="004E6C32" w:rsidRPr="006A75A2" w:rsidRDefault="004E6C32" w:rsidP="004B5CB1">
      <w:r w:rsidRPr="006A75A2">
        <w:t>Superannuation expense includes employer contributions to defined contribution superannuation plans, and the actuarially determined expense for defined benefit superannuation plans.</w:t>
      </w:r>
    </w:p>
    <w:p w:rsidR="004E6C32" w:rsidRPr="006A75A2" w:rsidRDefault="004E6C32" w:rsidP="004B5CB1">
      <w:pPr>
        <w:keepNext/>
        <w:spacing w:before="240"/>
        <w:outlineLvl w:val="2"/>
        <w:rPr>
          <w:rFonts w:ascii="Calibri" w:hAnsi="Calibri"/>
          <w:b/>
          <w:i/>
          <w:sz w:val="26"/>
        </w:rPr>
      </w:pPr>
      <w:r w:rsidRPr="006A75A2">
        <w:rPr>
          <w:rFonts w:ascii="Calibri" w:hAnsi="Calibri"/>
          <w:b/>
          <w:i/>
          <w:sz w:val="26"/>
        </w:rPr>
        <w:t>Liability</w:t>
      </w:r>
    </w:p>
    <w:p w:rsidR="004E6C32" w:rsidRPr="006A75A2" w:rsidRDefault="004E6C32" w:rsidP="004B5CB1">
      <w:r w:rsidRPr="006A75A2">
        <w:t>The State</w:t>
      </w:r>
      <w:r w:rsidR="00C96101" w:rsidRPr="006A75A2">
        <w:t>’</w:t>
      </w:r>
      <w:r w:rsidRPr="006A75A2">
        <w:t>s public sector superannuation plans are responsible for the liability for employee superannuation entitlements. These plans are not consolidated in the Annual Financial Report as they are not controlled by the State. However, the major proportion of the superannuation liability is the responsibility of the State and is recognised accordingly.</w:t>
      </w:r>
    </w:p>
    <w:p w:rsidR="004E6C32" w:rsidRPr="006A75A2" w:rsidRDefault="004E6C32" w:rsidP="004B5CB1">
      <w:r w:rsidRPr="006A75A2">
        <w:t>The State</w:t>
      </w:r>
      <w:r w:rsidR="00C96101" w:rsidRPr="006A75A2">
        <w:t>’</w:t>
      </w:r>
      <w:r w:rsidRPr="006A75A2">
        <w:t>s defined benefit plans are:</w:t>
      </w:r>
    </w:p>
    <w:p w:rsidR="004E6C32" w:rsidRPr="006A75A2" w:rsidRDefault="004E6C32" w:rsidP="004B5CB1">
      <w:pPr>
        <w:pStyle w:val="BulletText"/>
      </w:pPr>
      <w:r w:rsidRPr="006A75A2">
        <w:t>State Super Funds (SSF), a collection of defined benefit schemes providing both lump sum and pension benefits (Revised Scheme, New Scheme, State Employees Retirement Benefits Scheme, Transport Scheme, Melbourne Water Corporation Employees Superannuation Scheme and Port of Melbourne Authority Superannuation Scheme). All schemes are now closed to new members;</w:t>
      </w:r>
    </w:p>
    <w:p w:rsidR="004E6C32" w:rsidRPr="006A75A2" w:rsidRDefault="004E6C32" w:rsidP="004B5CB1">
      <w:pPr>
        <w:pStyle w:val="BulletText"/>
      </w:pPr>
      <w:r w:rsidRPr="006A75A2">
        <w:t>Emergency Services Superannuation Scheme Defined Benefit (ESSS DB), a defined benefit lump sum scheme which remains open to new members. It also has a number of pensioners remaining from prior schemes;</w:t>
      </w:r>
    </w:p>
    <w:p w:rsidR="004E6C32" w:rsidRPr="006A75A2" w:rsidRDefault="004E6C32" w:rsidP="004B5CB1">
      <w:pPr>
        <w:pStyle w:val="BulletText"/>
      </w:pPr>
      <w:r w:rsidRPr="006A75A2">
        <w:t>Parliamentary Contributory Superannuation Fund (PCSF), a defined benefit pension scheme closed to new members. The PCSF is part of the SSF from 1 April 2014;</w:t>
      </w:r>
    </w:p>
    <w:p w:rsidR="004E6C32" w:rsidRPr="006A75A2" w:rsidRDefault="004E6C32" w:rsidP="004B5CB1">
      <w:pPr>
        <w:pStyle w:val="BulletText"/>
      </w:pPr>
      <w:r w:rsidRPr="006A75A2">
        <w:t>Judges Pension Scheme, a defined benefit pension scheme which remains open to new members; and</w:t>
      </w:r>
    </w:p>
    <w:p w:rsidR="004E6C32" w:rsidRPr="006A75A2" w:rsidRDefault="004E6C32" w:rsidP="004B5CB1">
      <w:pPr>
        <w:pStyle w:val="BulletText"/>
      </w:pPr>
      <w:r w:rsidRPr="006A75A2">
        <w:t>Health Super Division of First State Super (Health Super), a defined benefit scheme that provides both lump sum and pension benefits. This scheme is closed to new members.</w:t>
      </w:r>
    </w:p>
    <w:p w:rsidR="004E6C32" w:rsidRPr="006A75A2" w:rsidRDefault="004E6C32" w:rsidP="004B5CB1">
      <w:pPr>
        <w:spacing w:after="240"/>
        <w:rPr>
          <w:szCs w:val="24"/>
        </w:rPr>
      </w:pPr>
      <w:r w:rsidRPr="006A75A2">
        <w:rPr>
          <w:szCs w:val="24"/>
        </w:rPr>
        <w:t>The SSF, ESSS DB, PCSF and Judges Pension Scheme are exempt public sector superannuation schemes. The schemes comply with national superannuation standards under a Heads of Government Agreement and are treated as complying for concessional tax and superannuation guarantee purposes.</w:t>
      </w:r>
    </w:p>
    <w:p w:rsidR="004E6C32" w:rsidRPr="006A75A2" w:rsidRDefault="004E6C32" w:rsidP="004B5CB1">
      <w:pPr>
        <w:rPr>
          <w:rFonts w:cstheme="minorHAnsi"/>
          <w:szCs w:val="24"/>
          <w:lang w:val="en"/>
        </w:rPr>
      </w:pPr>
      <w:r w:rsidRPr="006A75A2">
        <w:rPr>
          <w:szCs w:val="24"/>
        </w:rPr>
        <w:t xml:space="preserve">The Emergency Services Superannuation Board (the ESSB) is responsible for the governance of the SSF, ESSS DB and </w:t>
      </w:r>
      <w:r w:rsidRPr="006A75A2">
        <w:rPr>
          <w:rFonts w:cstheme="minorHAnsi"/>
          <w:szCs w:val="24"/>
        </w:rPr>
        <w:t>PCSF and acts as paying agent for judges</w:t>
      </w:r>
      <w:r w:rsidR="00C96101" w:rsidRPr="006A75A2">
        <w:rPr>
          <w:rFonts w:cstheme="minorHAnsi"/>
          <w:szCs w:val="24"/>
        </w:rPr>
        <w:t>’</w:t>
      </w:r>
      <w:r w:rsidRPr="006A75A2">
        <w:rPr>
          <w:rFonts w:cstheme="minorHAnsi"/>
          <w:szCs w:val="24"/>
        </w:rPr>
        <w:t xml:space="preserve"> pensions. </w:t>
      </w:r>
      <w:r w:rsidRPr="006A75A2">
        <w:rPr>
          <w:rFonts w:cstheme="minorHAnsi"/>
          <w:szCs w:val="24"/>
          <w:lang w:val="en"/>
        </w:rPr>
        <w:t>Judges pensions are governed by Victorian Acts for which the Attorney</w:t>
      </w:r>
      <w:r w:rsidRPr="006A75A2">
        <w:rPr>
          <w:rFonts w:cstheme="minorHAnsi"/>
          <w:szCs w:val="24"/>
          <w:lang w:val="en"/>
        </w:rPr>
        <w:noBreakHyphen/>
        <w:t>General is responsible. The ESSB has the following roles:</w:t>
      </w:r>
    </w:p>
    <w:p w:rsidR="004E6C32" w:rsidRPr="006A75A2" w:rsidRDefault="004E6C32" w:rsidP="004B5CB1">
      <w:pPr>
        <w:pStyle w:val="BulletText"/>
        <w:rPr>
          <w:lang w:val="en"/>
        </w:rPr>
      </w:pPr>
      <w:r w:rsidRPr="006A75A2">
        <w:rPr>
          <w:lang w:val="en"/>
        </w:rPr>
        <w:t>administration of the schemes including payment of benefits to beneficiaries in accordance with the governing rules of the schemes;</w:t>
      </w:r>
    </w:p>
    <w:p w:rsidR="004E6C32" w:rsidRPr="006A75A2" w:rsidRDefault="004E6C32" w:rsidP="004B5CB1">
      <w:pPr>
        <w:pStyle w:val="BulletText"/>
        <w:rPr>
          <w:lang w:val="en"/>
        </w:rPr>
      </w:pPr>
      <w:r w:rsidRPr="006A75A2">
        <w:rPr>
          <w:lang w:val="en"/>
        </w:rPr>
        <w:t>management and investment of the assets of the schemes, the responsibility for which is outsourced to the Victorian Funds Management Corporation; and</w:t>
      </w:r>
    </w:p>
    <w:p w:rsidR="004E6C32" w:rsidRPr="006A75A2" w:rsidRDefault="004E6C32" w:rsidP="004B5CB1">
      <w:pPr>
        <w:pStyle w:val="BulletText"/>
        <w:rPr>
          <w:lang w:val="en"/>
        </w:rPr>
      </w:pPr>
      <w:r w:rsidRPr="006A75A2">
        <w:rPr>
          <w:lang w:val="en"/>
        </w:rPr>
        <w:t>compliance with superannuation law and other applicable regulations in accordance with the Heads of Government Agreement.</w:t>
      </w:r>
    </w:p>
    <w:p w:rsidR="004E6C32" w:rsidRPr="006A75A2" w:rsidRDefault="004E6C32" w:rsidP="004B5CB1">
      <w:pPr>
        <w:rPr>
          <w:szCs w:val="24"/>
        </w:rPr>
      </w:pPr>
      <w:r w:rsidRPr="006A75A2">
        <w:rPr>
          <w:szCs w:val="24"/>
        </w:rPr>
        <w:t xml:space="preserve">First State Super is a regulated public offer superannuation fund. </w:t>
      </w:r>
      <w:r w:rsidRPr="006A75A2">
        <w:rPr>
          <w:rFonts w:cstheme="minorHAnsi"/>
          <w:szCs w:val="24"/>
        </w:rPr>
        <w:t xml:space="preserve">The </w:t>
      </w:r>
      <w:r w:rsidRPr="006A75A2">
        <w:rPr>
          <w:rFonts w:cstheme="minorHAnsi"/>
          <w:szCs w:val="24"/>
          <w:lang w:val="en"/>
        </w:rPr>
        <w:t>FSS Trustee Corporation (the FSSTC) is responsible for the governance of First State Super and therefore Health Super. As trustee, the FSSTC has the following roles:</w:t>
      </w:r>
    </w:p>
    <w:p w:rsidR="004E6C32" w:rsidRPr="006A75A2" w:rsidRDefault="004E6C32" w:rsidP="004B5CB1">
      <w:pPr>
        <w:pStyle w:val="BulletText"/>
        <w:rPr>
          <w:lang w:val="en"/>
        </w:rPr>
      </w:pPr>
      <w:r w:rsidRPr="006A75A2">
        <w:rPr>
          <w:lang w:val="en"/>
        </w:rPr>
        <w:t>administration of Health Super including payment of benefits to beneficiaries in accordance with the governing rules;</w:t>
      </w:r>
    </w:p>
    <w:p w:rsidR="004E6C32" w:rsidRPr="006A75A2" w:rsidRDefault="004E6C32" w:rsidP="004B5CB1">
      <w:pPr>
        <w:pStyle w:val="BulletText"/>
        <w:rPr>
          <w:lang w:val="en"/>
        </w:rPr>
      </w:pPr>
      <w:r w:rsidRPr="006A75A2">
        <w:rPr>
          <w:lang w:val="en"/>
        </w:rPr>
        <w:t>management and investment of the assets of Health Super; and</w:t>
      </w:r>
    </w:p>
    <w:p w:rsidR="004E6C32" w:rsidRPr="006A75A2" w:rsidRDefault="004E6C32" w:rsidP="004B5CB1">
      <w:pPr>
        <w:pStyle w:val="BulletText"/>
        <w:rPr>
          <w:lang w:val="en"/>
        </w:rPr>
      </w:pPr>
      <w:r w:rsidRPr="006A75A2">
        <w:rPr>
          <w:lang w:val="en"/>
        </w:rPr>
        <w:t>compliance with superannuation law and other applicable regulations.</w:t>
      </w:r>
    </w:p>
    <w:p w:rsidR="004E6C32" w:rsidRPr="006A75A2" w:rsidRDefault="004E6C32" w:rsidP="004B5CB1">
      <w:pPr>
        <w:pStyle w:val="Heading2NotesContd"/>
        <w:rPr>
          <w:kern w:val="0"/>
        </w:rPr>
      </w:pPr>
      <w:r w:rsidRPr="006A75A2">
        <w:rPr>
          <w:kern w:val="0"/>
        </w:rPr>
        <w:lastRenderedPageBreak/>
        <w:t>Note 8:</w:t>
      </w:r>
      <w:r w:rsidRPr="006A75A2">
        <w:rPr>
          <w:kern w:val="0"/>
        </w:rPr>
        <w:tab/>
        <w:t xml:space="preserve">Superannuation </w:t>
      </w:r>
      <w:r w:rsidRPr="006A75A2">
        <w:rPr>
          <w:i/>
          <w:kern w:val="0"/>
        </w:rPr>
        <w:t>(continued)</w:t>
      </w:r>
    </w:p>
    <w:p w:rsidR="004E6C32" w:rsidRPr="006A75A2" w:rsidRDefault="004E6C32" w:rsidP="004B5CB1">
      <w:pPr>
        <w:spacing w:after="240"/>
      </w:pPr>
      <w:r w:rsidRPr="006A75A2">
        <w:t>Each year, an actuarial valuation of members</w:t>
      </w:r>
      <w:r w:rsidR="00C96101" w:rsidRPr="006A75A2">
        <w:t>’</w:t>
      </w:r>
      <w:r w:rsidRPr="006A75A2">
        <w:t xml:space="preserve"> accrued benefits across all of these defined benefit plans is undertaken as at the reporting date. Accrued benefits are measured as the net present value of estimated future benefit payments to members arising from their membership of the plans up to the reporting date. The deficit of accrued benefits over the net market value of plan assets has been recognised as a liability in the balance sheet.</w:t>
      </w:r>
    </w:p>
    <w:p w:rsidR="004E6C32" w:rsidRPr="006A75A2" w:rsidRDefault="004E6C32" w:rsidP="0067336F">
      <w:pPr>
        <w:pStyle w:val="Heading5"/>
        <w:rPr>
          <w:vertAlign w:val="superscript"/>
        </w:rPr>
      </w:pPr>
      <w:r w:rsidRPr="006A75A2">
        <w:t>(a)</w:t>
      </w:r>
      <w:r w:rsidRPr="006A75A2">
        <w:tab/>
        <w:t>Superannuation expense recognised in the operating statement</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2E6139" w:rsidRPr="006A75A2" w:rsidTr="002E6139">
        <w:tc>
          <w:tcPr>
            <w:tcW w:w="7400" w:type="dxa"/>
            <w:tcBorders>
              <w:top w:val="single" w:sz="6" w:space="0" w:color="000000"/>
              <w:left w:val="single" w:sz="6" w:space="0" w:color="000000"/>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000000"/>
              <w:left w:val="nil"/>
              <w:bottom w:val="nil"/>
              <w:right w:val="single" w:sz="6" w:space="0" w:color="000000"/>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r>
      <w:tr w:rsidR="004E6C32" w:rsidRPr="006A75A2" w:rsidTr="004B5CB1">
        <w:tc>
          <w:tcPr>
            <w:tcW w:w="7400" w:type="dxa"/>
            <w:tcBorders>
              <w:top w:val="nil"/>
              <w:left w:val="single" w:sz="6" w:space="0" w:color="000000"/>
              <w:bottom w:val="single" w:sz="6" w:space="0" w:color="000000"/>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000000"/>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000000"/>
              <w:right w:val="single" w:sz="6" w:space="0" w:color="000000"/>
            </w:tcBorders>
            <w:shd w:val="clear" w:color="000000" w:fill="000000"/>
          </w:tcPr>
          <w:p w:rsidR="004E6C32" w:rsidRPr="006A75A2" w:rsidRDefault="004E6C32" w:rsidP="004B5CB1">
            <w:pPr>
              <w:pStyle w:val="Tabletextheading"/>
              <w:rPr>
                <w:rFonts w:eastAsiaTheme="minorEastAsia"/>
                <w:iCs/>
                <w:vertAlign w:val="superscript"/>
                <w:lang w:eastAsia="en-AU"/>
              </w:rPr>
            </w:pPr>
            <w:r w:rsidRPr="006A75A2">
              <w:rPr>
                <w:rFonts w:eastAsiaTheme="minorEastAsia"/>
                <w:iCs/>
                <w:lang w:eastAsia="en-AU"/>
              </w:rPr>
              <w:t>2013</w:t>
            </w:r>
          </w:p>
        </w:tc>
      </w:tr>
      <w:tr w:rsidR="004E6C32" w:rsidRPr="006A75A2" w:rsidTr="004B5CB1">
        <w:tc>
          <w:tcPr>
            <w:tcW w:w="7400" w:type="dxa"/>
            <w:tcBorders>
              <w:top w:val="single" w:sz="6" w:space="0" w:color="000000"/>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Defined benefit plans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superannuation interest expense</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1 054.7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1 076.8</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Current service cost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729.2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856.8</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Remeasurements: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Expected return on superannuation assets excluding interest income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(541.2)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(633.0)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actuarial (gain)/loss on superannuation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(762.6)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(1 219.2)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Actuarial and other adjustments to unfunded superannuation liability</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1 565.7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(6 137.5)</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(gain)/expenses recognised in respect of defined benefit plans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2 045.8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(6 056.2)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Defined contribution plans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Employer contributions to defined contribution plans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1 197.1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1 111.6</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(including pensions)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71.6</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expense recognised in respect of defined contribution plans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1 269.7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1 183.3</w:t>
            </w:r>
          </w:p>
        </w:tc>
      </w:tr>
      <w:tr w:rsidR="004E6C32" w:rsidRPr="006A75A2" w:rsidTr="004B5CB1">
        <w:tc>
          <w:tcPr>
            <w:tcW w:w="740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superannuation (gain)/expense recognised in operating statement</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3 315.5</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(4 872.9)</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Represented by:</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Superannuation interest expense</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1 054.7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1 076.8</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superannuation</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1 998.9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2 040.1</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Superannuation expense from transactions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3 053.6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3 116.9</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Remeasurement recognised in other comprehensive income</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261.9</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(7 989.8)</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superannuation costs recognised in operating statement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3 315.5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(4 872.9)</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 w:rsidR="004E6C32" w:rsidRPr="006A75A2" w:rsidRDefault="004E6C32" w:rsidP="0067336F">
      <w:pPr>
        <w:pStyle w:val="Heading5"/>
      </w:pPr>
      <w:r w:rsidRPr="006A75A2">
        <w:t>(b)</w:t>
      </w:r>
      <w:r w:rsidRPr="006A75A2">
        <w:tab/>
        <w:t>Reconciliation of the present value of the defined benefit obligations</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2E6139" w:rsidRPr="006A75A2" w:rsidTr="002E6139">
        <w:tc>
          <w:tcPr>
            <w:tcW w:w="740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r>
      <w:tr w:rsidR="004E6C32" w:rsidRPr="006A75A2" w:rsidTr="004B5CB1">
        <w:tc>
          <w:tcPr>
            <w:tcW w:w="740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Opening balance of defined benefit obligation</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42 803.6</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48 557.7</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service cost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729.2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856.8</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cost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1 775.7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1 599.9</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Contributions by plan participants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212.9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222.7</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Remeasurements: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Actuarial (gain)/loss arising from change in financial assumptions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1 599.4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(5 297.0)</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Actuarial (gain)/loss arising from change in demographic assumptions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Actuarial (gain)/loss due to other experience</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(33.7)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(840.6)</w:t>
            </w:r>
          </w:p>
        </w:tc>
      </w:tr>
      <w:tr w:rsidR="004E6C32" w:rsidRPr="006A75A2" w:rsidTr="004B5CB1">
        <w:tc>
          <w:tcPr>
            <w:tcW w:w="7400"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Benefits paid</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(2 202.3)</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(2 296.0)</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 of defined benefit obligation</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44 884.8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42 803.6</w:t>
            </w:r>
          </w:p>
        </w:tc>
      </w:tr>
    </w:tbl>
    <w:p w:rsidR="004E6C32" w:rsidRPr="006A75A2" w:rsidRDefault="004E6C32" w:rsidP="004B5CB1">
      <w:pPr>
        <w:pStyle w:val="Heading2NotesContd"/>
        <w:rPr>
          <w:i/>
          <w:kern w:val="0"/>
        </w:rPr>
      </w:pPr>
      <w:r w:rsidRPr="006A75A2">
        <w:rPr>
          <w:kern w:val="0"/>
        </w:rPr>
        <w:lastRenderedPageBreak/>
        <w:t>Note 8:</w:t>
      </w:r>
      <w:r w:rsidRPr="006A75A2">
        <w:rPr>
          <w:kern w:val="0"/>
        </w:rPr>
        <w:tab/>
        <w:t>Superannuation</w:t>
      </w:r>
      <w:r w:rsidRPr="006A75A2">
        <w:rPr>
          <w:i/>
          <w:kern w:val="0"/>
        </w:rPr>
        <w:t xml:space="preserve"> (continued)</w:t>
      </w:r>
    </w:p>
    <w:p w:rsidR="004E6C32" w:rsidRPr="006A75A2" w:rsidRDefault="004E6C32" w:rsidP="0067336F">
      <w:pPr>
        <w:pStyle w:val="Heading5"/>
      </w:pPr>
      <w:r w:rsidRPr="006A75A2">
        <w:t>(c)</w:t>
      </w:r>
      <w:r w:rsidRPr="006A75A2">
        <w:tab/>
        <w:t>Reconciliation of the fair value of superannuation plan assets</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2E6139" w:rsidRPr="006A75A2" w:rsidTr="002E6139">
        <w:tc>
          <w:tcPr>
            <w:tcW w:w="740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r>
      <w:tr w:rsidR="004E6C32" w:rsidRPr="006A75A2" w:rsidTr="004B5CB1">
        <w:tc>
          <w:tcPr>
            <w:tcW w:w="740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7400"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Opening balance of plan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17 578.1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15 806.9</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Interest income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721.0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523.1</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Remeasurements: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Expected return on plan assets excluding interest income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633.0</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Actuarial gain/(loss) relative to expected return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762.6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1 219.3</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Employer contributions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1 542.2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1 469.2</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Contributions by plan participants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222.7</w:t>
            </w:r>
          </w:p>
        </w:tc>
      </w:tr>
      <w:tr w:rsidR="004E6C32" w:rsidRPr="006A75A2" w:rsidTr="004B5CB1">
        <w:tc>
          <w:tcPr>
            <w:tcW w:w="7400"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Benefits paid (including tax paid)</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(2 202.3)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(2 296.0)</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 of plan assets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19 155.8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17 578.1</w:t>
            </w:r>
          </w:p>
        </w:tc>
      </w:tr>
    </w:tbl>
    <w:p w:rsidR="004E6C32" w:rsidRPr="006A75A2" w:rsidRDefault="004E6C32" w:rsidP="004B5CB1"/>
    <w:p w:rsidR="004E6C32" w:rsidRPr="006A75A2" w:rsidRDefault="004E6C32" w:rsidP="004B5CB1"/>
    <w:p w:rsidR="004E6C32" w:rsidRPr="006A75A2" w:rsidRDefault="004E6C32" w:rsidP="0067336F">
      <w:pPr>
        <w:pStyle w:val="Heading5"/>
      </w:pPr>
      <w:r w:rsidRPr="006A75A2">
        <w:t>(d)</w:t>
      </w:r>
      <w:r w:rsidRPr="006A75A2">
        <w:tab/>
        <w:t>Reconciliation of the superannuation liability</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2E6139" w:rsidRPr="006A75A2" w:rsidTr="002E6139">
        <w:tc>
          <w:tcPr>
            <w:tcW w:w="740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r>
      <w:tr w:rsidR="004E6C32" w:rsidRPr="006A75A2" w:rsidTr="004B5CB1">
        <w:tc>
          <w:tcPr>
            <w:tcW w:w="740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2D2F70">
            <w:pPr>
              <w:pStyle w:val="Tabletext"/>
              <w:rPr>
                <w:rFonts w:eastAsiaTheme="minorEastAsia" w:cs="Calibri"/>
                <w:b/>
                <w:bCs/>
                <w:szCs w:val="22"/>
                <w:vertAlign w:val="superscript"/>
                <w:lang w:eastAsia="en-AU"/>
              </w:rPr>
            </w:pPr>
            <w:r w:rsidRPr="006A75A2">
              <w:rPr>
                <w:rFonts w:eastAsiaTheme="minorEastAsia"/>
                <w:b/>
                <w:bCs/>
                <w:lang w:eastAsia="en-AU"/>
              </w:rPr>
              <w:t>Emergency Services and State Super</w:t>
            </w:r>
            <w:r w:rsidRPr="006A75A2">
              <w:rPr>
                <w:rFonts w:eastAsiaTheme="minorEastAsia" w:cs="Calibri"/>
                <w:b/>
                <w:bCs/>
                <w:szCs w:val="22"/>
                <w:vertAlign w:val="superscript"/>
                <w:lang w:eastAsia="en-AU"/>
              </w:rPr>
              <w:t>(a)</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Defined benefit obligation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40 195.0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37 303.3</w:t>
            </w:r>
          </w:p>
        </w:tc>
      </w:tr>
      <w:tr w:rsidR="004E6C32" w:rsidRPr="006A75A2" w:rsidTr="004B5CB1">
        <w:tc>
          <w:tcPr>
            <w:tcW w:w="740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Tax liability</w:t>
            </w:r>
            <w:r w:rsidRPr="006A75A2">
              <w:rPr>
                <w:rFonts w:eastAsiaTheme="minorEastAsia"/>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2 294.3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2 550.4</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Plan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(17 691.5)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(15 811.2)</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liability/(asset)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24 797.8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24 042.5</w:t>
            </w:r>
          </w:p>
        </w:tc>
      </w:tr>
      <w:tr w:rsidR="004E6C32" w:rsidRPr="006A75A2" w:rsidTr="004B5CB1">
        <w:tc>
          <w:tcPr>
            <w:tcW w:w="7400" w:type="dxa"/>
            <w:tcBorders>
              <w:top w:val="nil"/>
              <w:left w:val="nil"/>
              <w:bottom w:val="nil"/>
              <w:right w:val="nil"/>
            </w:tcBorders>
          </w:tcPr>
          <w:p w:rsidR="004E6C32" w:rsidRPr="006A75A2" w:rsidRDefault="004E6C32" w:rsidP="002D2F70">
            <w:pPr>
              <w:pStyle w:val="Tabletext"/>
              <w:rPr>
                <w:rFonts w:eastAsiaTheme="minorEastAsia"/>
                <w:b/>
                <w:bCs/>
                <w:vertAlign w:val="superscript"/>
                <w:lang w:eastAsia="en-AU"/>
              </w:rPr>
            </w:pPr>
            <w:r w:rsidRPr="006A75A2">
              <w:rPr>
                <w:rFonts w:eastAsiaTheme="minorEastAsia"/>
                <w:b/>
                <w:bCs/>
                <w:lang w:eastAsia="en-AU"/>
              </w:rPr>
              <w:t>Other funds</w:t>
            </w:r>
            <w:r w:rsidRPr="006A75A2">
              <w:rPr>
                <w:rFonts w:eastAsiaTheme="minorEastAsia"/>
                <w:b/>
                <w:bCs/>
                <w:vertAlign w:val="superscript"/>
                <w:lang w:eastAsia="en-AU"/>
              </w:rPr>
              <w:t>(c)</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Defined benefit obligation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2 404.2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2 956.4</w:t>
            </w:r>
          </w:p>
        </w:tc>
      </w:tr>
      <w:tr w:rsidR="004E6C32" w:rsidRPr="006A75A2" w:rsidTr="004B5CB1">
        <w:tc>
          <w:tcPr>
            <w:tcW w:w="740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Tax liability</w:t>
            </w:r>
            <w:r w:rsidRPr="006A75A2">
              <w:rPr>
                <w:rFonts w:eastAsiaTheme="minorEastAsia"/>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(6.5)</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Plan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(1 464.3)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(1 766.9)</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liability/(asset)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931.2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1 182.9</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superannuation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Defined benefit obligation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42 599.2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40 259.6</w:t>
            </w:r>
          </w:p>
        </w:tc>
      </w:tr>
      <w:tr w:rsidR="004E6C32" w:rsidRPr="006A75A2" w:rsidTr="004B5CB1">
        <w:tc>
          <w:tcPr>
            <w:tcW w:w="740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Tax liability</w:t>
            </w:r>
            <w:r w:rsidRPr="006A75A2">
              <w:rPr>
                <w:rFonts w:eastAsiaTheme="minorEastAsia"/>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2 285.6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2 543.9</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Plan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(19 155.8)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(17 578.1)</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Superannuation liability</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25 729.0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25 225.4</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Represented by:</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liability</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998.6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1 014.5</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liability</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24 730.4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24 210.9</w:t>
            </w:r>
          </w:p>
        </w:tc>
      </w:tr>
      <w:tr w:rsidR="004E6C32" w:rsidRPr="006A75A2" w:rsidTr="004B5CB1">
        <w:tc>
          <w:tcPr>
            <w:tcW w:w="740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superannuation liability</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25 729.0</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25 225.4</w:t>
            </w:r>
          </w:p>
        </w:tc>
      </w:tr>
    </w:tbl>
    <w:p w:rsidR="004E6C32" w:rsidRPr="006A75A2" w:rsidRDefault="004E6C32" w:rsidP="004B5CB1">
      <w:pPr>
        <w:tabs>
          <w:tab w:val="left" w:pos="454"/>
        </w:tabs>
        <w:spacing w:after="0"/>
        <w:ind w:left="461" w:hanging="461"/>
        <w:rPr>
          <w:rFonts w:ascii="Calibri" w:hAnsi="Calibri"/>
          <w:i/>
          <w:sz w:val="16"/>
        </w:rPr>
      </w:pPr>
      <w:r w:rsidRPr="006A75A2">
        <w:rPr>
          <w:rFonts w:ascii="Calibri" w:hAnsi="Calibri"/>
          <w:i/>
          <w:sz w:val="16"/>
        </w:rPr>
        <w:t>Notes:</w:t>
      </w:r>
    </w:p>
    <w:p w:rsidR="004E6C32" w:rsidRPr="006A75A2" w:rsidRDefault="004E6C32" w:rsidP="004B5CB1">
      <w:pPr>
        <w:pStyle w:val="Notes"/>
      </w:pPr>
      <w:r w:rsidRPr="006A75A2">
        <w:t>(a)</w:t>
      </w:r>
      <w:r w:rsidRPr="006A75A2">
        <w:tab/>
        <w:t>From 1 April 2014, Emergency Services and State Super includes the former Parliamentary Contributory Superannuation Fund.</w:t>
      </w:r>
    </w:p>
    <w:p w:rsidR="004E6C32" w:rsidRPr="006A75A2" w:rsidRDefault="004E6C32" w:rsidP="004B5CB1">
      <w:pPr>
        <w:pStyle w:val="Notes"/>
      </w:pPr>
      <w:r w:rsidRPr="006A75A2">
        <w:t>(b)</w:t>
      </w:r>
      <w:r w:rsidRPr="006A75A2">
        <w:tab/>
        <w:t>Tax liability represents the present value of future tax payments on investment income generated by superannuation assets plus the present value of future tax payments on expected future employer contributions.</w:t>
      </w:r>
    </w:p>
    <w:p w:rsidR="004E6C32" w:rsidRPr="006A75A2" w:rsidRDefault="004E6C32" w:rsidP="004B5CB1">
      <w:pPr>
        <w:pStyle w:val="Notes"/>
      </w:pPr>
      <w:r w:rsidRPr="006A75A2">
        <w:t>(c)</w:t>
      </w:r>
      <w:r w:rsidRPr="006A75A2">
        <w:tab/>
        <w:t>Other funds include constitutionally protected schemes, the Parliamentary Contributory Superannuation Fund and the State</w:t>
      </w:r>
      <w:r w:rsidR="00C96101" w:rsidRPr="006A75A2">
        <w:t>’</w:t>
      </w:r>
      <w:r w:rsidRPr="006A75A2">
        <w:t>s share of liabilities of the Defined Benefit Scheme of the Health Super Fund.</w:t>
      </w:r>
    </w:p>
    <w:p w:rsidR="004E6C32" w:rsidRPr="006A75A2" w:rsidRDefault="004E6C32" w:rsidP="004B5CB1">
      <w:pPr>
        <w:tabs>
          <w:tab w:val="left" w:pos="454"/>
        </w:tabs>
        <w:spacing w:after="0"/>
        <w:ind w:left="461" w:hanging="461"/>
      </w:pPr>
    </w:p>
    <w:p w:rsidR="004E6C32" w:rsidRPr="006A75A2" w:rsidRDefault="004E6C32" w:rsidP="004B5CB1">
      <w:pPr>
        <w:spacing w:after="0"/>
      </w:pPr>
      <w:r w:rsidRPr="006A75A2">
        <w:t>Of the $25.7 billion superannuation liability recognised on the State</w:t>
      </w:r>
      <w:r w:rsidR="00C96101" w:rsidRPr="006A75A2">
        <w:t>’</w:t>
      </w:r>
      <w:r w:rsidRPr="006A75A2">
        <w:t>s balance sheet, more than 99 per cent is recorded in the general government sector. The superannuation liabilities of agencies for which the State is not responsible, such as universities, are not reflected in the balance sheet.</w:t>
      </w:r>
    </w:p>
    <w:p w:rsidR="004E6C32" w:rsidRPr="006A75A2" w:rsidRDefault="004E6C32" w:rsidP="004B5CB1">
      <w:pPr>
        <w:pStyle w:val="Heading2NotesContd"/>
        <w:rPr>
          <w:kern w:val="0"/>
        </w:rPr>
      </w:pPr>
      <w:r w:rsidRPr="006A75A2">
        <w:rPr>
          <w:kern w:val="0"/>
        </w:rPr>
        <w:lastRenderedPageBreak/>
        <w:t>Note 8:</w:t>
      </w:r>
      <w:r w:rsidRPr="006A75A2">
        <w:rPr>
          <w:kern w:val="0"/>
        </w:rPr>
        <w:tab/>
        <w:t xml:space="preserve">Superannuation </w:t>
      </w:r>
      <w:r w:rsidRPr="006A75A2">
        <w:rPr>
          <w:i/>
          <w:kern w:val="0"/>
        </w:rPr>
        <w:t>(continued)</w:t>
      </w:r>
    </w:p>
    <w:p w:rsidR="004E6C32" w:rsidRPr="006A75A2" w:rsidRDefault="004E6C32" w:rsidP="004B5CB1">
      <w:pPr>
        <w:keepNext/>
        <w:tabs>
          <w:tab w:val="left" w:pos="504"/>
        </w:tabs>
        <w:spacing w:before="120" w:after="60"/>
        <w:outlineLvl w:val="4"/>
        <w:rPr>
          <w:rFonts w:ascii="Calibri" w:hAnsi="Calibri"/>
          <w:b/>
        </w:rPr>
      </w:pPr>
      <w:r w:rsidRPr="006A75A2">
        <w:rPr>
          <w:rFonts w:ascii="Calibri" w:hAnsi="Calibri"/>
          <w:b/>
        </w:rPr>
        <w:t>Superannuation assumptions</w:t>
      </w:r>
    </w:p>
    <w:p w:rsidR="004E6C32" w:rsidRPr="006A75A2" w:rsidRDefault="004E6C32" w:rsidP="004B5CB1">
      <w:pPr>
        <w:rPr>
          <w:rFonts w:ascii="Times New Roman" w:hAnsi="Times New Roman"/>
          <w:sz w:val="20"/>
          <w:lang w:eastAsia="en-AU"/>
        </w:rPr>
      </w:pPr>
      <w:r w:rsidRPr="006A75A2">
        <w:rPr>
          <w:szCs w:val="24"/>
        </w:rPr>
        <w:t xml:space="preserve">The significant actuarial assumptions used for superannuation reporting purposes are future rates of wages growth, the inflation rate that is used to index pensions and the discount rate, as detailed below. </w:t>
      </w:r>
    </w:p>
    <w:tbl>
      <w:tblPr>
        <w:tblW w:w="9360" w:type="dxa"/>
        <w:tblInd w:w="43" w:type="dxa"/>
        <w:tblLayout w:type="fixed"/>
        <w:tblCellMar>
          <w:left w:w="43" w:type="dxa"/>
          <w:right w:w="43" w:type="dxa"/>
        </w:tblCellMar>
        <w:tblLook w:val="0000" w:firstRow="0" w:lastRow="0" w:firstColumn="0" w:lastColumn="0" w:noHBand="0" w:noVBand="0"/>
      </w:tblPr>
      <w:tblGrid>
        <w:gridCol w:w="3330"/>
        <w:gridCol w:w="1080"/>
        <w:gridCol w:w="2790"/>
        <w:gridCol w:w="1170"/>
        <w:gridCol w:w="990"/>
      </w:tblGrid>
      <w:tr w:rsidR="002E6139" w:rsidRPr="006A75A2" w:rsidTr="002E6139">
        <w:trPr>
          <w:trHeight w:val="109"/>
        </w:trPr>
        <w:tc>
          <w:tcPr>
            <w:tcW w:w="3330" w:type="dxa"/>
            <w:vMerge w:val="restart"/>
            <w:tcBorders>
              <w:top w:val="single" w:sz="4" w:space="0" w:color="auto"/>
              <w:left w:val="single" w:sz="4" w:space="0" w:color="auto"/>
              <w:right w:val="nil"/>
            </w:tcBorders>
            <w:shd w:val="solid" w:color="000000" w:fill="auto"/>
          </w:tcPr>
          <w:p w:rsidR="002E6139" w:rsidRPr="006A75A2" w:rsidRDefault="002E6139" w:rsidP="002E6139">
            <w:pPr>
              <w:pStyle w:val="TabletextheadingLeft"/>
              <w:rPr>
                <w:rFonts w:eastAsiaTheme="minorEastAsia"/>
                <w:lang w:eastAsia="en-AU"/>
              </w:rPr>
            </w:pPr>
            <w:r w:rsidRPr="006A75A2">
              <w:rPr>
                <w:rFonts w:eastAsiaTheme="minorEastAsia"/>
                <w:lang w:eastAsia="en-AU"/>
              </w:rPr>
              <w:t>Victorian statutory</w:t>
            </w:r>
            <w:r w:rsidRPr="006A75A2">
              <w:rPr>
                <w:rFonts w:eastAsiaTheme="minorEastAsia"/>
                <w:lang w:eastAsia="en-AU"/>
              </w:rPr>
              <w:br/>
              <w:t>superannuation funds</w:t>
            </w:r>
          </w:p>
        </w:tc>
        <w:tc>
          <w:tcPr>
            <w:tcW w:w="1080" w:type="dxa"/>
            <w:vMerge w:val="restart"/>
            <w:tcBorders>
              <w:top w:val="single" w:sz="4" w:space="0" w:color="auto"/>
              <w:left w:val="nil"/>
              <w:right w:val="nil"/>
            </w:tcBorders>
            <w:shd w:val="solid" w:color="000000" w:fill="auto"/>
          </w:tcPr>
          <w:p w:rsidR="002E6139" w:rsidRPr="006A75A2" w:rsidRDefault="002E6139" w:rsidP="002E6139">
            <w:pPr>
              <w:pStyle w:val="TabletextheadingLeft"/>
              <w:rPr>
                <w:rFonts w:eastAsiaTheme="minorEastAsia"/>
                <w:lang w:eastAsia="en-AU"/>
              </w:rPr>
            </w:pPr>
          </w:p>
          <w:p w:rsidR="002E6139" w:rsidRPr="006A75A2" w:rsidRDefault="002E6139" w:rsidP="002E6139">
            <w:pPr>
              <w:pStyle w:val="TabletextheadingLeft"/>
              <w:jc w:val="center"/>
              <w:rPr>
                <w:rFonts w:eastAsiaTheme="minorEastAsia"/>
                <w:lang w:eastAsia="en-AU"/>
              </w:rPr>
            </w:pPr>
            <w:r w:rsidRPr="006A75A2">
              <w:rPr>
                <w:rFonts w:eastAsiaTheme="minorEastAsia"/>
                <w:lang w:eastAsia="en-AU"/>
              </w:rPr>
              <w:t>Actuary</w:t>
            </w:r>
          </w:p>
        </w:tc>
        <w:tc>
          <w:tcPr>
            <w:tcW w:w="2790" w:type="dxa"/>
            <w:vMerge w:val="restart"/>
            <w:tcBorders>
              <w:top w:val="single" w:sz="4" w:space="0" w:color="auto"/>
              <w:left w:val="nil"/>
              <w:right w:val="nil"/>
            </w:tcBorders>
            <w:shd w:val="solid" w:color="000000" w:fill="auto"/>
          </w:tcPr>
          <w:p w:rsidR="002E6139" w:rsidRPr="006A75A2" w:rsidRDefault="002E6139" w:rsidP="002E6139">
            <w:pPr>
              <w:pStyle w:val="TabletextheadingLeft"/>
              <w:rPr>
                <w:rFonts w:eastAsiaTheme="minorEastAsia"/>
                <w:lang w:eastAsia="en-AU"/>
              </w:rPr>
            </w:pPr>
            <w:r w:rsidRPr="006A75A2">
              <w:rPr>
                <w:rFonts w:eastAsiaTheme="minorEastAsia"/>
                <w:lang w:eastAsia="en-AU"/>
              </w:rPr>
              <w:t>Financial</w:t>
            </w:r>
            <w:r w:rsidRPr="006A75A2">
              <w:rPr>
                <w:rFonts w:eastAsiaTheme="minorEastAsia"/>
                <w:lang w:eastAsia="en-AU"/>
              </w:rPr>
              <w:br/>
              <w:t>assumptions</w:t>
            </w:r>
          </w:p>
        </w:tc>
        <w:tc>
          <w:tcPr>
            <w:tcW w:w="2160" w:type="dxa"/>
            <w:gridSpan w:val="2"/>
            <w:tcBorders>
              <w:top w:val="single" w:sz="4" w:space="0" w:color="auto"/>
              <w:left w:val="nil"/>
              <w:right w:val="single" w:sz="4" w:space="0" w:color="auto"/>
            </w:tcBorders>
            <w:shd w:val="solid" w:color="000000" w:fill="auto"/>
          </w:tcPr>
          <w:p w:rsidR="002E6139" w:rsidRPr="006A75A2" w:rsidRDefault="002E6139" w:rsidP="004B5CB1">
            <w:pPr>
              <w:pStyle w:val="TabletextheadingCentred"/>
              <w:rPr>
                <w:rFonts w:eastAsiaTheme="minorEastAsia"/>
                <w:lang w:eastAsia="en-AU"/>
              </w:rPr>
            </w:pPr>
            <w:r w:rsidRPr="006A75A2">
              <w:rPr>
                <w:rFonts w:eastAsiaTheme="minorEastAsia"/>
                <w:lang w:eastAsia="en-AU"/>
              </w:rPr>
              <w:t>Per cent per annum</w:t>
            </w:r>
          </w:p>
        </w:tc>
      </w:tr>
      <w:tr w:rsidR="002E6139" w:rsidRPr="006A75A2" w:rsidTr="004B5CB1">
        <w:trPr>
          <w:trHeight w:val="119"/>
        </w:trPr>
        <w:tc>
          <w:tcPr>
            <w:tcW w:w="3330" w:type="dxa"/>
            <w:vMerge/>
            <w:tcBorders>
              <w:left w:val="single" w:sz="4" w:space="0" w:color="auto"/>
              <w:bottom w:val="single" w:sz="4" w:space="0" w:color="auto"/>
              <w:right w:val="nil"/>
            </w:tcBorders>
            <w:shd w:val="solid" w:color="000000" w:fill="auto"/>
          </w:tcPr>
          <w:p w:rsidR="002E6139" w:rsidRPr="006A75A2" w:rsidRDefault="002E6139" w:rsidP="004B5CB1">
            <w:pPr>
              <w:pStyle w:val="TabletextheadingLeft"/>
              <w:rPr>
                <w:rFonts w:eastAsiaTheme="minorEastAsia"/>
                <w:lang w:eastAsia="en-AU"/>
              </w:rPr>
            </w:pPr>
          </w:p>
        </w:tc>
        <w:tc>
          <w:tcPr>
            <w:tcW w:w="1080" w:type="dxa"/>
            <w:vMerge/>
            <w:tcBorders>
              <w:left w:val="nil"/>
              <w:bottom w:val="single" w:sz="4" w:space="0" w:color="auto"/>
              <w:right w:val="nil"/>
            </w:tcBorders>
            <w:shd w:val="solid" w:color="000000" w:fill="auto"/>
          </w:tcPr>
          <w:p w:rsidR="002E6139" w:rsidRPr="006A75A2" w:rsidRDefault="002E6139" w:rsidP="004B5CB1">
            <w:pPr>
              <w:pStyle w:val="TabletextheadingCentred"/>
              <w:rPr>
                <w:rFonts w:eastAsiaTheme="minorEastAsia"/>
                <w:lang w:eastAsia="en-AU"/>
              </w:rPr>
            </w:pPr>
          </w:p>
        </w:tc>
        <w:tc>
          <w:tcPr>
            <w:tcW w:w="2790" w:type="dxa"/>
            <w:vMerge/>
            <w:tcBorders>
              <w:left w:val="nil"/>
              <w:bottom w:val="single" w:sz="4" w:space="0" w:color="auto"/>
              <w:right w:val="nil"/>
            </w:tcBorders>
            <w:shd w:val="solid" w:color="000000" w:fill="auto"/>
          </w:tcPr>
          <w:p w:rsidR="002E6139" w:rsidRPr="006A75A2" w:rsidRDefault="002E6139" w:rsidP="004B5CB1">
            <w:pPr>
              <w:pStyle w:val="TabletextheadingLeft"/>
              <w:rPr>
                <w:rFonts w:eastAsiaTheme="minorEastAsia"/>
                <w:lang w:eastAsia="en-AU"/>
              </w:rPr>
            </w:pPr>
          </w:p>
        </w:tc>
        <w:tc>
          <w:tcPr>
            <w:tcW w:w="1170" w:type="dxa"/>
            <w:tcBorders>
              <w:left w:val="nil"/>
              <w:bottom w:val="single" w:sz="4" w:space="0" w:color="auto"/>
              <w:right w:val="nil"/>
            </w:tcBorders>
            <w:shd w:val="solid" w:color="000000" w:fill="auto"/>
          </w:tcPr>
          <w:p w:rsidR="002E6139" w:rsidRPr="006A75A2" w:rsidRDefault="002E6139" w:rsidP="004B5CB1">
            <w:pPr>
              <w:pStyle w:val="Tabletextheading"/>
              <w:rPr>
                <w:rFonts w:eastAsiaTheme="minorEastAsia"/>
                <w:lang w:eastAsia="en-AU"/>
              </w:rPr>
            </w:pPr>
            <w:r w:rsidRPr="006A75A2">
              <w:rPr>
                <w:rFonts w:eastAsiaTheme="minorEastAsia"/>
                <w:lang w:eastAsia="en-AU"/>
              </w:rPr>
              <w:t>2014</w:t>
            </w:r>
          </w:p>
        </w:tc>
        <w:tc>
          <w:tcPr>
            <w:tcW w:w="990" w:type="dxa"/>
            <w:tcBorders>
              <w:left w:val="nil"/>
              <w:bottom w:val="single" w:sz="4" w:space="0" w:color="auto"/>
              <w:right w:val="single" w:sz="4" w:space="0" w:color="auto"/>
            </w:tcBorders>
            <w:shd w:val="solid" w:color="000000" w:fill="auto"/>
          </w:tcPr>
          <w:p w:rsidR="002E6139" w:rsidRPr="006A75A2" w:rsidRDefault="002E6139"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3330" w:type="dxa"/>
            <w:tcBorders>
              <w:top w:val="single" w:sz="4"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Emergency Services and State Super</w:t>
            </w:r>
          </w:p>
        </w:tc>
        <w:tc>
          <w:tcPr>
            <w:tcW w:w="1080" w:type="dxa"/>
            <w:tcBorders>
              <w:top w:val="single" w:sz="4" w:space="0" w:color="auto"/>
              <w:left w:val="nil"/>
              <w:bottom w:val="nil"/>
              <w:right w:val="nil"/>
            </w:tcBorders>
          </w:tcPr>
          <w:p w:rsidR="004E6C32" w:rsidRPr="006A75A2" w:rsidRDefault="004E6C32" w:rsidP="002D2F70">
            <w:pPr>
              <w:pStyle w:val="Tabletext"/>
              <w:jc w:val="center"/>
              <w:rPr>
                <w:rFonts w:eastAsiaTheme="minorEastAsia"/>
                <w:vertAlign w:val="superscript"/>
                <w:lang w:eastAsia="en-AU"/>
              </w:rPr>
            </w:pPr>
            <w:r w:rsidRPr="006A75A2">
              <w:rPr>
                <w:rFonts w:eastAsiaTheme="minorEastAsia"/>
                <w:lang w:eastAsia="en-AU"/>
              </w:rPr>
              <w:t>PwC</w:t>
            </w:r>
            <w:r w:rsidRPr="006A75A2">
              <w:rPr>
                <w:rFonts w:eastAsiaTheme="minorEastAsia"/>
                <w:vertAlign w:val="superscript"/>
                <w:lang w:eastAsia="en-AU"/>
              </w:rPr>
              <w:t>(a)</w:t>
            </w:r>
          </w:p>
        </w:tc>
        <w:tc>
          <w:tcPr>
            <w:tcW w:w="2790" w:type="dxa"/>
            <w:tcBorders>
              <w:top w:val="single" w:sz="4" w:space="0" w:color="auto"/>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Expected return on assets</w:t>
            </w:r>
            <w:r w:rsidRPr="006A75A2">
              <w:rPr>
                <w:rFonts w:eastAsiaTheme="minorEastAsia"/>
                <w:vertAlign w:val="superscript"/>
                <w:lang w:eastAsia="en-AU"/>
              </w:rPr>
              <w:t>(b)</w:t>
            </w:r>
          </w:p>
        </w:tc>
        <w:tc>
          <w:tcPr>
            <w:tcW w:w="1170"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8.0</w:t>
            </w:r>
          </w:p>
        </w:tc>
        <w:tc>
          <w:tcPr>
            <w:tcW w:w="990"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8.0</w:t>
            </w:r>
          </w:p>
        </w:tc>
      </w:tr>
      <w:tr w:rsidR="004E6C32" w:rsidRPr="006A75A2" w:rsidTr="004B5CB1">
        <w:tc>
          <w:tcPr>
            <w:tcW w:w="333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080" w:type="dxa"/>
            <w:tcBorders>
              <w:top w:val="nil"/>
              <w:left w:val="nil"/>
              <w:bottom w:val="nil"/>
              <w:right w:val="nil"/>
            </w:tcBorders>
          </w:tcPr>
          <w:p w:rsidR="004E6C32" w:rsidRPr="006A75A2" w:rsidRDefault="004E6C32" w:rsidP="004B5CB1">
            <w:pPr>
              <w:pStyle w:val="Tabletext"/>
              <w:jc w:val="center"/>
              <w:rPr>
                <w:rFonts w:eastAsiaTheme="minorEastAsia" w:cs="Calibri"/>
                <w:szCs w:val="22"/>
                <w:lang w:eastAsia="en-AU"/>
              </w:rPr>
            </w:pPr>
            <w:r w:rsidRPr="006A75A2">
              <w:rPr>
                <w:rFonts w:eastAsiaTheme="minorEastAsia"/>
                <w:lang w:eastAsia="en-AU"/>
              </w:rPr>
              <w:t xml:space="preserve"> </w:t>
            </w:r>
          </w:p>
        </w:tc>
        <w:tc>
          <w:tcPr>
            <w:tcW w:w="279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Discount rate</w:t>
            </w:r>
            <w:r w:rsidRPr="006A75A2">
              <w:rPr>
                <w:rFonts w:eastAsiaTheme="minorEastAsia"/>
                <w:vertAlign w:val="superscript"/>
                <w:lang w:eastAsia="en-AU"/>
              </w:rPr>
              <w:t>(c)</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4.1</w:t>
            </w:r>
          </w:p>
        </w:tc>
        <w:tc>
          <w:tcPr>
            <w:tcW w:w="9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w:t>
            </w:r>
          </w:p>
        </w:tc>
      </w:tr>
      <w:tr w:rsidR="004E6C32" w:rsidRPr="006A75A2" w:rsidTr="004B5CB1">
        <w:tc>
          <w:tcPr>
            <w:tcW w:w="333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080" w:type="dxa"/>
            <w:tcBorders>
              <w:top w:val="nil"/>
              <w:left w:val="nil"/>
              <w:bottom w:val="nil"/>
              <w:right w:val="nil"/>
            </w:tcBorders>
          </w:tcPr>
          <w:p w:rsidR="004E6C32" w:rsidRPr="006A75A2" w:rsidRDefault="004E6C32" w:rsidP="004B5CB1">
            <w:pPr>
              <w:pStyle w:val="Tabletext"/>
              <w:jc w:val="center"/>
              <w:rPr>
                <w:rFonts w:ascii="Arial" w:eastAsiaTheme="minorEastAsia" w:hAnsi="Arial" w:cs="Arial"/>
                <w:sz w:val="20"/>
                <w:lang w:eastAsia="en-AU"/>
              </w:rPr>
            </w:pPr>
            <w:r w:rsidRPr="006A75A2">
              <w:rPr>
                <w:rFonts w:ascii="Arial" w:eastAsiaTheme="minorEastAsia" w:hAnsi="Arial" w:cs="Arial"/>
                <w:sz w:val="20"/>
                <w:lang w:eastAsia="en-AU"/>
              </w:rPr>
              <w:t xml:space="preserve"> </w:t>
            </w:r>
          </w:p>
        </w:tc>
        <w:tc>
          <w:tcPr>
            <w:tcW w:w="279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Wages growth</w:t>
            </w:r>
            <w:r w:rsidRPr="006A75A2">
              <w:rPr>
                <w:rFonts w:eastAsiaTheme="minorEastAsia"/>
                <w:vertAlign w:val="superscript"/>
                <w:lang w:eastAsia="en-AU"/>
              </w:rPr>
              <w:t>(d)</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w:t>
            </w:r>
          </w:p>
        </w:tc>
        <w:tc>
          <w:tcPr>
            <w:tcW w:w="9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w:t>
            </w:r>
          </w:p>
        </w:tc>
      </w:tr>
      <w:tr w:rsidR="004E6C32" w:rsidRPr="006A75A2" w:rsidTr="004B5CB1">
        <w:tc>
          <w:tcPr>
            <w:tcW w:w="333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080" w:type="dxa"/>
            <w:tcBorders>
              <w:top w:val="nil"/>
              <w:left w:val="nil"/>
              <w:bottom w:val="single" w:sz="6" w:space="0" w:color="auto"/>
              <w:right w:val="nil"/>
            </w:tcBorders>
          </w:tcPr>
          <w:p w:rsidR="004E6C32" w:rsidRPr="006A75A2" w:rsidRDefault="004E6C32" w:rsidP="004B5CB1">
            <w:pPr>
              <w:pStyle w:val="Tabletext"/>
              <w:jc w:val="center"/>
              <w:rPr>
                <w:rFonts w:eastAsiaTheme="minorEastAsia" w:cs="Calibri"/>
                <w:szCs w:val="22"/>
                <w:lang w:eastAsia="en-AU"/>
              </w:rPr>
            </w:pPr>
            <w:r w:rsidRPr="006A75A2">
              <w:rPr>
                <w:rFonts w:eastAsiaTheme="minorEastAsia"/>
                <w:lang w:eastAsia="en-AU"/>
              </w:rPr>
              <w:t xml:space="preserve"> </w:t>
            </w:r>
          </w:p>
        </w:tc>
        <w:tc>
          <w:tcPr>
            <w:tcW w:w="279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Inflation rate </w:t>
            </w:r>
          </w:p>
        </w:tc>
        <w:tc>
          <w:tcPr>
            <w:tcW w:w="117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w:t>
            </w:r>
          </w:p>
        </w:tc>
        <w:tc>
          <w:tcPr>
            <w:tcW w:w="99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w:t>
            </w:r>
          </w:p>
        </w:tc>
      </w:tr>
      <w:tr w:rsidR="004E6C32" w:rsidRPr="006A75A2" w:rsidTr="004B5CB1">
        <w:tc>
          <w:tcPr>
            <w:tcW w:w="333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Constitutionally Protected Pensions</w:t>
            </w:r>
          </w:p>
        </w:tc>
        <w:tc>
          <w:tcPr>
            <w:tcW w:w="1080" w:type="dxa"/>
            <w:tcBorders>
              <w:top w:val="nil"/>
              <w:left w:val="nil"/>
              <w:bottom w:val="nil"/>
              <w:right w:val="nil"/>
            </w:tcBorders>
          </w:tcPr>
          <w:p w:rsidR="004E6C32" w:rsidRPr="006A75A2" w:rsidRDefault="004E6C32" w:rsidP="002D2F70">
            <w:pPr>
              <w:pStyle w:val="Tabletext"/>
              <w:jc w:val="center"/>
              <w:rPr>
                <w:rFonts w:eastAsiaTheme="minorEastAsia"/>
                <w:vertAlign w:val="superscript"/>
                <w:lang w:eastAsia="en-AU"/>
              </w:rPr>
            </w:pPr>
            <w:r w:rsidRPr="006A75A2">
              <w:rPr>
                <w:rFonts w:eastAsiaTheme="minorEastAsia"/>
                <w:lang w:eastAsia="en-AU"/>
              </w:rPr>
              <w:t>PwC</w:t>
            </w:r>
            <w:r w:rsidRPr="006A75A2">
              <w:rPr>
                <w:rFonts w:eastAsiaTheme="minorEastAsia"/>
                <w:vertAlign w:val="superscript"/>
                <w:lang w:eastAsia="en-AU"/>
              </w:rPr>
              <w:t>(a)</w:t>
            </w:r>
          </w:p>
        </w:tc>
        <w:tc>
          <w:tcPr>
            <w:tcW w:w="279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Discount rate</w:t>
            </w:r>
            <w:r w:rsidRPr="006A75A2">
              <w:rPr>
                <w:rFonts w:eastAsiaTheme="minorEastAsia"/>
                <w:vertAlign w:val="superscript"/>
                <w:lang w:eastAsia="en-AU"/>
              </w:rPr>
              <w:t>(c)</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4.1</w:t>
            </w:r>
          </w:p>
        </w:tc>
        <w:tc>
          <w:tcPr>
            <w:tcW w:w="9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w:t>
            </w:r>
          </w:p>
        </w:tc>
      </w:tr>
      <w:tr w:rsidR="004E6C32" w:rsidRPr="006A75A2" w:rsidTr="004B5CB1">
        <w:tc>
          <w:tcPr>
            <w:tcW w:w="333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080" w:type="dxa"/>
            <w:tcBorders>
              <w:top w:val="nil"/>
              <w:left w:val="nil"/>
              <w:bottom w:val="nil"/>
              <w:right w:val="nil"/>
            </w:tcBorders>
          </w:tcPr>
          <w:p w:rsidR="004E6C32" w:rsidRPr="006A75A2" w:rsidRDefault="004E6C32" w:rsidP="004B5CB1">
            <w:pPr>
              <w:pStyle w:val="Tabletext"/>
              <w:jc w:val="center"/>
              <w:rPr>
                <w:rFonts w:ascii="Arial" w:eastAsiaTheme="minorEastAsia" w:hAnsi="Arial" w:cs="Arial"/>
                <w:sz w:val="20"/>
                <w:lang w:eastAsia="en-AU"/>
              </w:rPr>
            </w:pPr>
            <w:r w:rsidRPr="006A75A2">
              <w:rPr>
                <w:rFonts w:ascii="Arial" w:eastAsiaTheme="minorEastAsia" w:hAnsi="Arial" w:cs="Arial"/>
                <w:sz w:val="20"/>
                <w:lang w:eastAsia="en-AU"/>
              </w:rPr>
              <w:t xml:space="preserve"> </w:t>
            </w:r>
          </w:p>
        </w:tc>
        <w:tc>
          <w:tcPr>
            <w:tcW w:w="279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Wages growth</w:t>
            </w:r>
            <w:r w:rsidRPr="006A75A2">
              <w:rPr>
                <w:rFonts w:eastAsiaTheme="minorEastAsia"/>
                <w:vertAlign w:val="superscript"/>
                <w:lang w:eastAsia="en-AU"/>
              </w:rPr>
              <w:t>(d)</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w:t>
            </w:r>
          </w:p>
        </w:tc>
        <w:tc>
          <w:tcPr>
            <w:tcW w:w="9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w:t>
            </w:r>
          </w:p>
        </w:tc>
      </w:tr>
      <w:tr w:rsidR="004E6C32" w:rsidRPr="006A75A2" w:rsidTr="004B5CB1">
        <w:tc>
          <w:tcPr>
            <w:tcW w:w="333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080" w:type="dxa"/>
            <w:tcBorders>
              <w:top w:val="nil"/>
              <w:left w:val="nil"/>
              <w:bottom w:val="single" w:sz="6" w:space="0" w:color="auto"/>
              <w:right w:val="nil"/>
            </w:tcBorders>
          </w:tcPr>
          <w:p w:rsidR="004E6C32" w:rsidRPr="006A75A2" w:rsidRDefault="004E6C32" w:rsidP="004B5CB1">
            <w:pPr>
              <w:pStyle w:val="Tabletext"/>
              <w:jc w:val="center"/>
              <w:rPr>
                <w:rFonts w:eastAsiaTheme="minorEastAsia" w:cs="Calibri"/>
                <w:szCs w:val="22"/>
                <w:lang w:eastAsia="en-AU"/>
              </w:rPr>
            </w:pPr>
            <w:r w:rsidRPr="006A75A2">
              <w:rPr>
                <w:rFonts w:eastAsiaTheme="minorEastAsia"/>
                <w:lang w:eastAsia="en-AU"/>
              </w:rPr>
              <w:t xml:space="preserve"> </w:t>
            </w:r>
          </w:p>
        </w:tc>
        <w:tc>
          <w:tcPr>
            <w:tcW w:w="279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Inflation rate </w:t>
            </w:r>
          </w:p>
        </w:tc>
        <w:tc>
          <w:tcPr>
            <w:tcW w:w="117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w:t>
            </w:r>
          </w:p>
        </w:tc>
        <w:tc>
          <w:tcPr>
            <w:tcW w:w="99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w:t>
            </w:r>
          </w:p>
        </w:tc>
      </w:tr>
      <w:tr w:rsidR="004E6C32" w:rsidRPr="006A75A2" w:rsidTr="004B5CB1">
        <w:tc>
          <w:tcPr>
            <w:tcW w:w="333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Health Super Fund</w:t>
            </w:r>
          </w:p>
        </w:tc>
        <w:tc>
          <w:tcPr>
            <w:tcW w:w="1080" w:type="dxa"/>
            <w:tcBorders>
              <w:top w:val="nil"/>
              <w:left w:val="nil"/>
              <w:bottom w:val="nil"/>
              <w:right w:val="nil"/>
            </w:tcBorders>
          </w:tcPr>
          <w:p w:rsidR="004E6C32" w:rsidRPr="006A75A2" w:rsidRDefault="004E6C32" w:rsidP="002D2F70">
            <w:pPr>
              <w:pStyle w:val="Tabletext"/>
              <w:jc w:val="center"/>
              <w:rPr>
                <w:rFonts w:eastAsiaTheme="minorEastAsia"/>
                <w:vertAlign w:val="superscript"/>
                <w:lang w:eastAsia="en-AU"/>
              </w:rPr>
            </w:pPr>
            <w:r w:rsidRPr="006A75A2">
              <w:rPr>
                <w:rFonts w:eastAsiaTheme="minorEastAsia"/>
                <w:lang w:eastAsia="en-AU"/>
              </w:rPr>
              <w:t>Mercer</w:t>
            </w:r>
            <w:r w:rsidRPr="006A75A2">
              <w:rPr>
                <w:rFonts w:eastAsiaTheme="minorEastAsia"/>
                <w:vertAlign w:val="superscript"/>
                <w:lang w:eastAsia="en-AU"/>
              </w:rPr>
              <w:t>(e)</w:t>
            </w:r>
          </w:p>
        </w:tc>
        <w:tc>
          <w:tcPr>
            <w:tcW w:w="279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Expected return on assets</w:t>
            </w:r>
            <w:r w:rsidRPr="006A75A2">
              <w:rPr>
                <w:rFonts w:eastAsiaTheme="minorEastAsia"/>
                <w:vertAlign w:val="superscript"/>
                <w:lang w:eastAsia="en-AU"/>
              </w:rPr>
              <w:t>(b)</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5.8</w:t>
            </w:r>
          </w:p>
        </w:tc>
        <w:tc>
          <w:tcPr>
            <w:tcW w:w="9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7.2</w:t>
            </w:r>
          </w:p>
        </w:tc>
      </w:tr>
      <w:tr w:rsidR="004E6C32" w:rsidRPr="006A75A2" w:rsidTr="004B5CB1">
        <w:tc>
          <w:tcPr>
            <w:tcW w:w="333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08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279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Discount rate</w:t>
            </w:r>
            <w:r w:rsidRPr="006A75A2">
              <w:rPr>
                <w:rFonts w:eastAsiaTheme="minorEastAsia"/>
                <w:vertAlign w:val="superscript"/>
                <w:lang w:eastAsia="en-AU"/>
              </w:rPr>
              <w:t>(c)</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4.1</w:t>
            </w:r>
          </w:p>
        </w:tc>
        <w:tc>
          <w:tcPr>
            <w:tcW w:w="9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w:t>
            </w:r>
          </w:p>
        </w:tc>
      </w:tr>
      <w:tr w:rsidR="004E6C32" w:rsidRPr="006A75A2" w:rsidTr="004B5CB1">
        <w:tc>
          <w:tcPr>
            <w:tcW w:w="3330" w:type="dxa"/>
            <w:tcBorders>
              <w:top w:val="nil"/>
              <w:left w:val="nil"/>
              <w:bottom w:val="nil"/>
              <w:right w:val="nil"/>
            </w:tcBorders>
          </w:tcPr>
          <w:p w:rsidR="004E6C32" w:rsidRPr="006A75A2" w:rsidRDefault="004E6C32" w:rsidP="004B5CB1">
            <w:pPr>
              <w:pStyle w:val="Tabletext"/>
              <w:rPr>
                <w:rFonts w:ascii="Arial" w:eastAsiaTheme="minorEastAsia" w:hAnsi="Arial" w:cs="Arial"/>
                <w:sz w:val="20"/>
                <w:lang w:eastAsia="en-AU"/>
              </w:rPr>
            </w:pPr>
            <w:r w:rsidRPr="006A75A2">
              <w:rPr>
                <w:rFonts w:ascii="Arial" w:eastAsiaTheme="minorEastAsia" w:hAnsi="Arial" w:cs="Arial"/>
                <w:sz w:val="20"/>
                <w:lang w:eastAsia="en-AU"/>
              </w:rPr>
              <w:t xml:space="preserve"> </w:t>
            </w:r>
          </w:p>
        </w:tc>
        <w:tc>
          <w:tcPr>
            <w:tcW w:w="1080" w:type="dxa"/>
            <w:tcBorders>
              <w:top w:val="nil"/>
              <w:left w:val="nil"/>
              <w:bottom w:val="nil"/>
              <w:right w:val="nil"/>
            </w:tcBorders>
          </w:tcPr>
          <w:p w:rsidR="004E6C32" w:rsidRPr="006A75A2" w:rsidRDefault="004E6C32" w:rsidP="004B5CB1">
            <w:pPr>
              <w:pStyle w:val="Tabletext"/>
              <w:rPr>
                <w:rFonts w:ascii="Arial" w:eastAsiaTheme="minorEastAsia" w:hAnsi="Arial" w:cs="Arial"/>
                <w:sz w:val="20"/>
                <w:lang w:eastAsia="en-AU"/>
              </w:rPr>
            </w:pPr>
            <w:r w:rsidRPr="006A75A2">
              <w:rPr>
                <w:rFonts w:ascii="Arial" w:eastAsiaTheme="minorEastAsia" w:hAnsi="Arial" w:cs="Arial"/>
                <w:sz w:val="20"/>
                <w:lang w:eastAsia="en-AU"/>
              </w:rPr>
              <w:t xml:space="preserve"> </w:t>
            </w:r>
          </w:p>
        </w:tc>
        <w:tc>
          <w:tcPr>
            <w:tcW w:w="279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Wages growth</w:t>
            </w:r>
            <w:r w:rsidRPr="006A75A2">
              <w:rPr>
                <w:rFonts w:eastAsiaTheme="minorEastAsia"/>
                <w:vertAlign w:val="superscript"/>
                <w:lang w:eastAsia="en-AU"/>
              </w:rPr>
              <w:t>(d)</w:t>
            </w:r>
          </w:p>
        </w:tc>
        <w:tc>
          <w:tcPr>
            <w:tcW w:w="117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w:t>
            </w:r>
          </w:p>
        </w:tc>
        <w:tc>
          <w:tcPr>
            <w:tcW w:w="9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w:t>
            </w:r>
          </w:p>
        </w:tc>
      </w:tr>
      <w:tr w:rsidR="004E6C32" w:rsidRPr="006A75A2" w:rsidTr="004B5CB1">
        <w:tc>
          <w:tcPr>
            <w:tcW w:w="3330" w:type="dxa"/>
            <w:tcBorders>
              <w:top w:val="nil"/>
              <w:left w:val="nil"/>
              <w:bottom w:val="single" w:sz="12"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080" w:type="dxa"/>
            <w:tcBorders>
              <w:top w:val="nil"/>
              <w:left w:val="nil"/>
              <w:bottom w:val="single" w:sz="12"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2790" w:type="dxa"/>
            <w:tcBorders>
              <w:top w:val="nil"/>
              <w:left w:val="nil"/>
              <w:bottom w:val="single" w:sz="12"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Inflation rate</w:t>
            </w:r>
          </w:p>
        </w:tc>
        <w:tc>
          <w:tcPr>
            <w:tcW w:w="1170" w:type="dxa"/>
            <w:tcBorders>
              <w:top w:val="nil"/>
              <w:left w:val="nil"/>
              <w:bottom w:val="single" w:sz="12"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w:t>
            </w:r>
          </w:p>
        </w:tc>
        <w:tc>
          <w:tcPr>
            <w:tcW w:w="990" w:type="dxa"/>
            <w:tcBorders>
              <w:top w:val="nil"/>
              <w:left w:val="nil"/>
              <w:bottom w:val="single" w:sz="12"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PricewaterhouseCoopers Securities Ltd.</w:t>
      </w:r>
    </w:p>
    <w:p w:rsidR="004E6C32" w:rsidRPr="006A75A2" w:rsidRDefault="004E6C32" w:rsidP="004B5CB1">
      <w:pPr>
        <w:pStyle w:val="Notes"/>
      </w:pPr>
      <w:r w:rsidRPr="006A75A2">
        <w:t>(b)</w:t>
      </w:r>
      <w:r w:rsidRPr="006A75A2">
        <w:tab/>
        <w:t>The expected return on assets stated is gross of tax. This rate is adjusted in the calculation process to reflect the assumed rate of tax payable by each scheme.</w:t>
      </w:r>
    </w:p>
    <w:p w:rsidR="004E6C32" w:rsidRPr="006A75A2" w:rsidRDefault="004E6C32" w:rsidP="004B5CB1">
      <w:pPr>
        <w:pStyle w:val="Notes"/>
      </w:pPr>
      <w:r w:rsidRPr="006A75A2">
        <w:t>(c)</w:t>
      </w:r>
      <w:r w:rsidRPr="006A75A2">
        <w:tab/>
        <w:t>In accordance with accounting standards, the discount rate is based on a long term Commonwealth bond rate. The rate stated above is an annual effective rate, gross of tax.</w:t>
      </w:r>
    </w:p>
    <w:p w:rsidR="004E6C32" w:rsidRPr="006A75A2" w:rsidRDefault="004E6C32" w:rsidP="004B5CB1">
      <w:pPr>
        <w:pStyle w:val="Notes"/>
      </w:pPr>
      <w:r w:rsidRPr="006A75A2">
        <w:t xml:space="preserve">(d) </w:t>
      </w:r>
      <w:r w:rsidRPr="006A75A2">
        <w:tab/>
        <w:t>Wages growth in this table are actuarial assumptions and do not reflect the Government</w:t>
      </w:r>
      <w:r w:rsidR="00C96101" w:rsidRPr="006A75A2">
        <w:t>’</w:t>
      </w:r>
      <w:r w:rsidRPr="006A75A2">
        <w:t>s wages policy.</w:t>
      </w:r>
    </w:p>
    <w:p w:rsidR="004E6C32" w:rsidRPr="006A75A2" w:rsidRDefault="004E6C32" w:rsidP="004B5CB1">
      <w:pPr>
        <w:pStyle w:val="Notes"/>
      </w:pPr>
      <w:r w:rsidRPr="006A75A2">
        <w:t xml:space="preserve">(e) </w:t>
      </w:r>
      <w:r w:rsidRPr="006A75A2">
        <w:tab/>
        <w:t>Mercer (Australia) Pty Ltd.</w:t>
      </w:r>
    </w:p>
    <w:p w:rsidR="004E6C32" w:rsidRPr="006A75A2" w:rsidRDefault="004E6C32" w:rsidP="004B5CB1"/>
    <w:p w:rsidR="004E6C32" w:rsidRPr="006A75A2" w:rsidRDefault="004E6C32" w:rsidP="004B5CB1">
      <w:pPr>
        <w:keepNext/>
        <w:tabs>
          <w:tab w:val="left" w:pos="504"/>
        </w:tabs>
        <w:spacing w:before="120"/>
        <w:outlineLvl w:val="4"/>
        <w:rPr>
          <w:rFonts w:ascii="Calibri" w:hAnsi="Calibri"/>
          <w:b/>
        </w:rPr>
      </w:pPr>
      <w:r w:rsidRPr="006A75A2">
        <w:rPr>
          <w:rFonts w:ascii="Calibri" w:hAnsi="Calibri"/>
          <w:b/>
        </w:rPr>
        <w:t>Sensitivity analysis</w:t>
      </w:r>
    </w:p>
    <w:p w:rsidR="004E6C32" w:rsidRPr="006A75A2" w:rsidRDefault="004E6C32" w:rsidP="004B5CB1">
      <w:pPr>
        <w:rPr>
          <w:szCs w:val="24"/>
        </w:rPr>
      </w:pPr>
      <w:r w:rsidRPr="006A75A2">
        <w:rPr>
          <w:szCs w:val="24"/>
        </w:rPr>
        <w:t>The key risks associated with the State</w:t>
      </w:r>
      <w:r w:rsidR="00C96101" w:rsidRPr="006A75A2">
        <w:rPr>
          <w:szCs w:val="24"/>
        </w:rPr>
        <w:t>’</w:t>
      </w:r>
      <w:r w:rsidRPr="006A75A2">
        <w:rPr>
          <w:szCs w:val="24"/>
        </w:rPr>
        <w:t>s defined benefit superannuation plans are:</w:t>
      </w:r>
    </w:p>
    <w:p w:rsidR="004E6C32" w:rsidRPr="006A75A2" w:rsidRDefault="004E6C32" w:rsidP="004B5CB1">
      <w:pPr>
        <w:pStyle w:val="BulletText"/>
      </w:pPr>
      <w:r w:rsidRPr="006A75A2">
        <w:t>investment risk – the risk that investment returns will be lower than assumed and the State employers will need to increase contributions to offset the shortfall;</w:t>
      </w:r>
    </w:p>
    <w:p w:rsidR="004E6C32" w:rsidRPr="006A75A2" w:rsidRDefault="004E6C32" w:rsidP="004B5CB1">
      <w:pPr>
        <w:pStyle w:val="BulletText"/>
      </w:pPr>
      <w:r w:rsidRPr="006A75A2">
        <w:t>wages growth risk – the risk that wages or salaries (on which future benefits are based) will rise more rapidly than assumed, increasing defined benefit amounts and thereby requiring additional employer contributions;</w:t>
      </w:r>
    </w:p>
    <w:p w:rsidR="004E6C32" w:rsidRPr="006A75A2" w:rsidRDefault="004E6C32" w:rsidP="004B5CB1">
      <w:pPr>
        <w:pStyle w:val="BulletText"/>
      </w:pPr>
      <w:r w:rsidRPr="006A75A2">
        <w:t>pension growth risk – the risk that CPI and therefore pension increases will rise more rapidly than assumed, increasing defined benefit amounts and thereby requiring additional employer contributions; and</w:t>
      </w:r>
    </w:p>
    <w:p w:rsidR="004E6C32" w:rsidRPr="006A75A2" w:rsidRDefault="004E6C32" w:rsidP="004B5CB1">
      <w:pPr>
        <w:pStyle w:val="BulletText"/>
      </w:pPr>
      <w:r w:rsidRPr="006A75A2">
        <w:t>longevity risk – the risk that pensioners will live longer than expected, increasing defined benefit amounts and thereby requiring additional employer contributions.</w:t>
      </w:r>
    </w:p>
    <w:p w:rsidR="004E6C32" w:rsidRPr="006A75A2" w:rsidRDefault="004E6C32" w:rsidP="004B5CB1">
      <w:pPr>
        <w:rPr>
          <w:szCs w:val="24"/>
        </w:rPr>
      </w:pPr>
      <w:r w:rsidRPr="006A75A2">
        <w:rPr>
          <w:szCs w:val="24"/>
        </w:rPr>
        <w:t>The significant actuarial assumptions are the future rates of salary increases, pension increases and the discount rate.</w:t>
      </w:r>
    </w:p>
    <w:p w:rsidR="004E6C32" w:rsidRPr="006A75A2" w:rsidRDefault="004E6C32" w:rsidP="004B5CB1">
      <w:pPr>
        <w:rPr>
          <w:szCs w:val="24"/>
        </w:rPr>
      </w:pPr>
      <w:r w:rsidRPr="006A75A2">
        <w:rPr>
          <w:szCs w:val="24"/>
        </w:rPr>
        <w:t>To illustrate the impact that movements in these assumptions can have on the State</w:t>
      </w:r>
      <w:r w:rsidR="00C96101" w:rsidRPr="006A75A2">
        <w:rPr>
          <w:szCs w:val="24"/>
        </w:rPr>
        <w:t>’</w:t>
      </w:r>
      <w:r w:rsidRPr="006A75A2">
        <w:rPr>
          <w:szCs w:val="24"/>
        </w:rPr>
        <w:t>s superannuation liability, the defined benefit obligation has been remeasured under the following scenarios:</w:t>
      </w:r>
    </w:p>
    <w:p w:rsidR="004E6C32" w:rsidRPr="006A75A2" w:rsidRDefault="004E6C32" w:rsidP="004B5CB1">
      <w:pPr>
        <w:ind w:left="454" w:hanging="454"/>
      </w:pPr>
      <w:r w:rsidRPr="006A75A2">
        <w:t>(a)</w:t>
      </w:r>
      <w:r w:rsidRPr="006A75A2">
        <w:tab/>
        <w:t>a 1 per cent a year increase in the discount rate (from 4.1 to 5.1 per cent a year);</w:t>
      </w:r>
    </w:p>
    <w:p w:rsidR="004E6C32" w:rsidRPr="006A75A2" w:rsidRDefault="004E6C32" w:rsidP="004B5CB1">
      <w:pPr>
        <w:ind w:left="454" w:hanging="454"/>
      </w:pPr>
      <w:r w:rsidRPr="006A75A2">
        <w:t>(b)</w:t>
      </w:r>
      <w:r w:rsidRPr="006A75A2">
        <w:tab/>
        <w:t>a 1 per cent a year increase in the assumed wage growth rate (from 4.0 to 5.0 per cent a year); and</w:t>
      </w:r>
    </w:p>
    <w:p w:rsidR="004E6C32" w:rsidRPr="006A75A2" w:rsidRDefault="004E6C32" w:rsidP="004B5CB1">
      <w:pPr>
        <w:ind w:left="454" w:hanging="454"/>
      </w:pPr>
      <w:r w:rsidRPr="006A75A2">
        <w:t>(c)</w:t>
      </w:r>
      <w:r w:rsidRPr="006A75A2">
        <w:tab/>
        <w:t>a 1 per cent a year increase in the assumed inflation rate (from 2.5 to 3.5 per cent a year).</w:t>
      </w: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i/>
          <w:kern w:val="0"/>
        </w:rPr>
      </w:pPr>
      <w:r w:rsidRPr="006A75A2">
        <w:rPr>
          <w:kern w:val="0"/>
        </w:rPr>
        <w:lastRenderedPageBreak/>
        <w:t>Note 8:</w:t>
      </w:r>
      <w:r w:rsidRPr="006A75A2">
        <w:rPr>
          <w:kern w:val="0"/>
        </w:rPr>
        <w:tab/>
        <w:t>Superannuation</w:t>
      </w:r>
      <w:r w:rsidRPr="006A75A2">
        <w:rPr>
          <w:i/>
          <w:kern w:val="0"/>
        </w:rPr>
        <w:t xml:space="preserve"> (continued)</w:t>
      </w:r>
    </w:p>
    <w:p w:rsidR="004E6C32" w:rsidRPr="006A75A2" w:rsidRDefault="004E6C32" w:rsidP="004B5CB1">
      <w:pPr>
        <w:spacing w:after="240"/>
        <w:rPr>
          <w:szCs w:val="24"/>
        </w:rPr>
      </w:pPr>
      <w:r w:rsidRPr="006A75A2">
        <w:rPr>
          <w:szCs w:val="24"/>
        </w:rPr>
        <w:t>These scenarios are expected to have the following impact on the State</w:t>
      </w:r>
      <w:r w:rsidR="00C96101" w:rsidRPr="006A75A2">
        <w:rPr>
          <w:szCs w:val="24"/>
        </w:rPr>
        <w:t>’</w:t>
      </w:r>
      <w:r w:rsidRPr="006A75A2">
        <w:rPr>
          <w:szCs w:val="24"/>
        </w:rPr>
        <w:t>s defined benefit obligation:</w:t>
      </w:r>
    </w:p>
    <w:tbl>
      <w:tblPr>
        <w:tblStyle w:val="TableGrid"/>
        <w:tblW w:w="9640" w:type="dxa"/>
        <w:tblInd w:w="28" w:type="dxa"/>
        <w:tblLayout w:type="fixed"/>
        <w:tblCellMar>
          <w:left w:w="45" w:type="dxa"/>
          <w:right w:w="45" w:type="dxa"/>
        </w:tblCellMar>
        <w:tblLook w:val="04A0" w:firstRow="1" w:lastRow="0" w:firstColumn="1" w:lastColumn="0" w:noHBand="0" w:noVBand="1"/>
      </w:tblPr>
      <w:tblGrid>
        <w:gridCol w:w="4128"/>
        <w:gridCol w:w="992"/>
        <w:gridCol w:w="1490"/>
        <w:gridCol w:w="1540"/>
        <w:gridCol w:w="1490"/>
      </w:tblGrid>
      <w:tr w:rsidR="004E6C32" w:rsidRPr="006A75A2" w:rsidTr="004B5CB1">
        <w:trPr>
          <w:cantSplit/>
          <w:tblHeader/>
        </w:trPr>
        <w:tc>
          <w:tcPr>
            <w:tcW w:w="4128" w:type="dxa"/>
            <w:tcBorders>
              <w:top w:val="single" w:sz="6" w:space="0" w:color="auto"/>
              <w:left w:val="single" w:sz="6" w:space="0" w:color="auto"/>
              <w:bottom w:val="single" w:sz="6" w:space="0" w:color="auto"/>
            </w:tcBorders>
            <w:shd w:val="clear" w:color="auto" w:fill="000000"/>
          </w:tcPr>
          <w:p w:rsidR="004E6C32" w:rsidRPr="006A75A2" w:rsidRDefault="004E6C32" w:rsidP="004B5CB1">
            <w:pPr>
              <w:pStyle w:val="Tabletext"/>
              <w:rPr>
                <w:sz w:val="24"/>
              </w:rPr>
            </w:pPr>
          </w:p>
        </w:tc>
        <w:tc>
          <w:tcPr>
            <w:tcW w:w="992" w:type="dxa"/>
            <w:tcBorders>
              <w:top w:val="single" w:sz="6" w:space="0" w:color="auto"/>
              <w:bottom w:val="single" w:sz="6" w:space="0" w:color="auto"/>
            </w:tcBorders>
            <w:shd w:val="clear" w:color="auto" w:fill="000000"/>
          </w:tcPr>
          <w:p w:rsidR="004E6C32" w:rsidRPr="006A75A2" w:rsidRDefault="004E6C32" w:rsidP="004B5CB1">
            <w:pPr>
              <w:pStyle w:val="Tabletextheading"/>
            </w:pPr>
            <w:r w:rsidRPr="006A75A2">
              <w:t>Base case</w:t>
            </w:r>
          </w:p>
        </w:tc>
        <w:tc>
          <w:tcPr>
            <w:tcW w:w="1490" w:type="dxa"/>
            <w:tcBorders>
              <w:top w:val="single" w:sz="6" w:space="0" w:color="auto"/>
              <w:bottom w:val="single" w:sz="6" w:space="0" w:color="auto"/>
            </w:tcBorders>
            <w:shd w:val="clear" w:color="auto" w:fill="000000"/>
          </w:tcPr>
          <w:p w:rsidR="004E6C32" w:rsidRPr="006A75A2" w:rsidRDefault="004E6C32" w:rsidP="004B5CB1">
            <w:pPr>
              <w:pStyle w:val="Tabletextheading"/>
            </w:pPr>
            <w:r w:rsidRPr="006A75A2">
              <w:t>Discount rate plus 1 per cent</w:t>
            </w:r>
          </w:p>
        </w:tc>
        <w:tc>
          <w:tcPr>
            <w:tcW w:w="1540" w:type="dxa"/>
            <w:tcBorders>
              <w:top w:val="single" w:sz="6" w:space="0" w:color="auto"/>
              <w:bottom w:val="single" w:sz="6" w:space="0" w:color="auto"/>
            </w:tcBorders>
            <w:shd w:val="clear" w:color="auto" w:fill="000000"/>
          </w:tcPr>
          <w:p w:rsidR="004E6C32" w:rsidRPr="006A75A2" w:rsidRDefault="004E6C32" w:rsidP="004B5CB1">
            <w:pPr>
              <w:pStyle w:val="Tabletextheading"/>
            </w:pPr>
            <w:r w:rsidRPr="006A75A2">
              <w:t>Wage growth plus 1 per cent</w:t>
            </w:r>
          </w:p>
        </w:tc>
        <w:tc>
          <w:tcPr>
            <w:tcW w:w="1490" w:type="dxa"/>
            <w:tcBorders>
              <w:top w:val="single" w:sz="6" w:space="0" w:color="auto"/>
              <w:bottom w:val="single" w:sz="6" w:space="0" w:color="auto"/>
              <w:right w:val="single" w:sz="6" w:space="0" w:color="auto"/>
            </w:tcBorders>
            <w:shd w:val="clear" w:color="auto" w:fill="000000"/>
          </w:tcPr>
          <w:p w:rsidR="004E6C32" w:rsidRPr="006A75A2" w:rsidRDefault="004E6C32" w:rsidP="004B5CB1">
            <w:pPr>
              <w:pStyle w:val="Tabletextheading"/>
            </w:pPr>
            <w:r w:rsidRPr="006A75A2">
              <w:t>Inflation rate plus 1 per cent</w:t>
            </w:r>
          </w:p>
        </w:tc>
      </w:tr>
      <w:tr w:rsidR="004E6C32" w:rsidRPr="006A75A2" w:rsidTr="004B5CB1">
        <w:trPr>
          <w:cantSplit/>
        </w:trPr>
        <w:tc>
          <w:tcPr>
            <w:tcW w:w="4128" w:type="dxa"/>
            <w:tcBorders>
              <w:top w:val="single" w:sz="6" w:space="0" w:color="auto"/>
            </w:tcBorders>
          </w:tcPr>
          <w:p w:rsidR="004E6C32" w:rsidRPr="006A75A2" w:rsidRDefault="004E6C32" w:rsidP="004B5CB1">
            <w:pPr>
              <w:pStyle w:val="Tabletext"/>
            </w:pPr>
            <w:r w:rsidRPr="006A75A2">
              <w:t>Discount rate (per cent a year)</w:t>
            </w:r>
          </w:p>
        </w:tc>
        <w:tc>
          <w:tcPr>
            <w:tcW w:w="992" w:type="dxa"/>
            <w:tcBorders>
              <w:top w:val="single" w:sz="6" w:space="0" w:color="auto"/>
            </w:tcBorders>
          </w:tcPr>
          <w:p w:rsidR="004E6C32" w:rsidRPr="006A75A2" w:rsidRDefault="004E6C32" w:rsidP="004B5CB1">
            <w:pPr>
              <w:pStyle w:val="TableofFigures"/>
            </w:pPr>
            <w:r w:rsidRPr="006A75A2">
              <w:t>4.1</w:t>
            </w:r>
          </w:p>
        </w:tc>
        <w:tc>
          <w:tcPr>
            <w:tcW w:w="1490" w:type="dxa"/>
            <w:tcBorders>
              <w:top w:val="single" w:sz="6" w:space="0" w:color="auto"/>
            </w:tcBorders>
          </w:tcPr>
          <w:p w:rsidR="004E6C32" w:rsidRPr="006A75A2" w:rsidRDefault="004E6C32" w:rsidP="004B5CB1">
            <w:pPr>
              <w:pStyle w:val="TableofFigures"/>
            </w:pPr>
            <w:r w:rsidRPr="006A75A2">
              <w:t>5.1</w:t>
            </w:r>
          </w:p>
        </w:tc>
        <w:tc>
          <w:tcPr>
            <w:tcW w:w="1540" w:type="dxa"/>
            <w:tcBorders>
              <w:top w:val="single" w:sz="6" w:space="0" w:color="auto"/>
            </w:tcBorders>
          </w:tcPr>
          <w:p w:rsidR="004E6C32" w:rsidRPr="006A75A2" w:rsidRDefault="004E6C32" w:rsidP="004B5CB1">
            <w:pPr>
              <w:pStyle w:val="TableofFigures"/>
            </w:pPr>
            <w:r w:rsidRPr="006A75A2">
              <w:t>4.1</w:t>
            </w:r>
          </w:p>
        </w:tc>
        <w:tc>
          <w:tcPr>
            <w:tcW w:w="1490" w:type="dxa"/>
            <w:tcBorders>
              <w:top w:val="single" w:sz="6" w:space="0" w:color="auto"/>
            </w:tcBorders>
          </w:tcPr>
          <w:p w:rsidR="004E6C32" w:rsidRPr="006A75A2" w:rsidRDefault="004E6C32" w:rsidP="004B5CB1">
            <w:pPr>
              <w:pStyle w:val="TableofFigures"/>
            </w:pPr>
            <w:r w:rsidRPr="006A75A2">
              <w:t>4.1</w:t>
            </w:r>
          </w:p>
        </w:tc>
      </w:tr>
      <w:tr w:rsidR="004E6C32" w:rsidRPr="006A75A2" w:rsidTr="004B5CB1">
        <w:trPr>
          <w:cantSplit/>
        </w:trPr>
        <w:tc>
          <w:tcPr>
            <w:tcW w:w="4128" w:type="dxa"/>
          </w:tcPr>
          <w:p w:rsidR="004E6C32" w:rsidRPr="006A75A2" w:rsidRDefault="004E6C32" w:rsidP="004B5CB1">
            <w:pPr>
              <w:pStyle w:val="Tabletext"/>
            </w:pPr>
            <w:r w:rsidRPr="006A75A2">
              <w:t>Wage growth (per cent a year)</w:t>
            </w:r>
          </w:p>
        </w:tc>
        <w:tc>
          <w:tcPr>
            <w:tcW w:w="992" w:type="dxa"/>
          </w:tcPr>
          <w:p w:rsidR="004E6C32" w:rsidRPr="006A75A2" w:rsidRDefault="004E6C32" w:rsidP="004B5CB1">
            <w:pPr>
              <w:pStyle w:val="TableofFigures"/>
            </w:pPr>
            <w:r w:rsidRPr="006A75A2">
              <w:t>4.0</w:t>
            </w:r>
          </w:p>
        </w:tc>
        <w:tc>
          <w:tcPr>
            <w:tcW w:w="1490" w:type="dxa"/>
          </w:tcPr>
          <w:p w:rsidR="004E6C32" w:rsidRPr="006A75A2" w:rsidRDefault="004E6C32" w:rsidP="004B5CB1">
            <w:pPr>
              <w:pStyle w:val="TableofFigures"/>
            </w:pPr>
            <w:r w:rsidRPr="006A75A2">
              <w:t>4.0</w:t>
            </w:r>
          </w:p>
        </w:tc>
        <w:tc>
          <w:tcPr>
            <w:tcW w:w="1540" w:type="dxa"/>
          </w:tcPr>
          <w:p w:rsidR="004E6C32" w:rsidRPr="006A75A2" w:rsidRDefault="004E6C32" w:rsidP="004B5CB1">
            <w:pPr>
              <w:pStyle w:val="TableofFigures"/>
            </w:pPr>
            <w:r w:rsidRPr="006A75A2">
              <w:t>5.0</w:t>
            </w:r>
          </w:p>
        </w:tc>
        <w:tc>
          <w:tcPr>
            <w:tcW w:w="1490" w:type="dxa"/>
          </w:tcPr>
          <w:p w:rsidR="004E6C32" w:rsidRPr="006A75A2" w:rsidRDefault="004E6C32" w:rsidP="004B5CB1">
            <w:pPr>
              <w:pStyle w:val="TableofFigures"/>
            </w:pPr>
            <w:r w:rsidRPr="006A75A2">
              <w:t>4.0</w:t>
            </w:r>
          </w:p>
        </w:tc>
      </w:tr>
      <w:tr w:rsidR="004E6C32" w:rsidRPr="006A75A2" w:rsidTr="004B5CB1">
        <w:trPr>
          <w:cantSplit/>
        </w:trPr>
        <w:tc>
          <w:tcPr>
            <w:tcW w:w="4128" w:type="dxa"/>
            <w:tcBorders>
              <w:bottom w:val="single" w:sz="4" w:space="0" w:color="auto"/>
            </w:tcBorders>
          </w:tcPr>
          <w:p w:rsidR="004E6C32" w:rsidRPr="006A75A2" w:rsidRDefault="004E6C32" w:rsidP="004B5CB1">
            <w:pPr>
              <w:pStyle w:val="Tabletext"/>
            </w:pPr>
            <w:r w:rsidRPr="006A75A2">
              <w:t>Inflation rate (per cent a year)</w:t>
            </w:r>
          </w:p>
        </w:tc>
        <w:tc>
          <w:tcPr>
            <w:tcW w:w="992" w:type="dxa"/>
            <w:tcBorders>
              <w:bottom w:val="single" w:sz="4" w:space="0" w:color="auto"/>
            </w:tcBorders>
          </w:tcPr>
          <w:p w:rsidR="004E6C32" w:rsidRPr="006A75A2" w:rsidRDefault="004E6C32" w:rsidP="004B5CB1">
            <w:pPr>
              <w:pStyle w:val="TableofFigures"/>
            </w:pPr>
            <w:r w:rsidRPr="006A75A2">
              <w:t>2.5</w:t>
            </w:r>
          </w:p>
        </w:tc>
        <w:tc>
          <w:tcPr>
            <w:tcW w:w="1490" w:type="dxa"/>
            <w:tcBorders>
              <w:bottom w:val="single" w:sz="4" w:space="0" w:color="auto"/>
            </w:tcBorders>
          </w:tcPr>
          <w:p w:rsidR="004E6C32" w:rsidRPr="006A75A2" w:rsidRDefault="004E6C32" w:rsidP="004B5CB1">
            <w:pPr>
              <w:pStyle w:val="TableofFigures"/>
            </w:pPr>
            <w:r w:rsidRPr="006A75A2">
              <w:t>2.5</w:t>
            </w:r>
          </w:p>
        </w:tc>
        <w:tc>
          <w:tcPr>
            <w:tcW w:w="1540" w:type="dxa"/>
            <w:tcBorders>
              <w:bottom w:val="single" w:sz="4" w:space="0" w:color="auto"/>
            </w:tcBorders>
          </w:tcPr>
          <w:p w:rsidR="004E6C32" w:rsidRPr="006A75A2" w:rsidRDefault="004E6C32" w:rsidP="004B5CB1">
            <w:pPr>
              <w:pStyle w:val="TableofFigures"/>
            </w:pPr>
            <w:r w:rsidRPr="006A75A2">
              <w:t>2.5</w:t>
            </w:r>
          </w:p>
        </w:tc>
        <w:tc>
          <w:tcPr>
            <w:tcW w:w="1490" w:type="dxa"/>
            <w:tcBorders>
              <w:bottom w:val="single" w:sz="4" w:space="0" w:color="auto"/>
            </w:tcBorders>
          </w:tcPr>
          <w:p w:rsidR="004E6C32" w:rsidRPr="006A75A2" w:rsidRDefault="004E6C32" w:rsidP="004B5CB1">
            <w:pPr>
              <w:pStyle w:val="TableofFigures"/>
            </w:pPr>
            <w:r w:rsidRPr="006A75A2">
              <w:t>3.5</w:t>
            </w:r>
          </w:p>
        </w:tc>
      </w:tr>
      <w:tr w:rsidR="004E6C32" w:rsidRPr="006A75A2" w:rsidTr="004B5CB1">
        <w:trPr>
          <w:cantSplit/>
          <w:trHeight w:val="142"/>
        </w:trPr>
        <w:tc>
          <w:tcPr>
            <w:tcW w:w="4128" w:type="dxa"/>
            <w:tcBorders>
              <w:top w:val="single" w:sz="4" w:space="0" w:color="auto"/>
              <w:bottom w:val="single" w:sz="4" w:space="0" w:color="auto"/>
            </w:tcBorders>
          </w:tcPr>
          <w:p w:rsidR="004E6C32" w:rsidRPr="006A75A2" w:rsidRDefault="004E6C32" w:rsidP="004B5CB1">
            <w:pPr>
              <w:pStyle w:val="Tabletext"/>
              <w:rPr>
                <w:b/>
              </w:rPr>
            </w:pPr>
            <w:r w:rsidRPr="006A75A2">
              <w:rPr>
                <w:b/>
              </w:rPr>
              <w:t>Estimated impact (per cent)</w:t>
            </w:r>
          </w:p>
        </w:tc>
        <w:tc>
          <w:tcPr>
            <w:tcW w:w="992" w:type="dxa"/>
            <w:tcBorders>
              <w:top w:val="single" w:sz="4" w:space="0" w:color="auto"/>
              <w:bottom w:val="single" w:sz="4" w:space="0" w:color="auto"/>
            </w:tcBorders>
          </w:tcPr>
          <w:p w:rsidR="004E6C32" w:rsidRPr="006A75A2" w:rsidRDefault="004E6C32" w:rsidP="004B5CB1">
            <w:pPr>
              <w:pStyle w:val="TableofFigures"/>
              <w:rPr>
                <w:b/>
              </w:rPr>
            </w:pPr>
            <w:r w:rsidRPr="006A75A2">
              <w:rPr>
                <w:b/>
              </w:rPr>
              <w:t>n.a.</w:t>
            </w:r>
          </w:p>
        </w:tc>
        <w:tc>
          <w:tcPr>
            <w:tcW w:w="1490" w:type="dxa"/>
            <w:tcBorders>
              <w:top w:val="single" w:sz="4" w:space="0" w:color="auto"/>
              <w:bottom w:val="single" w:sz="4" w:space="0" w:color="auto"/>
            </w:tcBorders>
          </w:tcPr>
          <w:p w:rsidR="004E6C32" w:rsidRPr="006A75A2" w:rsidRDefault="004E6C32" w:rsidP="004B5CB1">
            <w:pPr>
              <w:pStyle w:val="TableofFigures"/>
              <w:rPr>
                <w:b/>
              </w:rPr>
            </w:pPr>
            <w:r w:rsidRPr="006A75A2">
              <w:rPr>
                <w:b/>
              </w:rPr>
              <w:t>(12)</w:t>
            </w:r>
          </w:p>
        </w:tc>
        <w:tc>
          <w:tcPr>
            <w:tcW w:w="1540" w:type="dxa"/>
            <w:tcBorders>
              <w:top w:val="single" w:sz="4" w:space="0" w:color="auto"/>
              <w:bottom w:val="single" w:sz="4" w:space="0" w:color="auto"/>
            </w:tcBorders>
          </w:tcPr>
          <w:p w:rsidR="004E6C32" w:rsidRPr="006A75A2" w:rsidRDefault="004E6C32" w:rsidP="004B5CB1">
            <w:pPr>
              <w:pStyle w:val="TableofFigures"/>
              <w:rPr>
                <w:b/>
              </w:rPr>
            </w:pPr>
            <w:r w:rsidRPr="006A75A2">
              <w:rPr>
                <w:b/>
              </w:rPr>
              <w:t>2</w:t>
            </w:r>
          </w:p>
        </w:tc>
        <w:tc>
          <w:tcPr>
            <w:tcW w:w="1490" w:type="dxa"/>
            <w:tcBorders>
              <w:top w:val="single" w:sz="4" w:space="0" w:color="auto"/>
              <w:bottom w:val="single" w:sz="4" w:space="0" w:color="auto"/>
            </w:tcBorders>
          </w:tcPr>
          <w:p w:rsidR="004E6C32" w:rsidRPr="006A75A2" w:rsidRDefault="004E6C32" w:rsidP="004B5CB1">
            <w:pPr>
              <w:pStyle w:val="TableofFigures"/>
              <w:rPr>
                <w:b/>
              </w:rPr>
            </w:pPr>
            <w:r w:rsidRPr="006A75A2">
              <w:rPr>
                <w:b/>
              </w:rPr>
              <w:t>9</w:t>
            </w:r>
          </w:p>
        </w:tc>
      </w:tr>
      <w:tr w:rsidR="004E6C32" w:rsidRPr="006A75A2" w:rsidTr="004B5CB1">
        <w:trPr>
          <w:cantSplit/>
        </w:trPr>
        <w:tc>
          <w:tcPr>
            <w:tcW w:w="4128" w:type="dxa"/>
            <w:tcBorders>
              <w:top w:val="single" w:sz="4" w:space="0" w:color="auto"/>
              <w:bottom w:val="single" w:sz="12" w:space="0" w:color="000000"/>
            </w:tcBorders>
            <w:shd w:val="clear" w:color="auto" w:fill="auto"/>
          </w:tcPr>
          <w:p w:rsidR="004E6C32" w:rsidRPr="006A75A2" w:rsidRDefault="004E6C32" w:rsidP="004B5CB1">
            <w:pPr>
              <w:pStyle w:val="Tabletext"/>
              <w:rPr>
                <w:b/>
              </w:rPr>
            </w:pPr>
            <w:r w:rsidRPr="006A75A2">
              <w:rPr>
                <w:b/>
              </w:rPr>
              <w:t>Estimated change in defined benefit obligation ($ million)</w:t>
            </w:r>
          </w:p>
        </w:tc>
        <w:tc>
          <w:tcPr>
            <w:tcW w:w="992" w:type="dxa"/>
            <w:tcBorders>
              <w:top w:val="single" w:sz="4" w:space="0" w:color="auto"/>
              <w:bottom w:val="single" w:sz="12" w:space="0" w:color="000000"/>
            </w:tcBorders>
            <w:shd w:val="clear" w:color="auto" w:fill="auto"/>
          </w:tcPr>
          <w:p w:rsidR="004E6C32" w:rsidRPr="006A75A2" w:rsidRDefault="004E6C32" w:rsidP="004B5CB1">
            <w:pPr>
              <w:pStyle w:val="TableofFigures"/>
              <w:rPr>
                <w:b/>
              </w:rPr>
            </w:pPr>
            <w:r w:rsidRPr="006A75A2">
              <w:rPr>
                <w:b/>
              </w:rPr>
              <w:t>n.a.</w:t>
            </w:r>
          </w:p>
        </w:tc>
        <w:tc>
          <w:tcPr>
            <w:tcW w:w="1490" w:type="dxa"/>
            <w:tcBorders>
              <w:top w:val="single" w:sz="4" w:space="0" w:color="auto"/>
              <w:bottom w:val="single" w:sz="12" w:space="0" w:color="000000"/>
            </w:tcBorders>
            <w:shd w:val="clear" w:color="auto" w:fill="auto"/>
          </w:tcPr>
          <w:p w:rsidR="004E6C32" w:rsidRPr="006A75A2" w:rsidRDefault="004E6C32" w:rsidP="004B5CB1">
            <w:pPr>
              <w:pStyle w:val="TableofFigures"/>
              <w:rPr>
                <w:b/>
              </w:rPr>
            </w:pPr>
            <w:r w:rsidRPr="006A75A2">
              <w:rPr>
                <w:b/>
              </w:rPr>
              <w:t>(5 323)</w:t>
            </w:r>
          </w:p>
        </w:tc>
        <w:tc>
          <w:tcPr>
            <w:tcW w:w="1540" w:type="dxa"/>
            <w:tcBorders>
              <w:top w:val="single" w:sz="4" w:space="0" w:color="auto"/>
              <w:bottom w:val="single" w:sz="12" w:space="0" w:color="000000"/>
            </w:tcBorders>
            <w:shd w:val="clear" w:color="auto" w:fill="auto"/>
          </w:tcPr>
          <w:p w:rsidR="004E6C32" w:rsidRPr="006A75A2" w:rsidRDefault="004E6C32" w:rsidP="004B5CB1">
            <w:pPr>
              <w:pStyle w:val="TableofFigures"/>
              <w:rPr>
                <w:b/>
              </w:rPr>
            </w:pPr>
            <w:r w:rsidRPr="006A75A2">
              <w:rPr>
                <w:b/>
              </w:rPr>
              <w:t>887</w:t>
            </w:r>
          </w:p>
        </w:tc>
        <w:tc>
          <w:tcPr>
            <w:tcW w:w="1490" w:type="dxa"/>
            <w:tcBorders>
              <w:top w:val="single" w:sz="4" w:space="0" w:color="auto"/>
              <w:bottom w:val="single" w:sz="12" w:space="0" w:color="000000"/>
            </w:tcBorders>
            <w:shd w:val="clear" w:color="auto" w:fill="auto"/>
          </w:tcPr>
          <w:p w:rsidR="004E6C32" w:rsidRPr="006A75A2" w:rsidRDefault="004E6C32" w:rsidP="004B5CB1">
            <w:pPr>
              <w:pStyle w:val="TableofFigures"/>
              <w:rPr>
                <w:b/>
              </w:rPr>
            </w:pPr>
            <w:r w:rsidRPr="006A75A2">
              <w:rPr>
                <w:b/>
              </w:rPr>
              <w:t>3 992</w:t>
            </w:r>
          </w:p>
        </w:tc>
      </w:tr>
    </w:tbl>
    <w:p w:rsidR="004E6C32" w:rsidRPr="006A75A2" w:rsidRDefault="004E6C32" w:rsidP="004B5CB1"/>
    <w:p w:rsidR="004E6C32" w:rsidRPr="006A75A2" w:rsidRDefault="004E6C32" w:rsidP="004B5CB1">
      <w:pPr>
        <w:spacing w:after="240"/>
        <w:rPr>
          <w:szCs w:val="24"/>
        </w:rPr>
      </w:pPr>
      <w:r w:rsidRPr="006A75A2">
        <w:rPr>
          <w:szCs w:val="24"/>
        </w:rPr>
        <w:t>The assumptions above have been changed whilst maintaining all other assumptions as outlined previously. There have been no changes to the methods and assumptions used to prepare this sensitivity analysis since the prior period.</w:t>
      </w:r>
    </w:p>
    <w:p w:rsidR="004E6C32" w:rsidRPr="006A75A2" w:rsidRDefault="004E6C32" w:rsidP="004B5CB1">
      <w:pPr>
        <w:keepNext/>
        <w:tabs>
          <w:tab w:val="left" w:pos="504"/>
        </w:tabs>
        <w:spacing w:after="60"/>
        <w:outlineLvl w:val="4"/>
        <w:rPr>
          <w:rFonts w:ascii="Calibri" w:hAnsi="Calibri"/>
          <w:b/>
        </w:rPr>
      </w:pPr>
      <w:r w:rsidRPr="006A75A2">
        <w:rPr>
          <w:rFonts w:ascii="Calibri" w:hAnsi="Calibri"/>
          <w:b/>
        </w:rPr>
        <w:t>Target asset allocation</w:t>
      </w:r>
    </w:p>
    <w:p w:rsidR="004E6C32" w:rsidRPr="006A75A2" w:rsidRDefault="004E6C32" w:rsidP="004B5CB1">
      <w:pPr>
        <w:spacing w:after="0"/>
        <w:jc w:val="center"/>
        <w:rPr>
          <w:rFonts w:ascii="Times New Roman" w:hAnsi="Times New Roman"/>
          <w:i/>
          <w:sz w:val="20"/>
          <w:szCs w:val="18"/>
          <w:lang w:eastAsia="en-AU"/>
        </w:rPr>
      </w:pPr>
      <w:r w:rsidRPr="006A75A2">
        <w:rPr>
          <w:rFonts w:ascii="Calibri" w:hAnsi="Calibri"/>
          <w:i/>
          <w:sz w:val="20"/>
          <w:szCs w:val="18"/>
        </w:rPr>
        <w:t>(per cent)</w:t>
      </w:r>
    </w:p>
    <w:tbl>
      <w:tblPr>
        <w:tblW w:w="9640" w:type="dxa"/>
        <w:tblInd w:w="28" w:type="dxa"/>
        <w:tblLayout w:type="fixed"/>
        <w:tblCellMar>
          <w:left w:w="45" w:type="dxa"/>
          <w:right w:w="45" w:type="dxa"/>
        </w:tblCellMar>
        <w:tblLook w:val="0000" w:firstRow="0" w:lastRow="0" w:firstColumn="0" w:lastColumn="0" w:noHBand="0" w:noVBand="0"/>
      </w:tblPr>
      <w:tblGrid>
        <w:gridCol w:w="6963"/>
        <w:gridCol w:w="1418"/>
        <w:gridCol w:w="1259"/>
      </w:tblGrid>
      <w:tr w:rsidR="004E6C32" w:rsidRPr="006A75A2" w:rsidTr="004B5CB1">
        <w:tc>
          <w:tcPr>
            <w:tcW w:w="6963"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spacing w:after="0"/>
              <w:rPr>
                <w:rFonts w:ascii="Calibri" w:eastAsiaTheme="minorEastAsia" w:hAnsi="Calibri"/>
                <w:i/>
                <w:sz w:val="22"/>
                <w:szCs w:val="22"/>
                <w:lang w:eastAsia="en-AU"/>
              </w:rPr>
            </w:pPr>
            <w:r w:rsidRPr="006A75A2">
              <w:rPr>
                <w:rFonts w:ascii="Calibri" w:eastAsiaTheme="minorEastAsia" w:hAnsi="Calibri"/>
                <w:i/>
                <w:sz w:val="22"/>
                <w:szCs w:val="22"/>
                <w:lang w:eastAsia="en-AU"/>
              </w:rPr>
              <w:t>Asset class</w:t>
            </w:r>
          </w:p>
        </w:tc>
        <w:tc>
          <w:tcPr>
            <w:tcW w:w="1418" w:type="dxa"/>
            <w:tcBorders>
              <w:top w:val="single" w:sz="6" w:space="0" w:color="auto"/>
              <w:left w:val="nil"/>
              <w:bottom w:val="single" w:sz="6" w:space="0" w:color="auto"/>
              <w:right w:val="nil"/>
            </w:tcBorders>
            <w:shd w:val="clear" w:color="000000" w:fill="000000"/>
          </w:tcPr>
          <w:p w:rsidR="004E6C32" w:rsidRPr="006A75A2" w:rsidRDefault="004E6C32" w:rsidP="004B5CB1">
            <w:pPr>
              <w:spacing w:after="0"/>
              <w:jc w:val="right"/>
              <w:rPr>
                <w:rFonts w:ascii="Calibri" w:eastAsiaTheme="minorEastAsia" w:hAnsi="Calibri"/>
                <w:i/>
                <w:sz w:val="22"/>
                <w:szCs w:val="22"/>
                <w:lang w:eastAsia="en-AU"/>
              </w:rPr>
            </w:pPr>
            <w:r w:rsidRPr="006A75A2">
              <w:rPr>
                <w:rFonts w:ascii="Calibri" w:eastAsiaTheme="minorEastAsia" w:hAnsi="Calibri"/>
                <w:i/>
                <w:sz w:val="22"/>
                <w:szCs w:val="22"/>
                <w:lang w:eastAsia="en-AU"/>
              </w:rPr>
              <w:t>2014</w:t>
            </w:r>
          </w:p>
        </w:tc>
        <w:tc>
          <w:tcPr>
            <w:tcW w:w="1259"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spacing w:after="0"/>
              <w:jc w:val="right"/>
              <w:rPr>
                <w:rFonts w:ascii="Calibri" w:eastAsiaTheme="minorEastAsia" w:hAnsi="Calibri"/>
                <w:i/>
                <w:sz w:val="22"/>
                <w:szCs w:val="22"/>
                <w:lang w:eastAsia="en-AU"/>
              </w:rPr>
            </w:pPr>
            <w:r w:rsidRPr="006A75A2">
              <w:rPr>
                <w:rFonts w:ascii="Calibri" w:eastAsiaTheme="minorEastAsia" w:hAnsi="Calibri"/>
                <w:i/>
                <w:sz w:val="22"/>
                <w:szCs w:val="22"/>
                <w:lang w:eastAsia="en-AU"/>
              </w:rPr>
              <w:t>2013</w:t>
            </w:r>
          </w:p>
        </w:tc>
      </w:tr>
      <w:tr w:rsidR="004E6C32" w:rsidRPr="006A75A2" w:rsidTr="004B5CB1">
        <w:tc>
          <w:tcPr>
            <w:tcW w:w="6963" w:type="dxa"/>
            <w:tcBorders>
              <w:top w:val="single" w:sz="6" w:space="0" w:color="auto"/>
              <w:left w:val="nil"/>
              <w:bottom w:val="nil"/>
              <w:right w:val="nil"/>
            </w:tcBorders>
          </w:tcPr>
          <w:p w:rsidR="004E6C32" w:rsidRPr="006A75A2" w:rsidRDefault="004E6C32" w:rsidP="004B5CB1">
            <w:pPr>
              <w:spacing w:after="0"/>
              <w:ind w:left="180" w:hanging="180"/>
              <w:rPr>
                <w:rFonts w:ascii="Calibri" w:eastAsiaTheme="minorEastAsia" w:hAnsi="Calibri"/>
                <w:sz w:val="22"/>
                <w:szCs w:val="22"/>
                <w:lang w:eastAsia="en-AU"/>
              </w:rPr>
            </w:pPr>
            <w:r w:rsidRPr="006A75A2">
              <w:rPr>
                <w:rFonts w:ascii="Calibri" w:eastAsiaTheme="minorEastAsia" w:hAnsi="Calibri"/>
                <w:sz w:val="22"/>
                <w:szCs w:val="22"/>
                <w:lang w:eastAsia="en-AU"/>
              </w:rPr>
              <w:t>Domestic equity</w:t>
            </w:r>
          </w:p>
        </w:tc>
        <w:tc>
          <w:tcPr>
            <w:tcW w:w="1418" w:type="dxa"/>
            <w:tcBorders>
              <w:top w:val="single" w:sz="6" w:space="0" w:color="auto"/>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26.8</w:t>
            </w:r>
          </w:p>
        </w:tc>
        <w:tc>
          <w:tcPr>
            <w:tcW w:w="1259" w:type="dxa"/>
            <w:tcBorders>
              <w:top w:val="single" w:sz="6" w:space="0" w:color="auto"/>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26.7</w:t>
            </w:r>
          </w:p>
        </w:tc>
      </w:tr>
      <w:tr w:rsidR="004E6C32" w:rsidRPr="006A75A2" w:rsidTr="004B5CB1">
        <w:tc>
          <w:tcPr>
            <w:tcW w:w="6963" w:type="dxa"/>
            <w:tcBorders>
              <w:top w:val="nil"/>
              <w:left w:val="nil"/>
              <w:bottom w:val="nil"/>
              <w:right w:val="nil"/>
            </w:tcBorders>
          </w:tcPr>
          <w:p w:rsidR="004E6C32" w:rsidRPr="006A75A2" w:rsidRDefault="004E6C32" w:rsidP="004B5CB1">
            <w:pPr>
              <w:spacing w:after="0"/>
              <w:ind w:left="180" w:hanging="180"/>
              <w:rPr>
                <w:rFonts w:ascii="Calibri" w:eastAsiaTheme="minorEastAsia" w:hAnsi="Calibri"/>
                <w:sz w:val="22"/>
                <w:szCs w:val="22"/>
                <w:lang w:eastAsia="en-AU"/>
              </w:rPr>
            </w:pPr>
            <w:r w:rsidRPr="006A75A2">
              <w:rPr>
                <w:rFonts w:ascii="Calibri" w:eastAsiaTheme="minorEastAsia" w:hAnsi="Calibri"/>
                <w:sz w:val="22"/>
                <w:szCs w:val="22"/>
                <w:lang w:eastAsia="en-AU"/>
              </w:rPr>
              <w:t>International equity</w:t>
            </w:r>
          </w:p>
        </w:tc>
        <w:tc>
          <w:tcPr>
            <w:tcW w:w="1418"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26.8</w:t>
            </w:r>
          </w:p>
        </w:tc>
        <w:tc>
          <w:tcPr>
            <w:tcW w:w="1259"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26.1</w:t>
            </w:r>
          </w:p>
        </w:tc>
      </w:tr>
      <w:tr w:rsidR="004E6C32" w:rsidRPr="006A75A2" w:rsidTr="004B5CB1">
        <w:tc>
          <w:tcPr>
            <w:tcW w:w="6963" w:type="dxa"/>
            <w:tcBorders>
              <w:top w:val="nil"/>
              <w:left w:val="nil"/>
              <w:bottom w:val="nil"/>
              <w:right w:val="nil"/>
            </w:tcBorders>
          </w:tcPr>
          <w:p w:rsidR="004E6C32" w:rsidRPr="006A75A2" w:rsidRDefault="004E6C32" w:rsidP="004B5CB1">
            <w:pPr>
              <w:spacing w:after="0"/>
              <w:ind w:left="180" w:hanging="180"/>
              <w:rPr>
                <w:rFonts w:ascii="Calibri" w:eastAsiaTheme="minorEastAsia" w:hAnsi="Calibri"/>
                <w:sz w:val="22"/>
                <w:szCs w:val="22"/>
                <w:lang w:eastAsia="en-AU"/>
              </w:rPr>
            </w:pPr>
            <w:r w:rsidRPr="006A75A2">
              <w:rPr>
                <w:rFonts w:ascii="Calibri" w:eastAsiaTheme="minorEastAsia" w:hAnsi="Calibri"/>
                <w:sz w:val="22"/>
                <w:szCs w:val="22"/>
                <w:lang w:eastAsia="en-AU"/>
              </w:rPr>
              <w:t>Domestic debt assets</w:t>
            </w:r>
          </w:p>
        </w:tc>
        <w:tc>
          <w:tcPr>
            <w:tcW w:w="1418"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17.4</w:t>
            </w:r>
          </w:p>
        </w:tc>
        <w:tc>
          <w:tcPr>
            <w:tcW w:w="1259"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18.9</w:t>
            </w:r>
          </w:p>
        </w:tc>
      </w:tr>
      <w:tr w:rsidR="004E6C32" w:rsidRPr="006A75A2" w:rsidTr="004B5CB1">
        <w:tc>
          <w:tcPr>
            <w:tcW w:w="6963" w:type="dxa"/>
            <w:tcBorders>
              <w:top w:val="nil"/>
              <w:left w:val="nil"/>
              <w:bottom w:val="nil"/>
              <w:right w:val="nil"/>
            </w:tcBorders>
          </w:tcPr>
          <w:p w:rsidR="004E6C32" w:rsidRPr="006A75A2" w:rsidRDefault="004E6C32" w:rsidP="004B5CB1">
            <w:pPr>
              <w:spacing w:after="0"/>
              <w:ind w:left="180" w:hanging="180"/>
              <w:rPr>
                <w:rFonts w:ascii="Calibri" w:eastAsiaTheme="minorEastAsia" w:hAnsi="Calibri"/>
                <w:sz w:val="22"/>
                <w:szCs w:val="22"/>
                <w:lang w:eastAsia="en-AU"/>
              </w:rPr>
            </w:pPr>
            <w:r w:rsidRPr="006A75A2">
              <w:rPr>
                <w:rFonts w:ascii="Calibri" w:eastAsiaTheme="minorEastAsia" w:hAnsi="Calibri"/>
                <w:sz w:val="22"/>
                <w:szCs w:val="22"/>
                <w:lang w:eastAsia="en-AU"/>
              </w:rPr>
              <w:t>International debt assets</w:t>
            </w:r>
          </w:p>
        </w:tc>
        <w:tc>
          <w:tcPr>
            <w:tcW w:w="1418"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w:t>
            </w:r>
          </w:p>
        </w:tc>
        <w:tc>
          <w:tcPr>
            <w:tcW w:w="1259"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w:t>
            </w:r>
          </w:p>
        </w:tc>
      </w:tr>
      <w:tr w:rsidR="004E6C32" w:rsidRPr="006A75A2" w:rsidTr="004B5CB1">
        <w:tc>
          <w:tcPr>
            <w:tcW w:w="6963" w:type="dxa"/>
            <w:tcBorders>
              <w:top w:val="nil"/>
              <w:left w:val="nil"/>
              <w:bottom w:val="nil"/>
              <w:right w:val="nil"/>
            </w:tcBorders>
          </w:tcPr>
          <w:p w:rsidR="004E6C32" w:rsidRPr="006A75A2" w:rsidRDefault="004E6C32" w:rsidP="004B5CB1">
            <w:pPr>
              <w:spacing w:after="0"/>
              <w:ind w:left="180" w:hanging="180"/>
              <w:rPr>
                <w:rFonts w:ascii="Calibri" w:eastAsiaTheme="minorEastAsia" w:hAnsi="Calibri"/>
                <w:sz w:val="22"/>
                <w:szCs w:val="22"/>
                <w:lang w:eastAsia="en-AU"/>
              </w:rPr>
            </w:pPr>
            <w:r w:rsidRPr="006A75A2">
              <w:rPr>
                <w:rFonts w:ascii="Calibri" w:eastAsiaTheme="minorEastAsia" w:hAnsi="Calibri"/>
                <w:sz w:val="22"/>
                <w:szCs w:val="22"/>
                <w:lang w:eastAsia="en-AU"/>
              </w:rPr>
              <w:t>Property</w:t>
            </w:r>
          </w:p>
        </w:tc>
        <w:tc>
          <w:tcPr>
            <w:tcW w:w="1418"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7.6</w:t>
            </w:r>
          </w:p>
        </w:tc>
        <w:tc>
          <w:tcPr>
            <w:tcW w:w="1259"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8.2</w:t>
            </w:r>
          </w:p>
        </w:tc>
      </w:tr>
      <w:tr w:rsidR="004E6C32" w:rsidRPr="006A75A2" w:rsidTr="004B5CB1">
        <w:tc>
          <w:tcPr>
            <w:tcW w:w="6963" w:type="dxa"/>
            <w:tcBorders>
              <w:top w:val="nil"/>
              <w:left w:val="nil"/>
              <w:bottom w:val="nil"/>
              <w:right w:val="nil"/>
            </w:tcBorders>
          </w:tcPr>
          <w:p w:rsidR="004E6C32" w:rsidRPr="006A75A2" w:rsidRDefault="004E6C32" w:rsidP="004B5CB1">
            <w:pPr>
              <w:spacing w:after="0"/>
              <w:ind w:left="180" w:hanging="180"/>
              <w:rPr>
                <w:rFonts w:ascii="Calibri" w:eastAsiaTheme="minorEastAsia" w:hAnsi="Calibri"/>
                <w:sz w:val="22"/>
                <w:szCs w:val="22"/>
                <w:lang w:eastAsia="en-AU"/>
              </w:rPr>
            </w:pPr>
            <w:r w:rsidRPr="006A75A2">
              <w:rPr>
                <w:rFonts w:ascii="Calibri" w:eastAsiaTheme="minorEastAsia" w:hAnsi="Calibri"/>
                <w:sz w:val="22"/>
                <w:szCs w:val="22"/>
                <w:lang w:eastAsia="en-AU"/>
              </w:rPr>
              <w:t>Cash</w:t>
            </w:r>
          </w:p>
        </w:tc>
        <w:tc>
          <w:tcPr>
            <w:tcW w:w="1418"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4.2</w:t>
            </w:r>
          </w:p>
        </w:tc>
        <w:tc>
          <w:tcPr>
            <w:tcW w:w="1259" w:type="dxa"/>
            <w:tcBorders>
              <w:top w:val="nil"/>
              <w:left w:val="nil"/>
              <w:bottom w:val="nil"/>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6.0</w:t>
            </w:r>
          </w:p>
        </w:tc>
      </w:tr>
      <w:tr w:rsidR="004E6C32" w:rsidRPr="006A75A2" w:rsidTr="004B5CB1">
        <w:tc>
          <w:tcPr>
            <w:tcW w:w="6963" w:type="dxa"/>
            <w:tcBorders>
              <w:top w:val="nil"/>
              <w:left w:val="nil"/>
              <w:bottom w:val="single" w:sz="6" w:space="0" w:color="auto"/>
              <w:right w:val="nil"/>
            </w:tcBorders>
          </w:tcPr>
          <w:p w:rsidR="004E6C32" w:rsidRPr="006A75A2" w:rsidRDefault="004E6C32" w:rsidP="004B5CB1">
            <w:pPr>
              <w:spacing w:after="0"/>
              <w:ind w:left="180" w:hanging="180"/>
              <w:rPr>
                <w:rFonts w:ascii="Calibri" w:eastAsiaTheme="minorEastAsia" w:hAnsi="Calibri"/>
                <w:sz w:val="22"/>
                <w:szCs w:val="22"/>
                <w:lang w:eastAsia="en-AU"/>
              </w:rPr>
            </w:pPr>
            <w:r w:rsidRPr="006A75A2">
              <w:rPr>
                <w:rFonts w:ascii="Calibri" w:eastAsiaTheme="minorEastAsia" w:hAnsi="Calibri"/>
                <w:sz w:val="22"/>
                <w:szCs w:val="22"/>
                <w:lang w:eastAsia="en-AU"/>
              </w:rPr>
              <w:t>Other (including private equity, hedge funds and infrastructure)</w:t>
            </w:r>
          </w:p>
        </w:tc>
        <w:tc>
          <w:tcPr>
            <w:tcW w:w="1418" w:type="dxa"/>
            <w:tcBorders>
              <w:top w:val="nil"/>
              <w:left w:val="nil"/>
              <w:bottom w:val="single" w:sz="6" w:space="0" w:color="auto"/>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17.2</w:t>
            </w:r>
          </w:p>
        </w:tc>
        <w:tc>
          <w:tcPr>
            <w:tcW w:w="1259" w:type="dxa"/>
            <w:tcBorders>
              <w:top w:val="nil"/>
              <w:left w:val="nil"/>
              <w:bottom w:val="single" w:sz="6" w:space="0" w:color="auto"/>
              <w:right w:val="nil"/>
            </w:tcBorders>
          </w:tcPr>
          <w:p w:rsidR="004E6C32" w:rsidRPr="006A75A2" w:rsidRDefault="004E6C32" w:rsidP="004B5CB1">
            <w:pPr>
              <w:spacing w:after="0"/>
              <w:jc w:val="right"/>
              <w:rPr>
                <w:rFonts w:ascii="Calibri" w:eastAsiaTheme="minorEastAsia" w:hAnsi="Calibri"/>
                <w:sz w:val="22"/>
                <w:szCs w:val="22"/>
                <w:lang w:eastAsia="en-AU"/>
              </w:rPr>
            </w:pPr>
            <w:r w:rsidRPr="006A75A2">
              <w:rPr>
                <w:rFonts w:ascii="Calibri" w:eastAsiaTheme="minorEastAsia" w:hAnsi="Calibri"/>
                <w:sz w:val="22"/>
                <w:szCs w:val="22"/>
                <w:lang w:eastAsia="en-AU"/>
              </w:rPr>
              <w:t>14.1</w:t>
            </w:r>
          </w:p>
        </w:tc>
      </w:tr>
      <w:tr w:rsidR="004E6C32" w:rsidRPr="006A75A2" w:rsidTr="004B5CB1">
        <w:tc>
          <w:tcPr>
            <w:tcW w:w="6963" w:type="dxa"/>
            <w:tcBorders>
              <w:top w:val="single" w:sz="6" w:space="0" w:color="auto"/>
              <w:left w:val="nil"/>
              <w:bottom w:val="single" w:sz="12" w:space="0" w:color="000000"/>
              <w:right w:val="nil"/>
            </w:tcBorders>
            <w:shd w:val="clear" w:color="auto" w:fill="auto"/>
          </w:tcPr>
          <w:p w:rsidR="004E6C32" w:rsidRPr="006A75A2" w:rsidRDefault="004E6C32" w:rsidP="004B5CB1">
            <w:pPr>
              <w:spacing w:after="0"/>
              <w:ind w:left="180" w:hanging="180"/>
              <w:rPr>
                <w:rFonts w:ascii="Calibri" w:eastAsiaTheme="minorEastAsia" w:hAnsi="Calibri"/>
                <w:b/>
                <w:bCs/>
                <w:sz w:val="22"/>
                <w:szCs w:val="22"/>
                <w:lang w:eastAsia="en-AU"/>
              </w:rPr>
            </w:pPr>
            <w:r w:rsidRPr="006A75A2">
              <w:rPr>
                <w:rFonts w:ascii="Calibri" w:eastAsiaTheme="minorEastAsia" w:hAnsi="Calibri"/>
                <w:b/>
                <w:bCs/>
                <w:sz w:val="22"/>
                <w:szCs w:val="22"/>
                <w:lang w:eastAsia="en-AU"/>
              </w:rPr>
              <w:t>Total</w:t>
            </w:r>
          </w:p>
        </w:tc>
        <w:tc>
          <w:tcPr>
            <w:tcW w:w="1418" w:type="dxa"/>
            <w:tcBorders>
              <w:top w:val="single" w:sz="6" w:space="0" w:color="auto"/>
              <w:left w:val="nil"/>
              <w:bottom w:val="single" w:sz="12" w:space="0" w:color="000000"/>
              <w:right w:val="nil"/>
            </w:tcBorders>
            <w:shd w:val="clear" w:color="auto" w:fill="auto"/>
          </w:tcPr>
          <w:p w:rsidR="004E6C32" w:rsidRPr="006A75A2" w:rsidRDefault="004E6C32" w:rsidP="004B5CB1">
            <w:pPr>
              <w:spacing w:after="0"/>
              <w:jc w:val="right"/>
              <w:rPr>
                <w:rFonts w:ascii="Calibri" w:eastAsiaTheme="minorEastAsia" w:hAnsi="Calibri"/>
                <w:b/>
                <w:bCs/>
                <w:sz w:val="22"/>
                <w:szCs w:val="22"/>
                <w:lang w:eastAsia="en-AU"/>
              </w:rPr>
            </w:pPr>
            <w:r w:rsidRPr="006A75A2">
              <w:rPr>
                <w:rFonts w:ascii="Calibri" w:eastAsiaTheme="minorEastAsia" w:hAnsi="Calibri"/>
                <w:b/>
                <w:bCs/>
                <w:sz w:val="22"/>
                <w:szCs w:val="22"/>
                <w:lang w:eastAsia="en-AU"/>
              </w:rPr>
              <w:t>100.0</w:t>
            </w:r>
          </w:p>
        </w:tc>
        <w:tc>
          <w:tcPr>
            <w:tcW w:w="1259" w:type="dxa"/>
            <w:tcBorders>
              <w:top w:val="single" w:sz="6" w:space="0" w:color="auto"/>
              <w:left w:val="nil"/>
              <w:bottom w:val="single" w:sz="12" w:space="0" w:color="000000"/>
              <w:right w:val="nil"/>
            </w:tcBorders>
            <w:shd w:val="clear" w:color="auto" w:fill="auto"/>
          </w:tcPr>
          <w:p w:rsidR="004E6C32" w:rsidRPr="006A75A2" w:rsidRDefault="004E6C32" w:rsidP="004B5CB1">
            <w:pPr>
              <w:spacing w:after="0"/>
              <w:jc w:val="right"/>
              <w:rPr>
                <w:rFonts w:ascii="Calibri" w:eastAsiaTheme="minorEastAsia" w:hAnsi="Calibri"/>
                <w:b/>
                <w:bCs/>
                <w:sz w:val="22"/>
                <w:szCs w:val="22"/>
                <w:lang w:eastAsia="en-AU"/>
              </w:rPr>
            </w:pPr>
            <w:r w:rsidRPr="006A75A2">
              <w:rPr>
                <w:rFonts w:ascii="Calibri" w:eastAsiaTheme="minorEastAsia" w:hAnsi="Calibri"/>
                <w:b/>
                <w:bCs/>
                <w:sz w:val="22"/>
                <w:szCs w:val="22"/>
                <w:lang w:eastAsia="en-AU"/>
              </w:rPr>
              <w:t>100.0</w:t>
            </w:r>
          </w:p>
        </w:tc>
      </w:tr>
    </w:tbl>
    <w:p w:rsidR="004E6C32" w:rsidRPr="006A75A2" w:rsidRDefault="004E6C32" w:rsidP="004B5CB1">
      <w:pPr>
        <w:spacing w:after="0"/>
      </w:pPr>
    </w:p>
    <w:p w:rsidR="004E6C32" w:rsidRPr="006A75A2" w:rsidRDefault="004E6C32" w:rsidP="004B5CB1">
      <w:r w:rsidRPr="006A75A2">
        <w:t>The assets are invested in the asset classes shown above.</w:t>
      </w:r>
    </w:p>
    <w:p w:rsidR="004E6C32" w:rsidRPr="006A75A2" w:rsidRDefault="004E6C32" w:rsidP="004B5CB1">
      <w:r w:rsidRPr="006A75A2">
        <w:t>The chosen assets are not designed to match the liabilities exactly. However, the nature of the liabilities is considered in setting the investment strategy.</w:t>
      </w:r>
    </w:p>
    <w:p w:rsidR="004E6C32" w:rsidRPr="006A75A2" w:rsidRDefault="004E6C32" w:rsidP="004B5CB1">
      <w:r w:rsidRPr="006A75A2">
        <w:t>At 30 June 2014, the plans held investments with Treasury Corporation Victoria (TCV) worth $76 042 959.</w:t>
      </w:r>
    </w:p>
    <w:p w:rsidR="004E6C32" w:rsidRPr="006A75A2" w:rsidRDefault="004E6C32" w:rsidP="004B5CB1">
      <w:pPr>
        <w:keepNext/>
        <w:tabs>
          <w:tab w:val="left" w:pos="504"/>
        </w:tabs>
        <w:spacing w:before="120"/>
        <w:outlineLvl w:val="4"/>
        <w:rPr>
          <w:rFonts w:ascii="Calibri" w:hAnsi="Calibri"/>
          <w:b/>
        </w:rPr>
      </w:pPr>
      <w:r w:rsidRPr="006A75A2">
        <w:rPr>
          <w:rFonts w:ascii="Calibri" w:hAnsi="Calibri"/>
          <w:b/>
        </w:rPr>
        <w:t>Funding arrangements</w:t>
      </w:r>
    </w:p>
    <w:p w:rsidR="004E6C32" w:rsidRPr="006A75A2" w:rsidRDefault="004E6C32" w:rsidP="004B5CB1">
      <w:pPr>
        <w:rPr>
          <w:szCs w:val="24"/>
        </w:rPr>
      </w:pPr>
      <w:r w:rsidRPr="006A75A2">
        <w:rPr>
          <w:szCs w:val="24"/>
        </w:rPr>
        <w:t>The funding of the defined benefit plans varies by plan as follows:</w:t>
      </w:r>
    </w:p>
    <w:p w:rsidR="004E6C32" w:rsidRPr="006A75A2" w:rsidRDefault="004E6C32" w:rsidP="004B5CB1">
      <w:pPr>
        <w:pStyle w:val="BulletText"/>
      </w:pPr>
      <w:r w:rsidRPr="006A75A2">
        <w:t>SSF – the scheme is partially funded, with participating employers generally contributing the cost of service as it accrues while the State meets the cost of past service.</w:t>
      </w:r>
    </w:p>
    <w:p w:rsidR="004E6C32" w:rsidRPr="006A75A2" w:rsidRDefault="004E6C32" w:rsidP="004B5CB1">
      <w:pPr>
        <w:pStyle w:val="BulletText"/>
      </w:pPr>
      <w:r w:rsidRPr="006A75A2">
        <w:t>ESSS DB – a funded scheme, with a funding target of 110 per cent to 120 per cent of vested benefits. The Board</w:t>
      </w:r>
      <w:r w:rsidR="00C96101" w:rsidRPr="006A75A2">
        <w:t>’</w:t>
      </w:r>
      <w:r w:rsidRPr="006A75A2">
        <w:t>s shortfall limit is 95 per cent of vested benefits.</w:t>
      </w:r>
    </w:p>
    <w:p w:rsidR="004E6C32" w:rsidRPr="006A75A2" w:rsidRDefault="004E6C32" w:rsidP="004B5CB1">
      <w:pPr>
        <w:pStyle w:val="BulletText"/>
      </w:pPr>
      <w:r w:rsidRPr="006A75A2">
        <w:t>PCSF – a funded scheme, with employer contributions set every three years to ensure full funding is maintained.</w:t>
      </w:r>
    </w:p>
    <w:p w:rsidR="004E6C32" w:rsidRPr="006A75A2" w:rsidRDefault="004E6C32" w:rsidP="004B5CB1">
      <w:pPr>
        <w:pStyle w:val="BulletText"/>
      </w:pPr>
      <w:r w:rsidRPr="006A75A2">
        <w:t>Judges Pension Scheme – an unfunded scheme (i.e. there are no assets) and benefits are paid from the Consolidated Fund as they fall due.</w:t>
      </w:r>
    </w:p>
    <w:p w:rsidR="004E6C32" w:rsidRPr="006A75A2" w:rsidRDefault="004E6C32" w:rsidP="004B5CB1">
      <w:pPr>
        <w:pStyle w:val="BulletText"/>
      </w:pPr>
      <w:r w:rsidRPr="006A75A2">
        <w:t>Health Super – a funded scheme where the employers contribute in accordance with the actuary</w:t>
      </w:r>
      <w:r w:rsidR="00C96101" w:rsidRPr="006A75A2">
        <w:t>’</w:t>
      </w:r>
      <w:r w:rsidRPr="006A75A2">
        <w:t>s recommendations which are designed to achieve a target asset level of 107 per cent of the scheme</w:t>
      </w:r>
      <w:r w:rsidR="00C96101" w:rsidRPr="006A75A2">
        <w:t>’</w:t>
      </w:r>
      <w:r w:rsidRPr="006A75A2">
        <w:t>s vested benefits.</w:t>
      </w: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8:</w:t>
      </w:r>
      <w:r w:rsidRPr="006A75A2">
        <w:rPr>
          <w:kern w:val="0"/>
        </w:rPr>
        <w:tab/>
        <w:t xml:space="preserve">Superannuation </w:t>
      </w:r>
      <w:r w:rsidRPr="006A75A2">
        <w:rPr>
          <w:i/>
          <w:kern w:val="0"/>
        </w:rPr>
        <w:t>(continued)</w:t>
      </w:r>
    </w:p>
    <w:p w:rsidR="004E6C32" w:rsidRPr="006A75A2" w:rsidRDefault="004E6C32" w:rsidP="004B5CB1">
      <w:pPr>
        <w:spacing w:after="240"/>
        <w:rPr>
          <w:szCs w:val="24"/>
        </w:rPr>
      </w:pPr>
      <w:r w:rsidRPr="006A75A2">
        <w:rPr>
          <w:szCs w:val="24"/>
        </w:rPr>
        <w:t>In the 2014-15 financial year, employer contributions of $1 496 million, in total, are expected to be paid to the defined benefit plans. Of this, $1 billion relates to the funding of the SSF</w:t>
      </w:r>
      <w:r w:rsidR="00C96101" w:rsidRPr="006A75A2">
        <w:rPr>
          <w:szCs w:val="24"/>
        </w:rPr>
        <w:t>’</w:t>
      </w:r>
      <w:r w:rsidRPr="006A75A2">
        <w:rPr>
          <w:szCs w:val="24"/>
        </w:rPr>
        <w:t>s past service liability.</w:t>
      </w:r>
    </w:p>
    <w:p w:rsidR="004E6C32" w:rsidRPr="006A75A2" w:rsidRDefault="004E6C32" w:rsidP="004B5CB1">
      <w:pPr>
        <w:rPr>
          <w:szCs w:val="24"/>
        </w:rPr>
      </w:pPr>
      <w:r w:rsidRPr="006A75A2">
        <w:rPr>
          <w:szCs w:val="24"/>
        </w:rPr>
        <w:t>The weighted average duration of the defined benefit obligation is about 13 years.</w:t>
      </w:r>
    </w:p>
    <w:p w:rsidR="004E6C32" w:rsidRPr="006A75A2" w:rsidRDefault="004E6C32" w:rsidP="004B5CB1">
      <w:pPr>
        <w:pStyle w:val="Heading2Notes"/>
        <w:rPr>
          <w:kern w:val="0"/>
        </w:rPr>
      </w:pPr>
      <w:bookmarkStart w:id="39" w:name="_Toc400040256"/>
      <w:r w:rsidRPr="006A75A2">
        <w:rPr>
          <w:kern w:val="0"/>
        </w:rPr>
        <w:t>Note 9:</w:t>
      </w:r>
      <w:r w:rsidRPr="006A75A2">
        <w:rPr>
          <w:kern w:val="0"/>
        </w:rPr>
        <w:tab/>
        <w:t>Depreciation</w:t>
      </w:r>
      <w:bookmarkEnd w:id="39"/>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
              <w:rPr>
                <w:rFonts w:eastAsiaTheme="minorEastAsia"/>
                <w:lang w:eastAsia="en-AU"/>
              </w:rPr>
            </w:pPr>
            <w:r w:rsidRPr="006A75A2">
              <w:rPr>
                <w:rFonts w:eastAsiaTheme="minorEastAsia"/>
                <w:lang w:eastAsia="en-AU"/>
              </w:rPr>
              <w:t xml:space="preserve">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General</w:t>
            </w:r>
          </w:p>
          <w:p w:rsidR="002E6139" w:rsidRPr="006A75A2" w:rsidRDefault="002E6139" w:rsidP="004B5CB1">
            <w:pPr>
              <w:pStyle w:val="Tabletextheading"/>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ascii="Britannic Bold" w:eastAsiaTheme="minorEastAsia" w:hAnsi="Britannic Bold" w:cs="Britannic Bold"/>
                <w:vertAlign w:val="superscript"/>
                <w:lang w:eastAsia="en-AU"/>
              </w:rPr>
            </w:pPr>
            <w:r w:rsidRPr="006A75A2">
              <w:rPr>
                <w:rFonts w:eastAsiaTheme="minorEastAsia"/>
                <w:lang w:eastAsia="en-AU"/>
              </w:rPr>
              <w:t>Buildings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1 378.2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1 338.3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1 029.7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984.5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Infrastructure systems </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1 238.2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1 178.0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Plant, equipment and vehicles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877.7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871.4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569.7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564.3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Road and road networks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543.9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566.3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541.0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Cultural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21.8</w:t>
            </w:r>
          </w:p>
        </w:tc>
      </w:tr>
      <w:tr w:rsidR="004E6C32" w:rsidRPr="006A75A2" w:rsidTr="004B5CB1">
        <w:tc>
          <w:tcPr>
            <w:tcW w:w="5160" w:type="dxa"/>
            <w:tcBorders>
              <w:top w:val="nil"/>
              <w:left w:val="nil"/>
              <w:bottom w:val="single" w:sz="6" w:space="0" w:color="auto"/>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Intangible produced assets</w:t>
            </w:r>
            <w:r w:rsidRPr="006A75A2">
              <w:rPr>
                <w:rFonts w:eastAsiaTheme="minorEastAsia"/>
                <w:vertAlign w:val="superscript"/>
                <w:lang w:eastAsia="en-AU"/>
              </w:rPr>
              <w:t>(a)</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210.3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178.2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131.4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99.9</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depreciation</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4 294.1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4 131.6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2 363.8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2 254.3</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 xml:space="preserve">Amortisation of intangible non-produced assets is included under </w:t>
      </w:r>
      <w:r w:rsidR="00C96101" w:rsidRPr="006A75A2">
        <w:t>‘</w:t>
      </w:r>
      <w:r w:rsidRPr="006A75A2">
        <w:t>total other economic flows included in net results</w:t>
      </w:r>
      <w:r w:rsidR="00C96101" w:rsidRPr="006A75A2">
        <w:t>’</w:t>
      </w:r>
      <w:r w:rsidRPr="006A75A2">
        <w:t>.</w:t>
      </w:r>
    </w:p>
    <w:p w:rsidR="004E6C32" w:rsidRPr="006A75A2" w:rsidRDefault="004E6C32" w:rsidP="004B5CB1">
      <w:pPr>
        <w:pStyle w:val="Heading2Notes"/>
        <w:rPr>
          <w:kern w:val="0"/>
        </w:rPr>
      </w:pPr>
      <w:bookmarkStart w:id="40" w:name="_Toc400040257"/>
      <w:r w:rsidRPr="006A75A2">
        <w:rPr>
          <w:kern w:val="0"/>
        </w:rPr>
        <w:t>Note 10:</w:t>
      </w:r>
      <w:r w:rsidRPr="006A75A2">
        <w:rPr>
          <w:kern w:val="0"/>
        </w:rPr>
        <w:tab/>
        <w:t>Interest expense</w:t>
      </w:r>
      <w:bookmarkEnd w:id="40"/>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on short-term interest-bearing liabilities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on long-term interest-bearing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1 992.4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1 793.5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1 244.1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1 135.6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Finance charges on finance leases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847.3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622.7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771.7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542.8</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Discount interest on payables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51.0</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interest expense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2 954.4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2 538.6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2 138.5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1 775.3</w:t>
            </w:r>
          </w:p>
        </w:tc>
      </w:tr>
    </w:tbl>
    <w:p w:rsidR="004E6C32" w:rsidRPr="006A75A2" w:rsidRDefault="004E6C32" w:rsidP="004B5CB1"/>
    <w:p w:rsidR="004E6C32" w:rsidRPr="006A75A2" w:rsidRDefault="004E6C32" w:rsidP="004B5CB1">
      <w:pPr>
        <w:pStyle w:val="Heading2Notes"/>
        <w:rPr>
          <w:kern w:val="0"/>
        </w:rPr>
      </w:pPr>
      <w:bookmarkStart w:id="41" w:name="_Toc400040258"/>
      <w:r w:rsidRPr="006A75A2">
        <w:rPr>
          <w:kern w:val="0"/>
        </w:rPr>
        <w:t>Note 11:</w:t>
      </w:r>
      <w:r w:rsidRPr="006A75A2">
        <w:rPr>
          <w:kern w:val="0"/>
        </w:rPr>
        <w:tab/>
        <w:t>Other operating expenses</w:t>
      </w:r>
      <w:bookmarkEnd w:id="41"/>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Purchase of supplies and consumables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8 625.7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8 176.0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7 324.9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7 078.1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Cost of goods sold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388.3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231.1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128.3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Finance expenses and fees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429.8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439.6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22.1</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Purchase of services</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8 311.3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7 877.1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7 571.6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7 135.0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Insurance claims expense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4 504.1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4 339.7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Maintenance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1 237.5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1 253.7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757.9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777.1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Operating lease payments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358.6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355.5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286.0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280.3</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1 258.2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669.8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1 234.6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652.8</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Total other operating expenses </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25 113.5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23 342.6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17 360.1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16 094.1</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Includes audit fees of $365 000 ($365 000 in 2013) paid or payable to the Victorian Auditor-General</w:t>
      </w:r>
      <w:r w:rsidR="00C96101" w:rsidRPr="006A75A2">
        <w:t>’</w:t>
      </w:r>
      <w:r w:rsidRPr="006A75A2">
        <w:t>s Office for the audit of the Annual Financial Report of the State of Victoria.</w:t>
      </w:r>
    </w:p>
    <w:p w:rsidR="004E6C32" w:rsidRPr="006A75A2" w:rsidRDefault="004E6C32" w:rsidP="004B5CB1">
      <w:pPr>
        <w:pStyle w:val="Heading2Notes"/>
        <w:rPr>
          <w:kern w:val="0"/>
        </w:rPr>
      </w:pPr>
      <w:bookmarkStart w:id="42" w:name="_Toc400040259"/>
      <w:r w:rsidRPr="006A75A2">
        <w:rPr>
          <w:kern w:val="0"/>
        </w:rPr>
        <w:lastRenderedPageBreak/>
        <w:t>Note 12:</w:t>
      </w:r>
      <w:r w:rsidRPr="006A75A2">
        <w:rPr>
          <w:kern w:val="0"/>
        </w:rPr>
        <w:tab/>
        <w:t>Grants and other transfers</w:t>
      </w:r>
      <w:bookmarkEnd w:id="42"/>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Current grants expense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i/>
                <w:iCs/>
                <w:lang w:eastAsia="en-AU"/>
              </w:rPr>
            </w:pPr>
            <w:r w:rsidRPr="006A75A2">
              <w:rPr>
                <w:rFonts w:eastAsiaTheme="minorEastAsia"/>
                <w:b/>
                <w:i/>
                <w:iCs/>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i/>
                <w:iCs/>
                <w:lang w:eastAsia="en-AU"/>
              </w:rPr>
            </w:pPr>
            <w:r w:rsidRPr="006A75A2">
              <w:rPr>
                <w:rFonts w:eastAsiaTheme="minorEastAsia"/>
                <w:b/>
                <w:i/>
                <w:iCs/>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i/>
                <w:iCs/>
                <w:lang w:eastAsia="en-AU"/>
              </w:rPr>
            </w:pPr>
            <w:r w:rsidRPr="006A75A2">
              <w:rPr>
                <w:rFonts w:eastAsiaTheme="minorEastAsia"/>
                <w:b/>
                <w:i/>
                <w:iCs/>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i/>
                <w:iCs/>
                <w:lang w:eastAsia="en-AU"/>
              </w:rPr>
            </w:pPr>
            <w:r w:rsidRPr="006A75A2">
              <w:rPr>
                <w:rFonts w:eastAsiaTheme="minorEastAsia"/>
                <w:b/>
                <w:i/>
                <w:i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Commonwealth government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208.6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151.7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208.5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151.0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Local government on-passing</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635.4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927.8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635.4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927.8</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Private sector and not-for-profit on-passing</w:t>
            </w:r>
            <w:r w:rsidRPr="006A75A2">
              <w:rPr>
                <w:rFonts w:eastAsiaTheme="minorEastAsia" w:cs="Calibri"/>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2 405.9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2 216.4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2 405.9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2 216.4</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cs="Calibri"/>
                <w:szCs w:val="22"/>
                <w:vertAlign w:val="superscript"/>
                <w:lang w:eastAsia="en-AU"/>
              </w:rPr>
            </w:pPr>
            <w:r w:rsidRPr="006A75A2">
              <w:rPr>
                <w:rFonts w:eastAsiaTheme="minorEastAsia"/>
                <w:lang w:eastAsia="en-AU"/>
              </w:rPr>
              <w:t>Other private sector and not-for-profit</w:t>
            </w:r>
            <w:r w:rsidRPr="006A75A2">
              <w:rPr>
                <w:rFonts w:eastAsiaTheme="minorEastAsia" w:cs="Calibri"/>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1 593.8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1 671.4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1 568.0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1 649.9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 within the Victorian government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2 581.5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2 645.7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 to other state governments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current grants and other transfers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4 851.8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4 976.7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7 407.4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7 600.2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Capital grants expense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Local government on-passing</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162.1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162.1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Private sector and not-for-profit on-passing</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95.2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159.8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144.8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private sector and not-for-profit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 within the Victorian government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grants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98.7</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capital grants and other transfers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184.7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421.5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178.3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413.8</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grants and other transfers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5 036.5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5 398.3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7 585.6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8 013.9</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June 2013 comparative figures have been restated due to a reclassification of grants between </w:t>
      </w:r>
      <w:r w:rsidR="00C96101" w:rsidRPr="006A75A2">
        <w:t>‘</w:t>
      </w:r>
      <w:r w:rsidRPr="006A75A2">
        <w:t>private sector grants and not-for-profit on</w:t>
      </w:r>
      <w:r w:rsidRPr="006A75A2">
        <w:noBreakHyphen/>
        <w:t>passing</w:t>
      </w:r>
      <w:r w:rsidR="00C96101" w:rsidRPr="006A75A2">
        <w:t>’</w:t>
      </w:r>
      <w:r w:rsidRPr="006A75A2">
        <w:t xml:space="preserve"> and </w:t>
      </w:r>
      <w:r w:rsidR="00C96101" w:rsidRPr="006A75A2">
        <w:t>‘</w:t>
      </w:r>
      <w:r w:rsidRPr="006A75A2">
        <w:t>other private sector and not-for-profit</w:t>
      </w:r>
      <w:r w:rsidR="00C96101" w:rsidRPr="006A75A2">
        <w:t>’</w:t>
      </w:r>
      <w:r w:rsidRPr="006A75A2">
        <w:t>.</w:t>
      </w:r>
    </w:p>
    <w:p w:rsidR="002E6139" w:rsidRPr="006A75A2" w:rsidRDefault="002E6139" w:rsidP="002E6139"/>
    <w:p w:rsidR="002E6139" w:rsidRPr="006A75A2" w:rsidRDefault="002E6139" w:rsidP="002E6139"/>
    <w:p w:rsidR="004E6C32" w:rsidRPr="006A75A2" w:rsidRDefault="004E6C32" w:rsidP="004B5CB1">
      <w:pPr>
        <w:pStyle w:val="Heading2Notes"/>
        <w:rPr>
          <w:kern w:val="0"/>
        </w:rPr>
      </w:pPr>
      <w:bookmarkStart w:id="43" w:name="_Toc400040260"/>
      <w:r w:rsidRPr="006A75A2">
        <w:rPr>
          <w:kern w:val="0"/>
        </w:rPr>
        <w:t>Note 13:</w:t>
      </w:r>
      <w:r w:rsidRPr="006A75A2">
        <w:rPr>
          <w:kern w:val="0"/>
        </w:rPr>
        <w:tab/>
        <w:t>Expenses by government purpose and by department</w:t>
      </w:r>
      <w:bookmarkEnd w:id="43"/>
    </w:p>
    <w:p w:rsidR="004E6C32" w:rsidRPr="006A75A2" w:rsidRDefault="004E6C32" w:rsidP="0067336F">
      <w:pPr>
        <w:pStyle w:val="Heading5"/>
        <w:rPr>
          <w:vertAlign w:val="superscript"/>
        </w:rPr>
      </w:pPr>
      <w:r w:rsidRPr="006A75A2">
        <w:t xml:space="preserve">(a) </w:t>
      </w:r>
      <w:r w:rsidRPr="006A75A2">
        <w:tab/>
        <w:t>Expenses by government purposes classification</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rPr>
          <w:cantSplit/>
          <w:tblHeader/>
        </w:trPr>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rPr>
          <w:cantSplit/>
          <w:tblHeader/>
        </w:trPr>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rPr>
          <w:cantSplit/>
        </w:trPr>
        <w:tc>
          <w:tcPr>
            <w:tcW w:w="5160" w:type="dxa"/>
            <w:tcBorders>
              <w:top w:val="single" w:sz="6" w:space="0" w:color="auto"/>
              <w:left w:val="nil"/>
              <w:bottom w:val="nil"/>
              <w:right w:val="nil"/>
            </w:tcBorders>
            <w:shd w:val="solid" w:color="FFFFFF" w:fill="auto"/>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General public services</w:t>
            </w:r>
            <w:r w:rsidRPr="006A75A2">
              <w:rPr>
                <w:rFonts w:eastAsiaTheme="minorEastAsia"/>
                <w:vertAlign w:val="superscript"/>
                <w:lang w:eastAsia="en-AU"/>
              </w:rPr>
              <w:t>(b)</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6 182.1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6 789.5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1 050.5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1 342.5</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Public order and safety</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5 430.6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4 925.5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5 508.5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5 188.5</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Education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12 768.6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12 573.1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12 836.9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12 661.5</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Health</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13 698.5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12 845.3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13 814.6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13 158.2</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Social security and welfare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4 087.1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3 780.4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4 111.7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3 868.0</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Housing and community amenities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5 740.0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5 782.0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2 444.4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2 543.2</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Recreation and culture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1 439.7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1 344.8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687.0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735.7</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Fuel and energy</w:t>
            </w:r>
            <w:r w:rsidRPr="006A75A2">
              <w:rPr>
                <w:rFonts w:eastAsiaTheme="minorEastAsia"/>
                <w:vertAlign w:val="superscript"/>
                <w:lang w:eastAsia="en-AU"/>
              </w:rPr>
              <w:t>(c)</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134.5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132.4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115.7</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Agriculture, forestry, fishing and hunting</w:t>
            </w:r>
            <w:r w:rsidRPr="006A75A2">
              <w:rPr>
                <w:rFonts w:eastAsiaTheme="minorEastAsia"/>
                <w:vertAlign w:val="superscript"/>
                <w:lang w:eastAsia="en-AU"/>
              </w:rPr>
              <w:t>(c)</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492.6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377.8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404.2</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Mining, manufacturing and construction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Transport and communications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4 915.7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5 179.3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5 548.1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5 675.8</w:t>
            </w:r>
          </w:p>
        </w:tc>
      </w:tr>
      <w:tr w:rsidR="004E6C32" w:rsidRPr="006A75A2" w:rsidTr="004B5CB1">
        <w:trPr>
          <w:cantSplit/>
        </w:trPr>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Other economic affairs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1 083.9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888.0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1 168.5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982.4</w:t>
            </w:r>
          </w:p>
        </w:tc>
      </w:tr>
      <w:tr w:rsidR="004E6C32" w:rsidRPr="006A75A2" w:rsidTr="004B5CB1">
        <w:trPr>
          <w:cantSplit/>
        </w:trPr>
        <w:tc>
          <w:tcPr>
            <w:tcW w:w="5160"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Other purposes</w:t>
            </w:r>
            <w:r w:rsidRPr="006A75A2">
              <w:rPr>
                <w:rFonts w:eastAsiaTheme="minorEastAsia"/>
                <w:vertAlign w:val="superscript"/>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3 534.6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2 590.0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2 717.4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2 253.8</w:t>
            </w:r>
          </w:p>
        </w:tc>
      </w:tr>
      <w:tr w:rsidR="004E6C32" w:rsidRPr="006A75A2" w:rsidTr="004B5CB1">
        <w:trPr>
          <w:cantSplit/>
        </w:trPr>
        <w:tc>
          <w:tcPr>
            <w:tcW w:w="5160" w:type="dxa"/>
            <w:tcBorders>
              <w:top w:val="single" w:sz="6" w:space="0" w:color="auto"/>
              <w:left w:val="nil"/>
              <w:bottom w:val="single" w:sz="12" w:space="0" w:color="000000"/>
              <w:right w:val="nil"/>
            </w:tcBorders>
            <w:shd w:val="solid" w:color="FFFFFF" w:fill="auto"/>
          </w:tcPr>
          <w:p w:rsidR="004E6C32" w:rsidRPr="006A75A2" w:rsidRDefault="004E6C32" w:rsidP="002D2F70">
            <w:pPr>
              <w:pStyle w:val="Tabletext"/>
              <w:rPr>
                <w:rFonts w:eastAsiaTheme="minorEastAsia"/>
                <w:b/>
                <w:bCs/>
                <w:vertAlign w:val="superscript"/>
                <w:lang w:eastAsia="en-AU"/>
              </w:rPr>
            </w:pPr>
            <w:r w:rsidRPr="006A75A2">
              <w:rPr>
                <w:rFonts w:eastAsiaTheme="minorEastAsia"/>
                <w:b/>
                <w:bCs/>
                <w:lang w:eastAsia="en-AU"/>
              </w:rPr>
              <w:t>Total expenses from transactions</w:t>
            </w:r>
            <w:r w:rsidRPr="006A75A2">
              <w:rPr>
                <w:rFonts w:eastAsiaTheme="minorEastAsia"/>
                <w:b/>
                <w:bCs/>
                <w:vertAlign w:val="superscript"/>
                <w:lang w:eastAsia="en-AU"/>
              </w:rPr>
              <w:t>(b)</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59 489.7</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57 322.8</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50 388.5</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48 929.4</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Note 41 provides definitions and descriptions of government purpose classifications.</w:t>
      </w:r>
    </w:p>
    <w:p w:rsidR="004E6C32" w:rsidRPr="006A75A2" w:rsidRDefault="004E6C32" w:rsidP="004B5CB1">
      <w:pPr>
        <w:pStyle w:val="Notes"/>
      </w:pPr>
      <w:r w:rsidRPr="006A75A2">
        <w:t>(b)</w:t>
      </w:r>
      <w:r w:rsidRPr="006A75A2">
        <w:tab/>
        <w:t xml:space="preserve">June 2013 comparative figures have been restated to reflect a revised accounting standard, AASB 119 </w:t>
      </w:r>
      <w:r w:rsidRPr="006A75A2">
        <w:rPr>
          <w:i w:val="0"/>
        </w:rPr>
        <w:t>Employee Benefits</w:t>
      </w:r>
      <w:r w:rsidRPr="006A75A2">
        <w:t>, which changed the way defined benefit superannuation expenses are calculated and presented. Refer to Note 1(F).</w:t>
      </w:r>
    </w:p>
    <w:p w:rsidR="004E6C32" w:rsidRPr="006A75A2" w:rsidRDefault="004E6C32" w:rsidP="002E6139">
      <w:pPr>
        <w:pStyle w:val="Notes"/>
        <w:rPr>
          <w:b/>
          <w:sz w:val="28"/>
          <w:szCs w:val="22"/>
        </w:rPr>
      </w:pPr>
      <w:r w:rsidRPr="006A75A2">
        <w:t>(c)</w:t>
      </w:r>
      <w:r w:rsidRPr="006A75A2">
        <w:tab/>
        <w:t>June 2013 comparative figures have been updated to reflect more current information.</w:t>
      </w:r>
    </w:p>
    <w:p w:rsidR="004E6C32" w:rsidRPr="006A75A2" w:rsidRDefault="004E6C32" w:rsidP="004B5CB1">
      <w:pPr>
        <w:pStyle w:val="Heading2NotesContd"/>
        <w:rPr>
          <w:kern w:val="0"/>
        </w:rPr>
      </w:pPr>
      <w:r w:rsidRPr="006A75A2">
        <w:rPr>
          <w:kern w:val="0"/>
        </w:rPr>
        <w:lastRenderedPageBreak/>
        <w:t>Note 13:</w:t>
      </w:r>
      <w:r w:rsidRPr="006A75A2">
        <w:rPr>
          <w:kern w:val="0"/>
        </w:rPr>
        <w:tab/>
        <w:t xml:space="preserve">Expenses by government purpose and by department </w:t>
      </w:r>
      <w:r w:rsidRPr="006A75A2">
        <w:rPr>
          <w:i/>
          <w:kern w:val="0"/>
        </w:rPr>
        <w:t>(continued)</w:t>
      </w:r>
    </w:p>
    <w:p w:rsidR="004E6C32" w:rsidRPr="006A75A2" w:rsidRDefault="004E6C32" w:rsidP="0067336F">
      <w:pPr>
        <w:pStyle w:val="Heading5"/>
      </w:pPr>
      <w:r w:rsidRPr="006A75A2">
        <w:t xml:space="preserve">(b) </w:t>
      </w:r>
      <w:r w:rsidRPr="006A75A2">
        <w:tab/>
        <w:t>Expenses by department</w:t>
      </w:r>
    </w:p>
    <w:p w:rsidR="004E6C32" w:rsidRPr="006A75A2" w:rsidRDefault="004E6C32" w:rsidP="004B5CB1">
      <w:pPr>
        <w:pStyle w:val="million"/>
        <w:keepNext/>
        <w:rPr>
          <w:rFonts w:ascii="Times New Roman" w:hAnsi="Times New Roman"/>
          <w:b/>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szCs w:val="22"/>
                <w:lang w:eastAsia="en-AU"/>
              </w:rPr>
            </w:pPr>
            <w:r w:rsidRPr="006A75A2">
              <w:rPr>
                <w:rFonts w:eastAsiaTheme="minorEastAsia"/>
                <w:szCs w:val="22"/>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2013</w:t>
            </w:r>
          </w:p>
        </w:tc>
      </w:tr>
      <w:tr w:rsidR="004E6C32" w:rsidRPr="006A75A2" w:rsidTr="004B5CB1">
        <w:tc>
          <w:tcPr>
            <w:tcW w:w="5160"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Education and Early Childhood Development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14 183.1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14 062.0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14 183.1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14 062.0</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2D2F70">
            <w:pPr>
              <w:pStyle w:val="Tabletext"/>
              <w:rPr>
                <w:rFonts w:eastAsiaTheme="minorEastAsia"/>
                <w:szCs w:val="22"/>
                <w:vertAlign w:val="superscript"/>
                <w:lang w:eastAsia="en-AU"/>
              </w:rPr>
            </w:pPr>
            <w:r w:rsidRPr="006A75A2">
              <w:rPr>
                <w:rFonts w:eastAsiaTheme="minorEastAsia"/>
                <w:szCs w:val="22"/>
                <w:lang w:eastAsia="en-AU"/>
              </w:rPr>
              <w:t>Environment and Primary Industries</w:t>
            </w:r>
            <w:r w:rsidRPr="006A75A2">
              <w:rPr>
                <w:rFonts w:eastAsiaTheme="minorEastAsia"/>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7 935.5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6 558.5</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2 323.7</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1 850.4</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Health</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15 559.7</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14 753.7</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15 472.7</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14 674.5</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Human Services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4 677.7</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4 466.7</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3 726.9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3 541.8</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Justice</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6 122.5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4 627.9</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5 966.1</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4 486.7</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Premier and Cabinet</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798.1</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775.0</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693.2</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659.4</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2D2F70">
            <w:pPr>
              <w:pStyle w:val="Tabletext"/>
              <w:rPr>
                <w:rFonts w:eastAsiaTheme="minorEastAsia"/>
                <w:szCs w:val="22"/>
                <w:vertAlign w:val="superscript"/>
                <w:lang w:eastAsia="en-AU"/>
              </w:rPr>
            </w:pPr>
            <w:r w:rsidRPr="006A75A2">
              <w:rPr>
                <w:rFonts w:eastAsiaTheme="minorEastAsia"/>
                <w:szCs w:val="22"/>
                <w:lang w:eastAsia="en-AU"/>
              </w:rPr>
              <w:t>State Development, Business and Innovation</w:t>
            </w:r>
            <w:r w:rsidRPr="006A75A2">
              <w:rPr>
                <w:rFonts w:eastAsiaTheme="minorEastAsia"/>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1 430.4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1 126.8</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1 137.5</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835.3</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2D2F70">
            <w:pPr>
              <w:pStyle w:val="Tabletext"/>
              <w:rPr>
                <w:rFonts w:eastAsiaTheme="minorEastAsia"/>
                <w:szCs w:val="22"/>
                <w:vertAlign w:val="superscript"/>
                <w:lang w:eastAsia="en-AU"/>
              </w:rPr>
            </w:pPr>
            <w:r w:rsidRPr="006A75A2">
              <w:rPr>
                <w:rFonts w:eastAsiaTheme="minorEastAsia"/>
                <w:szCs w:val="22"/>
                <w:lang w:eastAsia="en-AU"/>
              </w:rPr>
              <w:t>Transport, Planning and Local Infrastructure</w:t>
            </w:r>
            <w:r w:rsidRPr="006A75A2">
              <w:rPr>
                <w:rFonts w:eastAsiaTheme="minorEastAsia"/>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10 222.1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9 476.8</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6 791.6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6 210.7</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2D2F70">
            <w:pPr>
              <w:pStyle w:val="Tabletext"/>
              <w:rPr>
                <w:rFonts w:eastAsiaTheme="minorEastAsia"/>
                <w:szCs w:val="22"/>
                <w:vertAlign w:val="superscript"/>
                <w:lang w:eastAsia="en-AU"/>
              </w:rPr>
            </w:pPr>
            <w:r w:rsidRPr="006A75A2">
              <w:rPr>
                <w:rFonts w:eastAsiaTheme="minorEastAsia"/>
                <w:szCs w:val="22"/>
                <w:lang w:eastAsia="en-AU"/>
              </w:rPr>
              <w:t>Treasury and Finance</w:t>
            </w:r>
            <w:r w:rsidRPr="006A75A2">
              <w:rPr>
                <w:rFonts w:eastAsiaTheme="minorEastAsia"/>
                <w:szCs w:val="22"/>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14 535.1</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14 738.0</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6 088.7</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6 078.5</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Parliament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169.5</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165.9</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169.5</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165.9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Regulatory bodies and other part budget funded agencies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1 984.2</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1 987.0</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1 984.2</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1 987.0</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szCs w:val="22"/>
                <w:vertAlign w:val="superscript"/>
                <w:lang w:eastAsia="en-AU"/>
              </w:rPr>
            </w:pPr>
            <w:r w:rsidRPr="006A75A2">
              <w:rPr>
                <w:rFonts w:eastAsiaTheme="minorEastAsia"/>
                <w:szCs w:val="22"/>
                <w:lang w:eastAsia="en-AU"/>
              </w:rPr>
              <w:t>Planning and Community Development</w:t>
            </w:r>
            <w:r w:rsidRPr="006A75A2">
              <w:rPr>
                <w:rFonts w:eastAsiaTheme="minorEastAsia"/>
                <w:szCs w:val="22"/>
                <w:vertAlign w:val="superscript"/>
                <w:lang w:eastAsia="en-AU"/>
              </w:rPr>
              <w:t>(c)</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1 016.5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1 016.5</w:t>
            </w:r>
          </w:p>
        </w:tc>
      </w:tr>
      <w:tr w:rsidR="004E6C32" w:rsidRPr="006A75A2" w:rsidTr="004B5CB1">
        <w:tc>
          <w:tcPr>
            <w:tcW w:w="5160" w:type="dxa"/>
            <w:tcBorders>
              <w:top w:val="nil"/>
              <w:left w:val="nil"/>
              <w:bottom w:val="single" w:sz="12" w:space="0" w:color="auto"/>
              <w:right w:val="nil"/>
            </w:tcBorders>
          </w:tcPr>
          <w:p w:rsidR="004E6C32" w:rsidRPr="006A75A2" w:rsidRDefault="004E6C32" w:rsidP="002D2F70">
            <w:pPr>
              <w:pStyle w:val="Tabletext"/>
              <w:rPr>
                <w:rFonts w:eastAsiaTheme="minorEastAsia"/>
                <w:szCs w:val="22"/>
                <w:vertAlign w:val="superscript"/>
                <w:lang w:eastAsia="en-AU"/>
              </w:rPr>
            </w:pPr>
            <w:r w:rsidRPr="006A75A2">
              <w:rPr>
                <w:rFonts w:eastAsiaTheme="minorEastAsia"/>
                <w:szCs w:val="22"/>
                <w:lang w:eastAsia="en-AU"/>
              </w:rPr>
              <w:t>Primary Industries</w:t>
            </w:r>
            <w:r w:rsidRPr="006A75A2">
              <w:rPr>
                <w:rFonts w:eastAsiaTheme="minorEastAsia"/>
                <w:szCs w:val="22"/>
                <w:vertAlign w:val="superscript"/>
                <w:lang w:eastAsia="en-AU"/>
              </w:rPr>
              <w:t>(c)</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536.2</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536.2</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2D2F70">
            <w:pPr>
              <w:pStyle w:val="Tabletext"/>
              <w:rPr>
                <w:rFonts w:eastAsiaTheme="minorEastAsia"/>
                <w:b/>
                <w:bCs/>
                <w:szCs w:val="22"/>
                <w:vertAlign w:val="superscript"/>
                <w:lang w:eastAsia="en-AU"/>
              </w:rPr>
            </w:pPr>
            <w:r w:rsidRPr="006A75A2">
              <w:rPr>
                <w:rFonts w:eastAsiaTheme="minorEastAsia"/>
                <w:b/>
                <w:bCs/>
                <w:szCs w:val="22"/>
                <w:lang w:eastAsia="en-AU"/>
              </w:rPr>
              <w:t>Total</w:t>
            </w:r>
            <w:r w:rsidRPr="006A75A2">
              <w:rPr>
                <w:rFonts w:eastAsiaTheme="minorEastAsia"/>
                <w:b/>
                <w:bCs/>
                <w:szCs w:val="22"/>
                <w:vertAlign w:val="superscript"/>
                <w:lang w:eastAsia="en-AU"/>
              </w:rPr>
              <w:t>(b)</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77 617.8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74 291.2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58 537.2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56 104.9</w:t>
            </w:r>
          </w:p>
        </w:tc>
      </w:tr>
      <w:tr w:rsidR="004E6C32" w:rsidRPr="006A75A2" w:rsidTr="004B5CB1">
        <w:tc>
          <w:tcPr>
            <w:tcW w:w="5160" w:type="dxa"/>
            <w:tcBorders>
              <w:top w:val="nil"/>
              <w:left w:val="nil"/>
              <w:bottom w:val="single" w:sz="6" w:space="0" w:color="auto"/>
              <w:right w:val="nil"/>
            </w:tcBorders>
            <w:shd w:val="solid" w:color="FFFFFF" w:fill="auto"/>
          </w:tcPr>
          <w:p w:rsidR="004E6C32" w:rsidRPr="006A75A2" w:rsidRDefault="004E6C32" w:rsidP="002D2F70">
            <w:pPr>
              <w:pStyle w:val="Tabletext"/>
              <w:rPr>
                <w:rFonts w:eastAsiaTheme="minorEastAsia"/>
                <w:szCs w:val="22"/>
                <w:vertAlign w:val="superscript"/>
                <w:lang w:eastAsia="en-AU"/>
              </w:rPr>
            </w:pPr>
            <w:r w:rsidRPr="006A75A2">
              <w:rPr>
                <w:rFonts w:eastAsiaTheme="minorEastAsia"/>
                <w:i/>
                <w:szCs w:val="22"/>
                <w:lang w:eastAsia="en-AU"/>
              </w:rPr>
              <w:t>Less eliminations and adjustments</w:t>
            </w:r>
            <w:r w:rsidRPr="006A75A2">
              <w:rPr>
                <w:rFonts w:eastAsiaTheme="minorEastAsia"/>
                <w:szCs w:val="22"/>
                <w:vertAlign w:val="superscript"/>
                <w:lang w:eastAsia="en-AU"/>
              </w:rPr>
              <w:t>(d)</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(18 128.1)</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(16 968.4)</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(8 148.7)</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(7 175.4)</w:t>
            </w:r>
          </w:p>
        </w:tc>
      </w:tr>
      <w:tr w:rsidR="004E6C32" w:rsidRPr="006A75A2" w:rsidTr="004B5CB1">
        <w:tc>
          <w:tcPr>
            <w:tcW w:w="5160" w:type="dxa"/>
            <w:tcBorders>
              <w:top w:val="single" w:sz="6" w:space="0" w:color="auto"/>
              <w:left w:val="nil"/>
              <w:bottom w:val="single" w:sz="12" w:space="0" w:color="000000"/>
              <w:right w:val="nil"/>
            </w:tcBorders>
            <w:shd w:val="solid" w:color="FFFFFF" w:fill="auto"/>
          </w:tcPr>
          <w:p w:rsidR="004E6C32" w:rsidRPr="006A75A2" w:rsidRDefault="004E6C32" w:rsidP="002D2F70">
            <w:pPr>
              <w:pStyle w:val="Tabletext"/>
              <w:rPr>
                <w:rFonts w:eastAsiaTheme="minorEastAsia"/>
                <w:b/>
                <w:bCs/>
                <w:szCs w:val="22"/>
                <w:vertAlign w:val="superscript"/>
                <w:lang w:eastAsia="en-AU"/>
              </w:rPr>
            </w:pPr>
            <w:r w:rsidRPr="006A75A2">
              <w:rPr>
                <w:rFonts w:eastAsiaTheme="minorEastAsia"/>
                <w:b/>
                <w:bCs/>
                <w:szCs w:val="22"/>
                <w:lang w:eastAsia="en-AU"/>
              </w:rPr>
              <w:t>Total expenses from transactions</w:t>
            </w:r>
            <w:r w:rsidRPr="006A75A2">
              <w:rPr>
                <w:rFonts w:eastAsiaTheme="minorEastAsia"/>
                <w:b/>
                <w:bCs/>
                <w:szCs w:val="22"/>
                <w:vertAlign w:val="superscript"/>
                <w:lang w:eastAsia="en-AU"/>
              </w:rPr>
              <w:t>(b)</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59 489.7</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57 322.8</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50 388.5</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48 929.4</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Effective 9 April 2013, several departments were renamed due to machinery of government changes:</w:t>
      </w:r>
    </w:p>
    <w:p w:rsidR="004E6C32" w:rsidRPr="006A75A2" w:rsidRDefault="004E6C32" w:rsidP="004B5CB1">
      <w:pPr>
        <w:pStyle w:val="NotesDash"/>
      </w:pPr>
      <w:r w:rsidRPr="006A75A2">
        <w:t>the Department of Sustainability and Environment became the Department of Environment and Primary Industries;</w:t>
      </w:r>
    </w:p>
    <w:p w:rsidR="004E6C32" w:rsidRPr="006A75A2" w:rsidRDefault="004E6C32" w:rsidP="004B5CB1">
      <w:pPr>
        <w:pStyle w:val="NotesDash"/>
      </w:pPr>
      <w:r w:rsidRPr="006A75A2">
        <w:t>the Department of Business and Innovation became the Department of State Development, Business and Innovation; and</w:t>
      </w:r>
    </w:p>
    <w:p w:rsidR="004E6C32" w:rsidRPr="006A75A2" w:rsidRDefault="004E6C32" w:rsidP="004B5CB1">
      <w:pPr>
        <w:pStyle w:val="NotesDash"/>
      </w:pPr>
      <w:r w:rsidRPr="006A75A2">
        <w:t>the Department of Transport became the Department of Transport, Planning and Local Infrastructure.</w:t>
      </w:r>
    </w:p>
    <w:p w:rsidR="004E6C32" w:rsidRPr="006A75A2" w:rsidRDefault="004E6C32" w:rsidP="004E6C32">
      <w:pPr>
        <w:pStyle w:val="Notes"/>
        <w:numPr>
          <w:ilvl w:val="0"/>
          <w:numId w:val="19"/>
        </w:numPr>
      </w:pPr>
      <w:r w:rsidRPr="006A75A2">
        <w:t xml:space="preserve">June 2013 comparative figures have been restated to reflect a revised accounting standard, AASB 119 </w:t>
      </w:r>
      <w:r w:rsidRPr="006A75A2">
        <w:rPr>
          <w:i w:val="0"/>
        </w:rPr>
        <w:t>Employee Benefits</w:t>
      </w:r>
      <w:r w:rsidRPr="006A75A2">
        <w:t>, which changed the way defined benefit superannuation expenses are calculated and presented. Refer to Note 1(F).</w:t>
      </w:r>
    </w:p>
    <w:p w:rsidR="004E6C32" w:rsidRPr="006A75A2" w:rsidRDefault="004E6C32" w:rsidP="004B5CB1">
      <w:pPr>
        <w:pStyle w:val="Notes"/>
        <w:numPr>
          <w:ilvl w:val="0"/>
          <w:numId w:val="11"/>
        </w:numPr>
      </w:pPr>
      <w:r w:rsidRPr="006A75A2">
        <w:t>Effective 1 July 2013, the following departments ceased to exist and had their functions and operations transferred to other Victorian government departments:</w:t>
      </w:r>
    </w:p>
    <w:p w:rsidR="004E6C32" w:rsidRPr="006A75A2" w:rsidRDefault="004E6C32" w:rsidP="004B5CB1">
      <w:pPr>
        <w:pStyle w:val="NotesDash"/>
      </w:pPr>
      <w:r w:rsidRPr="006A75A2">
        <w:t>Department of Planning and Community Development; and</w:t>
      </w:r>
    </w:p>
    <w:p w:rsidR="004E6C32" w:rsidRPr="006A75A2" w:rsidRDefault="004E6C32" w:rsidP="004B5CB1">
      <w:pPr>
        <w:pStyle w:val="NotesDash"/>
      </w:pPr>
      <w:r w:rsidRPr="006A75A2">
        <w:t>Department of Primary Industries.</w:t>
      </w:r>
    </w:p>
    <w:p w:rsidR="004E6C32" w:rsidRPr="006A75A2" w:rsidRDefault="004E6C32" w:rsidP="004B5CB1">
      <w:pPr>
        <w:pStyle w:val="Notes"/>
      </w:pPr>
      <w:r w:rsidRPr="006A75A2">
        <w:t>(d)</w:t>
      </w:r>
      <w:r w:rsidRPr="006A75A2">
        <w:tab/>
        <w:t>Mainly comprising of payroll tax, capital asset charge and inter-departmental transfers.</w:t>
      </w:r>
    </w:p>
    <w:p w:rsidR="004E6C32" w:rsidRPr="006A75A2" w:rsidRDefault="004E6C32" w:rsidP="004B5CB1"/>
    <w:p w:rsidR="004E6C32" w:rsidRPr="006A75A2" w:rsidRDefault="004E6C32" w:rsidP="004B5CB1"/>
    <w:p w:rsidR="004E6C32" w:rsidRPr="006A75A2" w:rsidRDefault="004E6C32" w:rsidP="004B5CB1">
      <w:pPr>
        <w:pStyle w:val="Heading2Notes"/>
        <w:rPr>
          <w:kern w:val="0"/>
        </w:rPr>
      </w:pPr>
      <w:bookmarkStart w:id="44" w:name="_Toc400040261"/>
      <w:r w:rsidRPr="006A75A2">
        <w:rPr>
          <w:kern w:val="0"/>
        </w:rPr>
        <w:t>Note 14:</w:t>
      </w:r>
      <w:r w:rsidRPr="006A75A2">
        <w:rPr>
          <w:kern w:val="0"/>
        </w:rPr>
        <w:tab/>
        <w:t>Net gain/(loss) on disposal of non</w:t>
      </w:r>
      <w:r w:rsidRPr="006A75A2">
        <w:rPr>
          <w:kern w:val="0"/>
        </w:rPr>
        <w:noBreakHyphen/>
        <w:t>financial assets</w:t>
      </w:r>
      <w:bookmarkEnd w:id="44"/>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Proceeds from disposal of physical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496.3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406.3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270.9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248.0</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Written down value of assets sold/(disposed)</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(509.0)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(385.2)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(296.0)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(227.2)</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gain/(loss) on disposal of non-financial assets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(12.7)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21.0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(25.0)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20.8</w:t>
            </w:r>
          </w:p>
        </w:tc>
      </w:tr>
    </w:tbl>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45" w:name="_Toc400040262"/>
      <w:r w:rsidRPr="006A75A2">
        <w:rPr>
          <w:kern w:val="0"/>
        </w:rPr>
        <w:lastRenderedPageBreak/>
        <w:t>Note 15:</w:t>
      </w:r>
      <w:r w:rsidRPr="006A75A2">
        <w:rPr>
          <w:kern w:val="0"/>
        </w:rPr>
        <w:tab/>
        <w:t>Other gains/(losses) from other economic flows</w:t>
      </w:r>
      <w:bookmarkEnd w:id="45"/>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gain/(loss) from revaluation of biological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(increase)/decrease in provision for doubtful receivables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(178.4)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(261.0)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(175.7)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(252.6)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Amortisation of intangible non-produced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(10.5)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(23.8)</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(15.7)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swap interest revenue/(expense)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(5.8)</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Bad debts written off</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(195.7)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(177.9)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(174.1)</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(162.5)</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gains/(losses)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2 029.5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(882.1)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165.3</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other gains/(losses) from other economic flows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(379.2)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1 549.7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(1 230.7)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(262.3)</w:t>
            </w:r>
          </w:p>
        </w:tc>
      </w:tr>
    </w:tbl>
    <w:p w:rsidR="004E6C32" w:rsidRPr="006A75A2" w:rsidRDefault="004E6C32" w:rsidP="004B5CB1"/>
    <w:p w:rsidR="004E6C32" w:rsidRPr="006A75A2" w:rsidRDefault="004E6C32" w:rsidP="004B5CB1"/>
    <w:p w:rsidR="004E6C32" w:rsidRPr="006A75A2" w:rsidRDefault="004E6C32" w:rsidP="004B5CB1">
      <w:pPr>
        <w:pStyle w:val="Heading2Notes"/>
        <w:rPr>
          <w:kern w:val="0"/>
        </w:rPr>
      </w:pPr>
      <w:bookmarkStart w:id="46" w:name="_Toc400040263"/>
      <w:r w:rsidRPr="006A75A2">
        <w:rPr>
          <w:kern w:val="0"/>
        </w:rPr>
        <w:t>Note 16:</w:t>
      </w:r>
      <w:r w:rsidRPr="006A75A2">
        <w:rPr>
          <w:kern w:val="0"/>
        </w:rPr>
        <w:tab/>
        <w:t>Advances paid and investments, loans and placements</w:t>
      </w:r>
      <w:bookmarkEnd w:id="46"/>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811"/>
        <w:gridCol w:w="309"/>
        <w:gridCol w:w="400"/>
        <w:gridCol w:w="283"/>
        <w:gridCol w:w="437"/>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5"/>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gridSpan w:val="2"/>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gridSpan w:val="3"/>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971" w:type="dxa"/>
            <w:gridSpan w:val="2"/>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Current advances paid and investments, loans and placements</w:t>
            </w:r>
          </w:p>
        </w:tc>
        <w:tc>
          <w:tcPr>
            <w:tcW w:w="309"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i/>
                <w:iCs/>
                <w:lang w:eastAsia="en-AU"/>
              </w:rPr>
            </w:pPr>
            <w:r w:rsidRPr="006A75A2">
              <w:rPr>
                <w:rFonts w:eastAsiaTheme="minorEastAsia"/>
                <w:b/>
                <w:bCs/>
                <w:i/>
                <w:iCs/>
                <w:lang w:eastAsia="en-AU"/>
              </w:rPr>
              <w:t xml:space="preserve"> </w:t>
            </w:r>
          </w:p>
        </w:tc>
        <w:tc>
          <w:tcPr>
            <w:tcW w:w="1120" w:type="dxa"/>
            <w:gridSpan w:val="3"/>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i/>
                <w:iCs/>
                <w:lang w:eastAsia="en-AU"/>
              </w:rPr>
            </w:pPr>
            <w:r w:rsidRPr="006A75A2">
              <w:rPr>
                <w:rFonts w:eastAsiaTheme="minorEastAsia"/>
                <w:b/>
                <w:bCs/>
                <w:i/>
                <w:iCs/>
                <w:lang w:eastAsia="en-AU"/>
              </w:rPr>
              <w:t xml:space="preserve"> </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i/>
                <w:iCs/>
                <w:lang w:eastAsia="en-AU"/>
              </w:rPr>
            </w:pPr>
            <w:r w:rsidRPr="006A75A2">
              <w:rPr>
                <w:rFonts w:eastAsiaTheme="minorEastAsia"/>
                <w:b/>
                <w:bCs/>
                <w:i/>
                <w:iCs/>
                <w:lang w:eastAsia="en-AU"/>
              </w:rPr>
              <w:t xml:space="preserve"> </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i/>
                <w:iCs/>
                <w:lang w:eastAsia="en-AU"/>
              </w:rPr>
            </w:pPr>
            <w:r w:rsidRPr="006A75A2">
              <w:rPr>
                <w:rFonts w:eastAsiaTheme="minorEastAsia"/>
                <w:b/>
                <w:bCs/>
                <w:i/>
                <w:i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Loans and advances paid</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126.7</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63.6</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Equities and managed investment schemes </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1 304.7</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628.6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453.2</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Australian dollar term deposits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781.7</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897.1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1 862.7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2 453.9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Foreign currency term deposits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Debt securities</w:t>
            </w:r>
            <w:r w:rsidRPr="006A75A2">
              <w:rPr>
                <w:rFonts w:eastAsiaTheme="minorEastAsia"/>
                <w:vertAlign w:val="superscript"/>
                <w:lang w:eastAsia="en-AU"/>
              </w:rPr>
              <w:t xml:space="preserve"> </w:t>
            </w:r>
          </w:p>
        </w:tc>
        <w:tc>
          <w:tcPr>
            <w:tcW w:w="1120" w:type="dxa"/>
            <w:gridSpan w:val="2"/>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4 064.7</w:t>
            </w:r>
          </w:p>
        </w:tc>
        <w:tc>
          <w:tcPr>
            <w:tcW w:w="1120" w:type="dxa"/>
            <w:gridSpan w:val="3"/>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2 743.7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200.9</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current advances paid and investments, loans and placements</w:t>
            </w:r>
          </w:p>
        </w:tc>
        <w:tc>
          <w:tcPr>
            <w:tcW w:w="1120" w:type="dxa"/>
            <w:gridSpan w:val="2"/>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6 478.7</w:t>
            </w:r>
          </w:p>
        </w:tc>
        <w:tc>
          <w:tcPr>
            <w:tcW w:w="1120" w:type="dxa"/>
            <w:gridSpan w:val="3"/>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4 771.7</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2 625.3</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2 972.4</w:t>
            </w:r>
          </w:p>
        </w:tc>
      </w:tr>
      <w:tr w:rsidR="004E6C32" w:rsidRPr="006A75A2" w:rsidTr="004B5CB1">
        <w:tc>
          <w:tcPr>
            <w:tcW w:w="6680" w:type="dxa"/>
            <w:gridSpan w:val="4"/>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Non-current advances paid and investments, loans and placements</w:t>
            </w:r>
          </w:p>
        </w:tc>
        <w:tc>
          <w:tcPr>
            <w:tcW w:w="28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43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Loans and advances paid</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1 668.4</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1 653.2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4 541.8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4 563.2</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Equities and managed investment schemes </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15 467.0</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14 510.5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241.0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228.8</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Australian dollar term deposits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237.4</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251.7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205.9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Debt securities </w:t>
            </w:r>
          </w:p>
        </w:tc>
        <w:tc>
          <w:tcPr>
            <w:tcW w:w="1120" w:type="dxa"/>
            <w:gridSpan w:val="2"/>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7 387.4</w:t>
            </w:r>
          </w:p>
        </w:tc>
        <w:tc>
          <w:tcPr>
            <w:tcW w:w="1120" w:type="dxa"/>
            <w:gridSpan w:val="3"/>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6 435.1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325.0</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285.5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non-current advances paid and investments, loans and placements</w:t>
            </w:r>
          </w:p>
        </w:tc>
        <w:tc>
          <w:tcPr>
            <w:tcW w:w="1120" w:type="dxa"/>
            <w:gridSpan w:val="2"/>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25 085.2</w:t>
            </w:r>
          </w:p>
        </w:tc>
        <w:tc>
          <w:tcPr>
            <w:tcW w:w="1120" w:type="dxa"/>
            <w:gridSpan w:val="3"/>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23 084.3</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5 079.3</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5 037.8</w:t>
            </w:r>
          </w:p>
        </w:tc>
      </w:tr>
      <w:tr w:rsidR="004E6C32" w:rsidRPr="006A75A2" w:rsidTr="004B5CB1">
        <w:tc>
          <w:tcPr>
            <w:tcW w:w="5160" w:type="dxa"/>
            <w:tcBorders>
              <w:top w:val="nil"/>
              <w:left w:val="nil"/>
              <w:bottom w:val="single" w:sz="12" w:space="0" w:color="auto"/>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advances paid and investments, loans and placements</w:t>
            </w:r>
          </w:p>
        </w:tc>
        <w:tc>
          <w:tcPr>
            <w:tcW w:w="1120" w:type="dxa"/>
            <w:gridSpan w:val="2"/>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31 563.8</w:t>
            </w:r>
          </w:p>
        </w:tc>
        <w:tc>
          <w:tcPr>
            <w:tcW w:w="1120" w:type="dxa"/>
            <w:gridSpan w:val="3"/>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27 855.9</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7 704.5</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8 010.2</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Represented by:</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r>
      <w:tr w:rsidR="004E6C32" w:rsidRPr="006A75A2" w:rsidTr="004B5CB1">
        <w:tc>
          <w:tcPr>
            <w:tcW w:w="5160" w:type="dxa"/>
            <w:tcBorders>
              <w:top w:val="nil"/>
              <w:left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Advances paid</w:t>
            </w:r>
          </w:p>
        </w:tc>
        <w:tc>
          <w:tcPr>
            <w:tcW w:w="1120" w:type="dxa"/>
            <w:gridSpan w:val="2"/>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1 795.1</w:t>
            </w:r>
          </w:p>
        </w:tc>
        <w:tc>
          <w:tcPr>
            <w:tcW w:w="1120" w:type="dxa"/>
            <w:gridSpan w:val="3"/>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1 727.3</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4 586.9</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4 626.8</w:t>
            </w:r>
          </w:p>
        </w:tc>
      </w:tr>
      <w:tr w:rsidR="004E6C32" w:rsidRPr="006A75A2" w:rsidTr="004B5CB1">
        <w:tc>
          <w:tcPr>
            <w:tcW w:w="5160" w:type="dxa"/>
            <w:tcBorders>
              <w:top w:val="nil"/>
              <w:left w:val="nil"/>
              <w:bottom w:val="single" w:sz="12" w:space="0" w:color="000000"/>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Investments, loans and placements</w:t>
            </w:r>
          </w:p>
        </w:tc>
        <w:tc>
          <w:tcPr>
            <w:tcW w:w="1120" w:type="dxa"/>
            <w:gridSpan w:val="2"/>
            <w:tcBorders>
              <w:top w:val="nil"/>
              <w:left w:val="nil"/>
              <w:bottom w:val="single" w:sz="12" w:space="0" w:color="000000"/>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29 768.8</w:t>
            </w:r>
          </w:p>
        </w:tc>
        <w:tc>
          <w:tcPr>
            <w:tcW w:w="1120" w:type="dxa"/>
            <w:gridSpan w:val="3"/>
            <w:tcBorders>
              <w:top w:val="nil"/>
              <w:left w:val="nil"/>
              <w:bottom w:val="single" w:sz="12" w:space="0" w:color="000000"/>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26 128.7</w:t>
            </w:r>
          </w:p>
        </w:tc>
        <w:tc>
          <w:tcPr>
            <w:tcW w:w="1120" w:type="dxa"/>
            <w:tcBorders>
              <w:top w:val="nil"/>
              <w:left w:val="nil"/>
              <w:bottom w:val="single" w:sz="12" w:space="0" w:color="000000"/>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3 117.6</w:t>
            </w:r>
          </w:p>
        </w:tc>
        <w:tc>
          <w:tcPr>
            <w:tcW w:w="1120" w:type="dxa"/>
            <w:tcBorders>
              <w:top w:val="nil"/>
              <w:left w:val="nil"/>
              <w:bottom w:val="single" w:sz="12" w:space="0" w:color="000000"/>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3 383.4</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47" w:name="_Toc400040264"/>
      <w:r w:rsidRPr="006A75A2">
        <w:rPr>
          <w:kern w:val="0"/>
        </w:rPr>
        <w:lastRenderedPageBreak/>
        <w:t>Note 17:</w:t>
      </w:r>
      <w:r w:rsidRPr="006A75A2">
        <w:rPr>
          <w:kern w:val="0"/>
        </w:rPr>
        <w:tab/>
        <w:t>Receivables</w:t>
      </w:r>
      <w:bookmarkEnd w:id="47"/>
    </w:p>
    <w:p w:rsidR="004E6C32" w:rsidRPr="006A75A2" w:rsidRDefault="004E6C32" w:rsidP="0067336F">
      <w:pPr>
        <w:pStyle w:val="Heading5"/>
      </w:pPr>
      <w:r w:rsidRPr="006A75A2">
        <w:t>(a) Total Receivables</w:t>
      </w:r>
    </w:p>
    <w:p w:rsidR="004E6C32" w:rsidRPr="006A75A2" w:rsidRDefault="004E6C32" w:rsidP="004B5CB1">
      <w:pPr>
        <w:pStyle w:val="million"/>
        <w:rPr>
          <w:rFonts w:ascii="Times New Roman" w:hAnsi="Times New Roman"/>
          <w:b/>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Contractual</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Sales of goods and services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1 183.3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1 215.9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647.2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709.8</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lang w:eastAsia="en-AU"/>
              </w:rPr>
            </w:pPr>
            <w:r w:rsidRPr="006A75A2">
              <w:rPr>
                <w:rFonts w:eastAsiaTheme="minorEastAsia"/>
                <w:lang w:eastAsia="en-AU"/>
              </w:rPr>
              <w:t>Accrued investment income</w:t>
            </w:r>
            <w:r w:rsidRPr="006A75A2">
              <w:rPr>
                <w:rFonts w:eastAsiaTheme="minorEastAsia"/>
                <w:vertAlign w:val="superscript"/>
                <w:lang w:eastAsia="en-AU"/>
              </w:rPr>
              <w:t>(a)</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185.3</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Other receivables</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1 007.6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2 131.7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1 097.7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1 102.1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Provision for doubtful contractual receivables </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(144.1)</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(145.9)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(72.2)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(68.5)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Statutory</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Sales of goods and services</w:t>
            </w:r>
            <w:r w:rsidRPr="006A75A2">
              <w:rPr>
                <w:rFonts w:eastAsiaTheme="minorEastAsia"/>
                <w:vertAlign w:val="superscript"/>
                <w:lang w:eastAsia="en-AU"/>
              </w:rPr>
              <w:t>(a)(b)</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Taxes receivables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2 084.8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2 113.4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2 141.0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2 152.1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Fines and regulatory fees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1 670.4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1 519.9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1 670.4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1 519.9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GST input tax credits recoverable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781.4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270.9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285.7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Provision for doubtful statutory receivables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(842.9)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(825.5)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(842.9)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(825.5)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Other</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lang w:eastAsia="en-AU"/>
              </w:rPr>
            </w:pPr>
            <w:r w:rsidRPr="006A75A2">
              <w:rPr>
                <w:rFonts w:eastAsiaTheme="minorEastAsia"/>
                <w:lang w:eastAsia="en-AU"/>
              </w:rPr>
              <w:t>Actuarially determined</w:t>
            </w:r>
            <w:r w:rsidRPr="006A75A2">
              <w:rPr>
                <w:rFonts w:eastAsiaTheme="minorEastAsia"/>
                <w:vertAlign w:val="superscript"/>
                <w:lang w:eastAsia="en-AU"/>
              </w:rPr>
              <w:t>(b)</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572.1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588.5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receivables</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6 396.5</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7 402.9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4 940.6</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5 061.0</w:t>
            </w:r>
          </w:p>
        </w:tc>
      </w:tr>
      <w:tr w:rsidR="004E6C32" w:rsidRPr="006A75A2" w:rsidTr="004B5CB1">
        <w:tc>
          <w:tcPr>
            <w:tcW w:w="5160" w:type="dxa"/>
            <w:tcBorders>
              <w:top w:val="single" w:sz="12"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Represented by:</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Current receivables</w:t>
            </w:r>
            <w:r w:rsidRPr="006A75A2">
              <w:rPr>
                <w:rFonts w:eastAsiaTheme="minorEastAsia"/>
                <w:vertAlign w:val="superscript"/>
                <w:lang w:eastAsia="en-AU"/>
              </w:rPr>
              <w:t>(a)</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5 113.3</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5 963.5</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4 006.9</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3 882.9</w:t>
            </w:r>
          </w:p>
        </w:tc>
      </w:tr>
      <w:tr w:rsidR="004E6C32" w:rsidRPr="006A75A2" w:rsidTr="004B5CB1">
        <w:tc>
          <w:tcPr>
            <w:tcW w:w="5160" w:type="dxa"/>
            <w:tcBorders>
              <w:top w:val="nil"/>
              <w:left w:val="nil"/>
              <w:bottom w:val="single" w:sz="12" w:space="0" w:color="000000"/>
              <w:right w:val="nil"/>
            </w:tcBorders>
            <w:shd w:val="clear" w:color="auto" w:fill="auto"/>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Non-current receivables</w:t>
            </w:r>
            <w:r w:rsidRPr="006A75A2">
              <w:rPr>
                <w:rFonts w:eastAsiaTheme="minorEastAsia"/>
                <w:vertAlign w:val="superscript"/>
                <w:lang w:eastAsia="en-AU"/>
              </w:rPr>
              <w:t>(a)</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1 283.2</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1 439.3</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933.7</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1 178.1</w:t>
            </w:r>
          </w:p>
        </w:tc>
      </w:tr>
    </w:tbl>
    <w:p w:rsidR="004E6C32" w:rsidRPr="006A75A2" w:rsidRDefault="004E6C32" w:rsidP="004B5CB1">
      <w:pPr>
        <w:pStyle w:val="Notes"/>
      </w:pPr>
      <w:r w:rsidRPr="006A75A2">
        <w:t>Notes:</w:t>
      </w:r>
    </w:p>
    <w:p w:rsidR="004E6C32" w:rsidRPr="006A75A2" w:rsidRDefault="004E6C32" w:rsidP="004E6C32">
      <w:pPr>
        <w:pStyle w:val="Notes"/>
        <w:numPr>
          <w:ilvl w:val="0"/>
          <w:numId w:val="12"/>
        </w:numPr>
      </w:pPr>
      <w:r w:rsidRPr="006A75A2">
        <w:t>June 2013 comparative figures have been restated. See Note 37.</w:t>
      </w:r>
    </w:p>
    <w:p w:rsidR="004E6C32" w:rsidRPr="006A75A2" w:rsidRDefault="004E6C32" w:rsidP="004E6C32">
      <w:pPr>
        <w:pStyle w:val="Notes"/>
        <w:numPr>
          <w:ilvl w:val="0"/>
          <w:numId w:val="12"/>
        </w:numPr>
      </w:pPr>
      <w:r w:rsidRPr="006A75A2">
        <w:t xml:space="preserve">June 2013 figures have been restated due to a reclassification of receivables from </w:t>
      </w:r>
      <w:r w:rsidR="00C96101" w:rsidRPr="006A75A2">
        <w:t>‘</w:t>
      </w:r>
      <w:r w:rsidRPr="006A75A2">
        <w:t>Statutory, Sales of goods and services</w:t>
      </w:r>
      <w:r w:rsidR="00C96101" w:rsidRPr="006A75A2">
        <w:t>’</w:t>
      </w:r>
      <w:r w:rsidRPr="006A75A2">
        <w:t xml:space="preserve"> to </w:t>
      </w:r>
      <w:r w:rsidR="00C96101" w:rsidRPr="006A75A2">
        <w:t>‘</w:t>
      </w:r>
      <w:r w:rsidRPr="006A75A2">
        <w:t>Other, Actuarially determined</w:t>
      </w:r>
      <w:r w:rsidR="00C96101" w:rsidRPr="006A75A2">
        <w:t>’</w:t>
      </w:r>
      <w:r w:rsidRPr="006A75A2">
        <w:t>.</w:t>
      </w:r>
    </w:p>
    <w:p w:rsidR="002D2F70" w:rsidRPr="006A75A2" w:rsidRDefault="002D2F70" w:rsidP="002D2F70"/>
    <w:p w:rsidR="002D2F70" w:rsidRPr="006A75A2" w:rsidRDefault="002D2F70" w:rsidP="002D2F70"/>
    <w:p w:rsidR="007F6020" w:rsidRPr="006A75A2" w:rsidRDefault="007F6020">
      <w:pPr>
        <w:spacing w:after="0"/>
        <w:rPr>
          <w:rFonts w:ascii="Calibri" w:hAnsi="Calibri"/>
          <w:b/>
        </w:rPr>
      </w:pPr>
      <w:r w:rsidRPr="006A75A2">
        <w:br w:type="page"/>
      </w:r>
    </w:p>
    <w:p w:rsidR="00D76647" w:rsidRPr="006A75A2" w:rsidRDefault="00D76647" w:rsidP="002C0C34">
      <w:pPr>
        <w:pStyle w:val="Heading2NotesContd"/>
        <w:rPr>
          <w:i/>
          <w:kern w:val="0"/>
        </w:rPr>
      </w:pPr>
      <w:r w:rsidRPr="006A75A2">
        <w:rPr>
          <w:kern w:val="0"/>
        </w:rPr>
        <w:lastRenderedPageBreak/>
        <w:t>Note 17:</w:t>
      </w:r>
      <w:r w:rsidRPr="006A75A2">
        <w:rPr>
          <w:kern w:val="0"/>
        </w:rPr>
        <w:tab/>
        <w:t>Receivables</w:t>
      </w:r>
      <w:r w:rsidRPr="006A75A2">
        <w:rPr>
          <w:i/>
          <w:kern w:val="0"/>
        </w:rPr>
        <w:t xml:space="preserve"> (continued)</w:t>
      </w:r>
    </w:p>
    <w:p w:rsidR="004E6C32" w:rsidRPr="006A75A2" w:rsidRDefault="004E6C32" w:rsidP="0067336F">
      <w:pPr>
        <w:pStyle w:val="Heading5"/>
        <w:numPr>
          <w:ilvl w:val="0"/>
          <w:numId w:val="18"/>
        </w:numPr>
      </w:pPr>
      <w:r w:rsidRPr="006A75A2">
        <w:t xml:space="preserve">Ageing analysis of contractual receivables </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2144"/>
        <w:gridCol w:w="283"/>
        <w:gridCol w:w="973"/>
        <w:gridCol w:w="1040"/>
        <w:gridCol w:w="1040"/>
        <w:gridCol w:w="1040"/>
        <w:gridCol w:w="1010"/>
        <w:gridCol w:w="30"/>
        <w:gridCol w:w="1040"/>
        <w:gridCol w:w="1040"/>
      </w:tblGrid>
      <w:tr w:rsidR="002E6139" w:rsidRPr="006A75A2" w:rsidTr="002E6139">
        <w:tc>
          <w:tcPr>
            <w:tcW w:w="2144" w:type="dxa"/>
            <w:tcBorders>
              <w:top w:val="single" w:sz="6" w:space="0" w:color="auto"/>
              <w:left w:val="single" w:sz="6" w:space="0" w:color="auto"/>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i/>
                <w:iCs/>
                <w:lang w:eastAsia="en-AU"/>
              </w:rPr>
              <w:t>State of Victoria</w:t>
            </w:r>
          </w:p>
        </w:tc>
        <w:tc>
          <w:tcPr>
            <w:tcW w:w="1256" w:type="dxa"/>
            <w:gridSpan w:val="2"/>
            <w:tcBorders>
              <w:top w:val="single" w:sz="6" w:space="0" w:color="auto"/>
              <w:left w:val="nil"/>
              <w:right w:val="nil"/>
            </w:tcBorders>
            <w:shd w:val="clear" w:color="000000" w:fill="000000"/>
          </w:tcPr>
          <w:p w:rsidR="002E6139" w:rsidRPr="006A75A2" w:rsidRDefault="002E6139" w:rsidP="004B5CB1">
            <w:pPr>
              <w:pStyle w:val="Tabletextheading"/>
              <w:rPr>
                <w:rFonts w:eastAsiaTheme="minorEastAsia"/>
                <w:iCs/>
                <w:lang w:eastAsia="en-AU"/>
              </w:rPr>
            </w:pPr>
            <w:r w:rsidRPr="006A75A2">
              <w:rPr>
                <w:rFonts w:eastAsiaTheme="minorEastAsia"/>
                <w:iCs/>
                <w:lang w:eastAsia="en-AU"/>
              </w:rPr>
              <w:t>Not past due</w:t>
            </w:r>
          </w:p>
        </w:tc>
        <w:tc>
          <w:tcPr>
            <w:tcW w:w="4130" w:type="dxa"/>
            <w:gridSpan w:val="4"/>
            <w:tcBorders>
              <w:top w:val="single" w:sz="6" w:space="0" w:color="auto"/>
              <w:left w:val="nil"/>
              <w:right w:val="nil"/>
            </w:tcBorders>
            <w:shd w:val="clear" w:color="000000" w:fill="000000"/>
          </w:tcPr>
          <w:p w:rsidR="002E6139" w:rsidRPr="006A75A2" w:rsidRDefault="002E6139" w:rsidP="002E6139">
            <w:pPr>
              <w:pStyle w:val="Tabletextheading"/>
              <w:jc w:val="center"/>
              <w:rPr>
                <w:rFonts w:eastAsiaTheme="minorEastAsia"/>
                <w:iCs/>
                <w:lang w:eastAsia="en-AU"/>
              </w:rPr>
            </w:pPr>
            <w:r w:rsidRPr="006A75A2">
              <w:rPr>
                <w:rFonts w:eastAsiaTheme="minorEastAsia"/>
                <w:iCs/>
                <w:lang w:eastAsia="en-AU"/>
              </w:rPr>
              <w:t>Past due and not impaired</w:t>
            </w:r>
          </w:p>
        </w:tc>
        <w:tc>
          <w:tcPr>
            <w:tcW w:w="1070" w:type="dxa"/>
            <w:gridSpan w:val="2"/>
            <w:tcBorders>
              <w:top w:val="single" w:sz="6" w:space="0" w:color="auto"/>
              <w:left w:val="nil"/>
              <w:right w:val="nil"/>
            </w:tcBorders>
            <w:shd w:val="clear" w:color="000000" w:fill="000000"/>
          </w:tcPr>
          <w:p w:rsidR="002E6139" w:rsidRPr="006A75A2" w:rsidRDefault="002E6139" w:rsidP="004B5CB1">
            <w:pPr>
              <w:pStyle w:val="Tabletextheading"/>
              <w:rPr>
                <w:rFonts w:eastAsiaTheme="minorEastAsia"/>
                <w:iCs/>
                <w:lang w:eastAsia="en-AU"/>
              </w:rPr>
            </w:pPr>
            <w:r w:rsidRPr="006A75A2">
              <w:rPr>
                <w:rFonts w:eastAsiaTheme="minorEastAsia"/>
                <w:iCs/>
                <w:lang w:eastAsia="en-AU"/>
              </w:rPr>
              <w:t>Impaired</w:t>
            </w:r>
          </w:p>
        </w:tc>
        <w:tc>
          <w:tcPr>
            <w:tcW w:w="1040" w:type="dxa"/>
            <w:tcBorders>
              <w:top w:val="single" w:sz="6" w:space="0" w:color="auto"/>
              <w:left w:val="nil"/>
              <w:right w:val="single" w:sz="6" w:space="0" w:color="auto"/>
            </w:tcBorders>
            <w:shd w:val="clear" w:color="000000" w:fill="000000"/>
          </w:tcPr>
          <w:p w:rsidR="002E6139" w:rsidRPr="006A75A2" w:rsidRDefault="002E6139" w:rsidP="004B5CB1">
            <w:pPr>
              <w:pStyle w:val="Tabletextheading"/>
              <w:rPr>
                <w:rFonts w:eastAsiaTheme="minorEastAsia"/>
                <w:iCs/>
                <w:lang w:eastAsia="en-AU"/>
              </w:rPr>
            </w:pPr>
            <w:r w:rsidRPr="006A75A2">
              <w:rPr>
                <w:rFonts w:eastAsiaTheme="minorEastAsia"/>
                <w:iCs/>
                <w:lang w:eastAsia="en-AU"/>
              </w:rPr>
              <w:t>Total</w:t>
            </w:r>
          </w:p>
        </w:tc>
      </w:tr>
      <w:tr w:rsidR="004E6C32" w:rsidRPr="006A75A2" w:rsidTr="004B5CB1">
        <w:tc>
          <w:tcPr>
            <w:tcW w:w="2427" w:type="dxa"/>
            <w:gridSpan w:val="2"/>
            <w:tcBorders>
              <w:top w:val="nil"/>
              <w:left w:val="single" w:sz="6" w:space="0" w:color="auto"/>
              <w:bottom w:val="nil"/>
              <w:right w:val="nil"/>
            </w:tcBorders>
            <w:shd w:val="clear" w:color="000000" w:fill="000000"/>
          </w:tcPr>
          <w:p w:rsidR="004E6C32" w:rsidRPr="006A75A2" w:rsidRDefault="004E6C32" w:rsidP="004B5CB1">
            <w:pPr>
              <w:pStyle w:val="Tabletext"/>
              <w:rPr>
                <w:rFonts w:eastAsiaTheme="minorEastAsia"/>
                <w:i/>
                <w:iCs/>
                <w:lang w:eastAsia="en-AU"/>
              </w:rPr>
            </w:pPr>
          </w:p>
        </w:tc>
        <w:tc>
          <w:tcPr>
            <w:tcW w:w="973"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and not </w:t>
            </w:r>
          </w:p>
        </w:tc>
        <w:tc>
          <w:tcPr>
            <w:tcW w:w="1040"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Less than</w:t>
            </w:r>
          </w:p>
        </w:tc>
        <w:tc>
          <w:tcPr>
            <w:tcW w:w="1040"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1-3</w:t>
            </w:r>
          </w:p>
        </w:tc>
        <w:tc>
          <w:tcPr>
            <w:tcW w:w="1040"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3 months-</w:t>
            </w:r>
          </w:p>
        </w:tc>
        <w:tc>
          <w:tcPr>
            <w:tcW w:w="1040" w:type="dxa"/>
            <w:gridSpan w:val="2"/>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More than</w:t>
            </w:r>
          </w:p>
        </w:tc>
        <w:tc>
          <w:tcPr>
            <w:tcW w:w="1040"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 </w:t>
            </w:r>
          </w:p>
        </w:tc>
        <w:tc>
          <w:tcPr>
            <w:tcW w:w="1040" w:type="dxa"/>
            <w:tcBorders>
              <w:top w:val="nil"/>
              <w:left w:val="nil"/>
              <w:bottom w:val="nil"/>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 </w:t>
            </w:r>
          </w:p>
        </w:tc>
      </w:tr>
      <w:tr w:rsidR="004E6C32" w:rsidRPr="006A75A2" w:rsidTr="004B5CB1">
        <w:tc>
          <w:tcPr>
            <w:tcW w:w="2427" w:type="dxa"/>
            <w:gridSpan w:val="2"/>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2014</w:t>
            </w:r>
          </w:p>
        </w:tc>
        <w:tc>
          <w:tcPr>
            <w:tcW w:w="973"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impaired</w:t>
            </w:r>
          </w:p>
        </w:tc>
        <w:tc>
          <w:tcPr>
            <w:tcW w:w="104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1 month</w:t>
            </w:r>
          </w:p>
        </w:tc>
        <w:tc>
          <w:tcPr>
            <w:tcW w:w="104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months</w:t>
            </w:r>
          </w:p>
        </w:tc>
        <w:tc>
          <w:tcPr>
            <w:tcW w:w="104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1 year</w:t>
            </w:r>
          </w:p>
        </w:tc>
        <w:tc>
          <w:tcPr>
            <w:tcW w:w="1040" w:type="dxa"/>
            <w:gridSpan w:val="2"/>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1 year</w:t>
            </w:r>
          </w:p>
        </w:tc>
        <w:tc>
          <w:tcPr>
            <w:tcW w:w="104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 </w:t>
            </w:r>
          </w:p>
        </w:tc>
        <w:tc>
          <w:tcPr>
            <w:tcW w:w="104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 </w:t>
            </w:r>
          </w:p>
        </w:tc>
      </w:tr>
      <w:tr w:rsidR="004E6C32" w:rsidRPr="006A75A2" w:rsidTr="004B5CB1">
        <w:tc>
          <w:tcPr>
            <w:tcW w:w="2427"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 of goods and services</w:t>
            </w:r>
          </w:p>
        </w:tc>
        <w:tc>
          <w:tcPr>
            <w:tcW w:w="973"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696.6</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238.4</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90.2</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78.4</w:t>
            </w:r>
          </w:p>
        </w:tc>
        <w:tc>
          <w:tcPr>
            <w:tcW w:w="1040"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60.9</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18.9</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1 183.3</w:t>
            </w:r>
          </w:p>
        </w:tc>
      </w:tr>
      <w:tr w:rsidR="004E6C32" w:rsidRPr="006A75A2" w:rsidTr="004B5CB1">
        <w:tc>
          <w:tcPr>
            <w:tcW w:w="2427" w:type="dxa"/>
            <w:gridSpan w:val="2"/>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Accrued investment income</w:t>
            </w:r>
          </w:p>
        </w:tc>
        <w:tc>
          <w:tcPr>
            <w:tcW w:w="97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73.1</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0.2</w:t>
            </w:r>
          </w:p>
        </w:tc>
        <w:tc>
          <w:tcPr>
            <w:tcW w:w="104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76.8</w:t>
            </w:r>
          </w:p>
        </w:tc>
      </w:tr>
      <w:tr w:rsidR="004E6C32" w:rsidRPr="006A75A2" w:rsidTr="004B5CB1">
        <w:tc>
          <w:tcPr>
            <w:tcW w:w="2427" w:type="dxa"/>
            <w:gridSpan w:val="2"/>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receivables</w:t>
            </w:r>
          </w:p>
        </w:tc>
        <w:tc>
          <w:tcPr>
            <w:tcW w:w="97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653.9</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86.3</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14.2</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186.8</w:t>
            </w:r>
          </w:p>
        </w:tc>
        <w:tc>
          <w:tcPr>
            <w:tcW w:w="104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65.3</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w:t>
            </w:r>
          </w:p>
        </w:tc>
        <w:tc>
          <w:tcPr>
            <w:tcW w:w="104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1 007.6</w:t>
            </w:r>
          </w:p>
        </w:tc>
      </w:tr>
      <w:tr w:rsidR="004E6C32" w:rsidRPr="006A75A2" w:rsidTr="004B5CB1">
        <w:tc>
          <w:tcPr>
            <w:tcW w:w="2427" w:type="dxa"/>
            <w:gridSpan w:val="2"/>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 </w:t>
            </w:r>
          </w:p>
        </w:tc>
        <w:tc>
          <w:tcPr>
            <w:tcW w:w="97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1 423.6</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328.2</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104.4</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265.4</w:t>
            </w:r>
          </w:p>
        </w:tc>
        <w:tc>
          <w:tcPr>
            <w:tcW w:w="1040" w:type="dxa"/>
            <w:gridSpan w:val="2"/>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126.2</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20.0</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2 267.7</w:t>
            </w:r>
          </w:p>
        </w:tc>
      </w:tr>
      <w:tr w:rsidR="004E6C32" w:rsidRPr="006A75A2" w:rsidTr="004B5CB1">
        <w:tc>
          <w:tcPr>
            <w:tcW w:w="2427" w:type="dxa"/>
            <w:gridSpan w:val="2"/>
            <w:tcBorders>
              <w:top w:val="single" w:sz="12" w:space="0" w:color="auto"/>
              <w:left w:val="nil"/>
              <w:bottom w:val="single" w:sz="6" w:space="0" w:color="auto"/>
              <w:right w:val="nil"/>
            </w:tcBorders>
            <w:shd w:val="solid" w:color="000000" w:fill="auto"/>
          </w:tcPr>
          <w:p w:rsidR="004E6C32" w:rsidRPr="006A75A2" w:rsidRDefault="004E6C32" w:rsidP="002E6139">
            <w:pPr>
              <w:pStyle w:val="Tabletext"/>
              <w:rPr>
                <w:rFonts w:eastAsiaTheme="minorEastAsia" w:cs="Calibri"/>
                <w:i/>
                <w:iCs/>
                <w:szCs w:val="22"/>
                <w:vertAlign w:val="superscript"/>
                <w:lang w:eastAsia="en-AU"/>
              </w:rPr>
            </w:pPr>
            <w:r w:rsidRPr="006A75A2">
              <w:rPr>
                <w:rFonts w:eastAsiaTheme="minorEastAsia"/>
                <w:i/>
                <w:iCs/>
                <w:lang w:eastAsia="en-AU"/>
              </w:rPr>
              <w:t>2013</w:t>
            </w:r>
            <w:r w:rsidRPr="006A75A2">
              <w:rPr>
                <w:rFonts w:eastAsiaTheme="minorEastAsia"/>
                <w:i/>
                <w:iCs/>
                <w:vertAlign w:val="superscript"/>
                <w:lang w:eastAsia="en-AU"/>
              </w:rPr>
              <w:t>(a</w:t>
            </w:r>
            <w:r w:rsidRPr="006A75A2">
              <w:rPr>
                <w:rFonts w:eastAsiaTheme="minorEastAsia" w:cs="Calibri"/>
                <w:i/>
                <w:iCs/>
                <w:szCs w:val="22"/>
                <w:vertAlign w:val="superscript"/>
                <w:lang w:eastAsia="en-AU"/>
              </w:rPr>
              <w:t>)</w:t>
            </w:r>
          </w:p>
        </w:tc>
        <w:tc>
          <w:tcPr>
            <w:tcW w:w="973"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040" w:type="dxa"/>
            <w:gridSpan w:val="2"/>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2427" w:type="dxa"/>
            <w:gridSpan w:val="2"/>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 of goods and services</w:t>
            </w:r>
          </w:p>
        </w:tc>
        <w:tc>
          <w:tcPr>
            <w:tcW w:w="97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764.2</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190.3</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96.1</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92.5</w:t>
            </w:r>
          </w:p>
        </w:tc>
        <w:tc>
          <w:tcPr>
            <w:tcW w:w="104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66.0</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1 215.9</w:t>
            </w:r>
          </w:p>
        </w:tc>
      </w:tr>
      <w:tr w:rsidR="004E6C32" w:rsidRPr="006A75A2" w:rsidTr="004B5CB1">
        <w:tc>
          <w:tcPr>
            <w:tcW w:w="2427" w:type="dxa"/>
            <w:gridSpan w:val="2"/>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Accrued investment income</w:t>
            </w:r>
          </w:p>
        </w:tc>
        <w:tc>
          <w:tcPr>
            <w:tcW w:w="97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73.2</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0.3</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0.3</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0.4</w:t>
            </w:r>
          </w:p>
        </w:tc>
        <w:tc>
          <w:tcPr>
            <w:tcW w:w="1040"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74.3</w:t>
            </w:r>
          </w:p>
        </w:tc>
      </w:tr>
      <w:tr w:rsidR="004E6C32" w:rsidRPr="006A75A2" w:rsidTr="004B5CB1">
        <w:tc>
          <w:tcPr>
            <w:tcW w:w="2427"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receivables</w:t>
            </w:r>
          </w:p>
        </w:tc>
        <w:tc>
          <w:tcPr>
            <w:tcW w:w="97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1 831.0</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136.7</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36.6</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19.2</w:t>
            </w:r>
          </w:p>
        </w:tc>
        <w:tc>
          <w:tcPr>
            <w:tcW w:w="104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108.6</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(0.5)</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2 131.7</w:t>
            </w:r>
          </w:p>
        </w:tc>
      </w:tr>
      <w:tr w:rsidR="004E6C32" w:rsidRPr="006A75A2" w:rsidTr="004B5CB1">
        <w:tc>
          <w:tcPr>
            <w:tcW w:w="2427"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 </w:t>
            </w:r>
          </w:p>
        </w:tc>
        <w:tc>
          <w:tcPr>
            <w:tcW w:w="97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2 668.5</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327.3</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133.0</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112.1</w:t>
            </w:r>
          </w:p>
        </w:tc>
        <w:tc>
          <w:tcPr>
            <w:tcW w:w="104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174.6</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6.4</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3 421.9</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Note 37.</w:t>
      </w:r>
    </w:p>
    <w:p w:rsidR="004E6C32" w:rsidRPr="006A75A2" w:rsidRDefault="004E6C32" w:rsidP="004B5CB1"/>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2144"/>
        <w:gridCol w:w="283"/>
        <w:gridCol w:w="973"/>
        <w:gridCol w:w="1040"/>
        <w:gridCol w:w="1040"/>
        <w:gridCol w:w="1040"/>
        <w:gridCol w:w="1040"/>
        <w:gridCol w:w="1040"/>
        <w:gridCol w:w="1040"/>
      </w:tblGrid>
      <w:tr w:rsidR="002E6139" w:rsidRPr="006A75A2" w:rsidTr="002E6139">
        <w:tc>
          <w:tcPr>
            <w:tcW w:w="2144" w:type="dxa"/>
            <w:tcBorders>
              <w:top w:val="single" w:sz="6" w:space="0" w:color="auto"/>
              <w:left w:val="single" w:sz="6" w:space="0" w:color="auto"/>
              <w:right w:val="nil"/>
            </w:tcBorders>
            <w:shd w:val="clear" w:color="000000" w:fill="000000"/>
          </w:tcPr>
          <w:p w:rsidR="002E6139" w:rsidRPr="006A75A2" w:rsidRDefault="002E6139" w:rsidP="004B5CB1">
            <w:pPr>
              <w:pStyle w:val="Tabletext"/>
              <w:rPr>
                <w:rFonts w:eastAsiaTheme="minorEastAsia"/>
                <w:i/>
                <w:lang w:eastAsia="en-AU"/>
              </w:rPr>
            </w:pPr>
            <w:r w:rsidRPr="006A75A2">
              <w:rPr>
                <w:rFonts w:eastAsiaTheme="minorEastAsia"/>
                <w:i/>
                <w:lang w:eastAsia="en-AU"/>
              </w:rPr>
              <w:t xml:space="preserve">General </w:t>
            </w:r>
          </w:p>
        </w:tc>
        <w:tc>
          <w:tcPr>
            <w:tcW w:w="1256" w:type="dxa"/>
            <w:gridSpan w:val="2"/>
            <w:tcBorders>
              <w:top w:val="single" w:sz="6" w:space="0" w:color="auto"/>
              <w:left w:val="nil"/>
              <w:right w:val="nil"/>
            </w:tcBorders>
            <w:shd w:val="clear" w:color="000000" w:fill="000000"/>
          </w:tcPr>
          <w:p w:rsidR="002E6139" w:rsidRPr="006A75A2" w:rsidRDefault="002E6139" w:rsidP="004B5CB1">
            <w:pPr>
              <w:pStyle w:val="Tabletextheading"/>
              <w:rPr>
                <w:rFonts w:eastAsiaTheme="minorEastAsia"/>
                <w:lang w:eastAsia="en-AU"/>
              </w:rPr>
            </w:pPr>
            <w:r w:rsidRPr="006A75A2">
              <w:rPr>
                <w:rFonts w:eastAsiaTheme="minorEastAsia"/>
                <w:lang w:eastAsia="en-AU"/>
              </w:rPr>
              <w:t>Not past due</w:t>
            </w:r>
          </w:p>
        </w:tc>
        <w:tc>
          <w:tcPr>
            <w:tcW w:w="4160" w:type="dxa"/>
            <w:gridSpan w:val="4"/>
            <w:tcBorders>
              <w:top w:val="single" w:sz="6" w:space="0" w:color="auto"/>
              <w:left w:val="nil"/>
              <w:right w:val="nil"/>
            </w:tcBorders>
            <w:shd w:val="clear" w:color="000000" w:fill="000000"/>
          </w:tcPr>
          <w:p w:rsidR="002E6139" w:rsidRPr="006A75A2" w:rsidRDefault="002E6139" w:rsidP="002E6139">
            <w:pPr>
              <w:pStyle w:val="Tabletextheading"/>
              <w:jc w:val="center"/>
              <w:rPr>
                <w:rFonts w:eastAsiaTheme="minorEastAsia"/>
                <w:lang w:eastAsia="en-AU"/>
              </w:rPr>
            </w:pPr>
            <w:r w:rsidRPr="006A75A2">
              <w:rPr>
                <w:rFonts w:eastAsiaTheme="minorEastAsia"/>
                <w:lang w:eastAsia="en-AU"/>
              </w:rPr>
              <w:t>Past due and not impaired</w:t>
            </w:r>
          </w:p>
        </w:tc>
        <w:tc>
          <w:tcPr>
            <w:tcW w:w="1040" w:type="dxa"/>
            <w:tcBorders>
              <w:top w:val="single" w:sz="6" w:space="0" w:color="auto"/>
              <w:left w:val="nil"/>
              <w:right w:val="nil"/>
            </w:tcBorders>
            <w:shd w:val="clear" w:color="000000" w:fill="000000"/>
          </w:tcPr>
          <w:p w:rsidR="002E6139" w:rsidRPr="006A75A2" w:rsidRDefault="002E6139" w:rsidP="004B5CB1">
            <w:pPr>
              <w:pStyle w:val="Tabletextheading"/>
              <w:rPr>
                <w:rFonts w:eastAsiaTheme="minorEastAsia"/>
                <w:lang w:eastAsia="en-AU"/>
              </w:rPr>
            </w:pPr>
            <w:r w:rsidRPr="006A75A2">
              <w:rPr>
                <w:rFonts w:eastAsiaTheme="minorEastAsia"/>
                <w:lang w:eastAsia="en-AU"/>
              </w:rPr>
              <w:t>Impaired</w:t>
            </w:r>
          </w:p>
        </w:tc>
        <w:tc>
          <w:tcPr>
            <w:tcW w:w="1040" w:type="dxa"/>
            <w:tcBorders>
              <w:top w:val="single" w:sz="6" w:space="0" w:color="auto"/>
              <w:left w:val="nil"/>
              <w:right w:val="single" w:sz="6" w:space="0" w:color="auto"/>
            </w:tcBorders>
            <w:shd w:val="clear" w:color="000000" w:fill="000000"/>
          </w:tcPr>
          <w:p w:rsidR="002E6139" w:rsidRPr="006A75A2" w:rsidRDefault="002E6139" w:rsidP="004B5CB1">
            <w:pPr>
              <w:pStyle w:val="Tabletextheading"/>
              <w:rPr>
                <w:rFonts w:eastAsiaTheme="minorEastAsia"/>
                <w:lang w:eastAsia="en-AU"/>
              </w:rPr>
            </w:pPr>
            <w:r w:rsidRPr="006A75A2">
              <w:rPr>
                <w:rFonts w:eastAsiaTheme="minorEastAsia"/>
                <w:lang w:eastAsia="en-AU"/>
              </w:rPr>
              <w:t>Total</w:t>
            </w:r>
          </w:p>
        </w:tc>
      </w:tr>
      <w:tr w:rsidR="004E6C32" w:rsidRPr="006A75A2" w:rsidTr="004B5CB1">
        <w:tc>
          <w:tcPr>
            <w:tcW w:w="2427" w:type="dxa"/>
            <w:gridSpan w:val="2"/>
            <w:tcBorders>
              <w:top w:val="nil"/>
              <w:left w:val="single" w:sz="6" w:space="0" w:color="auto"/>
              <w:bottom w:val="nil"/>
              <w:right w:val="nil"/>
            </w:tcBorders>
            <w:shd w:val="clear" w:color="000000" w:fill="000000"/>
          </w:tcPr>
          <w:p w:rsidR="004E6C32" w:rsidRPr="006A75A2" w:rsidRDefault="004E6C32" w:rsidP="004B5CB1">
            <w:pPr>
              <w:pStyle w:val="Tabletext"/>
              <w:rPr>
                <w:rFonts w:eastAsiaTheme="minorEastAsia"/>
                <w:i/>
                <w:lang w:eastAsia="en-AU"/>
              </w:rPr>
            </w:pPr>
            <w:r w:rsidRPr="006A75A2">
              <w:rPr>
                <w:rFonts w:eastAsiaTheme="minorEastAsia"/>
                <w:i/>
                <w:lang w:eastAsia="en-AU"/>
              </w:rPr>
              <w:t>government sector</w:t>
            </w:r>
          </w:p>
        </w:tc>
        <w:tc>
          <w:tcPr>
            <w:tcW w:w="973"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and not </w:t>
            </w:r>
          </w:p>
        </w:tc>
        <w:tc>
          <w:tcPr>
            <w:tcW w:w="1040"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Less than</w:t>
            </w:r>
          </w:p>
        </w:tc>
        <w:tc>
          <w:tcPr>
            <w:tcW w:w="1040"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1-3 </w:t>
            </w:r>
          </w:p>
        </w:tc>
        <w:tc>
          <w:tcPr>
            <w:tcW w:w="1040"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3 months-</w:t>
            </w:r>
          </w:p>
        </w:tc>
        <w:tc>
          <w:tcPr>
            <w:tcW w:w="1040"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More than</w:t>
            </w:r>
          </w:p>
        </w:tc>
        <w:tc>
          <w:tcPr>
            <w:tcW w:w="1040"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40" w:type="dxa"/>
            <w:tcBorders>
              <w:top w:val="nil"/>
              <w:left w:val="nil"/>
              <w:bottom w:val="nil"/>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4E6C32" w:rsidRPr="006A75A2" w:rsidTr="004B5CB1">
        <w:tc>
          <w:tcPr>
            <w:tcW w:w="2427" w:type="dxa"/>
            <w:gridSpan w:val="2"/>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lang w:eastAsia="en-AU"/>
              </w:rPr>
            </w:pPr>
            <w:r w:rsidRPr="006A75A2">
              <w:rPr>
                <w:rFonts w:eastAsiaTheme="minorEastAsia"/>
                <w:i/>
                <w:lang w:eastAsia="en-AU"/>
              </w:rPr>
              <w:t>2014</w:t>
            </w:r>
          </w:p>
        </w:tc>
        <w:tc>
          <w:tcPr>
            <w:tcW w:w="973"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impaired</w:t>
            </w:r>
          </w:p>
        </w:tc>
        <w:tc>
          <w:tcPr>
            <w:tcW w:w="104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1 month</w:t>
            </w:r>
          </w:p>
        </w:tc>
        <w:tc>
          <w:tcPr>
            <w:tcW w:w="104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months</w:t>
            </w:r>
          </w:p>
        </w:tc>
        <w:tc>
          <w:tcPr>
            <w:tcW w:w="104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1 year</w:t>
            </w:r>
          </w:p>
        </w:tc>
        <w:tc>
          <w:tcPr>
            <w:tcW w:w="104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1 year</w:t>
            </w:r>
          </w:p>
        </w:tc>
        <w:tc>
          <w:tcPr>
            <w:tcW w:w="104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4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4E6C32" w:rsidRPr="006A75A2" w:rsidTr="004B5CB1">
        <w:tc>
          <w:tcPr>
            <w:tcW w:w="2427"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 of goods and services</w:t>
            </w:r>
          </w:p>
        </w:tc>
        <w:tc>
          <w:tcPr>
            <w:tcW w:w="973"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368.2</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110.4</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61.0</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45.4</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47.5</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14.7</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647.2</w:t>
            </w:r>
          </w:p>
        </w:tc>
      </w:tr>
      <w:tr w:rsidR="004E6C32" w:rsidRPr="006A75A2" w:rsidTr="004B5CB1">
        <w:tc>
          <w:tcPr>
            <w:tcW w:w="2427" w:type="dxa"/>
            <w:gridSpan w:val="2"/>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Accrued investment income</w:t>
            </w:r>
          </w:p>
        </w:tc>
        <w:tc>
          <w:tcPr>
            <w:tcW w:w="97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19.0</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0.2</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22.8</w:t>
            </w:r>
          </w:p>
        </w:tc>
      </w:tr>
      <w:tr w:rsidR="004E6C32" w:rsidRPr="006A75A2" w:rsidTr="004B5CB1">
        <w:tc>
          <w:tcPr>
            <w:tcW w:w="2427" w:type="dxa"/>
            <w:gridSpan w:val="2"/>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receivables</w:t>
            </w:r>
          </w:p>
        </w:tc>
        <w:tc>
          <w:tcPr>
            <w:tcW w:w="97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811.6</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66.4</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10.6</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202.3</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1 097.7</w:t>
            </w:r>
          </w:p>
        </w:tc>
      </w:tr>
      <w:tr w:rsidR="004E6C32" w:rsidRPr="006A75A2" w:rsidTr="004B5CB1">
        <w:tc>
          <w:tcPr>
            <w:tcW w:w="2427" w:type="dxa"/>
            <w:gridSpan w:val="2"/>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  </w:t>
            </w:r>
          </w:p>
        </w:tc>
        <w:tc>
          <w:tcPr>
            <w:tcW w:w="97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1 198.9</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180.4</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71.6</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247.9</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53.3</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15.7</w:t>
            </w:r>
          </w:p>
        </w:tc>
        <w:tc>
          <w:tcPr>
            <w:tcW w:w="104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1 767.8</w:t>
            </w:r>
          </w:p>
        </w:tc>
      </w:tr>
      <w:tr w:rsidR="004E6C32" w:rsidRPr="006A75A2" w:rsidTr="004B5CB1">
        <w:tc>
          <w:tcPr>
            <w:tcW w:w="2427" w:type="dxa"/>
            <w:gridSpan w:val="2"/>
            <w:tcBorders>
              <w:top w:val="single" w:sz="12" w:space="0" w:color="auto"/>
              <w:left w:val="nil"/>
              <w:bottom w:val="single" w:sz="6" w:space="0" w:color="auto"/>
              <w:right w:val="nil"/>
            </w:tcBorders>
            <w:shd w:val="solid" w:color="000000" w:fill="auto"/>
          </w:tcPr>
          <w:p w:rsidR="004E6C32" w:rsidRPr="006A75A2" w:rsidRDefault="004E6C32" w:rsidP="004B5CB1">
            <w:pPr>
              <w:pStyle w:val="Tabletext"/>
              <w:rPr>
                <w:rFonts w:eastAsiaTheme="minorEastAsia" w:cs="Calibri"/>
                <w:i/>
                <w:iCs/>
                <w:szCs w:val="22"/>
                <w:vertAlign w:val="superscript"/>
                <w:lang w:eastAsia="en-AU"/>
              </w:rPr>
            </w:pPr>
            <w:r w:rsidRPr="006A75A2">
              <w:rPr>
                <w:rFonts w:eastAsiaTheme="minorEastAsia"/>
                <w:i/>
                <w:lang w:eastAsia="en-AU"/>
              </w:rPr>
              <w:t>2013</w:t>
            </w:r>
            <w:r w:rsidRPr="006A75A2">
              <w:rPr>
                <w:rFonts w:eastAsiaTheme="minorEastAsia"/>
                <w:i/>
                <w:vertAlign w:val="superscript"/>
                <w:lang w:eastAsia="en-AU"/>
              </w:rPr>
              <w:t>(a</w:t>
            </w:r>
            <w:r w:rsidRPr="006A75A2">
              <w:rPr>
                <w:rFonts w:eastAsiaTheme="minorEastAsia" w:cs="Calibri"/>
                <w:i/>
                <w:iCs/>
                <w:szCs w:val="22"/>
                <w:vertAlign w:val="superscript"/>
                <w:lang w:eastAsia="en-AU"/>
              </w:rPr>
              <w:t>)</w:t>
            </w:r>
          </w:p>
        </w:tc>
        <w:tc>
          <w:tcPr>
            <w:tcW w:w="973"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p>
        </w:tc>
        <w:tc>
          <w:tcPr>
            <w:tcW w:w="1040" w:type="dxa"/>
            <w:tcBorders>
              <w:top w:val="single" w:sz="12" w:space="0" w:color="auto"/>
              <w:left w:val="nil"/>
              <w:bottom w:val="single" w:sz="6" w:space="0" w:color="auto"/>
              <w:right w:val="nil"/>
            </w:tcBorders>
            <w:shd w:val="solid" w:color="000000" w:fill="auto"/>
          </w:tcPr>
          <w:p w:rsidR="004E6C32" w:rsidRPr="006A75A2" w:rsidRDefault="004E6C32" w:rsidP="004B5CB1">
            <w:pPr>
              <w:pStyle w:val="TableofFigures"/>
              <w:rPr>
                <w:rFonts w:eastAsiaTheme="minorEastAsia"/>
                <w:lang w:eastAsia="en-AU"/>
              </w:rPr>
            </w:pPr>
          </w:p>
        </w:tc>
      </w:tr>
      <w:tr w:rsidR="004E6C32" w:rsidRPr="006A75A2" w:rsidTr="004B5CB1">
        <w:tc>
          <w:tcPr>
            <w:tcW w:w="2427" w:type="dxa"/>
            <w:gridSpan w:val="2"/>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 of goods and services</w:t>
            </w:r>
          </w:p>
        </w:tc>
        <w:tc>
          <w:tcPr>
            <w:tcW w:w="97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433.1</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76.8</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73.9</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63.1</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60.3</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709.9</w:t>
            </w:r>
          </w:p>
        </w:tc>
      </w:tr>
      <w:tr w:rsidR="004E6C32" w:rsidRPr="006A75A2" w:rsidTr="004B5CB1">
        <w:tc>
          <w:tcPr>
            <w:tcW w:w="2427" w:type="dxa"/>
            <w:gridSpan w:val="2"/>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Accrued investment income</w:t>
            </w:r>
          </w:p>
        </w:tc>
        <w:tc>
          <w:tcPr>
            <w:tcW w:w="97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184.0</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0.4</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0.4</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0.4</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185.3</w:t>
            </w:r>
          </w:p>
        </w:tc>
      </w:tr>
      <w:tr w:rsidR="004E6C32" w:rsidRPr="006A75A2" w:rsidTr="004B5CB1">
        <w:tc>
          <w:tcPr>
            <w:tcW w:w="2427"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receivables</w:t>
            </w:r>
          </w:p>
        </w:tc>
        <w:tc>
          <w:tcPr>
            <w:tcW w:w="97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900.3</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112.4</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40.8</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10.2</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38.8</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(0.5)</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1 102.1</w:t>
            </w:r>
          </w:p>
        </w:tc>
      </w:tr>
      <w:tr w:rsidR="004E6C32" w:rsidRPr="006A75A2" w:rsidTr="004B5CB1">
        <w:tc>
          <w:tcPr>
            <w:tcW w:w="2427"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  </w:t>
            </w:r>
          </w:p>
        </w:tc>
        <w:tc>
          <w:tcPr>
            <w:tcW w:w="97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1 517.4</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189.6</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115.2</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73.7</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99.2</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2.2</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1 997.3</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to reflect the more accurate aging of receivables.</w:t>
      </w:r>
    </w:p>
    <w:p w:rsidR="004E6C32" w:rsidRPr="006A75A2" w:rsidRDefault="004E6C32" w:rsidP="002D2F70"/>
    <w:p w:rsidR="004E6C32" w:rsidRPr="006A75A2" w:rsidRDefault="004E6C32" w:rsidP="0067336F">
      <w:pPr>
        <w:pStyle w:val="Heading5"/>
        <w:numPr>
          <w:ilvl w:val="0"/>
          <w:numId w:val="18"/>
        </w:numPr>
      </w:pPr>
      <w:r w:rsidRPr="006A75A2">
        <w:t>Movement in provision of doubtful contractual receivables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2E6139" w:rsidRPr="006A75A2" w:rsidTr="002E6139">
        <w:tc>
          <w:tcPr>
            <w:tcW w:w="5160" w:type="dxa"/>
            <w:tcBorders>
              <w:top w:val="single" w:sz="6" w:space="0" w:color="auto"/>
              <w:left w:val="single" w:sz="6" w:space="0" w:color="auto"/>
              <w:bottom w:val="nil"/>
              <w:right w:val="nil"/>
            </w:tcBorders>
            <w:shd w:val="clear" w:color="000000" w:fill="000000"/>
          </w:tcPr>
          <w:p w:rsidR="002E6139" w:rsidRPr="006A75A2" w:rsidRDefault="002E613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2E6139" w:rsidRPr="006A75A2" w:rsidRDefault="002E6139" w:rsidP="004B5CB1">
            <w:pPr>
              <w:pStyle w:val="TabletextheadingCentred"/>
              <w:rPr>
                <w:rFonts w:eastAsiaTheme="minorEastAsia"/>
                <w:lang w:eastAsia="en-AU"/>
              </w:rPr>
            </w:pPr>
          </w:p>
          <w:p w:rsidR="002E6139" w:rsidRPr="006A75A2" w:rsidRDefault="002E613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2E6139" w:rsidRPr="006A75A2" w:rsidRDefault="002E6139" w:rsidP="004B5CB1">
            <w:pPr>
              <w:pStyle w:val="TabletextheadingCentred"/>
              <w:rPr>
                <w:rFonts w:eastAsiaTheme="minorEastAsia"/>
                <w:lang w:eastAsia="en-AU"/>
              </w:rPr>
            </w:pPr>
            <w:r w:rsidRPr="006A75A2">
              <w:rPr>
                <w:rFonts w:eastAsiaTheme="minorEastAsia"/>
                <w:lang w:eastAsia="en-AU"/>
              </w:rPr>
              <w:t xml:space="preserve">General </w:t>
            </w:r>
          </w:p>
          <w:p w:rsidR="002E6139" w:rsidRPr="006A75A2" w:rsidRDefault="002E613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start of the year</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145.9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134.0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Reversal of unused provision recognised in the Operating Statement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Increase in provision recognised in the comprehensive operating statement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15.9</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Receivables written off during the year as uncollectible</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(20.8)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(10.8)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(9.1)</w:t>
            </w:r>
          </w:p>
        </w:tc>
      </w:tr>
      <w:tr w:rsidR="004E6C32" w:rsidRPr="006A75A2" w:rsidTr="004B5CB1">
        <w:tc>
          <w:tcPr>
            <w:tcW w:w="5160" w:type="dxa"/>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Balance at the end of the year</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144.1</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145.9</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72.2</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68.5</w:t>
            </w:r>
          </w:p>
        </w:tc>
      </w:tr>
    </w:tbl>
    <w:p w:rsidR="004E6C32" w:rsidRPr="006A75A2" w:rsidRDefault="004E6C32" w:rsidP="004B5CB1">
      <w:pPr>
        <w:pStyle w:val="Heading2Notes"/>
        <w:rPr>
          <w:kern w:val="0"/>
        </w:rPr>
      </w:pPr>
      <w:bookmarkStart w:id="48" w:name="_Toc400040265"/>
      <w:r w:rsidRPr="006A75A2">
        <w:rPr>
          <w:kern w:val="0"/>
        </w:rPr>
        <w:lastRenderedPageBreak/>
        <w:t>Note 18:</w:t>
      </w:r>
      <w:r w:rsidRPr="006A75A2">
        <w:rPr>
          <w:kern w:val="0"/>
        </w:rPr>
        <w:tab/>
        <w:t>Joint ventures</w:t>
      </w:r>
      <w:bookmarkEnd w:id="48"/>
    </w:p>
    <w:p w:rsidR="004E6C32" w:rsidRPr="006A75A2" w:rsidRDefault="004E6C32" w:rsidP="0067336F">
      <w:pPr>
        <w:pStyle w:val="Heading5"/>
      </w:pPr>
      <w:r w:rsidRPr="006A75A2">
        <w:t>(a)</w:t>
      </w:r>
      <w:r w:rsidRPr="006A75A2">
        <w:tab/>
        <w:t>Investments accounted for using the equity method</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The Australian Regenerative Medicine Institute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Property Exchange Australia Limited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14.4</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Total general government sector</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44.1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49.4</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Snowy Hydro Limited</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1 511.0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1 616.6</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vertAlign w:val="superscript"/>
                <w:lang w:eastAsia="en-AU"/>
              </w:rPr>
            </w:pPr>
            <w:r w:rsidRPr="006A75A2">
              <w:rPr>
                <w:rFonts w:eastAsiaTheme="minorEastAsia"/>
                <w:b/>
                <w:lang w:eastAsia="en-AU"/>
              </w:rPr>
              <w:t xml:space="preserve">Total investments </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1 555.1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1 666.1</w:t>
            </w:r>
          </w:p>
        </w:tc>
      </w:tr>
    </w:tbl>
    <w:p w:rsidR="004E6C32" w:rsidRPr="006A75A2" w:rsidRDefault="004E6C32" w:rsidP="004B5CB1"/>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Movements in carrying amounts</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The Australian Regenerative Medicine Institute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Carrying amount at the beginning of the period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Share of profit after income tax</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Dividends received/receivable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Carrying amount at the end of the period</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35.0</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35.0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Property Exchange Australia Limited</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Carrying amount at the beginning of the period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9.2</w:t>
            </w:r>
          </w:p>
        </w:tc>
      </w:tr>
      <w:tr w:rsidR="004E6C32" w:rsidRPr="006A75A2" w:rsidTr="004B5CB1">
        <w:tc>
          <w:tcPr>
            <w:tcW w:w="740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Joint venture undertaken during the year</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Share of profit after income tax</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Net loss on financial asset at fair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Carrying amount at the end of the period</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9.0</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14.4</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vertAlign w:val="superscript"/>
                <w:lang w:eastAsia="en-AU"/>
              </w:rPr>
            </w:pPr>
            <w:r w:rsidRPr="006A75A2">
              <w:rPr>
                <w:rFonts w:eastAsiaTheme="minorEastAsia"/>
                <w:b/>
                <w:bCs/>
                <w:lang w:eastAsia="en-AU"/>
              </w:rPr>
              <w:t>Snowy Hydro Limited</w:t>
            </w:r>
          </w:p>
        </w:tc>
        <w:tc>
          <w:tcPr>
            <w:tcW w:w="1120" w:type="dxa"/>
            <w:tcBorders>
              <w:top w:val="nil"/>
              <w:left w:val="nil"/>
              <w:bottom w:val="nil"/>
              <w:right w:val="nil"/>
            </w:tcBorders>
          </w:tcPr>
          <w:p w:rsidR="004E6C32" w:rsidRPr="006A75A2" w:rsidRDefault="004E6C32" w:rsidP="004B5CB1">
            <w:pPr>
              <w:pStyle w:val="TableofFigures"/>
              <w:rPr>
                <w:rFonts w:eastAsiaTheme="minorEastAsia"/>
                <w:b/>
                <w:i/>
                <w:iCs/>
                <w:lang w:eastAsia="en-AU"/>
              </w:rPr>
            </w:pPr>
            <w:r w:rsidRPr="006A75A2">
              <w:rPr>
                <w:rFonts w:eastAsiaTheme="minorEastAsia"/>
                <w:b/>
                <w:i/>
                <w:i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i/>
                <w:iCs/>
                <w:lang w:eastAsia="en-AU"/>
              </w:rPr>
            </w:pPr>
            <w:r w:rsidRPr="006A75A2">
              <w:rPr>
                <w:rFonts w:eastAsiaTheme="minorEastAsia"/>
                <w:b/>
                <w:i/>
                <w:iCs/>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Carrying amount at the beginning of the period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1 616.6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1 620.5</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Share of profit/(loss) after income tax</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141.9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Dividends received/receivable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(72.5)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(133.4)</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Other</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Share of increment on revaluation of property, plant and equipment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(175.0)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84.5</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Carrying amount at the end of the period</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1 511.0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1 616.6</w:t>
            </w:r>
          </w:p>
        </w:tc>
      </w:tr>
    </w:tbl>
    <w:p w:rsidR="004E6C32" w:rsidRPr="006A75A2" w:rsidRDefault="004E6C32" w:rsidP="004B5CB1">
      <w:pPr>
        <w:pStyle w:val="Notes"/>
      </w:pPr>
    </w:p>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i/>
          <w:kern w:val="0"/>
        </w:rPr>
      </w:pPr>
      <w:r w:rsidRPr="006A75A2">
        <w:rPr>
          <w:kern w:val="0"/>
        </w:rPr>
        <w:lastRenderedPageBreak/>
        <w:t>Note 18:</w:t>
      </w:r>
      <w:r w:rsidRPr="006A75A2">
        <w:rPr>
          <w:kern w:val="0"/>
        </w:rPr>
        <w:tab/>
        <w:t xml:space="preserve">Joint ventures </w:t>
      </w:r>
      <w:r w:rsidRPr="006A75A2">
        <w:rPr>
          <w:i/>
          <w:kern w:val="0"/>
        </w:rPr>
        <w:t>(continued)</w:t>
      </w:r>
    </w:p>
    <w:p w:rsidR="004E6C32" w:rsidRPr="006A75A2" w:rsidRDefault="004E6C32" w:rsidP="0067336F">
      <w:pPr>
        <w:pStyle w:val="Heading5"/>
      </w:pPr>
      <w:r w:rsidRPr="006A75A2">
        <w:t>The Australia Regenerative Medicine Institute</w:t>
      </w:r>
    </w:p>
    <w:p w:rsidR="004E6C32" w:rsidRPr="006A75A2" w:rsidRDefault="004E6C32" w:rsidP="004B5CB1">
      <w:r w:rsidRPr="006A75A2">
        <w:t>The Department of State Development, Business and Innovation (DSDBI) has a joint venture interest with Monash University in the Australian Regenerative Medicine Institute (ARMI). ARMI was established to construct and operate a facility which will promote Victoria as a global leader in regenerative medical research, foster and develop existing research collaboration on both domestic and overseas projects and provide a major site for both undergraduate and post graduate training programs.</w:t>
      </w:r>
    </w:p>
    <w:p w:rsidR="004E6C32" w:rsidRPr="006A75A2" w:rsidRDefault="004E6C32" w:rsidP="004B5CB1">
      <w:r w:rsidRPr="006A75A2">
        <w:t>The following table provides information on Victoria</w:t>
      </w:r>
      <w:r w:rsidR="00C96101" w:rsidRPr="006A75A2">
        <w:t>’</w:t>
      </w:r>
      <w:r w:rsidRPr="006A75A2">
        <w:t>s share of ARMI:</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Balance sheet</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35.0</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assets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35.0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35.0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assets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35.0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35.0</w:t>
            </w:r>
          </w:p>
        </w:tc>
      </w:tr>
    </w:tbl>
    <w:p w:rsidR="004E6C32" w:rsidRPr="006A75A2" w:rsidRDefault="004E6C32" w:rsidP="004B5CB1">
      <w:pPr>
        <w:pStyle w:val="million"/>
      </w:pPr>
    </w:p>
    <w:p w:rsidR="004E6C32" w:rsidRPr="006A75A2" w:rsidRDefault="004E6C32" w:rsidP="004B5CB1">
      <w:r w:rsidRPr="006A75A2">
        <w:t>The Victorian Government</w:t>
      </w:r>
      <w:r w:rsidR="00C96101" w:rsidRPr="006A75A2">
        <w:t>’</w:t>
      </w:r>
      <w:r w:rsidRPr="006A75A2">
        <w:t>s ownership interest of ARMI at 30 June 2014 was 20.2 per cent (20.2 per cent in 2013).</w:t>
      </w:r>
    </w:p>
    <w:p w:rsidR="004E6C32" w:rsidRPr="006A75A2" w:rsidRDefault="004E6C32" w:rsidP="0067336F">
      <w:pPr>
        <w:pStyle w:val="Heading5"/>
      </w:pPr>
      <w:r w:rsidRPr="006A75A2">
        <w:t>Property Exchange Australia Limited</w:t>
      </w:r>
    </w:p>
    <w:p w:rsidR="004E6C32" w:rsidRPr="006A75A2" w:rsidRDefault="004E6C32" w:rsidP="004B5CB1">
      <w:r w:rsidRPr="006A75A2">
        <w:t>The Department of Transport, Planning and Local Infrastructure (DTPLI) has an investment in an associate entity, Property Exchange Australia Limited (PEXA), formerly known as National E</w:t>
      </w:r>
      <w:r w:rsidRPr="006A75A2">
        <w:noBreakHyphen/>
        <w:t>Conveyancing Development Limited (NECDL) (the name change occurred on 3 March 2014). PEXA was established in January 2010 to develop a single national electronic conveyancing system for settling property transactions.</w:t>
      </w:r>
    </w:p>
    <w:p w:rsidR="004E6C32" w:rsidRPr="006A75A2" w:rsidRDefault="004E6C32" w:rsidP="004B5CB1">
      <w:r w:rsidRPr="006A75A2">
        <w:t>PEXA was transferred to DTPLI as part of the machinery of government change that resulted in the transfer of functions of Land Victoria from the Department of Environment and Primary Industries (DEPI) on 1 July 2013.</w:t>
      </w:r>
    </w:p>
    <w:p w:rsidR="004E6C32" w:rsidRPr="006A75A2" w:rsidRDefault="004E6C32" w:rsidP="004B5CB1">
      <w:r w:rsidRPr="006A75A2">
        <w:t>The carrying value of the investment has been adjusted to reflect DTPLI</w:t>
      </w:r>
      <w:r w:rsidR="00C96101" w:rsidRPr="006A75A2">
        <w:t>’</w:t>
      </w:r>
      <w:r w:rsidRPr="006A75A2">
        <w:t>s share of the carrying value of PEXA</w:t>
      </w:r>
      <w:r w:rsidR="00C96101" w:rsidRPr="006A75A2">
        <w:t>’</w:t>
      </w:r>
      <w:r w:rsidRPr="006A75A2">
        <w:t xml:space="preserve">s net assets. </w:t>
      </w:r>
    </w:p>
    <w:p w:rsidR="004E6C32" w:rsidRPr="006A75A2" w:rsidRDefault="004E6C32" w:rsidP="004B5CB1">
      <w:r w:rsidRPr="006A75A2">
        <w:t>The following table provides information on Victoria</w:t>
      </w:r>
      <w:r w:rsidR="00C96101" w:rsidRPr="006A75A2">
        <w:t>’</w:t>
      </w:r>
      <w:r w:rsidRPr="006A75A2">
        <w:t>s share of PEXA: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Balance sheet</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assets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10.6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15.9</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1.5</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assets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14.4</w:t>
            </w:r>
          </w:p>
        </w:tc>
      </w:tr>
    </w:tbl>
    <w:p w:rsidR="004E6C32" w:rsidRPr="006A75A2" w:rsidRDefault="004E6C32" w:rsidP="004B5CB1">
      <w:pPr>
        <w:pStyle w:val="million"/>
      </w:pPr>
    </w:p>
    <w:p w:rsidR="004E6C32" w:rsidRPr="006A75A2" w:rsidRDefault="004E6C32" w:rsidP="004B5CB1">
      <w:r w:rsidRPr="006A75A2">
        <w:t>The Victorian Government</w:t>
      </w:r>
      <w:r w:rsidR="00C96101" w:rsidRPr="006A75A2">
        <w:t>’</w:t>
      </w:r>
      <w:r w:rsidRPr="006A75A2">
        <w:t>s ownership interest of PEXA at 30 June 2014 was 11.9 per cent (14.2 per cent in 2013).</w:t>
      </w:r>
    </w:p>
    <w:p w:rsidR="004E6C32" w:rsidRPr="006A75A2" w:rsidRDefault="004E6C32" w:rsidP="004B5CB1">
      <w:pPr>
        <w:pStyle w:val="Heading2NotesContd"/>
        <w:rPr>
          <w:i/>
          <w:kern w:val="0"/>
        </w:rPr>
      </w:pPr>
      <w:r w:rsidRPr="006A75A2">
        <w:rPr>
          <w:kern w:val="0"/>
        </w:rPr>
        <w:lastRenderedPageBreak/>
        <w:t>Note 18:</w:t>
      </w:r>
      <w:r w:rsidRPr="006A75A2">
        <w:rPr>
          <w:kern w:val="0"/>
        </w:rPr>
        <w:tab/>
        <w:t xml:space="preserve">Joint ventures </w:t>
      </w:r>
      <w:r w:rsidRPr="006A75A2">
        <w:rPr>
          <w:i/>
          <w:kern w:val="0"/>
        </w:rPr>
        <w:t>(continued)</w:t>
      </w:r>
    </w:p>
    <w:p w:rsidR="004E6C32" w:rsidRPr="006A75A2" w:rsidRDefault="004E6C32" w:rsidP="0067336F">
      <w:pPr>
        <w:pStyle w:val="Heading5"/>
      </w:pPr>
      <w:r w:rsidRPr="006A75A2">
        <w:t>Snowy Hydro Limited</w:t>
      </w:r>
    </w:p>
    <w:p w:rsidR="004E6C32" w:rsidRPr="006A75A2" w:rsidRDefault="004E6C32" w:rsidP="004B5CB1">
      <w:r w:rsidRPr="006A75A2">
        <w:t>Snowy Hydro Limited is a company jointly owned by the Commonwealth (13 per cent), New South Wales (58 per cent) and Victoria (29 per cent), which owns and operates the Snowy Mountains Hydro Electric Scheme as an independent electricity generator in the National Electricity Market.</w:t>
      </w:r>
    </w:p>
    <w:p w:rsidR="004E6C32" w:rsidRPr="006A75A2" w:rsidRDefault="004E6C32" w:rsidP="004B5CB1">
      <w:r w:rsidRPr="006A75A2">
        <w:t>The following tables provide information on Victoria</w:t>
      </w:r>
      <w:r w:rsidR="00C96101" w:rsidRPr="006A75A2">
        <w:t>’</w:t>
      </w:r>
      <w:r w:rsidRPr="006A75A2">
        <w:t>s share of Snowy Hydro Limited:</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Balance sheet</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vertAlign w:val="superscript"/>
                <w:lang w:eastAsia="en-AU"/>
              </w:rPr>
            </w:pPr>
            <w:r w:rsidRPr="006A75A2">
              <w:rPr>
                <w:rFonts w:eastAsiaTheme="minorEastAsia"/>
                <w:iCs/>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216.2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115.7</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1 459.5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1 680.0</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assets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1 675.6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1 795.7</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174.1</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164.6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179.1</w:t>
            </w:r>
          </w:p>
        </w:tc>
      </w:tr>
      <w:tr w:rsidR="004E6C32" w:rsidRPr="006A75A2" w:rsidTr="004B5CB1">
        <w:tc>
          <w:tcPr>
            <w:tcW w:w="740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assets</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1 511.0</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1 616.6</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0" w:type="dxa"/>
            <w:tcBorders>
              <w:top w:val="nil"/>
              <w:left w:val="nil"/>
              <w:bottom w:val="single" w:sz="6" w:space="0" w:color="auto"/>
              <w:right w:val="nil"/>
            </w:tcBorders>
            <w:shd w:val="solid" w:color="000000" w:fill="auto"/>
          </w:tcPr>
          <w:p w:rsidR="004E6C32" w:rsidRPr="006A75A2" w:rsidRDefault="004E6C32" w:rsidP="004B5CB1">
            <w:pPr>
              <w:pStyle w:val="TabletextheadingLeft"/>
              <w:rPr>
                <w:rFonts w:eastAsiaTheme="minorEastAsia"/>
                <w:lang w:eastAsia="en-AU"/>
              </w:rPr>
            </w:pPr>
            <w:r w:rsidRPr="006A75A2">
              <w:rPr>
                <w:rFonts w:eastAsiaTheme="minorEastAsia"/>
                <w:lang w:eastAsia="en-AU"/>
              </w:rPr>
              <w:t>Revenue and profit</w:t>
            </w:r>
          </w:p>
        </w:tc>
        <w:tc>
          <w:tcPr>
            <w:tcW w:w="1120" w:type="dxa"/>
            <w:tcBorders>
              <w:top w:val="nil"/>
              <w:left w:val="nil"/>
              <w:bottom w:val="single" w:sz="6" w:space="0" w:color="auto"/>
              <w:right w:val="nil"/>
            </w:tcBorders>
            <w:shd w:val="solid" w:color="000000" w:fill="auto"/>
          </w:tcPr>
          <w:p w:rsidR="004E6C32" w:rsidRPr="006A75A2" w:rsidRDefault="004E6C32" w:rsidP="004B5CB1">
            <w:pPr>
              <w:pStyle w:val="TableofFigures"/>
              <w:rPr>
                <w:rFonts w:eastAsiaTheme="minorEastAsia"/>
                <w:i/>
                <w:iCs/>
                <w:lang w:eastAsia="en-AU"/>
              </w:rPr>
            </w:pPr>
            <w:r w:rsidRPr="006A75A2">
              <w:rPr>
                <w:rFonts w:eastAsiaTheme="minorEastAsia"/>
                <w:i/>
                <w:iCs/>
                <w:lang w:eastAsia="en-AU"/>
              </w:rPr>
              <w:t>2014</w:t>
            </w:r>
          </w:p>
        </w:tc>
        <w:tc>
          <w:tcPr>
            <w:tcW w:w="1120" w:type="dxa"/>
            <w:tcBorders>
              <w:top w:val="nil"/>
              <w:left w:val="nil"/>
              <w:bottom w:val="single" w:sz="6" w:space="0" w:color="auto"/>
              <w:right w:val="nil"/>
            </w:tcBorders>
            <w:shd w:val="solid" w:color="000000" w:fill="auto"/>
          </w:tcPr>
          <w:p w:rsidR="004E6C32" w:rsidRPr="006A75A2" w:rsidRDefault="004E6C32" w:rsidP="004B5CB1">
            <w:pPr>
              <w:pStyle w:val="TableofFigures"/>
              <w:rPr>
                <w:rFonts w:eastAsiaTheme="minorEastAsia"/>
                <w:i/>
                <w:iCs/>
                <w:lang w:eastAsia="en-AU"/>
              </w:rPr>
            </w:pPr>
            <w:r w:rsidRPr="006A75A2">
              <w:rPr>
                <w:rFonts w:eastAsiaTheme="minorEastAsia"/>
                <w:i/>
                <w:iCs/>
                <w:lang w:eastAsia="en-AU"/>
              </w:rPr>
              <w:t>2013</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Revenue from ordinary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372.8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348.4</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Profit from ordinary activities before income tax</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158.9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75.9</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Income Tax expense relating to ordinary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30.9</w:t>
            </w:r>
          </w:p>
        </w:tc>
      </w:tr>
      <w:tr w:rsidR="004E6C32" w:rsidRPr="006A75A2" w:rsidTr="004B5CB1">
        <w:tc>
          <w:tcPr>
            <w:tcW w:w="740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result</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175.9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45.0</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0" w:type="dxa"/>
            <w:tcBorders>
              <w:top w:val="nil"/>
              <w:left w:val="nil"/>
              <w:bottom w:val="single" w:sz="6" w:space="0" w:color="auto"/>
              <w:right w:val="nil"/>
            </w:tcBorders>
            <w:shd w:val="solid" w:color="000000" w:fill="auto"/>
          </w:tcPr>
          <w:p w:rsidR="004E6C32" w:rsidRPr="006A75A2" w:rsidRDefault="004E6C32" w:rsidP="004B5CB1">
            <w:pPr>
              <w:pStyle w:val="TabletextheadingLeft"/>
              <w:rPr>
                <w:rFonts w:eastAsiaTheme="minorEastAsia"/>
                <w:lang w:eastAsia="en-AU"/>
              </w:rPr>
            </w:pPr>
            <w:r w:rsidRPr="006A75A2">
              <w:rPr>
                <w:rFonts w:eastAsiaTheme="minorEastAsia"/>
                <w:lang w:eastAsia="en-AU"/>
              </w:rPr>
              <w:t>Commitments</w:t>
            </w:r>
          </w:p>
        </w:tc>
        <w:tc>
          <w:tcPr>
            <w:tcW w:w="1120" w:type="dxa"/>
            <w:tcBorders>
              <w:top w:val="nil"/>
              <w:left w:val="nil"/>
              <w:bottom w:val="single" w:sz="6" w:space="0" w:color="auto"/>
              <w:right w:val="nil"/>
            </w:tcBorders>
            <w:shd w:val="solid" w:color="000000" w:fill="auto"/>
          </w:tcPr>
          <w:p w:rsidR="004E6C32" w:rsidRPr="006A75A2" w:rsidRDefault="004E6C32" w:rsidP="004B5CB1">
            <w:pPr>
              <w:pStyle w:val="TableofFigures"/>
              <w:rPr>
                <w:rFonts w:eastAsiaTheme="minorEastAsia"/>
                <w:i/>
                <w:iCs/>
                <w:lang w:eastAsia="en-AU"/>
              </w:rPr>
            </w:pPr>
            <w:r w:rsidRPr="006A75A2">
              <w:rPr>
                <w:rFonts w:eastAsiaTheme="minorEastAsia"/>
                <w:i/>
                <w:iCs/>
                <w:lang w:eastAsia="en-AU"/>
              </w:rPr>
              <w:t>2014</w:t>
            </w:r>
          </w:p>
        </w:tc>
        <w:tc>
          <w:tcPr>
            <w:tcW w:w="1120" w:type="dxa"/>
            <w:tcBorders>
              <w:top w:val="nil"/>
              <w:left w:val="nil"/>
              <w:bottom w:val="single" w:sz="6" w:space="0" w:color="auto"/>
              <w:right w:val="nil"/>
            </w:tcBorders>
            <w:shd w:val="solid" w:color="000000" w:fill="auto"/>
          </w:tcPr>
          <w:p w:rsidR="004E6C32" w:rsidRPr="006A75A2" w:rsidRDefault="004E6C32" w:rsidP="004B5CB1">
            <w:pPr>
              <w:pStyle w:val="TableofFigures"/>
              <w:rPr>
                <w:rFonts w:eastAsiaTheme="minorEastAsia"/>
                <w:i/>
                <w:iCs/>
                <w:lang w:eastAsia="en-AU"/>
              </w:rPr>
            </w:pPr>
            <w:r w:rsidRPr="006A75A2">
              <w:rPr>
                <w:rFonts w:eastAsiaTheme="minorEastAsia"/>
                <w:i/>
                <w:iCs/>
                <w:lang w:eastAsia="en-AU"/>
              </w:rPr>
              <w:t>2013</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Capital expenditure commitments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Operating lease commitments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20.6</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commitments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ind w:left="0" w:firstLine="0"/>
              <w:rPr>
                <w:rFonts w:eastAsiaTheme="minorEastAsia"/>
                <w:b/>
                <w:lang w:eastAsia="en-AU"/>
              </w:rPr>
            </w:pPr>
            <w:r w:rsidRPr="006A75A2">
              <w:rPr>
                <w:rFonts w:eastAsiaTheme="minorEastAsia"/>
                <w:b/>
                <w:lang w:eastAsia="en-AU"/>
              </w:rPr>
              <w:t>Total commitments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25.8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33.0</w:t>
            </w:r>
          </w:p>
        </w:tc>
      </w:tr>
    </w:tbl>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r w:rsidRPr="006A75A2">
        <w:t>The Victorian Government</w:t>
      </w:r>
      <w:r w:rsidR="00C96101" w:rsidRPr="006A75A2">
        <w:t>’</w:t>
      </w:r>
      <w:r w:rsidRPr="006A75A2">
        <w:t>s ownership interest of Snowy Hydro Limited at 30 June 2014 was 29.0 per cent (29.0 per cent in 2013).</w:t>
      </w:r>
    </w:p>
    <w:p w:rsidR="004E6C32" w:rsidRPr="006A75A2" w:rsidRDefault="004E6C32" w:rsidP="0067336F">
      <w:pPr>
        <w:pStyle w:val="Heading5"/>
      </w:pPr>
      <w:r w:rsidRPr="006A75A2">
        <w:t>(b)</w:t>
      </w:r>
      <w:r w:rsidRPr="006A75A2">
        <w:tab/>
        <w:t>Jointly controlled assets</w:t>
      </w:r>
    </w:p>
    <w:p w:rsidR="004E6C32" w:rsidRPr="006A75A2" w:rsidRDefault="004E6C32" w:rsidP="0067336F">
      <w:pPr>
        <w:pStyle w:val="Heading5a"/>
      </w:pPr>
      <w:r w:rsidRPr="006A75A2">
        <w:t>Royal Melbourne Showgrounds</w:t>
      </w:r>
    </w:p>
    <w:p w:rsidR="004E6C32" w:rsidRPr="006A75A2" w:rsidRDefault="004E6C32" w:rsidP="004B5CB1">
      <w:r w:rsidRPr="006A75A2">
        <w:t>The State, represented by the former Department of Primary Industries entered into a joint venture agreement with the Royal Agricultural Society of Victoria (RASV) in October 2003 to redevelop the Royal Melbourne Showgrounds. The agreement came into effect on 30 June 2005. Two joint venture structures have been established, an unincorporated joint venture to carry out and deliver the joint venture project, and an incorporated joint venture entity, Showgrounds Nominees Pty Ltd to hold the assets of the joint venture and to enter into agreements on behalf of the State and RASV.</w:t>
      </w:r>
    </w:p>
    <w:p w:rsidR="004E6C32" w:rsidRPr="006A75A2" w:rsidRDefault="004E6C32" w:rsidP="004B5CB1">
      <w:r w:rsidRPr="006A75A2">
        <w:t>The State</w:t>
      </w:r>
      <w:r w:rsidR="00C96101" w:rsidRPr="006A75A2">
        <w:t>’</w:t>
      </w:r>
      <w:r w:rsidRPr="006A75A2">
        <w:t xml:space="preserve">s contribution to the joint venture is $100.7 million (expressed in 2004 dollars) while RASV has contributed its freehold title to the showgrounds land valued at $51 million in June 2005. In June 2006, Showgrounds Nominees Pty Ltd entered into a development and operations agreement (on behalf of the State and RASV) with the concessionaire, PPP Solutions (Showgrounds) Nominee Pty Ltd to design, construct, finance and maintain the new facilities at the Showgrounds. The project operation term is 25 years from the date of commercial acceptance of completed works which occurred in August 2006. </w:t>
      </w:r>
    </w:p>
    <w:p w:rsidR="004E6C32" w:rsidRPr="006A75A2" w:rsidRDefault="004E6C32">
      <w:pPr>
        <w:spacing w:after="0"/>
      </w:pPr>
      <w:r w:rsidRPr="006A75A2">
        <w:br w:type="page"/>
      </w:r>
    </w:p>
    <w:p w:rsidR="004E6C32" w:rsidRPr="006A75A2" w:rsidRDefault="004E6C32" w:rsidP="004B5CB1">
      <w:pPr>
        <w:pStyle w:val="Heading2NotesContd"/>
        <w:rPr>
          <w:i/>
          <w:kern w:val="0"/>
        </w:rPr>
      </w:pPr>
      <w:r w:rsidRPr="006A75A2">
        <w:rPr>
          <w:kern w:val="0"/>
        </w:rPr>
        <w:lastRenderedPageBreak/>
        <w:t>Note 18:</w:t>
      </w:r>
      <w:r w:rsidRPr="006A75A2">
        <w:rPr>
          <w:kern w:val="0"/>
        </w:rPr>
        <w:tab/>
        <w:t xml:space="preserve">Joint ventures </w:t>
      </w:r>
      <w:r w:rsidRPr="006A75A2">
        <w:rPr>
          <w:i/>
          <w:kern w:val="0"/>
        </w:rPr>
        <w:t>(continued)</w:t>
      </w:r>
    </w:p>
    <w:p w:rsidR="004E6C32" w:rsidRPr="006A75A2" w:rsidRDefault="004E6C32" w:rsidP="004B5CB1">
      <w:r w:rsidRPr="006A75A2">
        <w:t>The State of Victoria</w:t>
      </w:r>
      <w:r w:rsidR="00C96101" w:rsidRPr="006A75A2">
        <w:t>’</w:t>
      </w:r>
      <w:r w:rsidRPr="006A75A2">
        <w:t>s interest in the unincorporated joint venture at 30 June 2014 was 50.0 per cent (50.0 per cent in 2013).</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AD1FBF">
        <w:tc>
          <w:tcPr>
            <w:tcW w:w="5160" w:type="dxa"/>
            <w:tcBorders>
              <w:top w:val="single" w:sz="6" w:space="0" w:color="auto"/>
              <w:left w:val="single" w:sz="6" w:space="0" w:color="auto"/>
              <w:bottom w:val="nil"/>
              <w:right w:val="nil"/>
            </w:tcBorders>
            <w:shd w:val="clear" w:color="000000" w:fill="000000"/>
          </w:tcPr>
          <w:p w:rsidR="003E39D9" w:rsidRPr="006A75A2" w:rsidRDefault="003E39D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3E39D9" w:rsidRPr="006A75A2" w:rsidRDefault="003E39D9" w:rsidP="004B5CB1">
            <w:pPr>
              <w:pStyle w:val="TabletextheadingCentred"/>
              <w:rPr>
                <w:rFonts w:eastAsiaTheme="minorEastAsia"/>
                <w:lang w:eastAsia="en-AU"/>
              </w:rPr>
            </w:pPr>
          </w:p>
          <w:p w:rsidR="003E39D9" w:rsidRPr="006A75A2" w:rsidRDefault="003E39D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3E39D9" w:rsidRPr="006A75A2" w:rsidRDefault="003E39D9" w:rsidP="004B5CB1">
            <w:pPr>
              <w:pStyle w:val="TabletextheadingCentred"/>
              <w:rPr>
                <w:rFonts w:eastAsiaTheme="minorEastAsia"/>
                <w:lang w:eastAsia="en-AU"/>
              </w:rPr>
            </w:pPr>
            <w:r w:rsidRPr="006A75A2">
              <w:rPr>
                <w:rFonts w:eastAsiaTheme="minorEastAsia"/>
                <w:lang w:eastAsia="en-AU"/>
              </w:rPr>
              <w:t xml:space="preserve">General </w:t>
            </w:r>
          </w:p>
          <w:p w:rsidR="003E39D9" w:rsidRPr="006A75A2" w:rsidRDefault="003E39D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Balance sheet</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assets</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6.4</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6.4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assets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115.5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121.1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115.5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121.1</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assets</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121.9</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127.5</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121.9</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liabilities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liabilities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48.2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49.3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49.3</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51.3</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52.3</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51.3</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52.3</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assets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70.6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75.2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70.6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75.2</w:t>
            </w:r>
          </w:p>
        </w:tc>
      </w:tr>
    </w:tbl>
    <w:p w:rsidR="004E6C32" w:rsidRPr="006A75A2" w:rsidRDefault="004E6C32" w:rsidP="004B5CB1">
      <w:pPr>
        <w:pStyle w:val="million"/>
      </w:pPr>
    </w:p>
    <w:p w:rsidR="004E6C32" w:rsidRPr="006A75A2" w:rsidRDefault="004E6C32" w:rsidP="0067336F">
      <w:pPr>
        <w:pStyle w:val="Heading5a"/>
      </w:pPr>
      <w:r w:rsidRPr="006A75A2">
        <w:t>AgriBio Project</w:t>
      </w:r>
    </w:p>
    <w:p w:rsidR="004E6C32" w:rsidRPr="006A75A2" w:rsidRDefault="004E6C32" w:rsidP="004B5CB1">
      <w:r w:rsidRPr="006A75A2">
        <w:t>In April 2008, the State, represented by the former Department of Primary Industries entered into a joint venture agreement with La Trobe University to establish a world class research facility on the university</w:t>
      </w:r>
      <w:r w:rsidR="00C96101" w:rsidRPr="006A75A2">
        <w:t>’</w:t>
      </w:r>
      <w:r w:rsidRPr="006A75A2">
        <w:t>s campus in Bundoora. Similar to the Showgrounds, the structure adopted is an unincorporated joint venture to carry out and deliver the project, and an incorporated joint venture entity, AgriBio, Centre for AgriBioscience to hold the assets and to enter into agreements on behalf of the State and the university.</w:t>
      </w:r>
    </w:p>
    <w:p w:rsidR="004E6C32" w:rsidRPr="006A75A2" w:rsidRDefault="004E6C32" w:rsidP="004B5CB1">
      <w:r w:rsidRPr="006A75A2">
        <w:t>The State</w:t>
      </w:r>
      <w:r w:rsidR="00C96101" w:rsidRPr="006A75A2">
        <w:t>’</w:t>
      </w:r>
      <w:r w:rsidRPr="006A75A2">
        <w:t>s contribution to the joint venture is $227.3 million (expressed in May 2009 dollars), while the university</w:t>
      </w:r>
      <w:r w:rsidR="00C96101" w:rsidRPr="006A75A2">
        <w:t>’</w:t>
      </w:r>
      <w:r w:rsidRPr="006A75A2">
        <w:t>s contribution is $60.4 million (expressed in May 2009 dollars).</w:t>
      </w:r>
    </w:p>
    <w:p w:rsidR="004E6C32" w:rsidRPr="006A75A2" w:rsidRDefault="004E6C32" w:rsidP="004B5CB1">
      <w:r w:rsidRPr="006A75A2">
        <w:t>On 30 April 2009, AgriBio entered into a project agreement (on behalf of the State and the university) with the concessionaire to design, construct, finance and maintain the AgriBio facility over the project</w:t>
      </w:r>
      <w:r w:rsidR="00C96101" w:rsidRPr="006A75A2">
        <w:t>’</w:t>
      </w:r>
      <w:r w:rsidRPr="006A75A2">
        <w:t>s operating term. The project</w:t>
      </w:r>
      <w:r w:rsidR="00C96101" w:rsidRPr="006A75A2">
        <w:t>’</w:t>
      </w:r>
      <w:r w:rsidRPr="006A75A2">
        <w:t xml:space="preserve">s operating term is 25 years from the date of commercial acceptance of completed works which occurred on 18 July 2012. </w:t>
      </w:r>
    </w:p>
    <w:p w:rsidR="004E6C32" w:rsidRPr="006A75A2" w:rsidRDefault="004E6C32" w:rsidP="004B5CB1">
      <w:r w:rsidRPr="006A75A2">
        <w:t xml:space="preserve">The department pays the quarterly service payment in full each quarter as they fall due, with La Trobe reimbursing the state its agreed share. La Trobe has elected to pay its contribution in part upfront. </w:t>
      </w:r>
    </w:p>
    <w:p w:rsidR="004E6C32" w:rsidRPr="006A75A2" w:rsidRDefault="004E6C32" w:rsidP="004B5CB1">
      <w:r w:rsidRPr="006A75A2">
        <w:t xml:space="preserve">In addition, La Trobe contributes on a quarterly basis 25 percent of the general facilities management, maintenance and minor works costs associated with the services. </w:t>
      </w:r>
    </w:p>
    <w:p w:rsidR="004E6C32" w:rsidRPr="006A75A2" w:rsidRDefault="004E6C32" w:rsidP="004B5CB1">
      <w:r w:rsidRPr="006A75A2">
        <w:t>In accordance with the Joint Venture Agreement the participants are required to fund the administration expenses of the joint venture in equal shares of 50:50.</w:t>
      </w:r>
    </w:p>
    <w:p w:rsidR="004E6C32" w:rsidRPr="006A75A2" w:rsidRDefault="004E6C32" w:rsidP="004B5CB1">
      <w:r w:rsidRPr="006A75A2">
        <w:t>The State of Victoria</w:t>
      </w:r>
      <w:r w:rsidR="00C96101" w:rsidRPr="006A75A2">
        <w:t>’</w:t>
      </w:r>
      <w:r w:rsidRPr="006A75A2">
        <w:t>s interest in the unincorporated joint venture at 30 June 2014 was 75.0 per cent (75.0 per cent in 2013).</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AD1FBF">
        <w:tc>
          <w:tcPr>
            <w:tcW w:w="5160" w:type="dxa"/>
            <w:tcBorders>
              <w:top w:val="single" w:sz="6" w:space="0" w:color="auto"/>
              <w:left w:val="single" w:sz="6" w:space="0" w:color="auto"/>
              <w:bottom w:val="nil"/>
              <w:right w:val="nil"/>
            </w:tcBorders>
            <w:shd w:val="clear" w:color="000000" w:fill="000000"/>
          </w:tcPr>
          <w:p w:rsidR="003E39D9" w:rsidRPr="006A75A2" w:rsidRDefault="003E39D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3E39D9" w:rsidRPr="006A75A2" w:rsidRDefault="003E39D9" w:rsidP="004B5CB1">
            <w:pPr>
              <w:pStyle w:val="TabletextheadingCentred"/>
              <w:rPr>
                <w:rFonts w:eastAsiaTheme="minorEastAsia"/>
                <w:lang w:eastAsia="en-AU"/>
              </w:rPr>
            </w:pPr>
          </w:p>
          <w:p w:rsidR="003E39D9" w:rsidRPr="006A75A2" w:rsidRDefault="003E39D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3E39D9" w:rsidRPr="006A75A2" w:rsidRDefault="003E39D9" w:rsidP="004B5CB1">
            <w:pPr>
              <w:pStyle w:val="TabletextheadingCentred"/>
              <w:rPr>
                <w:rFonts w:eastAsiaTheme="minorEastAsia"/>
                <w:lang w:eastAsia="en-AU"/>
              </w:rPr>
            </w:pPr>
            <w:r w:rsidRPr="006A75A2">
              <w:rPr>
                <w:rFonts w:eastAsiaTheme="minorEastAsia"/>
                <w:lang w:eastAsia="en-AU"/>
              </w:rPr>
              <w:t xml:space="preserve">General </w:t>
            </w:r>
          </w:p>
          <w:p w:rsidR="003E39D9" w:rsidRPr="006A75A2" w:rsidRDefault="003E39D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Balance sheet</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assets</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5.1</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assets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179.1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185.8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179.1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185.8</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assets</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179.1</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190.9</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179.1</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190.9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liabilities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liabilities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200.8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193.3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200.8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193.3</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208.2</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197.5</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208.2</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197.5</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assets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(29.1)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(29.1)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(6.6)</w:t>
            </w:r>
          </w:p>
        </w:tc>
      </w:tr>
    </w:tbl>
    <w:p w:rsidR="004E6C32" w:rsidRPr="006A75A2" w:rsidRDefault="004E6C32" w:rsidP="004B5CB1">
      <w:pPr>
        <w:pStyle w:val="million"/>
      </w:pPr>
    </w:p>
    <w:p w:rsidR="004E6C32" w:rsidRPr="006A75A2" w:rsidRDefault="004E6C32" w:rsidP="004B5CB1">
      <w:pPr>
        <w:pStyle w:val="Heading2NotesContd"/>
        <w:rPr>
          <w:i/>
          <w:kern w:val="0"/>
        </w:rPr>
      </w:pPr>
      <w:r w:rsidRPr="006A75A2">
        <w:rPr>
          <w:kern w:val="0"/>
        </w:rPr>
        <w:lastRenderedPageBreak/>
        <w:t>Note 18:</w:t>
      </w:r>
      <w:r w:rsidRPr="006A75A2">
        <w:rPr>
          <w:kern w:val="0"/>
        </w:rPr>
        <w:tab/>
        <w:t xml:space="preserve">Joint ventures </w:t>
      </w:r>
      <w:r w:rsidRPr="006A75A2">
        <w:rPr>
          <w:i/>
          <w:kern w:val="0"/>
        </w:rPr>
        <w:t>(continued)</w:t>
      </w:r>
    </w:p>
    <w:p w:rsidR="004E6C32" w:rsidRPr="006A75A2" w:rsidRDefault="004E6C32" w:rsidP="0067336F">
      <w:pPr>
        <w:pStyle w:val="Heading5a"/>
      </w:pPr>
      <w:r w:rsidRPr="006A75A2">
        <w:t>Murray-Darling Basin Authority</w:t>
      </w:r>
    </w:p>
    <w:p w:rsidR="004E6C32" w:rsidRPr="006A75A2" w:rsidRDefault="004E6C32" w:rsidP="004B5CB1">
      <w:r w:rsidRPr="006A75A2">
        <w:t xml:space="preserve">On 26 March 2008, the Commonwealth and the basin states – New South Wales, Victoria, Queensland, South Australia and the Australian Capital Territory – signed a Memorandum of Understanding for Murray Darling Basin Reform. The Murray Darling Basin Authority (MDBA) was created by the </w:t>
      </w:r>
      <w:r w:rsidRPr="006A75A2">
        <w:rPr>
          <w:i/>
        </w:rPr>
        <w:t>Water Act 2007</w:t>
      </w:r>
      <w:r w:rsidRPr="006A75A2">
        <w:t xml:space="preserve"> and was established on 3 March 2008, however agreement to the proportional share of assets between the states and Commonwealth did not occur until 2008-09. The functions undertaken by the Murray Darling Basin Council (MDBC) were transferred to the MDBA and the existing MDBC dissolved, with a new Ministerial Council, Basin Officials Committee and Basin Community Committee established for the MDBA. The date of transition was 14 December 2008.</w:t>
      </w:r>
    </w:p>
    <w:p w:rsidR="004E6C32" w:rsidRPr="006A75A2" w:rsidRDefault="004E6C32" w:rsidP="004B5CB1">
      <w:r w:rsidRPr="006A75A2">
        <w:t>As a result, the State</w:t>
      </w:r>
      <w:r w:rsidR="00C96101" w:rsidRPr="006A75A2">
        <w:t>’</w:t>
      </w:r>
      <w:r w:rsidRPr="006A75A2">
        <w:t>s equity investment in the MDBA was derecognised, with an associated increase in financial and non-financial asset values, but mainly in buildings, plant and equipment classifications in the balance sheet, reflecting the State</w:t>
      </w:r>
      <w:r w:rsidR="00C96101" w:rsidRPr="006A75A2">
        <w:t>’</w:t>
      </w:r>
      <w:r w:rsidRPr="006A75A2">
        <w:t xml:space="preserve">s direct interest in certain MDBA assets. The venturers have a joint interest in the infrastructure assets themselves and water rights (as opposed to an interest in an entity controlling/holding the assets). </w:t>
      </w:r>
    </w:p>
    <w:p w:rsidR="004E6C32" w:rsidRPr="006A75A2" w:rsidRDefault="004E6C32" w:rsidP="004B5CB1">
      <w:r w:rsidRPr="006A75A2">
        <w:t>The share in the individually controlled assets was transferred at transition in the original proportions of the share of the entity held by the individual jurisdictions as follows: New South Wales 26.7 per cent; South Australia 26.7 per cent; Victoria 26.7 per cent; the Commonwealth Government 20.0 per cent.</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AD1FBF">
        <w:tc>
          <w:tcPr>
            <w:tcW w:w="5160" w:type="dxa"/>
            <w:tcBorders>
              <w:top w:val="single" w:sz="6" w:space="0" w:color="auto"/>
              <w:left w:val="single" w:sz="6" w:space="0" w:color="auto"/>
              <w:bottom w:val="nil"/>
              <w:right w:val="nil"/>
            </w:tcBorders>
            <w:shd w:val="clear" w:color="000000" w:fill="000000"/>
          </w:tcPr>
          <w:p w:rsidR="003E39D9" w:rsidRPr="006A75A2" w:rsidRDefault="003E39D9" w:rsidP="004B5CB1">
            <w:pPr>
              <w:pStyle w:val="Tabletext"/>
              <w:rPr>
                <w:rFonts w:eastAsiaTheme="minorEastAsia"/>
                <w:i/>
                <w:lang w:eastAsia="en-AU"/>
              </w:rPr>
            </w:pPr>
            <w:r w:rsidRPr="006A75A2">
              <w:rPr>
                <w:rFonts w:eastAsiaTheme="minorEastAsia"/>
                <w:i/>
                <w:lang w:eastAsia="en-AU"/>
              </w:rPr>
              <w:t>Balance sheet</w:t>
            </w:r>
          </w:p>
        </w:tc>
        <w:tc>
          <w:tcPr>
            <w:tcW w:w="2240" w:type="dxa"/>
            <w:gridSpan w:val="2"/>
            <w:tcBorders>
              <w:top w:val="single" w:sz="6" w:space="0" w:color="auto"/>
              <w:left w:val="nil"/>
              <w:bottom w:val="nil"/>
              <w:right w:val="nil"/>
            </w:tcBorders>
            <w:shd w:val="clear" w:color="000000" w:fill="000000"/>
          </w:tcPr>
          <w:p w:rsidR="003E39D9" w:rsidRPr="006A75A2" w:rsidRDefault="003E39D9" w:rsidP="004B5CB1">
            <w:pPr>
              <w:pStyle w:val="TabletextheadingCentred"/>
              <w:rPr>
                <w:rFonts w:eastAsiaTheme="minorEastAsia"/>
                <w:lang w:eastAsia="en-AU"/>
              </w:rPr>
            </w:pPr>
          </w:p>
          <w:p w:rsidR="003E39D9" w:rsidRPr="006A75A2" w:rsidRDefault="003E39D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3E39D9" w:rsidRPr="006A75A2" w:rsidRDefault="003E39D9" w:rsidP="004B5CB1">
            <w:pPr>
              <w:pStyle w:val="TabletextheadingCentred"/>
              <w:rPr>
                <w:rFonts w:eastAsiaTheme="minorEastAsia"/>
                <w:lang w:eastAsia="en-AU"/>
              </w:rPr>
            </w:pPr>
            <w:r w:rsidRPr="006A75A2">
              <w:rPr>
                <w:rFonts w:eastAsiaTheme="minorEastAsia"/>
                <w:lang w:eastAsia="en-AU"/>
              </w:rPr>
              <w:t xml:space="preserve">General </w:t>
            </w:r>
          </w:p>
          <w:p w:rsidR="003E39D9" w:rsidRPr="006A75A2" w:rsidRDefault="003E39D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Current assets</w:t>
            </w:r>
            <w:r w:rsidRPr="006A75A2">
              <w:rPr>
                <w:rFonts w:eastAsiaTheme="minorEastAsia"/>
                <w:vertAlign w:val="superscript"/>
                <w:lang w:eastAsia="en-AU"/>
              </w:rPr>
              <w:t>(a)</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12.7</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13.6</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12.7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13.6</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Non-current assets</w:t>
            </w:r>
            <w:r w:rsidRPr="006A75A2">
              <w:rPr>
                <w:rFonts w:eastAsiaTheme="minorEastAsia"/>
                <w:vertAlign w:val="superscript"/>
                <w:lang w:eastAsia="en-AU"/>
              </w:rPr>
              <w:t>(a)</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791.1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779.1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791.1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779.1</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assets</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803.8</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792.7</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803.8</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792.7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Current liabilities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liabilities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assets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803.8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792.7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803.8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792.7</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to reflect more current information.</w:t>
      </w:r>
    </w:p>
    <w:p w:rsidR="004E6C32" w:rsidRPr="006A75A2" w:rsidRDefault="004E6C32" w:rsidP="004B5CB1"/>
    <w:p w:rsidR="004E6C32" w:rsidRPr="006A75A2" w:rsidRDefault="004E6C32" w:rsidP="004B5CB1"/>
    <w:p w:rsidR="004E6C32" w:rsidRPr="006A75A2" w:rsidRDefault="004E6C32" w:rsidP="004B5CB1">
      <w:pPr>
        <w:pStyle w:val="Heading2Notes"/>
        <w:rPr>
          <w:kern w:val="0"/>
        </w:rPr>
      </w:pPr>
      <w:bookmarkStart w:id="49" w:name="_Toc400040266"/>
      <w:r w:rsidRPr="006A75A2">
        <w:rPr>
          <w:kern w:val="0"/>
        </w:rPr>
        <w:t>Note 19:</w:t>
      </w:r>
      <w:r w:rsidRPr="006A75A2">
        <w:rPr>
          <w:kern w:val="0"/>
        </w:rPr>
        <w:tab/>
        <w:t>Investments in other sector entities</w:t>
      </w:r>
      <w:bookmarkEnd w:id="49"/>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cs="Calibri"/>
                <w:iCs/>
                <w:szCs w:val="22"/>
                <w:vertAlign w:val="superscript"/>
                <w:lang w:eastAsia="en-AU"/>
              </w:rPr>
            </w:pPr>
            <w:r w:rsidRPr="006A75A2">
              <w:rPr>
                <w:rFonts w:eastAsiaTheme="minorEastAsia"/>
                <w:iCs/>
                <w:lang w:eastAsia="en-AU"/>
              </w:rPr>
              <w:t>2013</w:t>
            </w:r>
            <w:r w:rsidRPr="006A75A2">
              <w:rPr>
                <w:rFonts w:eastAsiaTheme="minorEastAsia"/>
                <w:iCs/>
                <w:vertAlign w:val="superscript"/>
                <w:lang w:eastAsia="en-AU"/>
              </w:rPr>
              <w:t>(</w:t>
            </w:r>
            <w:r w:rsidRPr="006A75A2">
              <w:rPr>
                <w:rFonts w:eastAsiaTheme="minorEastAsia" w:cs="Calibri"/>
                <w:iCs/>
                <w:szCs w:val="22"/>
                <w:vertAlign w:val="superscript"/>
                <w:lang w:eastAsia="en-AU"/>
              </w:rPr>
              <w:t>a)</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of investment in PNFC and PFC sectors at beginning of period</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69 714.8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67 426.6</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contributions to other sectors by owner</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2 340.6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2 785.9</w:t>
            </w:r>
          </w:p>
        </w:tc>
      </w:tr>
      <w:tr w:rsidR="004E6C32" w:rsidRPr="006A75A2" w:rsidTr="004B5CB1">
        <w:tc>
          <w:tcPr>
            <w:tcW w:w="7400"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Revaluation gain/(loss) for period</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3 813.8</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(497.7)</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investments in other sector entities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75 869.2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69 714.8</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Note 37.</w:t>
      </w:r>
    </w:p>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50" w:name="_Toc400040267"/>
      <w:r w:rsidRPr="006A75A2">
        <w:rPr>
          <w:kern w:val="0"/>
        </w:rPr>
        <w:lastRenderedPageBreak/>
        <w:t>Note 20:</w:t>
      </w:r>
      <w:r w:rsidRPr="006A75A2">
        <w:rPr>
          <w:kern w:val="0"/>
        </w:rPr>
        <w:tab/>
        <w:t>Inventories</w:t>
      </w:r>
      <w:bookmarkEnd w:id="50"/>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AD1FBF">
        <w:tc>
          <w:tcPr>
            <w:tcW w:w="5160" w:type="dxa"/>
            <w:tcBorders>
              <w:top w:val="single" w:sz="6" w:space="0" w:color="auto"/>
              <w:left w:val="single" w:sz="6" w:space="0" w:color="auto"/>
              <w:bottom w:val="nil"/>
              <w:right w:val="nil"/>
            </w:tcBorders>
            <w:shd w:val="clear" w:color="000000" w:fill="000000"/>
          </w:tcPr>
          <w:p w:rsidR="003E39D9" w:rsidRPr="006A75A2" w:rsidRDefault="003E39D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3E39D9" w:rsidRPr="006A75A2" w:rsidRDefault="003E39D9" w:rsidP="004B5CB1">
            <w:pPr>
              <w:pStyle w:val="TabletextheadingCentred"/>
              <w:rPr>
                <w:rFonts w:eastAsiaTheme="minorEastAsia"/>
                <w:lang w:eastAsia="en-AU"/>
              </w:rPr>
            </w:pPr>
          </w:p>
          <w:p w:rsidR="003E39D9" w:rsidRPr="006A75A2" w:rsidRDefault="003E39D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3E39D9" w:rsidRPr="006A75A2" w:rsidRDefault="003E39D9" w:rsidP="004B5CB1">
            <w:pPr>
              <w:pStyle w:val="TabletextheadingCentred"/>
              <w:rPr>
                <w:rFonts w:eastAsiaTheme="minorEastAsia"/>
                <w:lang w:eastAsia="en-AU"/>
              </w:rPr>
            </w:pPr>
            <w:r w:rsidRPr="006A75A2">
              <w:rPr>
                <w:rFonts w:eastAsiaTheme="minorEastAsia"/>
                <w:lang w:eastAsia="en-AU"/>
              </w:rPr>
              <w:t xml:space="preserve">General </w:t>
            </w:r>
          </w:p>
          <w:p w:rsidR="003E39D9" w:rsidRPr="006A75A2" w:rsidRDefault="003E39D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At cost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Raw materials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Work in progress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52.7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Finished goods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Consumable stores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160.2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149.7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121.6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113.5</w:t>
            </w:r>
          </w:p>
        </w:tc>
      </w:tr>
      <w:tr w:rsidR="004E6C32" w:rsidRPr="006A75A2" w:rsidTr="004B5CB1">
        <w:tc>
          <w:tcPr>
            <w:tcW w:w="5160" w:type="dxa"/>
            <w:tcBorders>
              <w:top w:val="nil"/>
              <w:left w:val="nil"/>
              <w:bottom w:val="nil"/>
              <w:right w:val="nil"/>
            </w:tcBorders>
          </w:tcPr>
          <w:p w:rsidR="004E6C32" w:rsidRPr="006A75A2" w:rsidRDefault="004E6C32" w:rsidP="002D2F70">
            <w:pPr>
              <w:pStyle w:val="Tabletext"/>
              <w:rPr>
                <w:rFonts w:eastAsiaTheme="minorEastAsia"/>
                <w:vertAlign w:val="superscript"/>
                <w:lang w:eastAsia="en-AU"/>
              </w:rPr>
            </w:pPr>
            <w:r w:rsidRPr="006A75A2">
              <w:rPr>
                <w:rFonts w:eastAsiaTheme="minorEastAsia"/>
                <w:lang w:eastAsia="en-AU"/>
              </w:rPr>
              <w:t>Land and other assets held as inventory</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598.6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At net realisable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Finished goods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Consumable stores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Land and other assets held as inventory</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inventories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802.2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871.0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176.6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192.1</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Including inventory held for distribution.</w:t>
      </w:r>
    </w:p>
    <w:p w:rsidR="004E6C32" w:rsidRPr="006A75A2" w:rsidRDefault="004E6C32" w:rsidP="004B5CB1"/>
    <w:p w:rsidR="004E6C32" w:rsidRPr="006A75A2" w:rsidRDefault="004E6C32" w:rsidP="004B5CB1"/>
    <w:p w:rsidR="004E6C32" w:rsidRPr="006A75A2" w:rsidRDefault="004E6C32" w:rsidP="0067336F">
      <w:pPr>
        <w:pStyle w:val="Heading5"/>
      </w:pPr>
      <w:r w:rsidRPr="006A75A2">
        <w:t>Reconciliation of movements in land and other assets held as inventory</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AD1FBF">
        <w:tc>
          <w:tcPr>
            <w:tcW w:w="5160" w:type="dxa"/>
            <w:tcBorders>
              <w:top w:val="single" w:sz="6" w:space="0" w:color="auto"/>
              <w:left w:val="single" w:sz="6" w:space="0" w:color="auto"/>
              <w:bottom w:val="nil"/>
              <w:right w:val="nil"/>
            </w:tcBorders>
            <w:shd w:val="clear" w:color="000000" w:fill="000000"/>
          </w:tcPr>
          <w:p w:rsidR="003E39D9" w:rsidRPr="006A75A2" w:rsidRDefault="003E39D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3E39D9" w:rsidRPr="006A75A2" w:rsidRDefault="003E39D9" w:rsidP="004B5CB1">
            <w:pPr>
              <w:pStyle w:val="TabletextheadingCentred"/>
              <w:rPr>
                <w:rFonts w:eastAsiaTheme="minorEastAsia"/>
                <w:lang w:eastAsia="en-AU"/>
              </w:rPr>
            </w:pPr>
          </w:p>
          <w:p w:rsidR="003E39D9" w:rsidRPr="006A75A2" w:rsidRDefault="003E39D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3E39D9" w:rsidRPr="006A75A2" w:rsidRDefault="003E39D9" w:rsidP="004B5CB1">
            <w:pPr>
              <w:pStyle w:val="TabletextheadingCentred"/>
              <w:rPr>
                <w:rFonts w:eastAsiaTheme="minorEastAsia"/>
                <w:lang w:eastAsia="en-AU"/>
              </w:rPr>
            </w:pPr>
            <w:r w:rsidRPr="006A75A2">
              <w:rPr>
                <w:rFonts w:eastAsiaTheme="minorEastAsia"/>
                <w:lang w:eastAsia="en-AU"/>
              </w:rPr>
              <w:t xml:space="preserve">General </w:t>
            </w:r>
          </w:p>
          <w:p w:rsidR="003E39D9" w:rsidRPr="006A75A2" w:rsidRDefault="003E39D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Opening balance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602.4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626.4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64.1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74.1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Acquisitions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159.1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transferred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47.6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24.6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(36.9)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(126.4)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(12.0)</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Disposals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(37.8)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(104.4)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(30.6)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(39.0)</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532.9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602.4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37.9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64.1</w:t>
            </w:r>
          </w:p>
        </w:tc>
      </w:tr>
    </w:tbl>
    <w:p w:rsidR="004E6C32" w:rsidRPr="006A75A2" w:rsidRDefault="004E6C32" w:rsidP="004B5CB1"/>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51" w:name="_Toc400040268"/>
      <w:r w:rsidRPr="006A75A2">
        <w:rPr>
          <w:kern w:val="0"/>
        </w:rPr>
        <w:lastRenderedPageBreak/>
        <w:t>Note 21:</w:t>
      </w:r>
      <w:r w:rsidRPr="006A75A2">
        <w:rPr>
          <w:kern w:val="0"/>
        </w:rPr>
        <w:tab/>
        <w:t>Non</w:t>
      </w:r>
      <w:r w:rsidRPr="006A75A2">
        <w:rPr>
          <w:kern w:val="0"/>
        </w:rPr>
        <w:noBreakHyphen/>
        <w:t>financial assets held for sale</w:t>
      </w:r>
      <w:bookmarkEnd w:id="51"/>
    </w:p>
    <w:p w:rsidR="004E6C32" w:rsidRPr="006A75A2" w:rsidRDefault="004E6C32" w:rsidP="0067336F">
      <w:pPr>
        <w:pStyle w:val="Heading5"/>
      </w:pPr>
      <w:r w:rsidRPr="006A75A2">
        <w:t xml:space="preserve">(a) </w:t>
      </w:r>
      <w:r w:rsidRPr="006A75A2">
        <w:tab/>
        <w:t>Total non-financial assets held for sale</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AD1FBF">
        <w:tc>
          <w:tcPr>
            <w:tcW w:w="5160" w:type="dxa"/>
            <w:tcBorders>
              <w:top w:val="single" w:sz="6" w:space="0" w:color="auto"/>
              <w:left w:val="single" w:sz="6" w:space="0" w:color="auto"/>
              <w:bottom w:val="nil"/>
              <w:right w:val="nil"/>
            </w:tcBorders>
            <w:shd w:val="clear" w:color="000000" w:fill="000000"/>
          </w:tcPr>
          <w:p w:rsidR="003E39D9" w:rsidRPr="006A75A2" w:rsidRDefault="003E39D9"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3E39D9" w:rsidRPr="006A75A2" w:rsidRDefault="003E39D9" w:rsidP="004B5CB1">
            <w:pPr>
              <w:pStyle w:val="TabletextheadingCentred"/>
              <w:rPr>
                <w:rFonts w:eastAsiaTheme="minorEastAsia"/>
                <w:lang w:eastAsia="en-AU"/>
              </w:rPr>
            </w:pPr>
          </w:p>
          <w:p w:rsidR="003E39D9" w:rsidRPr="006A75A2" w:rsidRDefault="003E39D9"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3E39D9" w:rsidRPr="006A75A2" w:rsidRDefault="003E39D9" w:rsidP="004B5CB1">
            <w:pPr>
              <w:pStyle w:val="TabletextheadingCentred"/>
              <w:rPr>
                <w:rFonts w:eastAsiaTheme="minorEastAsia"/>
                <w:lang w:eastAsia="en-AU"/>
              </w:rPr>
            </w:pPr>
            <w:r w:rsidRPr="006A75A2">
              <w:rPr>
                <w:rFonts w:eastAsiaTheme="minorEastAsia"/>
                <w:lang w:eastAsia="en-AU"/>
              </w:rPr>
              <w:t xml:space="preserve">General </w:t>
            </w:r>
          </w:p>
          <w:p w:rsidR="003E39D9" w:rsidRPr="006A75A2" w:rsidRDefault="003E39D9"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Land</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125.8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101.8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Buildings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Infrastructure, plant, equipment and vehicles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Other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69.3</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non-financial assets held for sale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166.6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173.0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142.5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142.1</w:t>
            </w:r>
          </w:p>
        </w:tc>
      </w:tr>
    </w:tbl>
    <w:p w:rsidR="004E6C32" w:rsidRPr="006A75A2" w:rsidRDefault="004E6C32" w:rsidP="004B5CB1"/>
    <w:p w:rsidR="004E6C32" w:rsidRPr="006A75A2" w:rsidRDefault="004E6C32" w:rsidP="004B5CB1"/>
    <w:p w:rsidR="004E6C32" w:rsidRPr="006A75A2" w:rsidRDefault="004E6C32" w:rsidP="0067336F">
      <w:pPr>
        <w:pStyle w:val="Heading5"/>
      </w:pPr>
      <w:r w:rsidRPr="006A75A2">
        <w:t xml:space="preserve">(b) </w:t>
      </w:r>
      <w:r w:rsidRPr="006A75A2">
        <w:tab/>
        <w:t>Fair value measurement of non-financial assets held for sale</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553"/>
        <w:gridCol w:w="607"/>
        <w:gridCol w:w="1120"/>
        <w:gridCol w:w="1120"/>
        <w:gridCol w:w="1120"/>
        <w:gridCol w:w="1120"/>
      </w:tblGrid>
      <w:tr w:rsidR="003E39D9" w:rsidRPr="006A75A2" w:rsidTr="00AD1FBF">
        <w:tc>
          <w:tcPr>
            <w:tcW w:w="4553" w:type="dxa"/>
            <w:tcBorders>
              <w:top w:val="single" w:sz="6" w:space="0" w:color="auto"/>
              <w:left w:val="single" w:sz="6" w:space="0" w:color="auto"/>
              <w:bottom w:val="nil"/>
              <w:right w:val="nil"/>
            </w:tcBorders>
            <w:shd w:val="clear" w:color="000000" w:fill="000000"/>
          </w:tcPr>
          <w:p w:rsidR="003E39D9" w:rsidRPr="006A75A2" w:rsidRDefault="003E39D9" w:rsidP="004B5CB1">
            <w:pPr>
              <w:pStyle w:val="TabletextheadingLeft"/>
              <w:rPr>
                <w:rFonts w:eastAsiaTheme="minorEastAsia"/>
                <w:lang w:eastAsia="en-AU"/>
              </w:rPr>
            </w:pPr>
            <w:r w:rsidRPr="006A75A2">
              <w:rPr>
                <w:rFonts w:eastAsiaTheme="minorEastAsia"/>
                <w:lang w:eastAsia="en-AU"/>
              </w:rPr>
              <w:t>State of Victoria</w:t>
            </w:r>
          </w:p>
        </w:tc>
        <w:tc>
          <w:tcPr>
            <w:tcW w:w="1727" w:type="dxa"/>
            <w:gridSpan w:val="2"/>
            <w:tcBorders>
              <w:top w:val="single" w:sz="6" w:space="0" w:color="auto"/>
              <w:left w:val="nil"/>
              <w:bottom w:val="nil"/>
              <w:right w:val="nil"/>
            </w:tcBorders>
            <w:shd w:val="clear" w:color="000000" w:fill="000000"/>
          </w:tcPr>
          <w:p w:rsidR="003E39D9" w:rsidRPr="006A75A2" w:rsidRDefault="003E39D9" w:rsidP="004B5CB1">
            <w:pPr>
              <w:pStyle w:val="Tabletextheading"/>
              <w:rPr>
                <w:rFonts w:eastAsiaTheme="minorEastAsia"/>
                <w:lang w:eastAsia="en-AU"/>
              </w:rPr>
            </w:pPr>
            <w:r w:rsidRPr="006A75A2">
              <w:rPr>
                <w:rFonts w:eastAsiaTheme="minorEastAsia"/>
                <w:lang w:eastAsia="en-AU"/>
              </w:rPr>
              <w:t>Carrying amount as at 30 June</w:t>
            </w:r>
          </w:p>
        </w:tc>
        <w:tc>
          <w:tcPr>
            <w:tcW w:w="3360" w:type="dxa"/>
            <w:gridSpan w:val="3"/>
            <w:tcBorders>
              <w:top w:val="single" w:sz="6" w:space="0" w:color="auto"/>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lang w:eastAsia="en-AU"/>
              </w:rPr>
            </w:pPr>
            <w:r w:rsidRPr="006A75A2">
              <w:rPr>
                <w:rFonts w:eastAsiaTheme="minorEastAsia"/>
                <w:lang w:eastAsia="en-AU"/>
              </w:rPr>
              <w:t xml:space="preserve">Fair value measurement at the end of reporting period using: </w:t>
            </w:r>
          </w:p>
        </w:tc>
      </w:tr>
      <w:tr w:rsidR="004E6C32" w:rsidRPr="006A75A2" w:rsidTr="004B5CB1">
        <w:tc>
          <w:tcPr>
            <w:tcW w:w="5160" w:type="dxa"/>
            <w:gridSpan w:val="2"/>
            <w:tcBorders>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2014</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Level 1</w:t>
            </w:r>
            <w:r w:rsidRPr="006A75A2">
              <w:rPr>
                <w:rFonts w:eastAsiaTheme="minorEastAsia"/>
                <w:vertAlign w:val="superscript"/>
                <w:lang w:eastAsia="en-AU"/>
              </w:rPr>
              <w:t>(a</w:t>
            </w:r>
            <w:r w:rsidRPr="006A75A2">
              <w:rPr>
                <w:rFonts w:eastAsiaTheme="minorEastAsia"/>
                <w:sz w:val="20"/>
                <w:vertAlign w:val="superscript"/>
                <w:lang w:eastAsia="en-AU"/>
              </w:rPr>
              <w:t>)</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 xml:space="preserve">Level 2 </w:t>
            </w:r>
            <w:r w:rsidRPr="006A75A2">
              <w:rPr>
                <w:rFonts w:eastAsiaTheme="minorEastAsia"/>
                <w:sz w:val="20"/>
                <w:vertAlign w:val="superscript"/>
                <w:lang w:eastAsia="en-AU"/>
              </w:rPr>
              <w:t>(b)</w:t>
            </w:r>
          </w:p>
        </w:tc>
        <w:tc>
          <w:tcPr>
            <w:tcW w:w="1120" w:type="dxa"/>
            <w:tcBorders>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 xml:space="preserve">Level 3 </w:t>
            </w:r>
            <w:r w:rsidRPr="006A75A2">
              <w:rPr>
                <w:rFonts w:eastAsiaTheme="minorEastAsia"/>
                <w:sz w:val="20"/>
                <w:vertAlign w:val="superscript"/>
                <w:lang w:eastAsia="en-AU"/>
              </w:rPr>
              <w:t>(c)</w:t>
            </w:r>
          </w:p>
        </w:tc>
      </w:tr>
      <w:tr w:rsidR="004E6C32" w:rsidRPr="006A75A2" w:rsidTr="004B5CB1">
        <w:tc>
          <w:tcPr>
            <w:tcW w:w="5160" w:type="dxa"/>
            <w:gridSpan w:val="2"/>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Land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125.8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115.8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10.0</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Buildings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29.9</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Infrastructure, plant, equipment and vehicles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w:t>
            </w:r>
          </w:p>
        </w:tc>
      </w:tr>
      <w:tr w:rsidR="004E6C32" w:rsidRPr="006A75A2" w:rsidTr="004B5CB1">
        <w:tc>
          <w:tcPr>
            <w:tcW w:w="5160" w:type="dxa"/>
            <w:gridSpan w:val="2"/>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Other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gridSpan w:val="2"/>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166.6</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124.9</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41.6</w:t>
            </w:r>
          </w:p>
        </w:tc>
      </w:tr>
    </w:tbl>
    <w:p w:rsidR="004E6C32" w:rsidRPr="006A75A2" w:rsidRDefault="004E6C32" w:rsidP="004B5CB1">
      <w:pPr>
        <w:pStyle w:val="million"/>
      </w:pPr>
    </w:p>
    <w:p w:rsidR="004E6C32" w:rsidRPr="006A75A2" w:rsidRDefault="004E6C32" w:rsidP="004B5CB1">
      <w:pPr>
        <w:pStyle w:val="million"/>
        <w:rPr>
          <w:rFonts w:ascii="Times New Roman" w:hAnsi="Times New Roman"/>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4553"/>
        <w:gridCol w:w="607"/>
        <w:gridCol w:w="1120"/>
        <w:gridCol w:w="1120"/>
        <w:gridCol w:w="1120"/>
        <w:gridCol w:w="1120"/>
      </w:tblGrid>
      <w:tr w:rsidR="003E39D9" w:rsidRPr="006A75A2" w:rsidTr="00AD1FBF">
        <w:tc>
          <w:tcPr>
            <w:tcW w:w="4553" w:type="dxa"/>
            <w:tcBorders>
              <w:top w:val="single" w:sz="6" w:space="0" w:color="auto"/>
              <w:left w:val="single" w:sz="6" w:space="0" w:color="auto"/>
              <w:bottom w:val="nil"/>
            </w:tcBorders>
            <w:shd w:val="clear" w:color="000000" w:fill="000000"/>
          </w:tcPr>
          <w:p w:rsidR="003E39D9" w:rsidRPr="006A75A2" w:rsidRDefault="003E39D9" w:rsidP="004B5CB1">
            <w:pPr>
              <w:pStyle w:val="TabletextheadingLeft"/>
              <w:rPr>
                <w:rFonts w:eastAsiaTheme="minorEastAsia"/>
                <w:lang w:eastAsia="en-AU"/>
              </w:rPr>
            </w:pPr>
            <w:r w:rsidRPr="006A75A2">
              <w:rPr>
                <w:rFonts w:eastAsiaTheme="minorEastAsia"/>
                <w:lang w:eastAsia="en-AU"/>
              </w:rPr>
              <w:t>General government sector</w:t>
            </w:r>
          </w:p>
        </w:tc>
        <w:tc>
          <w:tcPr>
            <w:tcW w:w="1727" w:type="dxa"/>
            <w:gridSpan w:val="2"/>
            <w:tcBorders>
              <w:top w:val="single" w:sz="6" w:space="0" w:color="auto"/>
              <w:bottom w:val="nil"/>
            </w:tcBorders>
            <w:shd w:val="clear" w:color="000000" w:fill="000000"/>
          </w:tcPr>
          <w:p w:rsidR="003E39D9" w:rsidRPr="006A75A2" w:rsidRDefault="003E39D9" w:rsidP="004B5CB1">
            <w:pPr>
              <w:pStyle w:val="Tabletextheading"/>
              <w:rPr>
                <w:rFonts w:eastAsiaTheme="minorEastAsia"/>
                <w:lang w:eastAsia="en-AU"/>
              </w:rPr>
            </w:pPr>
            <w:r w:rsidRPr="006A75A2">
              <w:rPr>
                <w:rFonts w:eastAsiaTheme="minorEastAsia"/>
                <w:lang w:eastAsia="en-AU"/>
              </w:rPr>
              <w:t>Carrying amount as at 30 June</w:t>
            </w:r>
          </w:p>
        </w:tc>
        <w:tc>
          <w:tcPr>
            <w:tcW w:w="3360" w:type="dxa"/>
            <w:gridSpan w:val="3"/>
            <w:tcBorders>
              <w:top w:val="single" w:sz="6" w:space="0" w:color="auto"/>
              <w:bottom w:val="nil"/>
              <w:right w:val="single" w:sz="6" w:space="0" w:color="auto"/>
            </w:tcBorders>
            <w:shd w:val="clear" w:color="000000" w:fill="000000"/>
          </w:tcPr>
          <w:p w:rsidR="003E39D9" w:rsidRPr="006A75A2" w:rsidRDefault="003E39D9" w:rsidP="003E39D9">
            <w:pPr>
              <w:pStyle w:val="Tabletextheading"/>
              <w:jc w:val="center"/>
            </w:pPr>
            <w:r w:rsidRPr="006A75A2">
              <w:t xml:space="preserve">Fair value measurement at the end of reporting period using: </w:t>
            </w:r>
          </w:p>
        </w:tc>
      </w:tr>
      <w:tr w:rsidR="004E6C32" w:rsidRPr="006A75A2" w:rsidTr="004B5CB1">
        <w:tc>
          <w:tcPr>
            <w:tcW w:w="5160" w:type="dxa"/>
            <w:gridSpan w:val="2"/>
            <w:tcBorders>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2014</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 xml:space="preserve">Level 1 </w:t>
            </w:r>
            <w:r w:rsidRPr="006A75A2">
              <w:rPr>
                <w:rFonts w:eastAsiaTheme="minorEastAsia"/>
                <w:sz w:val="20"/>
                <w:vertAlign w:val="superscript"/>
                <w:lang w:eastAsia="en-AU"/>
              </w:rPr>
              <w:t>(a)</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 xml:space="preserve">Level 2 </w:t>
            </w:r>
            <w:r w:rsidRPr="006A75A2">
              <w:rPr>
                <w:rFonts w:eastAsiaTheme="minorEastAsia"/>
                <w:sz w:val="20"/>
                <w:vertAlign w:val="superscript"/>
                <w:lang w:eastAsia="en-AU"/>
              </w:rPr>
              <w:t>(b)</w:t>
            </w:r>
          </w:p>
        </w:tc>
        <w:tc>
          <w:tcPr>
            <w:tcW w:w="1120" w:type="dxa"/>
            <w:tcBorders>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 xml:space="preserve">Level 3 </w:t>
            </w:r>
            <w:r w:rsidRPr="006A75A2">
              <w:rPr>
                <w:rFonts w:eastAsiaTheme="minorEastAsia"/>
                <w:sz w:val="20"/>
                <w:vertAlign w:val="superscript"/>
                <w:lang w:eastAsia="en-AU"/>
              </w:rPr>
              <w:t>(c)</w:t>
            </w:r>
          </w:p>
        </w:tc>
      </w:tr>
      <w:tr w:rsidR="004E6C32" w:rsidRPr="006A75A2" w:rsidTr="004B5CB1">
        <w:tc>
          <w:tcPr>
            <w:tcW w:w="5160" w:type="dxa"/>
            <w:gridSpan w:val="2"/>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Land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101.8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10.0</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Buildings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29.9</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Infrastructure, plant, equipment and vehicles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w:t>
            </w:r>
          </w:p>
        </w:tc>
      </w:tr>
      <w:tr w:rsidR="004E6C32" w:rsidRPr="006A75A2" w:rsidTr="004B5CB1">
        <w:tc>
          <w:tcPr>
            <w:tcW w:w="5160" w:type="dxa"/>
            <w:gridSpan w:val="2"/>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Other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gridSpan w:val="2"/>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142.5</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100.9</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41.6</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Quoted prices (unadjusted) in active markets for identical assets or liabilities.</w:t>
      </w:r>
    </w:p>
    <w:p w:rsidR="004E6C32" w:rsidRPr="006A75A2" w:rsidRDefault="004E6C32" w:rsidP="004B5CB1">
      <w:pPr>
        <w:pStyle w:val="Notes"/>
      </w:pPr>
      <w:r w:rsidRPr="006A75A2">
        <w:t>(b)</w:t>
      </w:r>
      <w:r w:rsidRPr="006A75A2">
        <w:tab/>
        <w:t xml:space="preserve">Inputs based on observable market data (either directly using prices or indirectly derived from prices). </w:t>
      </w:r>
    </w:p>
    <w:p w:rsidR="004E6C32" w:rsidRPr="006A75A2" w:rsidRDefault="004E6C32" w:rsidP="004B5CB1">
      <w:pPr>
        <w:pStyle w:val="Notes"/>
      </w:pPr>
      <w:r w:rsidRPr="006A75A2">
        <w:t>(c)</w:t>
      </w:r>
      <w:r w:rsidRPr="006A75A2">
        <w:tab/>
        <w:t>Inputs not based on observable market data.</w:t>
      </w:r>
    </w:p>
    <w:p w:rsidR="004E6C32" w:rsidRPr="006A75A2" w:rsidRDefault="004E6C32" w:rsidP="004B5CB1">
      <w:pPr>
        <w:pStyle w:val="Notes"/>
      </w:pPr>
    </w:p>
    <w:p w:rsidR="004E6C32" w:rsidRPr="006A75A2" w:rsidRDefault="004E6C32" w:rsidP="004B5CB1"/>
    <w:p w:rsidR="004E6C32" w:rsidRPr="006A75A2" w:rsidRDefault="004E6C32">
      <w:pPr>
        <w:spacing w:after="0"/>
        <w:rPr>
          <w:rFonts w:ascii="Calibri" w:hAnsi="Calibri"/>
          <w:b/>
          <w:highlight w:val="yellow"/>
        </w:rPr>
      </w:pPr>
      <w:r w:rsidRPr="006A75A2">
        <w:rPr>
          <w:rFonts w:ascii="Calibri" w:hAnsi="Calibri"/>
          <w:b/>
          <w:highlight w:val="yellow"/>
        </w:rPr>
        <w:br w:type="page"/>
      </w:r>
    </w:p>
    <w:p w:rsidR="004E6C32" w:rsidRPr="006A75A2" w:rsidRDefault="004E6C32" w:rsidP="004B5CB1">
      <w:pPr>
        <w:pStyle w:val="Heading2NotesContd"/>
        <w:rPr>
          <w:kern w:val="0"/>
        </w:rPr>
      </w:pPr>
      <w:r w:rsidRPr="006A75A2">
        <w:rPr>
          <w:kern w:val="0"/>
        </w:rPr>
        <w:lastRenderedPageBreak/>
        <w:t>Note 21:</w:t>
      </w:r>
      <w:r w:rsidRPr="006A75A2">
        <w:rPr>
          <w:kern w:val="0"/>
        </w:rPr>
        <w:tab/>
        <w:t>Non</w:t>
      </w:r>
      <w:r w:rsidRPr="006A75A2">
        <w:rPr>
          <w:kern w:val="0"/>
        </w:rPr>
        <w:noBreakHyphen/>
        <w:t xml:space="preserve">financial assets held for sale </w:t>
      </w:r>
      <w:r w:rsidRPr="006A75A2">
        <w:rPr>
          <w:i/>
          <w:kern w:val="0"/>
        </w:rPr>
        <w:t>(continued)</w:t>
      </w:r>
    </w:p>
    <w:p w:rsidR="004E6C32" w:rsidRPr="006A75A2" w:rsidRDefault="004E6C32" w:rsidP="0067336F">
      <w:pPr>
        <w:pStyle w:val="Heading5"/>
      </w:pPr>
      <w:r w:rsidRPr="006A75A2">
        <w:t>(c)</w:t>
      </w:r>
      <w:r w:rsidRPr="006A75A2">
        <w:tab/>
        <w:t>Reconciliation of Level 3 fair value movements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2994"/>
        <w:gridCol w:w="992"/>
        <w:gridCol w:w="1134"/>
        <w:gridCol w:w="1985"/>
        <w:gridCol w:w="989"/>
        <w:gridCol w:w="712"/>
        <w:gridCol w:w="834"/>
      </w:tblGrid>
      <w:tr w:rsidR="004E6C32" w:rsidRPr="006A75A2" w:rsidTr="004B5CB1">
        <w:tc>
          <w:tcPr>
            <w:tcW w:w="2994" w:type="dxa"/>
            <w:tcBorders>
              <w:top w:val="single" w:sz="6" w:space="0" w:color="auto"/>
              <w:left w:val="single" w:sz="6" w:space="0" w:color="auto"/>
              <w:bottom w:val="nil"/>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State of Victoria</w:t>
            </w:r>
          </w:p>
        </w:tc>
        <w:tc>
          <w:tcPr>
            <w:tcW w:w="992"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Land</w:t>
            </w:r>
          </w:p>
        </w:tc>
        <w:tc>
          <w:tcPr>
            <w:tcW w:w="1134"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Buildings</w:t>
            </w:r>
          </w:p>
        </w:tc>
        <w:tc>
          <w:tcPr>
            <w:tcW w:w="1985"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Infrastructure, plant and equipment</w:t>
            </w:r>
          </w:p>
        </w:tc>
        <w:tc>
          <w:tcPr>
            <w:tcW w:w="989"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Vehicles</w:t>
            </w:r>
          </w:p>
        </w:tc>
        <w:tc>
          <w:tcPr>
            <w:tcW w:w="712"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cs="Calibri"/>
                <w:iCs/>
                <w:szCs w:val="22"/>
                <w:lang w:eastAsia="en-AU"/>
              </w:rPr>
            </w:pPr>
            <w:r w:rsidRPr="006A75A2">
              <w:rPr>
                <w:rFonts w:eastAsiaTheme="minorEastAsia" w:cs="Calibri"/>
                <w:iCs/>
                <w:szCs w:val="22"/>
                <w:lang w:eastAsia="en-AU"/>
              </w:rPr>
              <w:t>Other</w:t>
            </w:r>
          </w:p>
        </w:tc>
        <w:tc>
          <w:tcPr>
            <w:tcW w:w="834" w:type="dxa"/>
            <w:tcBorders>
              <w:top w:val="single" w:sz="6" w:space="0" w:color="auto"/>
              <w:left w:val="nil"/>
              <w:bottom w:val="nil"/>
              <w:right w:val="single" w:sz="6" w:space="0" w:color="auto"/>
            </w:tcBorders>
            <w:shd w:val="clear" w:color="000000" w:fill="000000"/>
          </w:tcPr>
          <w:p w:rsidR="004E6C32" w:rsidRPr="006A75A2" w:rsidRDefault="004E6C32" w:rsidP="004B5CB1">
            <w:pPr>
              <w:pStyle w:val="Tabletextheading"/>
              <w:rPr>
                <w:rFonts w:eastAsiaTheme="minorEastAsia" w:cs="Calibri"/>
                <w:iCs/>
                <w:szCs w:val="22"/>
                <w:lang w:eastAsia="en-AU"/>
              </w:rPr>
            </w:pPr>
            <w:r w:rsidRPr="006A75A2">
              <w:rPr>
                <w:rFonts w:eastAsiaTheme="minorEastAsia" w:cs="Calibri"/>
                <w:iCs/>
                <w:szCs w:val="22"/>
                <w:lang w:eastAsia="en-AU"/>
              </w:rPr>
              <w:t>Total</w:t>
            </w:r>
          </w:p>
        </w:tc>
      </w:tr>
      <w:tr w:rsidR="004E6C32" w:rsidRPr="006A75A2" w:rsidTr="004B5CB1">
        <w:tc>
          <w:tcPr>
            <w:tcW w:w="2994" w:type="dxa"/>
            <w:tcBorders>
              <w:top w:val="single" w:sz="6" w:space="0" w:color="auto"/>
              <w:left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Opening balance</w:t>
            </w:r>
          </w:p>
        </w:tc>
        <w:tc>
          <w:tcPr>
            <w:tcW w:w="992"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1.1</w:t>
            </w:r>
          </w:p>
        </w:tc>
        <w:tc>
          <w:tcPr>
            <w:tcW w:w="1134"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2.7</w:t>
            </w:r>
          </w:p>
        </w:tc>
        <w:tc>
          <w:tcPr>
            <w:tcW w:w="1985"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0.2</w:t>
            </w:r>
          </w:p>
        </w:tc>
        <w:tc>
          <w:tcPr>
            <w:tcW w:w="989"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1.1</w:t>
            </w:r>
          </w:p>
        </w:tc>
        <w:tc>
          <w:tcPr>
            <w:tcW w:w="712"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834"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5.1</w:t>
            </w:r>
          </w:p>
        </w:tc>
      </w:tr>
      <w:tr w:rsidR="004E6C32" w:rsidRPr="006A75A2" w:rsidTr="004B5CB1">
        <w:tc>
          <w:tcPr>
            <w:tcW w:w="299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reclassified/(sales)</w:t>
            </w:r>
          </w:p>
        </w:tc>
        <w:tc>
          <w:tcPr>
            <w:tcW w:w="99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27.2</w:t>
            </w:r>
          </w:p>
        </w:tc>
        <w:tc>
          <w:tcPr>
            <w:tcW w:w="198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(0.1)</w:t>
            </w:r>
          </w:p>
        </w:tc>
        <w:tc>
          <w:tcPr>
            <w:tcW w:w="98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0.5</w:t>
            </w:r>
          </w:p>
        </w:tc>
        <w:tc>
          <w:tcPr>
            <w:tcW w:w="71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36.5</w:t>
            </w:r>
          </w:p>
        </w:tc>
      </w:tr>
      <w:tr w:rsidR="004E6C32" w:rsidRPr="006A75A2" w:rsidTr="004B5CB1">
        <w:tc>
          <w:tcPr>
            <w:tcW w:w="299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Transfers in/out of Level 3</w:t>
            </w:r>
          </w:p>
        </w:tc>
        <w:tc>
          <w:tcPr>
            <w:tcW w:w="99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98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71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94"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Impairment loss</w:t>
            </w:r>
          </w:p>
        </w:tc>
        <w:tc>
          <w:tcPr>
            <w:tcW w:w="99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85"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98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71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83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94" w:type="dxa"/>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 at 30 June 2014</w:t>
            </w:r>
          </w:p>
        </w:tc>
        <w:tc>
          <w:tcPr>
            <w:tcW w:w="99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10.0</w:t>
            </w:r>
          </w:p>
        </w:tc>
        <w:tc>
          <w:tcPr>
            <w:tcW w:w="1134"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29.9</w:t>
            </w:r>
          </w:p>
        </w:tc>
        <w:tc>
          <w:tcPr>
            <w:tcW w:w="1985"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0.1</w:t>
            </w:r>
          </w:p>
        </w:tc>
        <w:tc>
          <w:tcPr>
            <w:tcW w:w="989"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1.6</w:t>
            </w:r>
          </w:p>
        </w:tc>
        <w:tc>
          <w:tcPr>
            <w:tcW w:w="71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834"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41.6</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2994"/>
        <w:gridCol w:w="992"/>
        <w:gridCol w:w="1134"/>
        <w:gridCol w:w="1985"/>
        <w:gridCol w:w="989"/>
        <w:gridCol w:w="712"/>
        <w:gridCol w:w="834"/>
      </w:tblGrid>
      <w:tr w:rsidR="004E6C32" w:rsidRPr="006A75A2" w:rsidTr="004B5CB1">
        <w:tc>
          <w:tcPr>
            <w:tcW w:w="2994" w:type="dxa"/>
            <w:tcBorders>
              <w:top w:val="single" w:sz="6" w:space="0" w:color="auto"/>
              <w:left w:val="single" w:sz="6" w:space="0" w:color="auto"/>
              <w:bottom w:val="nil"/>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General government</w:t>
            </w:r>
          </w:p>
        </w:tc>
        <w:tc>
          <w:tcPr>
            <w:tcW w:w="992"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Land</w:t>
            </w:r>
          </w:p>
        </w:tc>
        <w:tc>
          <w:tcPr>
            <w:tcW w:w="1134"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Buildings</w:t>
            </w:r>
          </w:p>
        </w:tc>
        <w:tc>
          <w:tcPr>
            <w:tcW w:w="1985"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Infrastructure, plant and equipment</w:t>
            </w:r>
          </w:p>
        </w:tc>
        <w:tc>
          <w:tcPr>
            <w:tcW w:w="989"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Vehicles</w:t>
            </w:r>
          </w:p>
        </w:tc>
        <w:tc>
          <w:tcPr>
            <w:tcW w:w="712"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cs="Calibri"/>
                <w:iCs/>
                <w:szCs w:val="22"/>
                <w:lang w:eastAsia="en-AU"/>
              </w:rPr>
            </w:pPr>
            <w:r w:rsidRPr="006A75A2">
              <w:rPr>
                <w:rFonts w:eastAsiaTheme="minorEastAsia" w:cs="Calibri"/>
                <w:iCs/>
                <w:szCs w:val="22"/>
                <w:lang w:eastAsia="en-AU"/>
              </w:rPr>
              <w:t>Other</w:t>
            </w:r>
          </w:p>
        </w:tc>
        <w:tc>
          <w:tcPr>
            <w:tcW w:w="834" w:type="dxa"/>
            <w:tcBorders>
              <w:top w:val="single" w:sz="6" w:space="0" w:color="auto"/>
              <w:left w:val="nil"/>
              <w:bottom w:val="nil"/>
              <w:right w:val="single" w:sz="6" w:space="0" w:color="auto"/>
            </w:tcBorders>
            <w:shd w:val="clear" w:color="000000" w:fill="000000"/>
          </w:tcPr>
          <w:p w:rsidR="004E6C32" w:rsidRPr="006A75A2" w:rsidRDefault="004E6C32" w:rsidP="004B5CB1">
            <w:pPr>
              <w:pStyle w:val="Tabletextheading"/>
              <w:rPr>
                <w:rFonts w:eastAsiaTheme="minorEastAsia" w:cs="Calibri"/>
                <w:iCs/>
                <w:szCs w:val="22"/>
                <w:lang w:eastAsia="en-AU"/>
              </w:rPr>
            </w:pPr>
            <w:r w:rsidRPr="006A75A2">
              <w:rPr>
                <w:rFonts w:eastAsiaTheme="minorEastAsia" w:cs="Calibri"/>
                <w:iCs/>
                <w:szCs w:val="22"/>
                <w:lang w:eastAsia="en-AU"/>
              </w:rPr>
              <w:t>Total</w:t>
            </w:r>
          </w:p>
        </w:tc>
      </w:tr>
      <w:tr w:rsidR="004E6C32" w:rsidRPr="006A75A2" w:rsidTr="004B5CB1">
        <w:tc>
          <w:tcPr>
            <w:tcW w:w="2994" w:type="dxa"/>
            <w:tcBorders>
              <w:top w:val="single" w:sz="6" w:space="0" w:color="auto"/>
              <w:left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Opening balance</w:t>
            </w:r>
          </w:p>
        </w:tc>
        <w:tc>
          <w:tcPr>
            <w:tcW w:w="992"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1.1</w:t>
            </w:r>
          </w:p>
        </w:tc>
        <w:tc>
          <w:tcPr>
            <w:tcW w:w="1134"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2.7</w:t>
            </w:r>
          </w:p>
        </w:tc>
        <w:tc>
          <w:tcPr>
            <w:tcW w:w="1985"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0.2</w:t>
            </w:r>
          </w:p>
        </w:tc>
        <w:tc>
          <w:tcPr>
            <w:tcW w:w="989"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1.1</w:t>
            </w:r>
          </w:p>
        </w:tc>
        <w:tc>
          <w:tcPr>
            <w:tcW w:w="712"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834" w:type="dxa"/>
            <w:tcBorders>
              <w:top w:val="single" w:sz="6" w:space="0" w:color="auto"/>
              <w:left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5.1</w:t>
            </w:r>
          </w:p>
        </w:tc>
      </w:tr>
      <w:tr w:rsidR="004E6C32" w:rsidRPr="006A75A2" w:rsidTr="004B5CB1">
        <w:tc>
          <w:tcPr>
            <w:tcW w:w="299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reclassified/(sales)</w:t>
            </w:r>
          </w:p>
        </w:tc>
        <w:tc>
          <w:tcPr>
            <w:tcW w:w="99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27.2</w:t>
            </w:r>
          </w:p>
        </w:tc>
        <w:tc>
          <w:tcPr>
            <w:tcW w:w="198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(0.1)</w:t>
            </w:r>
          </w:p>
        </w:tc>
        <w:tc>
          <w:tcPr>
            <w:tcW w:w="98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0.5</w:t>
            </w:r>
          </w:p>
        </w:tc>
        <w:tc>
          <w:tcPr>
            <w:tcW w:w="71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36.5</w:t>
            </w:r>
          </w:p>
        </w:tc>
      </w:tr>
      <w:tr w:rsidR="004E6C32" w:rsidRPr="006A75A2" w:rsidTr="004B5CB1">
        <w:tc>
          <w:tcPr>
            <w:tcW w:w="299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Transfers in/out of Level 3</w:t>
            </w:r>
          </w:p>
        </w:tc>
        <w:tc>
          <w:tcPr>
            <w:tcW w:w="99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98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71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8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94"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Impairment loss</w:t>
            </w:r>
          </w:p>
        </w:tc>
        <w:tc>
          <w:tcPr>
            <w:tcW w:w="99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85"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98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71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83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94" w:type="dxa"/>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 at 30 June 2014</w:t>
            </w:r>
          </w:p>
        </w:tc>
        <w:tc>
          <w:tcPr>
            <w:tcW w:w="99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10.0</w:t>
            </w:r>
          </w:p>
        </w:tc>
        <w:tc>
          <w:tcPr>
            <w:tcW w:w="1134"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29.9</w:t>
            </w:r>
          </w:p>
        </w:tc>
        <w:tc>
          <w:tcPr>
            <w:tcW w:w="1985"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0.1</w:t>
            </w:r>
          </w:p>
        </w:tc>
        <w:tc>
          <w:tcPr>
            <w:tcW w:w="989"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1.6</w:t>
            </w:r>
          </w:p>
        </w:tc>
        <w:tc>
          <w:tcPr>
            <w:tcW w:w="71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834"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41.6</w:t>
            </w:r>
          </w:p>
        </w:tc>
      </w:tr>
    </w:tbl>
    <w:p w:rsidR="004E6C32" w:rsidRPr="006A75A2" w:rsidRDefault="004E6C32" w:rsidP="004B5CB1"/>
    <w:p w:rsidR="004E6C32" w:rsidRPr="006A75A2" w:rsidRDefault="004E6C32" w:rsidP="0067336F">
      <w:pPr>
        <w:pStyle w:val="Heading5a"/>
      </w:pPr>
      <w:r w:rsidRPr="006A75A2">
        <w:t>Transf</w:t>
      </w:r>
      <w:r w:rsidR="00022E3F" w:rsidRPr="006A75A2">
        <w:t>ers between Level 1 and Level 2</w:t>
      </w:r>
    </w:p>
    <w:p w:rsidR="004E6C32" w:rsidRPr="006A75A2" w:rsidRDefault="004E6C32" w:rsidP="004B5CB1">
      <w:pPr>
        <w:spacing w:after="0"/>
        <w:rPr>
          <w:rFonts w:ascii="Calibri" w:hAnsi="Calibri"/>
          <w:i/>
          <w:sz w:val="23"/>
        </w:rPr>
      </w:pPr>
      <w:r w:rsidRPr="006A75A2">
        <w:t>There were no transfers identified between Levels 1 and 2.</w:t>
      </w:r>
    </w:p>
    <w:p w:rsidR="004E6C32" w:rsidRPr="006A75A2" w:rsidRDefault="004E6C32" w:rsidP="004B5CB1"/>
    <w:p w:rsidR="004E6C32" w:rsidRPr="006A75A2" w:rsidRDefault="004E6C32" w:rsidP="0067336F">
      <w:pPr>
        <w:pStyle w:val="Heading5"/>
      </w:pPr>
      <w:r w:rsidRPr="006A75A2">
        <w:t>(d)</w:t>
      </w:r>
      <w:r w:rsidRPr="006A75A2">
        <w:tab/>
        <w:t>Description of significant unobservable inputs to Level 3 valuations – non-financial assets held for sale</w:t>
      </w:r>
    </w:p>
    <w:p w:rsidR="004E6C32" w:rsidRPr="006A75A2" w:rsidRDefault="004E6C32" w:rsidP="004B5CB1">
      <w:r w:rsidRPr="006A75A2">
        <w:rPr>
          <w:rFonts w:cs="Garamond"/>
          <w:szCs w:val="24"/>
          <w:lang w:eastAsia="en-AU"/>
        </w:rPr>
        <w:t>The description of the significant unobservable inputs to Level 3 assets measured at fair value can be seen below. The disclosure is based on the description associated with the significant asset balances within each of the different Level 3 asset classes as per Note 21(b).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r w:rsidRPr="006A75A2">
        <w:t xml:space="preserve"> </w:t>
      </w:r>
    </w:p>
    <w:tbl>
      <w:tblPr>
        <w:tblW w:w="9632" w:type="dxa"/>
        <w:tblInd w:w="28" w:type="dxa"/>
        <w:tblLayout w:type="fixed"/>
        <w:tblCellMar>
          <w:left w:w="43" w:type="dxa"/>
          <w:right w:w="43" w:type="dxa"/>
        </w:tblCellMar>
        <w:tblLook w:val="0000" w:firstRow="0" w:lastRow="0" w:firstColumn="0" w:lastColumn="0" w:noHBand="0" w:noVBand="0"/>
      </w:tblPr>
      <w:tblGrid>
        <w:gridCol w:w="1575"/>
        <w:gridCol w:w="1465"/>
        <w:gridCol w:w="1370"/>
        <w:gridCol w:w="3685"/>
        <w:gridCol w:w="1537"/>
      </w:tblGrid>
      <w:tr w:rsidR="004E6C32" w:rsidRPr="006A75A2" w:rsidTr="004B5CB1">
        <w:trPr>
          <w:cantSplit/>
          <w:tblHeader/>
        </w:trPr>
        <w:tc>
          <w:tcPr>
            <w:tcW w:w="1575" w:type="dxa"/>
            <w:tcBorders>
              <w:top w:val="single" w:sz="4" w:space="0" w:color="auto"/>
              <w:left w:val="single" w:sz="4" w:space="0" w:color="auto"/>
              <w:bottom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Asset class</w:t>
            </w:r>
          </w:p>
        </w:tc>
        <w:tc>
          <w:tcPr>
            <w:tcW w:w="2835" w:type="dxa"/>
            <w:gridSpan w:val="2"/>
            <w:tcBorders>
              <w:top w:val="single" w:sz="4" w:space="0" w:color="auto"/>
              <w:left w:val="nil"/>
              <w:bottom w:val="single" w:sz="4" w:space="0" w:color="auto"/>
              <w:right w:val="nil"/>
            </w:tcBorders>
            <w:shd w:val="solid" w:color="000000" w:fill="auto"/>
          </w:tcPr>
          <w:p w:rsidR="004E6C32" w:rsidRPr="006A75A2" w:rsidRDefault="004E6C32" w:rsidP="004B5CB1">
            <w:pPr>
              <w:pStyle w:val="TabletextheadingLeft"/>
              <w:rPr>
                <w:sz w:val="20"/>
                <w:szCs w:val="20"/>
                <w:vertAlign w:val="superscript"/>
              </w:rPr>
            </w:pPr>
            <w:r w:rsidRPr="006A75A2">
              <w:rPr>
                <w:sz w:val="20"/>
                <w:szCs w:val="20"/>
              </w:rPr>
              <w:t>Valuation technique</w:t>
            </w:r>
          </w:p>
        </w:tc>
        <w:tc>
          <w:tcPr>
            <w:tcW w:w="3685" w:type="dxa"/>
            <w:tcBorders>
              <w:top w:val="single" w:sz="4" w:space="0" w:color="auto"/>
              <w:left w:val="nil"/>
              <w:bottom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Significant unobservable input</w:t>
            </w:r>
          </w:p>
        </w:tc>
        <w:tc>
          <w:tcPr>
            <w:tcW w:w="1537" w:type="dxa"/>
            <w:tcBorders>
              <w:top w:val="single" w:sz="4" w:space="0" w:color="auto"/>
              <w:left w:val="nil"/>
              <w:bottom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Range</w:t>
            </w:r>
          </w:p>
        </w:tc>
      </w:tr>
      <w:tr w:rsidR="004E6C32" w:rsidRPr="006A75A2" w:rsidTr="004B5CB1">
        <w:trPr>
          <w:cantSplit/>
        </w:trPr>
        <w:tc>
          <w:tcPr>
            <w:tcW w:w="3040" w:type="dxa"/>
            <w:gridSpan w:val="2"/>
            <w:tcBorders>
              <w:top w:val="single" w:sz="4" w:space="0" w:color="auto"/>
              <w:left w:val="nil"/>
              <w:right w:val="nil"/>
            </w:tcBorders>
            <w:shd w:val="clear" w:color="FFFFFF" w:fill="BFBFBF" w:themeFill="background1" w:themeFillShade="BF"/>
          </w:tcPr>
          <w:p w:rsidR="004E6C32" w:rsidRPr="006A75A2" w:rsidRDefault="004E6C32" w:rsidP="004B5CB1">
            <w:pPr>
              <w:pStyle w:val="TableTextnoindent"/>
              <w:rPr>
                <w:rFonts w:cs="Calibri"/>
                <w:b/>
                <w:bCs/>
                <w:color w:val="auto"/>
                <w:sz w:val="20"/>
                <w:szCs w:val="20"/>
              </w:rPr>
            </w:pPr>
            <w:r w:rsidRPr="006A75A2">
              <w:rPr>
                <w:rFonts w:cs="Calibri"/>
                <w:b/>
                <w:bCs/>
                <w:color w:val="auto"/>
                <w:sz w:val="20"/>
                <w:szCs w:val="20"/>
              </w:rPr>
              <w:t>Land</w:t>
            </w:r>
          </w:p>
        </w:tc>
        <w:tc>
          <w:tcPr>
            <w:tcW w:w="1370" w:type="dxa"/>
            <w:tcBorders>
              <w:top w:val="single" w:sz="4" w:space="0" w:color="auto"/>
              <w:left w:val="nil"/>
              <w:right w:val="nil"/>
            </w:tcBorders>
            <w:shd w:val="clear" w:color="FFFFFF" w:fill="BFBFBF" w:themeFill="background1" w:themeFillShade="BF"/>
          </w:tcPr>
          <w:p w:rsidR="004E6C32" w:rsidRPr="006A75A2" w:rsidRDefault="004E6C32" w:rsidP="004B5CB1">
            <w:pPr>
              <w:pStyle w:val="TableTextnoindent"/>
              <w:rPr>
                <w:rFonts w:cs="Calibri"/>
                <w:b/>
                <w:bCs/>
                <w:color w:val="auto"/>
                <w:sz w:val="20"/>
                <w:szCs w:val="20"/>
              </w:rPr>
            </w:pPr>
          </w:p>
        </w:tc>
        <w:tc>
          <w:tcPr>
            <w:tcW w:w="3685" w:type="dxa"/>
            <w:tcBorders>
              <w:top w:val="single" w:sz="4" w:space="0" w:color="auto"/>
              <w:left w:val="nil"/>
              <w:right w:val="nil"/>
            </w:tcBorders>
            <w:shd w:val="clear" w:color="FFFFFF" w:fill="BFBFBF" w:themeFill="background1" w:themeFillShade="BF"/>
          </w:tcPr>
          <w:p w:rsidR="004E6C32" w:rsidRPr="006A75A2" w:rsidRDefault="004E6C32" w:rsidP="004B5CB1">
            <w:pPr>
              <w:pStyle w:val="TableTextnoindent"/>
              <w:rPr>
                <w:rFonts w:cs="Calibri"/>
                <w:b/>
                <w:bCs/>
                <w:iCs/>
                <w:color w:val="auto"/>
                <w:sz w:val="20"/>
                <w:szCs w:val="20"/>
              </w:rPr>
            </w:pPr>
          </w:p>
        </w:tc>
        <w:tc>
          <w:tcPr>
            <w:tcW w:w="1537" w:type="dxa"/>
            <w:tcBorders>
              <w:top w:val="single" w:sz="4" w:space="0" w:color="auto"/>
              <w:left w:val="nil"/>
              <w:right w:val="nil"/>
            </w:tcBorders>
            <w:shd w:val="clear" w:color="FFFFFF" w:fill="BFBFBF" w:themeFill="background1" w:themeFillShade="BF"/>
          </w:tcPr>
          <w:p w:rsidR="004E6C32" w:rsidRPr="006A75A2" w:rsidRDefault="004E6C32" w:rsidP="004B5CB1">
            <w:pPr>
              <w:pStyle w:val="TableTextnoindent"/>
              <w:rPr>
                <w:rFonts w:cs="Calibri"/>
                <w:b/>
                <w:bCs/>
                <w:iCs/>
                <w:color w:val="auto"/>
                <w:sz w:val="20"/>
                <w:szCs w:val="20"/>
              </w:rPr>
            </w:pPr>
          </w:p>
        </w:tc>
      </w:tr>
      <w:tr w:rsidR="004E6C32" w:rsidRPr="006A75A2" w:rsidTr="004B5CB1">
        <w:trPr>
          <w:cantSplit/>
        </w:trPr>
        <w:tc>
          <w:tcPr>
            <w:tcW w:w="1575"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835"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Market approach</w:t>
            </w:r>
          </w:p>
        </w:tc>
        <w:tc>
          <w:tcPr>
            <w:tcW w:w="3685" w:type="dxa"/>
            <w:tcBorders>
              <w:left w:val="nil"/>
              <w:right w:val="nil"/>
            </w:tcBorders>
            <w:shd w:val="solid" w:color="FFFFFF" w:fill="auto"/>
          </w:tcPr>
          <w:p w:rsidR="004E6C32" w:rsidRPr="006A75A2" w:rsidRDefault="004E6C32" w:rsidP="002D2F70">
            <w:pPr>
              <w:pStyle w:val="TableTextnoindent"/>
              <w:rPr>
                <w:rFonts w:cs="Calibri"/>
                <w:color w:val="auto"/>
                <w:sz w:val="20"/>
                <w:szCs w:val="20"/>
              </w:rPr>
            </w:pPr>
            <w:r w:rsidRPr="006A75A2">
              <w:rPr>
                <w:rFonts w:cs="Calibri"/>
                <w:color w:val="auto"/>
                <w:sz w:val="20"/>
                <w:szCs w:val="20"/>
              </w:rPr>
              <w:t>Community service obligation adjustment</w:t>
            </w:r>
            <w:r w:rsidRPr="006A75A2">
              <w:rPr>
                <w:rFonts w:cs="Calibri"/>
                <w:color w:val="auto"/>
                <w:sz w:val="20"/>
                <w:szCs w:val="20"/>
                <w:vertAlign w:val="superscript"/>
              </w:rPr>
              <w:t>(a)</w:t>
            </w:r>
          </w:p>
        </w:tc>
        <w:tc>
          <w:tcPr>
            <w:tcW w:w="15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20–50%</w:t>
            </w:r>
          </w:p>
        </w:tc>
      </w:tr>
      <w:tr w:rsidR="004E6C32" w:rsidRPr="006A75A2" w:rsidTr="004B5CB1">
        <w:trPr>
          <w:cantSplit/>
        </w:trPr>
        <w:tc>
          <w:tcPr>
            <w:tcW w:w="3040" w:type="dxa"/>
            <w:gridSpan w:val="2"/>
            <w:tcBorders>
              <w:left w:val="nil"/>
              <w:right w:val="nil"/>
            </w:tcBorders>
            <w:shd w:val="clear" w:color="FFFFFF" w:fill="BFBFBF" w:themeFill="background1" w:themeFillShade="BF"/>
          </w:tcPr>
          <w:p w:rsidR="004E6C32" w:rsidRPr="006A75A2" w:rsidRDefault="004E6C32" w:rsidP="004B5CB1">
            <w:pPr>
              <w:pStyle w:val="TableTextnoindent"/>
              <w:rPr>
                <w:rFonts w:cs="Calibri"/>
                <w:b/>
                <w:bCs/>
                <w:color w:val="auto"/>
                <w:sz w:val="20"/>
                <w:szCs w:val="20"/>
              </w:rPr>
            </w:pPr>
            <w:r w:rsidRPr="006A75A2">
              <w:rPr>
                <w:rFonts w:cs="Calibri"/>
                <w:b/>
                <w:bCs/>
                <w:color w:val="auto"/>
                <w:sz w:val="20"/>
                <w:szCs w:val="20"/>
              </w:rPr>
              <w:t>Buildings</w:t>
            </w:r>
          </w:p>
        </w:tc>
        <w:tc>
          <w:tcPr>
            <w:tcW w:w="1370" w:type="dxa"/>
            <w:tcBorders>
              <w:left w:val="nil"/>
              <w:right w:val="nil"/>
            </w:tcBorders>
            <w:shd w:val="clear" w:color="FFFFFF" w:fill="BFBFBF" w:themeFill="background1" w:themeFillShade="BF"/>
          </w:tcPr>
          <w:p w:rsidR="004E6C32" w:rsidRPr="006A75A2" w:rsidRDefault="004E6C32" w:rsidP="004B5CB1">
            <w:pPr>
              <w:pStyle w:val="TableTextnoindent"/>
              <w:rPr>
                <w:rFonts w:cs="Calibri"/>
                <w:b/>
                <w:bCs/>
                <w:color w:val="auto"/>
                <w:sz w:val="20"/>
                <w:szCs w:val="20"/>
              </w:rPr>
            </w:pPr>
          </w:p>
        </w:tc>
        <w:tc>
          <w:tcPr>
            <w:tcW w:w="3685" w:type="dxa"/>
            <w:tcBorders>
              <w:left w:val="nil"/>
              <w:right w:val="nil"/>
            </w:tcBorders>
            <w:shd w:val="clear" w:color="FFFFFF" w:fill="BFBFBF" w:themeFill="background1" w:themeFillShade="BF"/>
          </w:tcPr>
          <w:p w:rsidR="004E6C32" w:rsidRPr="006A75A2" w:rsidRDefault="004E6C32" w:rsidP="004B5CB1">
            <w:pPr>
              <w:pStyle w:val="TableTextnoindent"/>
              <w:rPr>
                <w:rFonts w:cs="Calibri"/>
                <w:b/>
                <w:bCs/>
                <w:iCs/>
                <w:color w:val="auto"/>
                <w:sz w:val="20"/>
                <w:szCs w:val="20"/>
              </w:rPr>
            </w:pPr>
          </w:p>
        </w:tc>
        <w:tc>
          <w:tcPr>
            <w:tcW w:w="1537" w:type="dxa"/>
            <w:tcBorders>
              <w:left w:val="nil"/>
              <w:right w:val="nil"/>
            </w:tcBorders>
            <w:shd w:val="clear" w:color="FFFFFF" w:fill="BFBFBF" w:themeFill="background1" w:themeFillShade="BF"/>
          </w:tcPr>
          <w:p w:rsidR="004E6C32" w:rsidRPr="006A75A2" w:rsidRDefault="004E6C32" w:rsidP="004B5CB1">
            <w:pPr>
              <w:pStyle w:val="TableTextnoindent"/>
              <w:rPr>
                <w:rFonts w:cs="Calibri"/>
                <w:b/>
                <w:bCs/>
                <w:iCs/>
                <w:color w:val="auto"/>
                <w:sz w:val="20"/>
                <w:szCs w:val="20"/>
              </w:rPr>
            </w:pPr>
          </w:p>
        </w:tc>
      </w:tr>
      <w:tr w:rsidR="004E6C32" w:rsidRPr="006A75A2" w:rsidTr="004B5CB1">
        <w:trPr>
          <w:cantSplit/>
        </w:trPr>
        <w:tc>
          <w:tcPr>
            <w:tcW w:w="1575"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835"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3685"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square metre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15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$1 650–$3 800</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40–60 years</w:t>
            </w:r>
          </w:p>
        </w:tc>
      </w:tr>
      <w:tr w:rsidR="004E6C32" w:rsidRPr="006A75A2" w:rsidTr="004B5CB1">
        <w:trPr>
          <w:cantSplit/>
        </w:trPr>
        <w:tc>
          <w:tcPr>
            <w:tcW w:w="3040" w:type="dxa"/>
            <w:gridSpan w:val="2"/>
            <w:tcBorders>
              <w:left w:val="nil"/>
              <w:right w:val="nil"/>
            </w:tcBorders>
            <w:shd w:val="clear" w:color="FFFFFF" w:fill="BFBFBF" w:themeFill="background1" w:themeFillShade="BF"/>
          </w:tcPr>
          <w:p w:rsidR="004E6C32" w:rsidRPr="006A75A2" w:rsidRDefault="004E6C32" w:rsidP="004B5CB1">
            <w:pPr>
              <w:pStyle w:val="TableTextnoindent"/>
              <w:rPr>
                <w:rFonts w:cs="Calibri"/>
                <w:b/>
                <w:bCs/>
                <w:color w:val="auto"/>
                <w:sz w:val="20"/>
                <w:szCs w:val="20"/>
              </w:rPr>
            </w:pPr>
            <w:r w:rsidRPr="006A75A2">
              <w:rPr>
                <w:rFonts w:cs="Calibri"/>
                <w:b/>
                <w:bCs/>
                <w:color w:val="auto"/>
                <w:sz w:val="20"/>
                <w:szCs w:val="20"/>
              </w:rPr>
              <w:t>Vehicles</w:t>
            </w:r>
          </w:p>
        </w:tc>
        <w:tc>
          <w:tcPr>
            <w:tcW w:w="1370" w:type="dxa"/>
            <w:tcBorders>
              <w:left w:val="nil"/>
              <w:right w:val="nil"/>
            </w:tcBorders>
            <w:shd w:val="clear" w:color="FFFFFF" w:fill="BFBFBF" w:themeFill="background1" w:themeFillShade="BF"/>
          </w:tcPr>
          <w:p w:rsidR="004E6C32" w:rsidRPr="006A75A2" w:rsidRDefault="004E6C32" w:rsidP="004B5CB1">
            <w:pPr>
              <w:pStyle w:val="TableTextnoindent"/>
              <w:rPr>
                <w:rFonts w:cs="Calibri"/>
                <w:b/>
                <w:bCs/>
                <w:color w:val="auto"/>
                <w:sz w:val="20"/>
                <w:szCs w:val="20"/>
              </w:rPr>
            </w:pPr>
          </w:p>
        </w:tc>
        <w:tc>
          <w:tcPr>
            <w:tcW w:w="3685" w:type="dxa"/>
            <w:tcBorders>
              <w:left w:val="nil"/>
              <w:right w:val="nil"/>
            </w:tcBorders>
            <w:shd w:val="clear" w:color="FFFFFF" w:fill="BFBFBF" w:themeFill="background1" w:themeFillShade="BF"/>
          </w:tcPr>
          <w:p w:rsidR="004E6C32" w:rsidRPr="006A75A2" w:rsidRDefault="004E6C32" w:rsidP="004B5CB1">
            <w:pPr>
              <w:pStyle w:val="TableTextnoindent"/>
              <w:rPr>
                <w:rFonts w:cs="Calibri"/>
                <w:b/>
                <w:bCs/>
                <w:iCs/>
                <w:color w:val="auto"/>
                <w:sz w:val="20"/>
                <w:szCs w:val="20"/>
              </w:rPr>
            </w:pPr>
          </w:p>
        </w:tc>
        <w:tc>
          <w:tcPr>
            <w:tcW w:w="1537" w:type="dxa"/>
            <w:tcBorders>
              <w:left w:val="nil"/>
              <w:right w:val="nil"/>
            </w:tcBorders>
            <w:shd w:val="clear" w:color="FFFFFF" w:fill="BFBFBF" w:themeFill="background1" w:themeFillShade="BF"/>
          </w:tcPr>
          <w:p w:rsidR="004E6C32" w:rsidRPr="006A75A2" w:rsidRDefault="004E6C32" w:rsidP="004B5CB1">
            <w:pPr>
              <w:pStyle w:val="TableTextnoindent"/>
              <w:rPr>
                <w:rFonts w:cs="Calibri"/>
                <w:b/>
                <w:bCs/>
                <w:iCs/>
                <w:color w:val="auto"/>
                <w:sz w:val="20"/>
                <w:szCs w:val="20"/>
              </w:rPr>
            </w:pPr>
          </w:p>
        </w:tc>
      </w:tr>
      <w:tr w:rsidR="004E6C32" w:rsidRPr="006A75A2" w:rsidTr="004B5CB1">
        <w:trPr>
          <w:cantSplit/>
        </w:trPr>
        <w:tc>
          <w:tcPr>
            <w:tcW w:w="1575"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tc>
        <w:tc>
          <w:tcPr>
            <w:tcW w:w="2835" w:type="dxa"/>
            <w:gridSpan w:val="2"/>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3685"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1537"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3–5 years</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The community service obligation (CSO) adjustment reflects the specialised nature of the asset being valued through the market approach. </w:t>
      </w:r>
      <w:r w:rsidRPr="006A75A2">
        <w:br/>
        <w:t>The CSO adjustment is a reflection of the valuer</w:t>
      </w:r>
      <w:r w:rsidR="00C96101" w:rsidRPr="006A75A2">
        <w:t>’</w:t>
      </w:r>
      <w:r w:rsidRPr="006A75A2">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4E6C32" w:rsidRPr="006A75A2" w:rsidRDefault="004E6C32" w:rsidP="004B5CB1">
      <w:pPr>
        <w:pStyle w:val="Notes"/>
      </w:pPr>
    </w:p>
    <w:p w:rsidR="004E6C32" w:rsidRPr="006A75A2" w:rsidRDefault="004E6C32" w:rsidP="004B5CB1"/>
    <w:p w:rsidR="003E39D9" w:rsidRPr="006A75A2" w:rsidRDefault="003E39D9">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52" w:name="_Toc400040269"/>
      <w:r w:rsidRPr="006A75A2">
        <w:rPr>
          <w:kern w:val="0"/>
        </w:rPr>
        <w:lastRenderedPageBreak/>
        <w:t>Note 22:</w:t>
      </w:r>
      <w:r w:rsidRPr="006A75A2">
        <w:rPr>
          <w:kern w:val="0"/>
        </w:rPr>
        <w:tab/>
        <w:t>Land, buildings, infrastructure, plant and equipment</w:t>
      </w:r>
      <w:bookmarkEnd w:id="52"/>
    </w:p>
    <w:p w:rsidR="004E6C32" w:rsidRPr="006A75A2" w:rsidRDefault="004E6C32" w:rsidP="0067336F">
      <w:pPr>
        <w:pStyle w:val="Heading5"/>
      </w:pPr>
      <w:r w:rsidRPr="006A75A2">
        <w:t>(a)</w:t>
      </w:r>
      <w:r w:rsidRPr="006A75A2">
        <w:tab/>
        <w:t>Total land, buildings, infrastructure, plant and equipment</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AD1FBF">
        <w:tc>
          <w:tcPr>
            <w:tcW w:w="5160" w:type="dxa"/>
            <w:tcBorders>
              <w:top w:val="single" w:sz="6" w:space="0" w:color="auto"/>
              <w:left w:val="single" w:sz="6" w:space="0" w:color="auto"/>
              <w:bottom w:val="nil"/>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 xml:space="preserve">Public Administration </w:t>
            </w:r>
          </w:p>
        </w:tc>
      </w:tr>
      <w:tr w:rsidR="003E39D9" w:rsidRPr="006A75A2" w:rsidTr="00AD1FBF">
        <w:tc>
          <w:tcPr>
            <w:tcW w:w="5160" w:type="dxa"/>
            <w:tcBorders>
              <w:left w:val="single" w:sz="6" w:space="0" w:color="auto"/>
              <w:bottom w:val="nil"/>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3E39D9" w:rsidRPr="006A75A2" w:rsidRDefault="003E39D9" w:rsidP="004B5CB1">
            <w:pPr>
              <w:pStyle w:val="Tabletextheading"/>
              <w:rPr>
                <w:rFonts w:eastAsiaTheme="minorEastAsia"/>
                <w:sz w:val="20"/>
                <w:szCs w:val="20"/>
                <w:lang w:eastAsia="en-AU"/>
              </w:rPr>
            </w:pPr>
            <w:r w:rsidRPr="006A75A2">
              <w:rPr>
                <w:rFonts w:eastAsiaTheme="minorEastAsia"/>
                <w:sz w:val="20"/>
                <w:szCs w:val="20"/>
                <w:lang w:eastAsia="en-AU"/>
              </w:rPr>
              <w:t xml:space="preserve"> </w:t>
            </w: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Buildings (written down value)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2 144.2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2 059.8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1 025.8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1 032.1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Land and national parks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1 468.1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1 402.1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978.3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946.6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Buildings leasehold (written down value)</w:t>
            </w:r>
            <w:r w:rsidRPr="006A75A2">
              <w:rPr>
                <w:rFonts w:eastAsiaTheme="minorEastAsia"/>
                <w:sz w:val="20"/>
                <w:szCs w:val="20"/>
                <w:vertAlign w:val="superscript"/>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73.2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39.7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39.1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sz w:val="20"/>
                <w:szCs w:val="20"/>
                <w:lang w:eastAsia="en-AU"/>
              </w:rPr>
              <w:t xml:space="preserve">Infrastructure systems (written down value)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93.1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73.6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74.6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sz w:val="20"/>
                <w:szCs w:val="20"/>
                <w:lang w:eastAsia="en-AU"/>
              </w:rPr>
              <w:t xml:space="preserve">Plant, equipment and vehicles (written down value)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466.9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406.2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235.2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Roads and road infrastructure (written down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Earthworks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0.5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Cultural assets (written down value)</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323.2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200.7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323.2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200.7</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land, buildings, infrastructure, plant and equipment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4 590.6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4 245.8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2 642.9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2 528.3</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D76647">
        <w:trPr>
          <w:trHeight w:val="72"/>
        </w:trPr>
        <w:tc>
          <w:tcPr>
            <w:tcW w:w="5160" w:type="dxa"/>
            <w:tcBorders>
              <w:top w:val="single" w:sz="6" w:space="0" w:color="auto"/>
              <w:left w:val="single" w:sz="6" w:space="0" w:color="auto"/>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Community Housing</w:t>
            </w:r>
          </w:p>
        </w:tc>
      </w:tr>
      <w:tr w:rsidR="003E39D9" w:rsidRPr="006A75A2" w:rsidTr="00D76647">
        <w:trPr>
          <w:trHeight w:val="87"/>
        </w:trPr>
        <w:tc>
          <w:tcPr>
            <w:tcW w:w="5160" w:type="dxa"/>
            <w:tcBorders>
              <w:left w:val="single" w:sz="6" w:space="0" w:color="auto"/>
              <w:bottom w:val="nil"/>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3E39D9" w:rsidRPr="006A75A2" w:rsidRDefault="003E39D9" w:rsidP="00D76647">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00D76647" w:rsidRPr="006A75A2">
              <w:rPr>
                <w:rFonts w:eastAsiaTheme="minorEastAsia"/>
                <w:sz w:val="20"/>
                <w:szCs w:val="20"/>
                <w:lang w:eastAsia="en-AU"/>
              </w:rPr>
              <w:br/>
            </w:r>
            <w:r w:rsidRPr="006A75A2">
              <w:rPr>
                <w:rFonts w:eastAsiaTheme="minorEastAsia"/>
                <w:sz w:val="20"/>
                <w:szCs w:val="20"/>
                <w:lang w:eastAsia="en-AU"/>
              </w:rPr>
              <w:t>government sector</w:t>
            </w:r>
          </w:p>
        </w:tc>
      </w:tr>
      <w:tr w:rsidR="004E6C32" w:rsidRPr="006A75A2" w:rsidTr="00D76647">
        <w:trPr>
          <w:trHeight w:val="87"/>
        </w:trPr>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 xml:space="preserve">Buildings (written down value)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8 764.3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8 486.5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Land and national parks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12 058.3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9 511.6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 xml:space="preserve">Buildings leasehold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Infrastructure systems (written down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Plant, equipment and vehicles (written down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0.5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pPr>
            <w:r w:rsidRPr="006A75A2">
              <w:rPr>
                <w:rFonts w:eastAsiaTheme="minorEastAsia"/>
                <w:sz w:val="20"/>
                <w:szCs w:val="20"/>
                <w:lang w:eastAsia="en-AU"/>
              </w:rPr>
              <w:t>Roads and road infrastructure (written</w:t>
            </w:r>
            <w:r w:rsidRPr="006A75A2">
              <w:t xml:space="preserve"> down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Earthworks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Cultural assets (written down value)</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land, buildings, infrastructure, plant and equipment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20 827.1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18 002.7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AD1FBF">
        <w:tc>
          <w:tcPr>
            <w:tcW w:w="5160" w:type="dxa"/>
            <w:tcBorders>
              <w:top w:val="single" w:sz="6" w:space="0" w:color="auto"/>
              <w:left w:val="single" w:sz="6" w:space="0" w:color="auto"/>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 xml:space="preserve">Total </w:t>
            </w:r>
          </w:p>
        </w:tc>
      </w:tr>
      <w:tr w:rsidR="003E39D9" w:rsidRPr="006A75A2" w:rsidTr="00AD1FBF">
        <w:tc>
          <w:tcPr>
            <w:tcW w:w="5160" w:type="dxa"/>
            <w:tcBorders>
              <w:left w:val="single" w:sz="6" w:space="0" w:color="auto"/>
              <w:bottom w:val="nil"/>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 xml:space="preserve">Buildings (written down value)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40 071.8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37 077.1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24 478.8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21 708.8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Land and national parks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57 072.6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54 364.7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37 648.4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37 465.7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 xml:space="preserve">Buildings leasehold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2 445.7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2 339.1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2 400.8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2 291.9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Infrastructure systems (written down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54 314.0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52 351.8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1 247.8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1 272.1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Plant, equipment and vehicles (written down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7 830.7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8 070.0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2 589.9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2 921.3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sz w:val="20"/>
                <w:szCs w:val="20"/>
              </w:rPr>
            </w:pPr>
            <w:r w:rsidRPr="006A75A2">
              <w:rPr>
                <w:rFonts w:eastAsiaTheme="minorEastAsia"/>
                <w:sz w:val="20"/>
                <w:szCs w:val="20"/>
              </w:rPr>
              <w:t>Roads and road infrastructure (written</w:t>
            </w:r>
            <w:r w:rsidRPr="006A75A2">
              <w:rPr>
                <w:sz w:val="20"/>
                <w:szCs w:val="20"/>
              </w:rPr>
              <w:t xml:space="preserve"> down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22 172.4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22 116.8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22 103.8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22 046.7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Earthworks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7 685.2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7 639.2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7 685.2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7 638.8</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rPr>
            </w:pPr>
            <w:r w:rsidRPr="006A75A2">
              <w:rPr>
                <w:rFonts w:eastAsiaTheme="minorEastAsia"/>
                <w:sz w:val="20"/>
                <w:szCs w:val="20"/>
              </w:rPr>
              <w:t>Cultural assets (written down value)</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5 544.6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5 514.1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5 489.5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rPr>
            </w:pPr>
            <w:r w:rsidRPr="006A75A2">
              <w:rPr>
                <w:rFonts w:eastAsiaTheme="minorEastAsia"/>
                <w:sz w:val="20"/>
                <w:szCs w:val="20"/>
              </w:rPr>
              <w:t>5 458.7</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 xml:space="preserve">Total land, buildings, infrastructure, plant and equipment </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197 137.0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189 473.0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103 644.2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100 804.0</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June 2013 figures have been restated due to a reclassification of non-financial assets from </w:t>
      </w:r>
      <w:r w:rsidR="00C96101" w:rsidRPr="006A75A2">
        <w:t>‘</w:t>
      </w:r>
      <w:r w:rsidRPr="006A75A2">
        <w:t>buildings</w:t>
      </w:r>
      <w:r w:rsidR="00C96101" w:rsidRPr="006A75A2">
        <w:t>’</w:t>
      </w:r>
      <w:r w:rsidRPr="006A75A2">
        <w:t xml:space="preserve"> to </w:t>
      </w:r>
      <w:r w:rsidR="00C96101" w:rsidRPr="006A75A2">
        <w:t>‘</w:t>
      </w:r>
      <w:r w:rsidRPr="006A75A2">
        <w:t>land</w:t>
      </w:r>
      <w:r w:rsidR="00C96101" w:rsidRPr="006A75A2">
        <w:t>’</w:t>
      </w:r>
      <w:r w:rsidRPr="006A75A2">
        <w:t xml:space="preserve"> and from </w:t>
      </w:r>
      <w:r w:rsidR="00C96101" w:rsidRPr="006A75A2">
        <w:t>‘</w:t>
      </w:r>
      <w:r w:rsidRPr="006A75A2">
        <w:t>plant, equipment and vehicles, and infrastructure systems</w:t>
      </w:r>
      <w:r w:rsidR="00C96101" w:rsidRPr="006A75A2">
        <w:t>’</w:t>
      </w:r>
      <w:r w:rsidRPr="006A75A2">
        <w:t xml:space="preserve"> to </w:t>
      </w:r>
      <w:r w:rsidR="00C96101" w:rsidRPr="006A75A2">
        <w:t>‘</w:t>
      </w:r>
      <w:r w:rsidRPr="006A75A2">
        <w:t>roads, road infrastructure and earthworks</w:t>
      </w:r>
      <w:r w:rsidR="00C96101" w:rsidRPr="006A75A2">
        <w:t>’</w:t>
      </w:r>
      <w:r w:rsidRPr="006A75A2">
        <w:t>.</w:t>
      </w: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 w:rsidR="004E6C32" w:rsidRPr="006A75A2" w:rsidRDefault="004E6C32" w:rsidP="004B5CB1"/>
    <w:p w:rsidR="004E6C32" w:rsidRPr="006A75A2" w:rsidRDefault="004E6C32" w:rsidP="00D76647">
      <w:pPr>
        <w:pStyle w:val="Heading2NotesContd"/>
        <w:rPr>
          <w:kern w:val="0"/>
        </w:rPr>
      </w:pPr>
    </w:p>
    <w:p w:rsidR="004E6C32" w:rsidRPr="006A75A2" w:rsidRDefault="004E6C32" w:rsidP="00D76647">
      <w:pPr>
        <w:pStyle w:val="Heading5"/>
      </w:pPr>
    </w:p>
    <w:p w:rsidR="004E6C32" w:rsidRPr="006A75A2" w:rsidRDefault="004E6C32" w:rsidP="00D76647">
      <w:pPr>
        <w:pStyle w:val="million"/>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3E39D9" w:rsidRPr="006A75A2" w:rsidTr="00AD1FBF">
        <w:tc>
          <w:tcPr>
            <w:tcW w:w="4820" w:type="dxa"/>
            <w:gridSpan w:val="4"/>
            <w:tcBorders>
              <w:top w:val="single" w:sz="6" w:space="0" w:color="auto"/>
              <w:left w:val="single" w:sz="6" w:space="0" w:color="auto"/>
              <w:right w:val="nil"/>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Education</w:t>
            </w:r>
          </w:p>
        </w:tc>
        <w:tc>
          <w:tcPr>
            <w:tcW w:w="4820" w:type="dxa"/>
            <w:gridSpan w:val="4"/>
            <w:tcBorders>
              <w:top w:val="single" w:sz="6" w:space="0" w:color="auto"/>
              <w:left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Health and Welfare</w:t>
            </w:r>
          </w:p>
        </w:tc>
      </w:tr>
      <w:tr w:rsidR="003E39D9" w:rsidRPr="006A75A2" w:rsidTr="00AD1FBF">
        <w:tc>
          <w:tcPr>
            <w:tcW w:w="2410" w:type="dxa"/>
            <w:gridSpan w:val="2"/>
            <w:tcBorders>
              <w:left w:val="single" w:sz="6" w:space="0" w:color="auto"/>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nil"/>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General</w:t>
            </w:r>
            <w:r w:rsidRPr="006A75A2">
              <w:rPr>
                <w:rFonts w:eastAsiaTheme="minorEastAsia"/>
                <w:sz w:val="20"/>
                <w:szCs w:val="20"/>
                <w:lang w:eastAsia="en-AU"/>
              </w:rPr>
              <w:br/>
              <w:t>government sector</w:t>
            </w:r>
          </w:p>
        </w:tc>
        <w:tc>
          <w:tcPr>
            <w:tcW w:w="2410" w:type="dxa"/>
            <w:gridSpan w:val="2"/>
            <w:tcBorders>
              <w:left w:val="nil"/>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General</w:t>
            </w:r>
            <w:r w:rsidRPr="006A75A2">
              <w:rPr>
                <w:rFonts w:eastAsiaTheme="minorEastAsia"/>
                <w:sz w:val="20"/>
                <w:szCs w:val="20"/>
                <w:lang w:eastAsia="en-AU"/>
              </w:rPr>
              <w:br/>
              <w:t>government sector</w:t>
            </w:r>
          </w:p>
        </w:tc>
      </w:tr>
      <w:tr w:rsidR="004E6C32" w:rsidRPr="006A75A2" w:rsidTr="004B5CB1">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8 595.6</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8 423.1</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8 595.6</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8 423.1</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8 964.5</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6 797.0</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8 949.5</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6 781.6</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7 547.6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7 784.5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7 547.6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7 784.5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2 264.7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1 967.1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2 259.5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1 963.2</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187.5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216.1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187.5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216.1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1 320.5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1 154.2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1 320.5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1 154.2</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297.6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631.2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297.6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631.2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1 013.6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1 020.9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1 013.6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1 020.9</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5.3</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5.3</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5.5</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16 632.7</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17 064.4</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16 632.7</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17 064.4</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13 568.6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10 944.7</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13 548.3</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10 925.4</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3E39D9" w:rsidRPr="006A75A2" w:rsidTr="00D76647">
        <w:trPr>
          <w:trHeight w:val="72"/>
        </w:trPr>
        <w:tc>
          <w:tcPr>
            <w:tcW w:w="4820" w:type="dxa"/>
            <w:gridSpan w:val="4"/>
            <w:tcBorders>
              <w:top w:val="single" w:sz="6" w:space="0" w:color="auto"/>
              <w:left w:val="single" w:sz="6" w:space="0" w:color="auto"/>
              <w:right w:val="nil"/>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Transportation and Communication</w:t>
            </w:r>
          </w:p>
        </w:tc>
        <w:tc>
          <w:tcPr>
            <w:tcW w:w="4820" w:type="dxa"/>
            <w:gridSpan w:val="4"/>
            <w:tcBorders>
              <w:top w:val="single" w:sz="6" w:space="0" w:color="auto"/>
              <w:left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Public Safety and Environment</w:t>
            </w:r>
          </w:p>
        </w:tc>
      </w:tr>
      <w:tr w:rsidR="003E39D9" w:rsidRPr="006A75A2" w:rsidTr="00D76647">
        <w:trPr>
          <w:trHeight w:val="87"/>
        </w:trPr>
        <w:tc>
          <w:tcPr>
            <w:tcW w:w="2410" w:type="dxa"/>
            <w:gridSpan w:val="2"/>
            <w:tcBorders>
              <w:left w:val="single" w:sz="6" w:space="0" w:color="auto"/>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nil"/>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General</w:t>
            </w:r>
            <w:r w:rsidRPr="006A75A2">
              <w:rPr>
                <w:rFonts w:eastAsiaTheme="minorEastAsia"/>
                <w:sz w:val="20"/>
                <w:szCs w:val="20"/>
                <w:lang w:eastAsia="en-AU"/>
              </w:rPr>
              <w:br/>
              <w:t>government sector</w:t>
            </w:r>
          </w:p>
        </w:tc>
        <w:tc>
          <w:tcPr>
            <w:tcW w:w="2410" w:type="dxa"/>
            <w:gridSpan w:val="2"/>
            <w:tcBorders>
              <w:left w:val="nil"/>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General</w:t>
            </w:r>
            <w:r w:rsidRPr="006A75A2">
              <w:rPr>
                <w:rFonts w:eastAsiaTheme="minorEastAsia"/>
                <w:sz w:val="20"/>
                <w:szCs w:val="20"/>
                <w:lang w:eastAsia="en-AU"/>
              </w:rPr>
              <w:br/>
              <w:t>government sector</w:t>
            </w:r>
          </w:p>
        </w:tc>
      </w:tr>
      <w:tr w:rsidR="004E6C32" w:rsidRPr="006A75A2" w:rsidTr="00D76647">
        <w:trPr>
          <w:trHeight w:val="87"/>
        </w:trPr>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jc w:val="right"/>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text"/>
              <w:jc w:val="right"/>
              <w:rPr>
                <w:rFonts w:eastAsiaTheme="minorEastAsia"/>
                <w:sz w:val="20"/>
                <w:szCs w:val="20"/>
                <w:lang w:eastAsia="en-AU"/>
              </w:rPr>
            </w:pPr>
            <w:r w:rsidRPr="006A75A2">
              <w:rPr>
                <w:rFonts w:eastAsiaTheme="minorEastAsia"/>
                <w:sz w:val="20"/>
                <w:szCs w:val="20"/>
                <w:lang w:eastAsia="en-AU"/>
              </w:rPr>
              <w:t>4 568.1</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4 728.9</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507.8</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521.1</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7 035.0</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6 581.9</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5 400.1</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4 950.8</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text"/>
              <w:jc w:val="right"/>
              <w:rPr>
                <w:rFonts w:eastAsiaTheme="minorEastAsia"/>
                <w:sz w:val="20"/>
                <w:szCs w:val="20"/>
                <w:lang w:eastAsia="en-AU"/>
              </w:rPr>
            </w:pPr>
            <w:r w:rsidRPr="006A75A2">
              <w:rPr>
                <w:rFonts w:eastAsiaTheme="minorEastAsia"/>
                <w:sz w:val="20"/>
                <w:szCs w:val="20"/>
                <w:lang w:eastAsia="en-AU"/>
              </w:rPr>
              <w:t>21 308.1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21 315.1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17 476.5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17 473.9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12 425.9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12 384.3</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9 386.6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9 297.5</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text"/>
              <w:jc w:val="right"/>
              <w:rPr>
                <w:rFonts w:eastAsiaTheme="minorEastAsia"/>
                <w:sz w:val="20"/>
                <w:szCs w:val="20"/>
                <w:lang w:eastAsia="en-AU"/>
              </w:rPr>
            </w:pPr>
            <w:r w:rsidRPr="006A75A2">
              <w:rPr>
                <w:rFonts w:eastAsiaTheme="minorEastAsia"/>
                <w:sz w:val="20"/>
                <w:szCs w:val="20"/>
                <w:lang w:eastAsia="en-AU"/>
              </w:rPr>
              <w:t xml:space="preserve"> 31.9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42.6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29.2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39.8</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828.8</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849.5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823.9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842.6</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text"/>
              <w:jc w:val="right"/>
              <w:rPr>
                <w:rFonts w:eastAsiaTheme="minorEastAsia"/>
                <w:sz w:val="20"/>
                <w:szCs w:val="20"/>
                <w:lang w:eastAsia="en-AU"/>
              </w:rPr>
            </w:pPr>
            <w:r w:rsidRPr="006A75A2">
              <w:rPr>
                <w:rFonts w:eastAsiaTheme="minorEastAsia"/>
                <w:sz w:val="20"/>
                <w:szCs w:val="20"/>
                <w:lang w:eastAsia="en-AU"/>
              </w:rPr>
              <w:t>15 795.0</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14 252.0</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336.7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370.2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38 425.9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38 018.4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837.4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827.4</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text"/>
              <w:jc w:val="right"/>
              <w:rPr>
                <w:rFonts w:eastAsiaTheme="minorEastAsia"/>
                <w:sz w:val="20"/>
                <w:szCs w:val="20"/>
                <w:lang w:eastAsia="en-AU"/>
              </w:rPr>
            </w:pPr>
            <w:r w:rsidRPr="006A75A2">
              <w:rPr>
                <w:rFonts w:eastAsiaTheme="minorEastAsia"/>
                <w:sz w:val="20"/>
                <w:szCs w:val="20"/>
                <w:lang w:eastAsia="en-AU"/>
              </w:rPr>
              <w:t>4 820.4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4 852.6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142.5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143.2</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1 231.5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1 158.7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934.0</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890.9</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text"/>
              <w:jc w:val="right"/>
              <w:rPr>
                <w:rFonts w:eastAsiaTheme="minorEastAsia"/>
                <w:sz w:val="20"/>
                <w:szCs w:val="20"/>
                <w:lang w:eastAsia="en-AU"/>
              </w:rPr>
            </w:pPr>
            <w:r w:rsidRPr="006A75A2">
              <w:rPr>
                <w:rFonts w:eastAsiaTheme="minorEastAsia"/>
                <w:sz w:val="20"/>
                <w:szCs w:val="20"/>
                <w:lang w:eastAsia="en-AU"/>
              </w:rPr>
              <w:t>21 097.9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21 027.9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21 097.9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21 027.9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1 052.6</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1 066.4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1 005.9</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1 018.9</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text"/>
              <w:jc w:val="right"/>
              <w:rPr>
                <w:rFonts w:eastAsiaTheme="minorEastAsia"/>
                <w:sz w:val="20"/>
                <w:szCs w:val="20"/>
                <w:lang w:eastAsia="en-AU"/>
              </w:rPr>
            </w:pPr>
            <w:r w:rsidRPr="006A75A2">
              <w:rPr>
                <w:rFonts w:eastAsiaTheme="minorEastAsia"/>
                <w:sz w:val="20"/>
                <w:szCs w:val="20"/>
                <w:lang w:eastAsia="en-AU"/>
              </w:rPr>
              <w:t>7 685.2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7 638.8</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7 685.2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7 638.8</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text"/>
              <w:jc w:val="right"/>
              <w:rPr>
                <w:rFonts w:eastAsiaTheme="minorEastAsia"/>
                <w:sz w:val="20"/>
                <w:szCs w:val="20"/>
                <w:lang w:eastAsia="en-AU"/>
              </w:rPr>
            </w:pPr>
            <w:r w:rsidRPr="006A75A2">
              <w:rPr>
                <w:rFonts w:eastAsiaTheme="minorEastAsia"/>
                <w:sz w:val="20"/>
                <w:szCs w:val="20"/>
                <w:lang w:eastAsia="en-AU"/>
              </w:rPr>
              <w:t xml:space="preserve"> 1.1</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1.7</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1.2</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5 210.6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5 296.6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5 155.4</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5 241.7</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jc w:val="right"/>
              <w:rPr>
                <w:rFonts w:eastAsiaTheme="minorEastAsia"/>
                <w:b/>
                <w:bCs/>
                <w:sz w:val="20"/>
                <w:szCs w:val="20"/>
                <w:lang w:eastAsia="en-AU"/>
              </w:rPr>
            </w:pPr>
            <w:r w:rsidRPr="006A75A2">
              <w:rPr>
                <w:rFonts w:eastAsiaTheme="minorEastAsia"/>
                <w:b/>
                <w:bCs/>
                <w:sz w:val="20"/>
                <w:szCs w:val="20"/>
                <w:lang w:eastAsia="en-AU"/>
              </w:rPr>
              <w:t>75 307.7</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73 859.5</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47 277.1</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47 216.1</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66 210.3</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65 355.8</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23 543.3</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23 069.8</w:t>
            </w:r>
          </w:p>
        </w:tc>
      </w:tr>
    </w:tbl>
    <w:p w:rsidR="004E6C32" w:rsidRPr="006A75A2" w:rsidRDefault="004E6C32">
      <w:pPr>
        <w:spacing w:after="0"/>
      </w:pPr>
    </w:p>
    <w:p w:rsidR="004E6C32" w:rsidRPr="006A75A2" w:rsidRDefault="004E6C32">
      <w:pPr>
        <w:spacing w:after="0"/>
      </w:pPr>
    </w:p>
    <w:p w:rsidR="004E6C32" w:rsidRPr="006A75A2" w:rsidRDefault="004E6C32">
      <w:pPr>
        <w:spacing w:after="0"/>
      </w:pPr>
    </w:p>
    <w:p w:rsidR="004E6C32" w:rsidRPr="006A75A2" w:rsidRDefault="004E6C32">
      <w:pPr>
        <w:spacing w:after="0"/>
      </w:pPr>
      <w:r w:rsidRPr="006A75A2">
        <w:br w:type="page"/>
      </w:r>
    </w:p>
    <w:p w:rsidR="004E6C32" w:rsidRPr="006A75A2" w:rsidRDefault="004E6C32" w:rsidP="00D76647">
      <w:pPr>
        <w:pStyle w:val="Heading2NotesContd"/>
        <w:rPr>
          <w:i/>
          <w:kern w:val="0"/>
        </w:rPr>
      </w:pPr>
      <w:r w:rsidRPr="006A75A2">
        <w:rPr>
          <w:kern w:val="0"/>
        </w:rPr>
        <w:lastRenderedPageBreak/>
        <w:t>Note 22:</w:t>
      </w:r>
      <w:r w:rsidRPr="006A75A2">
        <w:rPr>
          <w:kern w:val="0"/>
        </w:rPr>
        <w:tab/>
        <w:t>Land, buildings, infrastructure, plant and equipment</w:t>
      </w:r>
      <w:r w:rsidRPr="006A75A2">
        <w:rPr>
          <w:i/>
          <w:kern w:val="0"/>
        </w:rPr>
        <w:t xml:space="preserve"> (continued)</w:t>
      </w:r>
    </w:p>
    <w:p w:rsidR="004E6C32" w:rsidRPr="006A75A2" w:rsidRDefault="004E6C32" w:rsidP="00D76647">
      <w:pPr>
        <w:pStyle w:val="Heading5"/>
      </w:pPr>
      <w:r w:rsidRPr="006A75A2">
        <w:t>(b)</w:t>
      </w:r>
      <w:r w:rsidRPr="006A75A2">
        <w:tab/>
        <w:t>Land and buildings</w:t>
      </w:r>
    </w:p>
    <w:p w:rsidR="004E6C32" w:rsidRPr="006A75A2" w:rsidRDefault="004E6C32" w:rsidP="00D76647">
      <w:pPr>
        <w:pStyle w:val="million"/>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D76647">
        <w:trPr>
          <w:trHeight w:val="20"/>
        </w:trPr>
        <w:tc>
          <w:tcPr>
            <w:tcW w:w="5160" w:type="dxa"/>
            <w:tcBorders>
              <w:top w:val="single" w:sz="6" w:space="0" w:color="auto"/>
              <w:left w:val="single" w:sz="6" w:space="0" w:color="auto"/>
              <w:bottom w:val="nil"/>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Public Administration</w:t>
            </w:r>
          </w:p>
        </w:tc>
      </w:tr>
      <w:tr w:rsidR="003E39D9" w:rsidRPr="006A75A2" w:rsidTr="00D76647">
        <w:trPr>
          <w:trHeight w:val="87"/>
        </w:trPr>
        <w:tc>
          <w:tcPr>
            <w:tcW w:w="5160" w:type="dxa"/>
            <w:tcBorders>
              <w:left w:val="single" w:sz="6" w:space="0" w:color="auto"/>
              <w:bottom w:val="nil"/>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D76647">
        <w:trPr>
          <w:trHeight w:val="87"/>
        </w:trPr>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sz w:val="20"/>
                <w:szCs w:val="20"/>
                <w:lang w:eastAsia="en-AU"/>
              </w:rPr>
              <w:t xml:space="preserve">Buildings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2 238.2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2 178.6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1 072.2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1 125.9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 xml:space="preserve">Accumulated depreciation </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(94.0)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(118.8)</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(46.5)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(93.8)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vertAlign w:val="superscript"/>
                <w:lang w:eastAsia="en-AU"/>
              </w:rPr>
            </w:pPr>
            <w:r w:rsidRPr="006A75A2">
              <w:rPr>
                <w:rFonts w:eastAsiaTheme="minorEastAsia"/>
                <w:b/>
                <w:bCs/>
                <w:sz w:val="20"/>
                <w:szCs w:val="20"/>
                <w:lang w:eastAsia="en-AU"/>
              </w:rPr>
              <w:t xml:space="preserve">Buildings (written down value)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2 144.2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2 059.8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1 025.8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1 032.1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vertAlign w:val="superscript"/>
                <w:lang w:eastAsia="en-AU"/>
              </w:rPr>
            </w:pPr>
            <w:r w:rsidRPr="006A75A2">
              <w:rPr>
                <w:rFonts w:eastAsiaTheme="minorEastAsia"/>
                <w:b/>
                <w:bCs/>
                <w:sz w:val="20"/>
                <w:szCs w:val="20"/>
                <w:lang w:eastAsia="en-AU"/>
              </w:rPr>
              <w:t>Buildings leasehold (written down value)</w:t>
            </w:r>
            <w:r w:rsidRPr="006A75A2">
              <w:rPr>
                <w:rFonts w:eastAsiaTheme="minorEastAsia"/>
                <w:b/>
                <w:bCs/>
                <w:sz w:val="20"/>
                <w:szCs w:val="20"/>
                <w:vertAlign w:val="superscript"/>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73.2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72.5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39.7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39.1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sz w:val="20"/>
                <w:szCs w:val="20"/>
                <w:lang w:eastAsia="en-AU"/>
              </w:rPr>
              <w:t xml:space="preserve">Land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1 468.1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1 402.1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978.3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946.6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National parks and other </w:t>
            </w:r>
            <w:r w:rsidR="00C96101" w:rsidRPr="006A75A2">
              <w:rPr>
                <w:rFonts w:eastAsiaTheme="minorEastAsia"/>
                <w:sz w:val="20"/>
                <w:szCs w:val="20"/>
                <w:lang w:eastAsia="en-AU"/>
              </w:rPr>
              <w:t>‘</w:t>
            </w:r>
            <w:r w:rsidRPr="006A75A2">
              <w:rPr>
                <w:rFonts w:eastAsiaTheme="minorEastAsia"/>
                <w:sz w:val="20"/>
                <w:szCs w:val="20"/>
                <w:lang w:eastAsia="en-AU"/>
              </w:rPr>
              <w:t>land only</w:t>
            </w:r>
            <w:r w:rsidR="00C96101" w:rsidRPr="006A75A2">
              <w:rPr>
                <w:rFonts w:eastAsiaTheme="minorEastAsia"/>
                <w:sz w:val="20"/>
                <w:szCs w:val="20"/>
                <w:lang w:eastAsia="en-AU"/>
              </w:rPr>
              <w:t>’</w:t>
            </w:r>
            <w:r w:rsidRPr="006A75A2">
              <w:rPr>
                <w:rFonts w:eastAsiaTheme="minorEastAsia"/>
                <w:sz w:val="20"/>
                <w:szCs w:val="20"/>
                <w:lang w:eastAsia="en-AU"/>
              </w:rPr>
              <w:t xml:space="preserve"> holdings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cs="Calibri"/>
                <w:b/>
                <w:bCs/>
                <w:szCs w:val="22"/>
                <w:lang w:eastAsia="en-AU"/>
              </w:rPr>
            </w:pPr>
            <w:r w:rsidRPr="006A75A2">
              <w:rPr>
                <w:rFonts w:eastAsiaTheme="minorEastAsia"/>
                <w:b/>
                <w:bCs/>
                <w:sz w:val="20"/>
                <w:szCs w:val="20"/>
                <w:lang w:eastAsia="en-AU"/>
              </w:rPr>
              <w:t xml:space="preserve">Land and national parks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1 468.1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1 402.1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978.3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946.6</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land and buildings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3 685.5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3 534.5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2 043.8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2 017.8</w:t>
            </w:r>
          </w:p>
        </w:tc>
      </w:tr>
    </w:tbl>
    <w:p w:rsidR="004E6C32" w:rsidRPr="006A75A2" w:rsidRDefault="004E6C32" w:rsidP="004B5CB1"/>
    <w:p w:rsidR="004E6C32" w:rsidRPr="006A75A2" w:rsidRDefault="004E6C32" w:rsidP="004B5CB1">
      <w:pPr>
        <w:rPr>
          <w:lang w:eastAsia="en-AU"/>
        </w:rPr>
      </w:pPr>
    </w:p>
    <w:tbl>
      <w:tblPr>
        <w:tblW w:w="0" w:type="auto"/>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3E39D9">
        <w:tc>
          <w:tcPr>
            <w:tcW w:w="5160" w:type="dxa"/>
            <w:tcBorders>
              <w:top w:val="single" w:sz="6" w:space="0" w:color="auto"/>
              <w:left w:val="single" w:sz="6" w:space="0" w:color="auto"/>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Community Housing</w:t>
            </w:r>
          </w:p>
        </w:tc>
      </w:tr>
      <w:tr w:rsidR="003E39D9" w:rsidRPr="006A75A2" w:rsidTr="00AD1FBF">
        <w:tc>
          <w:tcPr>
            <w:tcW w:w="5160" w:type="dxa"/>
            <w:tcBorders>
              <w:left w:val="single" w:sz="6" w:space="0" w:color="auto"/>
              <w:bottom w:val="nil"/>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General</w:t>
            </w:r>
            <w:r w:rsidRPr="006A75A2">
              <w:rPr>
                <w:rFonts w:eastAsiaTheme="minorEastAsia"/>
                <w:sz w:val="20"/>
                <w:szCs w:val="20"/>
                <w:lang w:eastAsia="en-AU"/>
              </w:rPr>
              <w:br/>
              <w:t>government sector</w:t>
            </w:r>
          </w:p>
        </w:tc>
      </w:tr>
      <w:tr w:rsidR="004E6C32" w:rsidRPr="006A75A2" w:rsidTr="003E39D9">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3E39D9">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Buildings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8 765.2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9 093.5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3E39D9">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(0.9)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(607.1)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3E39D9">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vertAlign w:val="superscript"/>
                <w:lang w:eastAsia="en-AU"/>
              </w:rPr>
            </w:pPr>
            <w:r w:rsidRPr="006A75A2">
              <w:rPr>
                <w:rFonts w:eastAsiaTheme="minorEastAsia"/>
                <w:b/>
                <w:bCs/>
                <w:sz w:val="20"/>
                <w:szCs w:val="20"/>
                <w:lang w:eastAsia="en-AU"/>
              </w:rPr>
              <w:t xml:space="preserve">Buildings (written down value)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8 764.3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8 486.5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r w:rsidR="004E6C32" w:rsidRPr="006A75A2" w:rsidTr="003E39D9">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vertAlign w:val="superscript"/>
                <w:lang w:eastAsia="en-AU"/>
              </w:rPr>
            </w:pPr>
            <w:r w:rsidRPr="006A75A2">
              <w:rPr>
                <w:rFonts w:eastAsiaTheme="minorEastAsia"/>
                <w:b/>
                <w:bCs/>
                <w:sz w:val="20"/>
                <w:szCs w:val="20"/>
                <w:lang w:eastAsia="en-AU"/>
              </w:rPr>
              <w:t xml:space="preserve">Buildings leasehold (written down value)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r w:rsidR="004E6C32" w:rsidRPr="006A75A2" w:rsidTr="003E39D9">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Land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12 058.3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9 511.6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3E39D9">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National parks and other </w:t>
            </w:r>
            <w:r w:rsidR="00C96101" w:rsidRPr="006A75A2">
              <w:rPr>
                <w:rFonts w:eastAsiaTheme="minorEastAsia"/>
                <w:sz w:val="20"/>
                <w:szCs w:val="20"/>
                <w:lang w:eastAsia="en-AU"/>
              </w:rPr>
              <w:t>‘</w:t>
            </w:r>
            <w:r w:rsidRPr="006A75A2">
              <w:rPr>
                <w:rFonts w:eastAsiaTheme="minorEastAsia"/>
                <w:sz w:val="20"/>
                <w:szCs w:val="20"/>
                <w:lang w:eastAsia="en-AU"/>
              </w:rPr>
              <w:t>land only</w:t>
            </w:r>
            <w:r w:rsidR="00C96101" w:rsidRPr="006A75A2">
              <w:rPr>
                <w:rFonts w:eastAsiaTheme="minorEastAsia"/>
                <w:sz w:val="20"/>
                <w:szCs w:val="20"/>
                <w:lang w:eastAsia="en-AU"/>
              </w:rPr>
              <w:t>’</w:t>
            </w:r>
            <w:r w:rsidRPr="006A75A2">
              <w:rPr>
                <w:rFonts w:eastAsiaTheme="minorEastAsia"/>
                <w:sz w:val="20"/>
                <w:szCs w:val="20"/>
                <w:lang w:eastAsia="en-AU"/>
              </w:rPr>
              <w:t xml:space="preserve"> holdings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w:t>
            </w:r>
          </w:p>
        </w:tc>
      </w:tr>
      <w:tr w:rsidR="004E6C32" w:rsidRPr="006A75A2" w:rsidTr="003E39D9">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Land and national parks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12 058.3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9 511.6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r w:rsidR="004E6C32" w:rsidRPr="006A75A2" w:rsidTr="003E39D9">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land and buildings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20 826.4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18 002.2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3E39D9" w:rsidRPr="006A75A2" w:rsidTr="00AD1FBF">
        <w:tc>
          <w:tcPr>
            <w:tcW w:w="5160" w:type="dxa"/>
            <w:tcBorders>
              <w:top w:val="single" w:sz="6" w:space="0" w:color="auto"/>
              <w:left w:val="single" w:sz="6" w:space="0" w:color="auto"/>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Total</w:t>
            </w:r>
          </w:p>
        </w:tc>
      </w:tr>
      <w:tr w:rsidR="003E39D9" w:rsidRPr="006A75A2" w:rsidTr="00AD1FBF">
        <w:tc>
          <w:tcPr>
            <w:tcW w:w="5160" w:type="dxa"/>
            <w:tcBorders>
              <w:left w:val="single" w:sz="6" w:space="0" w:color="auto"/>
              <w:bottom w:val="nil"/>
              <w:right w:val="nil"/>
            </w:tcBorders>
            <w:shd w:val="clear" w:color="000000" w:fill="000000"/>
          </w:tcPr>
          <w:p w:rsidR="003E39D9" w:rsidRPr="006A75A2" w:rsidRDefault="003E39D9"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3E39D9" w:rsidRPr="006A75A2" w:rsidRDefault="003E39D9" w:rsidP="003E39D9">
            <w:pPr>
              <w:pStyle w:val="TabletextheadingCentred"/>
              <w:rPr>
                <w:rFonts w:eastAsiaTheme="minorEastAsia"/>
                <w:sz w:val="20"/>
                <w:szCs w:val="20"/>
                <w:lang w:eastAsia="en-AU"/>
              </w:rPr>
            </w:pPr>
          </w:p>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General</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Centred"/>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Centred"/>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Centred"/>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Centred"/>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Buildings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41 838.9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40 825.3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25 647.2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24 421.3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 xml:space="preserve">Accumulated depreciation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(1 767.1)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(3 748.2)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(1 168.4)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(2 712.5)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vertAlign w:val="superscript"/>
                <w:lang w:eastAsia="en-AU"/>
              </w:rPr>
            </w:pPr>
            <w:r w:rsidRPr="006A75A2">
              <w:rPr>
                <w:rFonts w:eastAsiaTheme="minorEastAsia"/>
                <w:b/>
                <w:bCs/>
                <w:sz w:val="20"/>
                <w:szCs w:val="20"/>
                <w:lang w:eastAsia="en-AU"/>
              </w:rPr>
              <w:t xml:space="preserve">Buildings (written down value)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40 071.8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37 077.1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24 478.8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21 708.8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Buildings leasehold (written down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2 445.7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2 339.1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2 400.8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2 291.9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Land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55 387.1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52 679.2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35 962.9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35 780.2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National parks and other </w:t>
            </w:r>
            <w:r w:rsidR="00C96101" w:rsidRPr="006A75A2">
              <w:rPr>
                <w:rFonts w:eastAsiaTheme="minorEastAsia"/>
                <w:sz w:val="20"/>
                <w:szCs w:val="20"/>
                <w:lang w:eastAsia="en-AU"/>
              </w:rPr>
              <w:t>‘</w:t>
            </w:r>
            <w:r w:rsidRPr="006A75A2">
              <w:rPr>
                <w:rFonts w:eastAsiaTheme="minorEastAsia"/>
                <w:sz w:val="20"/>
                <w:szCs w:val="20"/>
                <w:lang w:eastAsia="en-AU"/>
              </w:rPr>
              <w:t>land only</w:t>
            </w:r>
            <w:r w:rsidR="00C96101" w:rsidRPr="006A75A2">
              <w:rPr>
                <w:rFonts w:eastAsiaTheme="minorEastAsia"/>
                <w:sz w:val="20"/>
                <w:szCs w:val="20"/>
                <w:lang w:eastAsia="en-AU"/>
              </w:rPr>
              <w:t>’</w:t>
            </w:r>
            <w:r w:rsidRPr="006A75A2">
              <w:rPr>
                <w:rFonts w:eastAsiaTheme="minorEastAsia"/>
                <w:sz w:val="20"/>
                <w:szCs w:val="20"/>
                <w:lang w:eastAsia="en-AU"/>
              </w:rPr>
              <w:t xml:space="preserve"> holdings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1 685.5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1 685.5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1 685.5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1 685.5</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Land and national parks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57 072.6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54 364.7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37 648.4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37 465.7</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land and buildings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99 590.2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93 781.0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64 528.0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61 466.4</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June 2013 figures have been restated due to a reclassification of non-financial assets from </w:t>
      </w:r>
      <w:r w:rsidR="00C96101" w:rsidRPr="006A75A2">
        <w:t>‘</w:t>
      </w:r>
      <w:r w:rsidRPr="006A75A2">
        <w:t>buildings</w:t>
      </w:r>
      <w:r w:rsidR="00C96101" w:rsidRPr="006A75A2">
        <w:t>’</w:t>
      </w:r>
      <w:r w:rsidRPr="006A75A2">
        <w:t xml:space="preserve"> to </w:t>
      </w:r>
      <w:r w:rsidR="00C96101" w:rsidRPr="006A75A2">
        <w:t>‘</w:t>
      </w:r>
      <w:r w:rsidRPr="006A75A2">
        <w:t>land</w:t>
      </w:r>
      <w:r w:rsidR="00C96101" w:rsidRPr="006A75A2">
        <w:t>’</w:t>
      </w:r>
      <w:r w:rsidRPr="006A75A2">
        <w:t>.</w:t>
      </w:r>
    </w:p>
    <w:p w:rsidR="004E6C32" w:rsidRPr="006A75A2" w:rsidRDefault="004E6C32">
      <w:pPr>
        <w:spacing w:after="0"/>
      </w:pPr>
    </w:p>
    <w:p w:rsidR="004E6C32" w:rsidRPr="006A75A2" w:rsidRDefault="004E6C32">
      <w:pPr>
        <w:spacing w:after="0"/>
      </w:pPr>
      <w:r w:rsidRPr="006A75A2">
        <w:br w:type="page"/>
      </w:r>
    </w:p>
    <w:p w:rsidR="004E6C32" w:rsidRPr="006A75A2" w:rsidRDefault="004E6C32" w:rsidP="00D76647">
      <w:pPr>
        <w:pStyle w:val="Heading2NotesContd"/>
        <w:rPr>
          <w:kern w:val="0"/>
        </w:rPr>
      </w:pPr>
    </w:p>
    <w:p w:rsidR="004E6C32" w:rsidRPr="006A75A2" w:rsidRDefault="004E6C32" w:rsidP="00D76647">
      <w:pPr>
        <w:pStyle w:val="Heading5"/>
      </w:pPr>
    </w:p>
    <w:p w:rsidR="004E6C32" w:rsidRPr="006A75A2" w:rsidRDefault="004E6C32" w:rsidP="00D76647">
      <w:pPr>
        <w:pStyle w:val="million"/>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3E39D9" w:rsidRPr="006A75A2" w:rsidTr="00D76647">
        <w:trPr>
          <w:trHeight w:val="72"/>
        </w:trPr>
        <w:tc>
          <w:tcPr>
            <w:tcW w:w="4820" w:type="dxa"/>
            <w:gridSpan w:val="4"/>
            <w:tcBorders>
              <w:top w:val="single" w:sz="6" w:space="0" w:color="auto"/>
              <w:left w:val="single" w:sz="6" w:space="0" w:color="auto"/>
              <w:right w:val="nil"/>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Education</w:t>
            </w:r>
          </w:p>
        </w:tc>
        <w:tc>
          <w:tcPr>
            <w:tcW w:w="4820" w:type="dxa"/>
            <w:gridSpan w:val="4"/>
            <w:tcBorders>
              <w:top w:val="single" w:sz="6" w:space="0" w:color="auto"/>
              <w:left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Health and Welfare</w:t>
            </w:r>
          </w:p>
        </w:tc>
      </w:tr>
      <w:tr w:rsidR="003E39D9" w:rsidRPr="006A75A2" w:rsidTr="00D76647">
        <w:tc>
          <w:tcPr>
            <w:tcW w:w="2410" w:type="dxa"/>
            <w:gridSpan w:val="2"/>
            <w:tcBorders>
              <w:left w:val="single" w:sz="6" w:space="0" w:color="auto"/>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nil"/>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General</w:t>
            </w:r>
            <w:r w:rsidRPr="006A75A2">
              <w:rPr>
                <w:rFonts w:eastAsiaTheme="minorEastAsia"/>
                <w:sz w:val="20"/>
                <w:szCs w:val="20"/>
                <w:lang w:eastAsia="en-AU"/>
              </w:rPr>
              <w:br/>
              <w:t>government sector</w:t>
            </w:r>
          </w:p>
        </w:tc>
        <w:tc>
          <w:tcPr>
            <w:tcW w:w="2410" w:type="dxa"/>
            <w:gridSpan w:val="2"/>
            <w:tcBorders>
              <w:left w:val="nil"/>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General</w:t>
            </w:r>
            <w:r w:rsidRPr="006A75A2">
              <w:rPr>
                <w:rFonts w:eastAsiaTheme="minorEastAsia"/>
                <w:sz w:val="20"/>
                <w:szCs w:val="20"/>
                <w:lang w:eastAsia="en-AU"/>
              </w:rPr>
              <w:br/>
              <w:t>government sector</w:t>
            </w:r>
          </w:p>
        </w:tc>
      </w:tr>
      <w:tr w:rsidR="004E6C32" w:rsidRPr="006A75A2" w:rsidTr="00D76647">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8 595.6</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8 423.1</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8 595.6</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8 423.1</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9 587.6</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9 081.6</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9 572.2</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9 066.0</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(623.0)</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(2 284.7)</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(622.7)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(2 284.4)</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8 595.6</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8 423.1</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8 595.6</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8 423.1</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8 964.5</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6 797.0</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8 949.5</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6 781.6</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187.5</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216.1</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187.5</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216.1</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1 320.5</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1 154.2</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1 320.5</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1 154.2</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7 547.6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7 784.5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7 547.6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7 784.5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2 264.7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1 967.1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2 259.5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1 963.2</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7 547.6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7 784.5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7 547.6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7 784.5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2 264.7</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1 967.1</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2 259.5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1 963.2</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16 330.6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16 423.7</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16 330.6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16 423.7</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12 549.7</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9 918.3</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12 529.4</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9 899.1</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3E39D9" w:rsidRPr="006A75A2" w:rsidTr="00AD1FBF">
        <w:tc>
          <w:tcPr>
            <w:tcW w:w="4820" w:type="dxa"/>
            <w:gridSpan w:val="4"/>
            <w:tcBorders>
              <w:top w:val="single" w:sz="6" w:space="0" w:color="auto"/>
              <w:left w:val="single" w:sz="6" w:space="0" w:color="auto"/>
              <w:right w:val="nil"/>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Transportation and Communication</w:t>
            </w:r>
          </w:p>
        </w:tc>
        <w:tc>
          <w:tcPr>
            <w:tcW w:w="4820" w:type="dxa"/>
            <w:gridSpan w:val="4"/>
            <w:tcBorders>
              <w:top w:val="single" w:sz="6" w:space="0" w:color="auto"/>
              <w:left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 xml:space="preserve">Public Safety and Environment </w:t>
            </w:r>
          </w:p>
        </w:tc>
      </w:tr>
      <w:tr w:rsidR="003E39D9" w:rsidRPr="006A75A2" w:rsidTr="00AD1FBF">
        <w:tc>
          <w:tcPr>
            <w:tcW w:w="2410" w:type="dxa"/>
            <w:gridSpan w:val="2"/>
            <w:tcBorders>
              <w:left w:val="single" w:sz="6" w:space="0" w:color="auto"/>
              <w:bottom w:val="nil"/>
              <w:right w:val="nil"/>
            </w:tcBorders>
            <w:shd w:val="clear" w:color="000000" w:fill="000000"/>
          </w:tcPr>
          <w:p w:rsidR="003E39D9" w:rsidRPr="006A75A2" w:rsidRDefault="003E39D9" w:rsidP="003E39D9">
            <w:pPr>
              <w:pStyle w:val="Tabletext"/>
              <w:jc w:val="center"/>
              <w:rPr>
                <w:rFonts w:eastAsiaTheme="minorEastAsia"/>
                <w:i/>
                <w:sz w:val="20"/>
                <w:szCs w:val="20"/>
                <w:lang w:eastAsia="en-AU"/>
              </w:rPr>
            </w:pPr>
          </w:p>
          <w:p w:rsidR="003E39D9" w:rsidRPr="006A75A2" w:rsidRDefault="003E39D9" w:rsidP="003E39D9">
            <w:pPr>
              <w:pStyle w:val="Tabletext"/>
              <w:jc w:val="center"/>
              <w:rPr>
                <w:rFonts w:eastAsiaTheme="minorEastAsia"/>
                <w:sz w:val="20"/>
                <w:szCs w:val="20"/>
                <w:lang w:eastAsia="en-AU"/>
              </w:rPr>
            </w:pPr>
            <w:r w:rsidRPr="006A75A2">
              <w:rPr>
                <w:rFonts w:eastAsiaTheme="minorEastAsia"/>
                <w:i/>
                <w:sz w:val="20"/>
                <w:szCs w:val="20"/>
                <w:lang w:eastAsia="en-AU"/>
              </w:rPr>
              <w:t>State of Victoria</w:t>
            </w:r>
          </w:p>
        </w:tc>
        <w:tc>
          <w:tcPr>
            <w:tcW w:w="2410" w:type="dxa"/>
            <w:gridSpan w:val="2"/>
            <w:tcBorders>
              <w:left w:val="nil"/>
              <w:bottom w:val="nil"/>
              <w:right w:val="nil"/>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c>
          <w:tcPr>
            <w:tcW w:w="2410" w:type="dxa"/>
            <w:gridSpan w:val="2"/>
            <w:tcBorders>
              <w:left w:val="nil"/>
              <w:bottom w:val="nil"/>
              <w:right w:val="nil"/>
            </w:tcBorders>
            <w:shd w:val="clear" w:color="000000" w:fill="000000"/>
          </w:tcPr>
          <w:p w:rsidR="003E39D9" w:rsidRPr="006A75A2" w:rsidRDefault="003E39D9" w:rsidP="004B5CB1">
            <w:pPr>
              <w:pStyle w:val="TabletextheadingCentred"/>
              <w:rPr>
                <w:rFonts w:eastAsiaTheme="minorEastAsia"/>
                <w:sz w:val="20"/>
                <w:szCs w:val="20"/>
                <w:lang w:eastAsia="en-AU"/>
              </w:rPr>
            </w:pPr>
          </w:p>
          <w:p w:rsidR="003E39D9" w:rsidRPr="006A75A2" w:rsidRDefault="003E39D9"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single" w:sz="6" w:space="0" w:color="auto"/>
            </w:tcBorders>
            <w:shd w:val="clear" w:color="000000" w:fill="000000"/>
          </w:tcPr>
          <w:p w:rsidR="003E39D9" w:rsidRPr="006A75A2" w:rsidRDefault="003E39D9" w:rsidP="003E39D9">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4 869.3</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4 926.2</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537.9</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538.4</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7 783.0</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7 122.3</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5 869.1</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5 267.8</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(301.2)</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(197.3)</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(30.1)</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(17.3)</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(748.0)</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(540.4)</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(469.1)</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(317.0)</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4 568.1</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4 728.9</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507.8</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521.1</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7 035.0</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6 581.9</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5 400.1</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4 950.8</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31.9</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42.6</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29.2</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39.8</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828.8</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849.5</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823.9</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842.6</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21 308.1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21 315.1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17 476.5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17 473.9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10 740.4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10 698.8</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7 701.1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7 612.0</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1 685.5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1 685.5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1 685.5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1 685.5</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21 308.1</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21 315.1</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17 476.5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17 473.9</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12 425.9</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12 384.3</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9 386.6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9 297.5</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25 908.1</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26 086.6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18 013.6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18 034.9</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20 289.8</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19 815.7</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15 610.5</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15 090.9</w:t>
            </w:r>
          </w:p>
        </w:tc>
      </w:tr>
    </w:tbl>
    <w:p w:rsidR="004E6C32" w:rsidRPr="006A75A2" w:rsidRDefault="004E6C32">
      <w:pPr>
        <w:spacing w:after="0"/>
      </w:pPr>
    </w:p>
    <w:p w:rsidR="004E6C32" w:rsidRPr="006A75A2" w:rsidRDefault="004E6C32">
      <w:pPr>
        <w:spacing w:after="0"/>
      </w:pPr>
    </w:p>
    <w:p w:rsidR="004E6C32" w:rsidRPr="006A75A2" w:rsidRDefault="004E6C32">
      <w:pPr>
        <w:spacing w:after="0"/>
      </w:pPr>
    </w:p>
    <w:p w:rsidR="004E6C32" w:rsidRPr="006A75A2" w:rsidRDefault="004E6C32">
      <w:pPr>
        <w:spacing w:after="0"/>
      </w:pPr>
    </w:p>
    <w:p w:rsidR="004E6C32" w:rsidRPr="006A75A2" w:rsidRDefault="004E6C32">
      <w:pPr>
        <w:spacing w:after="0"/>
      </w:pPr>
    </w:p>
    <w:p w:rsidR="004E6C32" w:rsidRPr="006A75A2" w:rsidRDefault="004E6C32">
      <w:pPr>
        <w:spacing w:after="0"/>
      </w:pPr>
    </w:p>
    <w:p w:rsidR="004E6C32" w:rsidRPr="006A75A2" w:rsidRDefault="004E6C32">
      <w:pPr>
        <w:spacing w:after="0"/>
      </w:pPr>
      <w:r w:rsidRPr="006A75A2">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Land, buildings, infrastructure, plant and equipment</w:t>
      </w:r>
      <w:r w:rsidRPr="006A75A2">
        <w:rPr>
          <w:bCs/>
          <w:i/>
          <w:iCs/>
          <w:kern w:val="0"/>
        </w:rPr>
        <w:t xml:space="preserve"> (continued)</w:t>
      </w:r>
    </w:p>
    <w:p w:rsidR="004E6C32" w:rsidRPr="006A75A2" w:rsidRDefault="004E6C32" w:rsidP="0067336F">
      <w:pPr>
        <w:pStyle w:val="Heading5"/>
      </w:pPr>
      <w:r w:rsidRPr="006A75A2">
        <w:t>(c)</w:t>
      </w:r>
      <w:r w:rsidRPr="006A75A2">
        <w:tab/>
        <w:t>Plant, equipment and vehicles, and infrastructure systems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244"/>
        <w:gridCol w:w="876"/>
        <w:gridCol w:w="1120"/>
        <w:gridCol w:w="1120"/>
        <w:gridCol w:w="1120"/>
      </w:tblGrid>
      <w:tr w:rsidR="00B546EF" w:rsidRPr="006A75A2" w:rsidTr="00AD1FBF">
        <w:tc>
          <w:tcPr>
            <w:tcW w:w="5160" w:type="dxa"/>
            <w:tcBorders>
              <w:top w:val="single" w:sz="6" w:space="0" w:color="auto"/>
              <w:left w:val="single" w:sz="6" w:space="0" w:color="auto"/>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5"/>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Public Administration</w:t>
            </w:r>
          </w:p>
        </w:tc>
      </w:tr>
      <w:tr w:rsidR="00B546EF" w:rsidRPr="006A75A2" w:rsidTr="00AD1FBF">
        <w:tc>
          <w:tcPr>
            <w:tcW w:w="5160" w:type="dxa"/>
            <w:tcBorders>
              <w:left w:val="single" w:sz="6" w:space="0" w:color="auto"/>
              <w:bottom w:val="nil"/>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3"/>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General</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gridSpan w:val="2"/>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Infrastructure systems</w:t>
            </w:r>
          </w:p>
        </w:tc>
        <w:tc>
          <w:tcPr>
            <w:tcW w:w="1120"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97.4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84.5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75.9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75.7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(4.3)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(3.0)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Leased infrastructure systems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Infrastructure systems (written down value)</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93.1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81.5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73.6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74.6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Plant, equipment and vehicles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815.8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693.7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406.8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409.2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(348.9)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(287.5)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(204.5)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(174.0)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Leased plant, equipment and vehicles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Plant, equipment and vehicles (written down value)</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466.9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406.2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202.3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235.2</w:t>
            </w:r>
          </w:p>
        </w:tc>
      </w:tr>
      <w:tr w:rsidR="004E6C32" w:rsidRPr="006A75A2" w:rsidTr="004B5CB1">
        <w:tc>
          <w:tcPr>
            <w:tcW w:w="5404"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plant, equipment and vehicles, and infrastructure systems</w:t>
            </w:r>
          </w:p>
        </w:tc>
        <w:tc>
          <w:tcPr>
            <w:tcW w:w="8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560.0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487.7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275.9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309.8</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244"/>
        <w:gridCol w:w="876"/>
        <w:gridCol w:w="1120"/>
        <w:gridCol w:w="1120"/>
        <w:gridCol w:w="1120"/>
      </w:tblGrid>
      <w:tr w:rsidR="00B546EF" w:rsidRPr="006A75A2" w:rsidTr="00AD1FBF">
        <w:tc>
          <w:tcPr>
            <w:tcW w:w="5160" w:type="dxa"/>
            <w:tcBorders>
              <w:top w:val="single" w:sz="6" w:space="0" w:color="auto"/>
              <w:left w:val="single" w:sz="6" w:space="0" w:color="auto"/>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5"/>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Community Housing</w:t>
            </w:r>
          </w:p>
        </w:tc>
      </w:tr>
      <w:tr w:rsidR="00B546EF" w:rsidRPr="006A75A2" w:rsidTr="00AD1FBF">
        <w:tc>
          <w:tcPr>
            <w:tcW w:w="5160" w:type="dxa"/>
            <w:tcBorders>
              <w:left w:val="single" w:sz="6" w:space="0" w:color="auto"/>
              <w:bottom w:val="nil"/>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3"/>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gridSpan w:val="2"/>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Infrastructure systems</w:t>
            </w:r>
            <w:r w:rsidRPr="006A75A2">
              <w:rPr>
                <w:rFonts w:eastAsiaTheme="minorEastAsia"/>
                <w:sz w:val="20"/>
                <w:szCs w:val="20"/>
                <w:vertAlign w:val="superscript"/>
                <w:lang w:eastAsia="en-AU"/>
              </w:rPr>
              <w:t xml:space="preserve"> </w:t>
            </w:r>
          </w:p>
        </w:tc>
        <w:tc>
          <w:tcPr>
            <w:tcW w:w="1120"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Accumulated depreciation </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Leased infrastructure systems</w:t>
            </w:r>
            <w:r w:rsidRPr="006A75A2">
              <w:rPr>
                <w:rFonts w:eastAsiaTheme="minorEastAsia"/>
                <w:sz w:val="20"/>
                <w:szCs w:val="20"/>
                <w:vertAlign w:val="superscript"/>
                <w:lang w:eastAsia="en-AU"/>
              </w:rPr>
              <w:t xml:space="preserve"> </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Infrastructure systems (written down value)</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Plant, equipment and vehicles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(7.6)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Leased plant, equipment and vehicles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Plant, equipment and vehicles (written down value)</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0.7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0.5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r w:rsidR="004E6C32" w:rsidRPr="006A75A2" w:rsidTr="004B5CB1">
        <w:tc>
          <w:tcPr>
            <w:tcW w:w="5404"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plant, equipment and vehicles, and infrastructure systems</w:t>
            </w:r>
          </w:p>
        </w:tc>
        <w:tc>
          <w:tcPr>
            <w:tcW w:w="8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0.7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0.5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244"/>
        <w:gridCol w:w="876"/>
        <w:gridCol w:w="1120"/>
        <w:gridCol w:w="1120"/>
        <w:gridCol w:w="1120"/>
      </w:tblGrid>
      <w:tr w:rsidR="00B546EF" w:rsidRPr="006A75A2" w:rsidTr="00AD1FBF">
        <w:tc>
          <w:tcPr>
            <w:tcW w:w="5160" w:type="dxa"/>
            <w:tcBorders>
              <w:top w:val="single" w:sz="6" w:space="0" w:color="auto"/>
              <w:left w:val="single" w:sz="6" w:space="0" w:color="auto"/>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5"/>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Total</w:t>
            </w:r>
          </w:p>
        </w:tc>
      </w:tr>
      <w:tr w:rsidR="00B546EF" w:rsidRPr="006A75A2" w:rsidTr="00AD1FBF">
        <w:tc>
          <w:tcPr>
            <w:tcW w:w="5160" w:type="dxa"/>
            <w:tcBorders>
              <w:left w:val="single" w:sz="6" w:space="0" w:color="auto"/>
              <w:bottom w:val="nil"/>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3"/>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gridSpan w:val="2"/>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Infrastructure systems</w:t>
            </w:r>
            <w:r w:rsidRPr="006A75A2">
              <w:rPr>
                <w:rFonts w:eastAsiaTheme="minorEastAsia"/>
                <w:sz w:val="20"/>
                <w:szCs w:val="20"/>
                <w:vertAlign w:val="superscript"/>
                <w:lang w:eastAsia="en-AU"/>
              </w:rPr>
              <w:t xml:space="preserve"> </w:t>
            </w:r>
          </w:p>
        </w:tc>
        <w:tc>
          <w:tcPr>
            <w:tcW w:w="1120"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54 230.3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51 146.6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1 716.2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1 699.4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Accumulated depreciation </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(4 550.1)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(3 521.0)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(468.4)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(427.2)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Leased infrastructure systems</w:t>
            </w:r>
            <w:r w:rsidRPr="006A75A2">
              <w:rPr>
                <w:rFonts w:eastAsiaTheme="minorEastAsia"/>
                <w:sz w:val="20"/>
                <w:szCs w:val="20"/>
                <w:vertAlign w:val="superscript"/>
                <w:lang w:eastAsia="en-AU"/>
              </w:rPr>
              <w:t xml:space="preserve"> </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4 799.4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4 809.1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(165.6)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(82.8)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Infrastructure systems (written down value)</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54 314.0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52 351.8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1 247.8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1 272.1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Plant, equipment and vehicles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11 208.8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10 968.9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5 883.3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5 991.0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(4 527.4)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(4 001.5)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(3 498.0)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(3 194.2)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Leased plant, equipment and vehicles</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1 450.4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1 345.2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405.8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300.6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(301.2)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(242.7)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(201.2)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(176.1)</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Plant, equipment and vehicles (written down value)</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7 830.7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8 070.0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2 589.9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2 921.3</w:t>
            </w:r>
          </w:p>
        </w:tc>
      </w:tr>
      <w:tr w:rsidR="004E6C32" w:rsidRPr="006A75A2" w:rsidTr="004B5CB1">
        <w:tc>
          <w:tcPr>
            <w:tcW w:w="5404"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plant, equipment and vehicles, and infrastructure systems</w:t>
            </w:r>
          </w:p>
        </w:tc>
        <w:tc>
          <w:tcPr>
            <w:tcW w:w="8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62 144.6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60 421.9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3 837.7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4 193.5</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June 2013 figures have been restated due to a reclassification of non-financial assets from </w:t>
      </w:r>
      <w:r w:rsidR="00C96101" w:rsidRPr="006A75A2">
        <w:t>‘</w:t>
      </w:r>
      <w:r w:rsidRPr="006A75A2">
        <w:t>plant, equipment and vehicles, and infrastructure systems</w:t>
      </w:r>
      <w:r w:rsidR="00C96101" w:rsidRPr="006A75A2">
        <w:t>’</w:t>
      </w:r>
      <w:r w:rsidRPr="006A75A2">
        <w:t xml:space="preserve"> to </w:t>
      </w:r>
      <w:r w:rsidR="00C96101" w:rsidRPr="006A75A2">
        <w:t>‘</w:t>
      </w:r>
      <w:r w:rsidRPr="006A75A2">
        <w:t>roads, road infrastructure and earthworks</w:t>
      </w:r>
      <w:r w:rsidR="00C96101" w:rsidRPr="006A75A2">
        <w:t>’</w:t>
      </w:r>
      <w:r w:rsidRPr="006A75A2">
        <w:t>.</w:t>
      </w:r>
    </w:p>
    <w:p w:rsidR="004E6C32" w:rsidRPr="006A75A2" w:rsidRDefault="004E6C32" w:rsidP="004B5CB1">
      <w:pPr>
        <w:pStyle w:val="Heading2Notes"/>
        <w:rPr>
          <w:kern w:val="0"/>
        </w:rPr>
      </w:pPr>
    </w:p>
    <w:p w:rsidR="004E6C32" w:rsidRPr="006A75A2" w:rsidRDefault="004E6C32" w:rsidP="0067336F">
      <w:pPr>
        <w:pStyle w:val="Heading5"/>
      </w:pPr>
    </w:p>
    <w:p w:rsidR="004E6C32" w:rsidRPr="006A75A2" w:rsidRDefault="004E6C32" w:rsidP="004B5CB1">
      <w:pPr>
        <w:pStyle w:val="million"/>
        <w:rPr>
          <w:rFonts w:ascii="Times New Roman" w:hAnsi="Times New Roman"/>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B546EF" w:rsidRPr="006A75A2" w:rsidTr="00AD1FBF">
        <w:tc>
          <w:tcPr>
            <w:tcW w:w="4820" w:type="dxa"/>
            <w:gridSpan w:val="4"/>
            <w:tcBorders>
              <w:top w:val="single" w:sz="6" w:space="0" w:color="auto"/>
              <w:left w:val="single" w:sz="6" w:space="0" w:color="auto"/>
              <w:right w:val="nil"/>
            </w:tcBorders>
            <w:shd w:val="clear" w:color="000000" w:fill="000000"/>
          </w:tcPr>
          <w:p w:rsidR="00B546EF" w:rsidRPr="006A75A2" w:rsidRDefault="00B546EF" w:rsidP="00B546EF">
            <w:pPr>
              <w:pStyle w:val="TabletextheadingCentred"/>
              <w:rPr>
                <w:sz w:val="20"/>
                <w:szCs w:val="20"/>
              </w:rPr>
            </w:pPr>
            <w:r w:rsidRPr="006A75A2">
              <w:rPr>
                <w:sz w:val="20"/>
                <w:szCs w:val="20"/>
              </w:rPr>
              <w:t xml:space="preserve">Education </w:t>
            </w:r>
          </w:p>
        </w:tc>
        <w:tc>
          <w:tcPr>
            <w:tcW w:w="482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sz w:val="20"/>
                <w:szCs w:val="20"/>
              </w:rPr>
              <w:t>Health and Welfare</w:t>
            </w:r>
            <w:r w:rsidRPr="006A75A2">
              <w:rPr>
                <w:rFonts w:eastAsiaTheme="minorEastAsia"/>
                <w:sz w:val="20"/>
                <w:szCs w:val="20"/>
                <w:lang w:eastAsia="en-AU"/>
              </w:rPr>
              <w:t xml:space="preserve"> </w:t>
            </w:r>
          </w:p>
        </w:tc>
      </w:tr>
      <w:tr w:rsidR="00B546EF" w:rsidRPr="006A75A2" w:rsidTr="00AD1FBF">
        <w:tc>
          <w:tcPr>
            <w:tcW w:w="2410" w:type="dxa"/>
            <w:gridSpan w:val="2"/>
            <w:tcBorders>
              <w:left w:val="single" w:sz="6" w:space="0" w:color="auto"/>
              <w:bottom w:val="nil"/>
              <w:right w:val="nil"/>
            </w:tcBorders>
            <w:shd w:val="clear" w:color="000000" w:fill="000000"/>
          </w:tcPr>
          <w:p w:rsidR="00B546EF" w:rsidRPr="006A75A2" w:rsidRDefault="00B546EF" w:rsidP="004B5CB1">
            <w:pPr>
              <w:pStyle w:val="TabletextheadingCentred"/>
              <w:rPr>
                <w:sz w:val="20"/>
                <w:szCs w:val="20"/>
              </w:rPr>
            </w:pPr>
          </w:p>
          <w:p w:rsidR="00B546EF" w:rsidRPr="006A75A2" w:rsidRDefault="00B546EF" w:rsidP="004B5CB1">
            <w:pPr>
              <w:pStyle w:val="TabletextheadingCentred"/>
              <w:rPr>
                <w:sz w:val="20"/>
                <w:szCs w:val="20"/>
              </w:rPr>
            </w:pPr>
            <w:r w:rsidRPr="006A75A2">
              <w:rPr>
                <w:sz w:val="20"/>
                <w:szCs w:val="20"/>
              </w:rPr>
              <w:t>State of Victoria</w:t>
            </w:r>
          </w:p>
        </w:tc>
        <w:tc>
          <w:tcPr>
            <w:tcW w:w="2410" w:type="dxa"/>
            <w:gridSpan w:val="2"/>
            <w:tcBorders>
              <w:left w:val="nil"/>
              <w:bottom w:val="nil"/>
              <w:right w:val="nil"/>
            </w:tcBorders>
            <w:shd w:val="clear" w:color="000000" w:fill="000000"/>
          </w:tcPr>
          <w:p w:rsidR="00B546EF" w:rsidRPr="006A75A2" w:rsidRDefault="00B546EF" w:rsidP="00B546EF">
            <w:pPr>
              <w:pStyle w:val="TabletextheadingCentred"/>
              <w:rPr>
                <w:sz w:val="20"/>
                <w:szCs w:val="20"/>
              </w:rPr>
            </w:pPr>
            <w:r w:rsidRPr="006A75A2">
              <w:rPr>
                <w:sz w:val="20"/>
                <w:szCs w:val="20"/>
              </w:rPr>
              <w:t xml:space="preserve">General </w:t>
            </w:r>
            <w:r w:rsidRPr="006A75A2">
              <w:rPr>
                <w:sz w:val="20"/>
                <w:szCs w:val="20"/>
              </w:rPr>
              <w:br/>
              <w:t>government sector</w:t>
            </w:r>
          </w:p>
        </w:tc>
        <w:tc>
          <w:tcPr>
            <w:tcW w:w="2410" w:type="dxa"/>
            <w:gridSpan w:val="2"/>
            <w:tcBorders>
              <w:left w:val="nil"/>
              <w:bottom w:val="nil"/>
              <w:right w:val="nil"/>
            </w:tcBorders>
            <w:shd w:val="clear" w:color="000000" w:fill="000000"/>
          </w:tcPr>
          <w:p w:rsidR="00B546EF" w:rsidRPr="006A75A2" w:rsidRDefault="00B546EF" w:rsidP="004B5CB1">
            <w:pPr>
              <w:pStyle w:val="TabletextheadingCentred"/>
              <w:rPr>
                <w:sz w:val="20"/>
                <w:szCs w:val="20"/>
              </w:rPr>
            </w:pPr>
          </w:p>
          <w:p w:rsidR="00B546EF" w:rsidRPr="006A75A2" w:rsidRDefault="00B546EF" w:rsidP="004B5CB1">
            <w:pPr>
              <w:pStyle w:val="TabletextheadingCentred"/>
              <w:rPr>
                <w:sz w:val="20"/>
                <w:szCs w:val="20"/>
              </w:rPr>
            </w:pPr>
            <w:r w:rsidRPr="006A75A2">
              <w:rPr>
                <w:sz w:val="20"/>
                <w:szCs w:val="20"/>
              </w:rPr>
              <w:t>State of Victoria</w:t>
            </w:r>
          </w:p>
        </w:tc>
        <w:tc>
          <w:tcPr>
            <w:tcW w:w="241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sz w:val="20"/>
                <w:szCs w:val="20"/>
              </w:rPr>
            </w:pPr>
            <w:r w:rsidRPr="006A75A2">
              <w:rPr>
                <w:sz w:val="20"/>
                <w:szCs w:val="20"/>
              </w:rPr>
              <w:t xml:space="preserve">General </w:t>
            </w:r>
            <w:r w:rsidRPr="006A75A2">
              <w:rPr>
                <w:sz w:val="20"/>
                <w:szCs w:val="20"/>
              </w:rPr>
              <w:br/>
              <w:t>government sector</w:t>
            </w:r>
          </w:p>
        </w:tc>
      </w:tr>
      <w:tr w:rsidR="004E6C32" w:rsidRPr="006A75A2" w:rsidTr="004B5CB1">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1 123.3</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1 414.0</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1 123.3</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1 414.0</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2 503.0</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2 308.7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2 502.6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2 308.1</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(825.8)</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(782.8)</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(825.8)</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(782.8)</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(1 559.8)</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(1 377.2)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(1 559.5)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(1 376.8)</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96.1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118.4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96.1</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118.4</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(25.7)</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(29.0)</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(25.7)</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(29.0)</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297.6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631.2</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297.6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631.2</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1 013.6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1 020.9</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1 013.6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1 020.9</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297.6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631.2</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297.6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631.2</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1 013.6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1 020.9</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1 013.6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1 020.9</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B546EF" w:rsidRPr="006A75A2" w:rsidTr="00AD1FBF">
        <w:tc>
          <w:tcPr>
            <w:tcW w:w="4820" w:type="dxa"/>
            <w:gridSpan w:val="4"/>
            <w:tcBorders>
              <w:top w:val="single" w:sz="6" w:space="0" w:color="auto"/>
              <w:left w:val="single" w:sz="6" w:space="0" w:color="auto"/>
              <w:right w:val="nil"/>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Transportation and Communication</w:t>
            </w:r>
          </w:p>
        </w:tc>
        <w:tc>
          <w:tcPr>
            <w:tcW w:w="482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Public Safety and Environment</w:t>
            </w:r>
          </w:p>
        </w:tc>
      </w:tr>
      <w:tr w:rsidR="00B546EF" w:rsidRPr="006A75A2" w:rsidTr="00AD1FBF">
        <w:tc>
          <w:tcPr>
            <w:tcW w:w="2410" w:type="dxa"/>
            <w:gridSpan w:val="2"/>
            <w:tcBorders>
              <w:left w:val="single" w:sz="6" w:space="0" w:color="auto"/>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nil"/>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c>
          <w:tcPr>
            <w:tcW w:w="241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16 915.6</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14 992.2</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366.4</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384.2</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37 217.3</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36 069.9</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1 274.0</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1 239.4</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(1 123.4)</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(743.6)</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(29.6)</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(14.0)</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(3 422.4)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(2 774.4)</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(436.5)</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(412.1)</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4 792.7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4 802.4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(3.9)</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(3.3)</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(161.7)</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(79.5)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15 795.0</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14 252.0</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336.7</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370.2</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38 425.9</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38 018.4</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837.4</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827.4</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4 293.9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4 230.3</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83.9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184.7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2 464.5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2 314.2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1 766.7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1 674.9</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(522.0)</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(355.6)</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(45.4)</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(41.5)</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(1 263.3)</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(1 190.8)</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(862.8)</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(819.0)</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1 156.6</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1 044.4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112.2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197.7</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182.4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197.4</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182.1</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(108.1)</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(66.6)</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(8.2)</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(167.4)</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(147.2)</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(167.4)</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0"/>
                <w:szCs w:val="20"/>
                <w:lang w:eastAsia="en-AU"/>
              </w:rPr>
              <w:t>(147.1)</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4 820.4</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4 852.6</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142.5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143.2</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b/>
                <w:bCs/>
                <w:sz w:val="21"/>
                <w:szCs w:val="21"/>
                <w:lang w:eastAsia="en-AU"/>
              </w:rPr>
            </w:pPr>
            <w:r w:rsidRPr="006A75A2">
              <w:rPr>
                <w:rFonts w:eastAsiaTheme="minorEastAsia"/>
                <w:b/>
                <w:bCs/>
                <w:sz w:val="20"/>
                <w:szCs w:val="20"/>
                <w:lang w:eastAsia="en-AU"/>
              </w:rPr>
              <w:t>1 231.5</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1 158.7</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934.0</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890.9</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20 615.4</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19 104.6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479.2</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513.4</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39 657.4</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39 177.1</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1 771.4</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1 718.2</w:t>
            </w:r>
          </w:p>
        </w:tc>
      </w:tr>
    </w:tbl>
    <w:p w:rsidR="004E6C32" w:rsidRPr="006A75A2" w:rsidRDefault="004E6C32">
      <w:pPr>
        <w:spacing w:after="0"/>
      </w:pPr>
    </w:p>
    <w:p w:rsidR="004E6C32" w:rsidRPr="006A75A2" w:rsidRDefault="004E6C32">
      <w:pPr>
        <w:spacing w:after="0"/>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bCs/>
          <w:i/>
          <w:iCs/>
          <w:kern w:val="0"/>
        </w:rPr>
        <w:t>(continued)</w:t>
      </w:r>
    </w:p>
    <w:p w:rsidR="004E6C32" w:rsidRPr="006A75A2" w:rsidRDefault="004E6C32" w:rsidP="0067336F">
      <w:pPr>
        <w:pStyle w:val="Heading5"/>
      </w:pPr>
      <w:r w:rsidRPr="006A75A2">
        <w:t>(d)</w:t>
      </w:r>
      <w:r w:rsidRPr="006A75A2">
        <w:tab/>
        <w:t>Roads, road infrastructure and earthworks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right w:val="nil"/>
            </w:tcBorders>
            <w:shd w:val="clear" w:color="000000" w:fill="000000"/>
          </w:tcPr>
          <w:p w:rsidR="00B546EF" w:rsidRPr="006A75A2" w:rsidRDefault="00B546EF" w:rsidP="004B5CB1">
            <w:pPr>
              <w:pStyle w:val="Tabletext"/>
              <w:rPr>
                <w:rFonts w:eastAsiaTheme="minorEastAsia"/>
                <w:sz w:val="20"/>
                <w:lang w:eastAsia="en-AU"/>
              </w:rPr>
            </w:pPr>
            <w:r w:rsidRPr="006A75A2">
              <w:rPr>
                <w:rFonts w:eastAsiaTheme="minorEastAsia"/>
                <w:sz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lang w:eastAsia="en-AU"/>
              </w:rPr>
            </w:pPr>
            <w:r w:rsidRPr="006A75A2">
              <w:rPr>
                <w:rFonts w:eastAsiaTheme="minorEastAsia"/>
                <w:sz w:val="20"/>
                <w:lang w:eastAsia="en-AU"/>
              </w:rPr>
              <w:t>Public Administration</w:t>
            </w:r>
          </w:p>
        </w:tc>
      </w:tr>
      <w:tr w:rsidR="00B546EF" w:rsidRPr="006A75A2" w:rsidTr="00AD1FBF">
        <w:tc>
          <w:tcPr>
            <w:tcW w:w="5160" w:type="dxa"/>
            <w:tcBorders>
              <w:left w:val="single" w:sz="6" w:space="0" w:color="auto"/>
              <w:bottom w:val="nil"/>
              <w:right w:val="nil"/>
            </w:tcBorders>
            <w:shd w:val="clear" w:color="000000" w:fill="000000"/>
          </w:tcPr>
          <w:p w:rsidR="00B546EF" w:rsidRPr="006A75A2" w:rsidRDefault="00B546EF" w:rsidP="004B5CB1">
            <w:pPr>
              <w:pStyle w:val="Tabletext"/>
              <w:rPr>
                <w:rFonts w:eastAsiaTheme="minorEastAsia"/>
                <w:sz w:val="20"/>
                <w:lang w:eastAsia="en-AU"/>
              </w:rPr>
            </w:pPr>
            <w:r w:rsidRPr="006A75A2">
              <w:rPr>
                <w:rFonts w:eastAsiaTheme="minorEastAsia"/>
                <w:sz w:val="20"/>
                <w:lang w:eastAsia="en-AU"/>
              </w:rPr>
              <w:t xml:space="preserve"> </w:t>
            </w:r>
          </w:p>
        </w:tc>
        <w:tc>
          <w:tcPr>
            <w:tcW w:w="224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lang w:eastAsia="en-AU"/>
              </w:rPr>
            </w:pPr>
          </w:p>
          <w:p w:rsidR="00B546EF" w:rsidRPr="006A75A2" w:rsidRDefault="00B546EF" w:rsidP="004B5CB1">
            <w:pPr>
              <w:pStyle w:val="TabletextheadingCentred"/>
              <w:rPr>
                <w:rFonts w:eastAsiaTheme="minorEastAsia"/>
                <w:sz w:val="20"/>
                <w:lang w:eastAsia="en-AU"/>
              </w:rPr>
            </w:pPr>
            <w:r w:rsidRPr="006A75A2">
              <w:rPr>
                <w:rFonts w:eastAsiaTheme="minorEastAsia"/>
                <w:sz w:val="20"/>
                <w:lang w:eastAsia="en-AU"/>
              </w:rPr>
              <w:t>State of Victoria</w:t>
            </w:r>
          </w:p>
        </w:tc>
        <w:tc>
          <w:tcPr>
            <w:tcW w:w="224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lang w:eastAsia="en-AU"/>
              </w:rPr>
            </w:pPr>
            <w:r w:rsidRPr="006A75A2">
              <w:rPr>
                <w:rFonts w:eastAsiaTheme="minorEastAsia"/>
                <w:sz w:val="20"/>
                <w:lang w:eastAsia="en-AU"/>
              </w:rPr>
              <w:t xml:space="preserve">General </w:t>
            </w:r>
            <w:r w:rsidRPr="006A75A2">
              <w:rPr>
                <w:rFonts w:eastAsiaTheme="minorEastAsia"/>
                <w:sz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pPr>
            <w:r w:rsidRPr="006A75A2">
              <w:rPr>
                <w:rFonts w:eastAsiaTheme="minorEastAsia"/>
                <w:sz w:val="20"/>
                <w:lang w:eastAsia="en-AU"/>
              </w:rPr>
              <w:t xml:space="preserve">Roads and roads infrastructure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25.9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25.9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Accumulated depreciation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lang w:eastAsia="en-AU"/>
              </w:rPr>
              <w:t>(3.9)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lang w:eastAsia="en-AU"/>
              </w:rPr>
              <w:t>(3.3)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Roads and roads infrastructure (written down value)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21.9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22.6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Earthworks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0.5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bCs/>
                <w:sz w:val="20"/>
                <w:lang w:eastAsia="en-AU"/>
              </w:rPr>
              <w:t>Total roads, road infrastructure and</w:t>
            </w:r>
            <w:r w:rsidRPr="006A75A2">
              <w:rPr>
                <w:rFonts w:eastAsiaTheme="minorEastAsia" w:cs="Calibri"/>
                <w:b/>
                <w:bCs/>
                <w:szCs w:val="22"/>
                <w:lang w:eastAsia="en-AU"/>
              </w:rPr>
              <w:t xml:space="preserve"> earthworks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21.9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23.0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right w:val="nil"/>
            </w:tcBorders>
            <w:shd w:val="clear" w:color="000000" w:fill="000000"/>
          </w:tcPr>
          <w:p w:rsidR="00B546EF" w:rsidRPr="006A75A2" w:rsidRDefault="00B546EF" w:rsidP="004B5CB1">
            <w:pPr>
              <w:pStyle w:val="Tabletext"/>
              <w:rPr>
                <w:rFonts w:eastAsiaTheme="minorEastAsia"/>
                <w:sz w:val="20"/>
                <w:lang w:eastAsia="en-AU"/>
              </w:rPr>
            </w:pPr>
            <w:r w:rsidRPr="006A75A2">
              <w:rPr>
                <w:rFonts w:eastAsiaTheme="minorEastAsia"/>
                <w:sz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lang w:eastAsia="en-AU"/>
              </w:rPr>
            </w:pPr>
            <w:r w:rsidRPr="006A75A2">
              <w:rPr>
                <w:rFonts w:eastAsiaTheme="minorEastAsia"/>
                <w:sz w:val="20"/>
                <w:lang w:eastAsia="en-AU"/>
              </w:rPr>
              <w:t xml:space="preserve">Community Housing </w:t>
            </w:r>
          </w:p>
        </w:tc>
      </w:tr>
      <w:tr w:rsidR="00B546EF" w:rsidRPr="006A75A2" w:rsidTr="00AD1FBF">
        <w:tc>
          <w:tcPr>
            <w:tcW w:w="5160" w:type="dxa"/>
            <w:tcBorders>
              <w:left w:val="single" w:sz="6" w:space="0" w:color="auto"/>
              <w:bottom w:val="nil"/>
              <w:right w:val="nil"/>
            </w:tcBorders>
            <w:shd w:val="clear" w:color="000000" w:fill="000000"/>
          </w:tcPr>
          <w:p w:rsidR="00B546EF" w:rsidRPr="006A75A2" w:rsidRDefault="00B546EF" w:rsidP="004B5CB1">
            <w:pPr>
              <w:pStyle w:val="Tabletext"/>
              <w:rPr>
                <w:rFonts w:eastAsiaTheme="minorEastAsia"/>
                <w:sz w:val="20"/>
                <w:lang w:eastAsia="en-AU"/>
              </w:rPr>
            </w:pPr>
            <w:r w:rsidRPr="006A75A2">
              <w:rPr>
                <w:rFonts w:eastAsiaTheme="minorEastAsia"/>
                <w:sz w:val="20"/>
                <w:lang w:eastAsia="en-AU"/>
              </w:rPr>
              <w:t xml:space="preserve"> </w:t>
            </w:r>
          </w:p>
        </w:tc>
        <w:tc>
          <w:tcPr>
            <w:tcW w:w="224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lang w:eastAsia="en-AU"/>
              </w:rPr>
            </w:pPr>
          </w:p>
          <w:p w:rsidR="00B546EF" w:rsidRPr="006A75A2" w:rsidRDefault="00B546EF" w:rsidP="004B5CB1">
            <w:pPr>
              <w:pStyle w:val="TabletextheadingCentred"/>
              <w:rPr>
                <w:rFonts w:eastAsiaTheme="minorEastAsia"/>
                <w:sz w:val="20"/>
                <w:lang w:eastAsia="en-AU"/>
              </w:rPr>
            </w:pPr>
            <w:r w:rsidRPr="006A75A2">
              <w:rPr>
                <w:rFonts w:eastAsiaTheme="minorEastAsia"/>
                <w:sz w:val="20"/>
                <w:lang w:eastAsia="en-AU"/>
              </w:rPr>
              <w:t>State of Victoria</w:t>
            </w:r>
          </w:p>
        </w:tc>
        <w:tc>
          <w:tcPr>
            <w:tcW w:w="224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lang w:eastAsia="en-AU"/>
              </w:rPr>
            </w:pPr>
            <w:r w:rsidRPr="006A75A2">
              <w:rPr>
                <w:rFonts w:eastAsiaTheme="minorEastAsia"/>
                <w:sz w:val="20"/>
                <w:lang w:eastAsia="en-AU"/>
              </w:rPr>
              <w:t xml:space="preserve">General </w:t>
            </w:r>
            <w:r w:rsidRPr="006A75A2">
              <w:rPr>
                <w:rFonts w:eastAsiaTheme="minorEastAsia"/>
                <w:sz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cs="Calibri"/>
                <w:szCs w:val="22"/>
                <w:vertAlign w:val="superscript"/>
                <w:lang w:eastAsia="en-AU"/>
              </w:rPr>
            </w:pPr>
            <w:r w:rsidRPr="006A75A2">
              <w:rPr>
                <w:rFonts w:eastAsiaTheme="minorEastAsia"/>
                <w:sz w:val="20"/>
                <w:lang w:eastAsia="en-AU"/>
              </w:rPr>
              <w:t>Roads and roads infrastructure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vertAlign w:val="superscript"/>
                <w:lang w:eastAsia="en-AU"/>
              </w:rPr>
            </w:pPr>
            <w:r w:rsidRPr="006A75A2">
              <w:rPr>
                <w:rFonts w:eastAsiaTheme="minorEastAsia"/>
                <w:sz w:val="20"/>
                <w:lang w:eastAsia="en-AU"/>
              </w:rPr>
              <w:t>Accumulated depreciation</w:t>
            </w:r>
            <w:r w:rsidRPr="006A75A2">
              <w:rPr>
                <w:rFonts w:eastAsiaTheme="minorEastAsia"/>
                <w:sz w:val="20"/>
                <w:vertAlign w:val="superscript"/>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 xml:space="preserve">Roads and roads infrastructure (written down value)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Earthworks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bCs/>
                <w:sz w:val="20"/>
                <w:lang w:eastAsia="en-AU"/>
              </w:rPr>
              <w:t>Total roads, road infrastructure and</w:t>
            </w:r>
            <w:r w:rsidRPr="006A75A2">
              <w:rPr>
                <w:rFonts w:eastAsiaTheme="minorEastAsia" w:cs="Calibri"/>
                <w:b/>
                <w:bCs/>
                <w:szCs w:val="22"/>
                <w:lang w:eastAsia="en-AU"/>
              </w:rPr>
              <w:t xml:space="preserve"> earthworks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Total </w:t>
            </w:r>
          </w:p>
        </w:tc>
      </w:tr>
      <w:tr w:rsidR="00B546EF" w:rsidRPr="006A75A2" w:rsidTr="00AD1FBF">
        <w:tc>
          <w:tcPr>
            <w:tcW w:w="5160" w:type="dxa"/>
            <w:tcBorders>
              <w:left w:val="single" w:sz="6" w:space="0" w:color="auto"/>
              <w:bottom w:val="nil"/>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cs="Calibri"/>
                <w:szCs w:val="22"/>
                <w:vertAlign w:val="superscript"/>
                <w:lang w:eastAsia="en-AU"/>
              </w:rPr>
            </w:pPr>
            <w:r w:rsidRPr="006A75A2">
              <w:rPr>
                <w:rFonts w:eastAsiaTheme="minorEastAsia"/>
                <w:sz w:val="20"/>
                <w:szCs w:val="20"/>
                <w:lang w:eastAsia="en-AU"/>
              </w:rPr>
              <w:t xml:space="preserve">Roads and roads infrastructure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37 970.1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37 340.8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37 890.9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37 264.1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Accumulated depreciation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(15 797.6)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(15 224.0)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(15 787.1)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(15 217.4)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 xml:space="preserve">Roads and roads infrastructure (written down value)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22 172.4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22 116.8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22 103.8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22 046.7</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Earthworks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7 685.2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7 639.2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7 685.2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7 638.8</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bCs/>
                <w:sz w:val="20"/>
                <w:szCs w:val="20"/>
                <w:lang w:eastAsia="en-AU"/>
              </w:rPr>
              <w:t>Total roads, road infrastructure and</w:t>
            </w:r>
            <w:r w:rsidRPr="006A75A2">
              <w:rPr>
                <w:rFonts w:eastAsiaTheme="minorEastAsia" w:cs="Calibri"/>
                <w:b/>
                <w:bCs/>
                <w:szCs w:val="22"/>
                <w:lang w:eastAsia="en-AU"/>
              </w:rPr>
              <w:t xml:space="preserve"> earthworks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29 857.6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29 756.0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29 789.0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29 685.5</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June 2013 figures have been restated due to a reclassification of non-financial assets from </w:t>
      </w:r>
      <w:r w:rsidR="00C96101" w:rsidRPr="006A75A2">
        <w:t>‘</w:t>
      </w:r>
      <w:r w:rsidRPr="006A75A2">
        <w:t>plant, equipment and vehicles, and infrastructure systems</w:t>
      </w:r>
      <w:r w:rsidR="00C96101" w:rsidRPr="006A75A2">
        <w:t>’</w:t>
      </w:r>
      <w:r w:rsidRPr="006A75A2">
        <w:t xml:space="preserve"> to </w:t>
      </w:r>
      <w:r w:rsidR="00C96101" w:rsidRPr="006A75A2">
        <w:t>‘</w:t>
      </w:r>
      <w:r w:rsidRPr="006A75A2">
        <w:t>roads, road infrastructure and earthworks</w:t>
      </w:r>
      <w:r w:rsidR="00C96101" w:rsidRPr="006A75A2">
        <w:t>’</w:t>
      </w:r>
      <w:r w:rsidRPr="006A75A2">
        <w:t>.</w:t>
      </w:r>
    </w:p>
    <w:p w:rsidR="004E6C32" w:rsidRPr="006A75A2" w:rsidRDefault="004E6C32">
      <w:pPr>
        <w:spacing w:after="0"/>
      </w:pPr>
    </w:p>
    <w:p w:rsidR="004E6C32" w:rsidRPr="006A75A2" w:rsidRDefault="004E6C32">
      <w:pPr>
        <w:spacing w:after="0"/>
      </w:pPr>
      <w:r w:rsidRPr="006A75A2">
        <w:br w:type="page"/>
      </w:r>
    </w:p>
    <w:p w:rsidR="004E6C32" w:rsidRPr="006A75A2" w:rsidRDefault="004E6C32" w:rsidP="004B5CB1">
      <w:pPr>
        <w:pStyle w:val="Heading2Notes"/>
        <w:rPr>
          <w:kern w:val="0"/>
        </w:rPr>
      </w:pPr>
    </w:p>
    <w:p w:rsidR="004E6C32" w:rsidRPr="006A75A2" w:rsidRDefault="004E6C32" w:rsidP="0067336F">
      <w:pPr>
        <w:pStyle w:val="Heading5"/>
      </w:pPr>
    </w:p>
    <w:p w:rsidR="004E6C32" w:rsidRPr="006A75A2" w:rsidRDefault="004E6C32" w:rsidP="004B5CB1">
      <w:pPr>
        <w:pStyle w:val="million"/>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B546EF" w:rsidRPr="006A75A2" w:rsidTr="00AD1FBF">
        <w:tc>
          <w:tcPr>
            <w:tcW w:w="4820" w:type="dxa"/>
            <w:gridSpan w:val="4"/>
            <w:tcBorders>
              <w:top w:val="single" w:sz="6" w:space="0" w:color="auto"/>
              <w:left w:val="single" w:sz="6" w:space="0" w:color="auto"/>
              <w:right w:val="nil"/>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Education</w:t>
            </w:r>
          </w:p>
        </w:tc>
        <w:tc>
          <w:tcPr>
            <w:tcW w:w="482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Health and Welfare</w:t>
            </w:r>
          </w:p>
        </w:tc>
      </w:tr>
      <w:tr w:rsidR="00B546EF" w:rsidRPr="006A75A2" w:rsidTr="00AD1FBF">
        <w:tc>
          <w:tcPr>
            <w:tcW w:w="2410" w:type="dxa"/>
            <w:gridSpan w:val="2"/>
            <w:tcBorders>
              <w:left w:val="single" w:sz="6" w:space="0" w:color="auto"/>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nil"/>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c>
          <w:tcPr>
            <w:tcW w:w="241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bl>
    <w:p w:rsidR="004E6C32" w:rsidRPr="006A75A2" w:rsidRDefault="004E6C32" w:rsidP="004B5CB1"/>
    <w:p w:rsidR="004E6C32" w:rsidRPr="006A75A2" w:rsidRDefault="004E6C32" w:rsidP="004B5CB1">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B546EF" w:rsidRPr="006A75A2" w:rsidTr="00AD1FBF">
        <w:tc>
          <w:tcPr>
            <w:tcW w:w="4820" w:type="dxa"/>
            <w:gridSpan w:val="4"/>
            <w:tcBorders>
              <w:top w:val="single" w:sz="6" w:space="0" w:color="auto"/>
              <w:left w:val="single" w:sz="6" w:space="0" w:color="auto"/>
              <w:right w:val="nil"/>
            </w:tcBorders>
            <w:shd w:val="clear" w:color="000000" w:fill="000000"/>
          </w:tcPr>
          <w:p w:rsidR="00B546EF" w:rsidRPr="006A75A2" w:rsidRDefault="00B546EF" w:rsidP="00B546EF">
            <w:pPr>
              <w:pStyle w:val="Tabletextheading"/>
              <w:jc w:val="center"/>
              <w:rPr>
                <w:rFonts w:eastAsiaTheme="minorEastAsia" w:cs="Calibri"/>
                <w:iCs/>
                <w:sz w:val="20"/>
                <w:szCs w:val="20"/>
                <w:lang w:eastAsia="en-AU"/>
              </w:rPr>
            </w:pPr>
            <w:r w:rsidRPr="006A75A2">
              <w:rPr>
                <w:rFonts w:eastAsiaTheme="minorEastAsia"/>
                <w:sz w:val="20"/>
                <w:szCs w:val="20"/>
                <w:lang w:eastAsia="en-AU"/>
              </w:rPr>
              <w:t>Transportation and Communication</w:t>
            </w:r>
          </w:p>
        </w:tc>
        <w:tc>
          <w:tcPr>
            <w:tcW w:w="482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
              <w:jc w:val="center"/>
              <w:rPr>
                <w:rFonts w:eastAsiaTheme="minorEastAsia"/>
                <w:sz w:val="20"/>
                <w:szCs w:val="20"/>
                <w:lang w:eastAsia="en-AU"/>
              </w:rPr>
            </w:pPr>
            <w:r w:rsidRPr="006A75A2">
              <w:rPr>
                <w:rFonts w:eastAsiaTheme="minorEastAsia"/>
                <w:sz w:val="20"/>
                <w:szCs w:val="20"/>
                <w:lang w:eastAsia="en-AU"/>
              </w:rPr>
              <w:t>Public Safety and Environment</w:t>
            </w:r>
          </w:p>
        </w:tc>
      </w:tr>
      <w:tr w:rsidR="00B546EF" w:rsidRPr="006A75A2" w:rsidTr="00AD1FBF">
        <w:tc>
          <w:tcPr>
            <w:tcW w:w="2410" w:type="dxa"/>
            <w:gridSpan w:val="2"/>
            <w:tcBorders>
              <w:left w:val="single" w:sz="6" w:space="0" w:color="auto"/>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nil"/>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c>
          <w:tcPr>
            <w:tcW w:w="241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r w:rsidRPr="006A75A2">
              <w:rPr>
                <w:rFonts w:eastAsiaTheme="minorEastAsia"/>
                <w:sz w:val="20"/>
                <w:szCs w:val="20"/>
                <w:vertAlign w:val="superscript"/>
                <w:lang w:eastAsia="en-AU"/>
              </w:rPr>
              <w:t>(a)</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36 845.8</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36 219.2</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36 845.8</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36 219.2</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1 098.4</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1 095.8</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1 045.1</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1 045.0</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(15 747.9)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(15 191.3)</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(15 747.9)</w:t>
            </w:r>
          </w:p>
        </w:tc>
        <w:tc>
          <w:tcPr>
            <w:tcW w:w="1205"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(15 191.3)</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(45.8)</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(29.4)</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(39.2)</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(26.1)</w:t>
            </w:r>
          </w:p>
        </w:tc>
      </w:tr>
      <w:tr w:rsidR="004E6C32" w:rsidRPr="006A75A2" w:rsidTr="004B5CB1">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21 097.9</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21 027.9</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21 097.9</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21 027.9</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1 052.6</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1 066.4</w:t>
            </w:r>
          </w:p>
        </w:tc>
        <w:tc>
          <w:tcPr>
            <w:tcW w:w="1205"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1 005.9</w:t>
            </w:r>
          </w:p>
        </w:tc>
        <w:tc>
          <w:tcPr>
            <w:tcW w:w="1205" w:type="dxa"/>
            <w:tcBorders>
              <w:top w:val="nil"/>
              <w:left w:val="nil"/>
              <w:bottom w:val="nil"/>
              <w:right w:val="nil"/>
            </w:tcBorders>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1 018.9</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7 685.2</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7 638.8</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7 685.2</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7 638.8</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28 783.1</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28 666.6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28 783.1</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28 666.6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1 052.6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1 066.4</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1 005.9</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1 018.9</w:t>
            </w:r>
          </w:p>
        </w:tc>
      </w:tr>
    </w:tbl>
    <w:p w:rsidR="004E6C32" w:rsidRPr="006A75A2" w:rsidRDefault="004E6C32">
      <w:pPr>
        <w:spacing w:after="0"/>
      </w:pPr>
    </w:p>
    <w:p w:rsidR="004E6C32" w:rsidRPr="006A75A2" w:rsidRDefault="004E6C32">
      <w:pPr>
        <w:spacing w:after="0"/>
      </w:pPr>
    </w:p>
    <w:p w:rsidR="004E6C32" w:rsidRPr="006A75A2" w:rsidRDefault="004E6C32">
      <w:pPr>
        <w:spacing w:after="0"/>
      </w:pPr>
    </w:p>
    <w:p w:rsidR="004E6C32" w:rsidRPr="006A75A2" w:rsidRDefault="004E6C32">
      <w:pPr>
        <w:spacing w:after="0"/>
      </w:pPr>
      <w:r w:rsidRPr="006A75A2">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4E6C32" w:rsidRPr="006A75A2" w:rsidRDefault="004E6C32" w:rsidP="0067336F">
      <w:pPr>
        <w:pStyle w:val="Heading5"/>
      </w:pPr>
      <w:r w:rsidRPr="006A75A2">
        <w:t xml:space="preserve">(e) </w:t>
      </w:r>
      <w:r w:rsidRPr="006A75A2">
        <w:tab/>
        <w:t>Cultural assets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Public Administration</w:t>
            </w:r>
          </w:p>
        </w:tc>
      </w:tr>
      <w:tr w:rsidR="00B546EF" w:rsidRPr="006A75A2" w:rsidTr="00AD1FBF">
        <w:tc>
          <w:tcPr>
            <w:tcW w:w="5160" w:type="dxa"/>
            <w:tcBorders>
              <w:left w:val="single" w:sz="6" w:space="0" w:color="auto"/>
              <w:bottom w:val="nil"/>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Cultural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346.6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212.3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346.6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212.3</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(23.4)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(11.6)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(23.4)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(11.6)</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 xml:space="preserve">Total cultural assets </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323.2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200.7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323.2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200.7</w:t>
            </w:r>
          </w:p>
        </w:tc>
      </w:tr>
    </w:tbl>
    <w:p w:rsidR="004E6C32" w:rsidRPr="006A75A2" w:rsidRDefault="004E6C32" w:rsidP="004B5CB1"/>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Community Housing</w:t>
            </w:r>
          </w:p>
        </w:tc>
      </w:tr>
      <w:tr w:rsidR="00B546EF" w:rsidRPr="006A75A2" w:rsidTr="00AD1FBF">
        <w:tc>
          <w:tcPr>
            <w:tcW w:w="5160" w:type="dxa"/>
            <w:tcBorders>
              <w:left w:val="single" w:sz="6" w:space="0" w:color="auto"/>
              <w:bottom w:val="nil"/>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Cultural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 xml:space="preserve">Total cultural assets </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w:t>
            </w:r>
          </w:p>
        </w:tc>
      </w:tr>
    </w:tbl>
    <w:p w:rsidR="004E6C32" w:rsidRPr="006A75A2" w:rsidRDefault="004E6C32" w:rsidP="004B5CB1"/>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48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Total</w:t>
            </w:r>
          </w:p>
        </w:tc>
      </w:tr>
      <w:tr w:rsidR="00B546EF" w:rsidRPr="006A75A2" w:rsidTr="00AD1FBF">
        <w:tc>
          <w:tcPr>
            <w:tcW w:w="5160" w:type="dxa"/>
            <w:tcBorders>
              <w:left w:val="single" w:sz="6" w:space="0" w:color="auto"/>
              <w:bottom w:val="nil"/>
              <w:right w:val="nil"/>
            </w:tcBorders>
            <w:shd w:val="clear" w:color="000000" w:fill="000000"/>
          </w:tcPr>
          <w:p w:rsidR="00B546EF" w:rsidRPr="006A75A2" w:rsidRDefault="00B546E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Cultural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5 666.0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5 625.2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5 610.8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5 569.8</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Accumulated depreciation</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(121.3)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(111.1)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(121.3)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(111.1)</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 xml:space="preserve">Total cultural assets </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5 544.6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5 514.1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5 489.5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5 458.7</w:t>
            </w:r>
          </w:p>
        </w:tc>
      </w:tr>
    </w:tbl>
    <w:p w:rsidR="004E6C32" w:rsidRPr="006A75A2" w:rsidRDefault="004E6C32">
      <w:pPr>
        <w:spacing w:after="0"/>
      </w:pPr>
    </w:p>
    <w:p w:rsidR="004E6C32" w:rsidRPr="006A75A2" w:rsidRDefault="004E6C32">
      <w:pPr>
        <w:spacing w:after="0"/>
      </w:pPr>
    </w:p>
    <w:p w:rsidR="004E6C32" w:rsidRPr="006A75A2" w:rsidRDefault="004E6C32">
      <w:pPr>
        <w:spacing w:after="0"/>
      </w:pPr>
      <w:r w:rsidRPr="006A75A2">
        <w:br w:type="page"/>
      </w:r>
    </w:p>
    <w:p w:rsidR="004E6C32" w:rsidRPr="006A75A2" w:rsidRDefault="004E6C32" w:rsidP="004B5CB1">
      <w:pPr>
        <w:pStyle w:val="Heading2Notes"/>
        <w:rPr>
          <w:kern w:val="0"/>
        </w:rPr>
      </w:pPr>
    </w:p>
    <w:p w:rsidR="004E6C32" w:rsidRPr="006A75A2" w:rsidRDefault="004E6C32" w:rsidP="0067336F">
      <w:pPr>
        <w:pStyle w:val="Heading5"/>
      </w:pPr>
    </w:p>
    <w:p w:rsidR="004E6C32" w:rsidRPr="006A75A2" w:rsidRDefault="004E6C32" w:rsidP="004B5CB1">
      <w:pPr>
        <w:pStyle w:val="million"/>
        <w:rPr>
          <w:rFonts w:ascii="Times New Roman" w:hAnsi="Times New Roman"/>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B546EF" w:rsidRPr="006A75A2" w:rsidTr="00AD1FBF">
        <w:tc>
          <w:tcPr>
            <w:tcW w:w="4820" w:type="dxa"/>
            <w:gridSpan w:val="4"/>
            <w:tcBorders>
              <w:top w:val="single" w:sz="6" w:space="0" w:color="auto"/>
              <w:left w:val="single" w:sz="6" w:space="0" w:color="auto"/>
              <w:right w:val="nil"/>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Education</w:t>
            </w:r>
          </w:p>
        </w:tc>
        <w:tc>
          <w:tcPr>
            <w:tcW w:w="482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Health and Welfare</w:t>
            </w:r>
          </w:p>
        </w:tc>
      </w:tr>
      <w:tr w:rsidR="00B546EF" w:rsidRPr="006A75A2" w:rsidTr="00AD1FBF">
        <w:tc>
          <w:tcPr>
            <w:tcW w:w="2410" w:type="dxa"/>
            <w:gridSpan w:val="2"/>
            <w:tcBorders>
              <w:left w:val="single" w:sz="6" w:space="0" w:color="auto"/>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nil"/>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c>
          <w:tcPr>
            <w:tcW w:w="241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19.3</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31.9</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19.3</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31.9</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5.3</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5.5</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5.3</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5.5</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(14.8)</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(22.4)</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(14.8)</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(22.4)</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4.5</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9.5</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4.5</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9.5</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5.3</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5.5</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5.3</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5.5</w:t>
            </w:r>
          </w:p>
        </w:tc>
      </w:tr>
    </w:tbl>
    <w:p w:rsidR="004E6C32" w:rsidRPr="006A75A2" w:rsidRDefault="004E6C32" w:rsidP="004B5CB1"/>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205"/>
        <w:gridCol w:w="1205"/>
        <w:gridCol w:w="1205"/>
        <w:gridCol w:w="1205"/>
        <w:gridCol w:w="1205"/>
        <w:gridCol w:w="1205"/>
        <w:gridCol w:w="1205"/>
        <w:gridCol w:w="1205"/>
      </w:tblGrid>
      <w:tr w:rsidR="00B546EF" w:rsidRPr="006A75A2" w:rsidTr="00AD1FBF">
        <w:tc>
          <w:tcPr>
            <w:tcW w:w="4820" w:type="dxa"/>
            <w:gridSpan w:val="4"/>
            <w:tcBorders>
              <w:top w:val="single" w:sz="6" w:space="0" w:color="auto"/>
              <w:left w:val="single" w:sz="6" w:space="0" w:color="auto"/>
              <w:right w:val="nil"/>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Transportation and Communication</w:t>
            </w:r>
          </w:p>
        </w:tc>
        <w:tc>
          <w:tcPr>
            <w:tcW w:w="4820" w:type="dxa"/>
            <w:gridSpan w:val="4"/>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Public Safety and Environment</w:t>
            </w:r>
          </w:p>
        </w:tc>
      </w:tr>
      <w:tr w:rsidR="00B546EF" w:rsidRPr="006A75A2" w:rsidTr="00AD1FBF">
        <w:tc>
          <w:tcPr>
            <w:tcW w:w="2410" w:type="dxa"/>
            <w:gridSpan w:val="2"/>
            <w:tcBorders>
              <w:left w:val="single" w:sz="6" w:space="0" w:color="auto"/>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nil"/>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c>
          <w:tcPr>
            <w:tcW w:w="2410" w:type="dxa"/>
            <w:gridSpan w:val="2"/>
            <w:tcBorders>
              <w:left w:val="nil"/>
              <w:bottom w:val="nil"/>
              <w:right w:val="nil"/>
            </w:tcBorders>
            <w:shd w:val="clear" w:color="000000" w:fill="000000"/>
          </w:tcPr>
          <w:p w:rsidR="00B546EF" w:rsidRPr="006A75A2" w:rsidRDefault="00B546EF" w:rsidP="004B5CB1">
            <w:pPr>
              <w:pStyle w:val="TabletextheadingCentred"/>
              <w:rPr>
                <w:rFonts w:eastAsiaTheme="minorEastAsia"/>
                <w:sz w:val="20"/>
                <w:szCs w:val="20"/>
                <w:lang w:eastAsia="en-AU"/>
              </w:rPr>
            </w:pPr>
          </w:p>
          <w:p w:rsidR="00B546EF" w:rsidRPr="006A75A2" w:rsidRDefault="00B546E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410" w:type="dxa"/>
            <w:gridSpan w:val="2"/>
            <w:tcBorders>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120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c>
          <w:tcPr>
            <w:tcW w:w="120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2014</w:t>
            </w:r>
          </w:p>
        </w:tc>
        <w:tc>
          <w:tcPr>
            <w:tcW w:w="1205"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r w:rsidRPr="006A75A2">
              <w:rPr>
                <w:rFonts w:eastAsiaTheme="minorEastAsia"/>
                <w:sz w:val="20"/>
                <w:szCs w:val="20"/>
                <w:lang w:eastAsia="en-AU"/>
              </w:rPr>
              <w:t>2013</w:t>
            </w:r>
          </w:p>
        </w:tc>
      </w:tr>
      <w:tr w:rsidR="004E6C32" w:rsidRPr="006A75A2" w:rsidTr="004B5CB1">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1.4</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1.4</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1.4</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5 293.4</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5 373.5</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5 238.2</w:t>
            </w:r>
          </w:p>
        </w:tc>
        <w:tc>
          <w:tcPr>
            <w:tcW w:w="1205"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5 318.7</w:t>
            </w:r>
          </w:p>
        </w:tc>
      </w:tr>
      <w:tr w:rsidR="004E6C32" w:rsidRPr="006A75A2" w:rsidTr="004B5CB1">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(0.3)</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(0.2)</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(0.3)</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(0.2)</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(82.8)</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(76.9)</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(82.8)</w:t>
            </w:r>
          </w:p>
        </w:tc>
        <w:tc>
          <w:tcPr>
            <w:tcW w:w="120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(76.9)</w:t>
            </w:r>
          </w:p>
        </w:tc>
      </w:tr>
      <w:tr w:rsidR="004E6C32" w:rsidRPr="006A75A2" w:rsidTr="004B5CB1">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1.1</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1.7</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1.1</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1.2</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5 210.6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5 296.6</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5 155.4</w:t>
            </w:r>
          </w:p>
        </w:tc>
        <w:tc>
          <w:tcPr>
            <w:tcW w:w="120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5 241.7</w:t>
            </w:r>
          </w:p>
        </w:tc>
      </w:tr>
    </w:tbl>
    <w:p w:rsidR="004E6C32" w:rsidRPr="006A75A2" w:rsidRDefault="004E6C32">
      <w:pPr>
        <w:spacing w:after="0"/>
      </w:pPr>
    </w:p>
    <w:p w:rsidR="004E6C32" w:rsidRPr="006A75A2" w:rsidRDefault="004E6C32">
      <w:pPr>
        <w:spacing w:after="0"/>
      </w:pPr>
    </w:p>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4E6C32" w:rsidRPr="006A75A2" w:rsidRDefault="004E6C32" w:rsidP="0067336F">
      <w:pPr>
        <w:pStyle w:val="Heading5"/>
      </w:pPr>
      <w:r w:rsidRPr="006A75A2">
        <w:t>(f)</w:t>
      </w:r>
      <w:r w:rsidRPr="006A75A2">
        <w:tab/>
        <w:t>Reconciliation of movements</w:t>
      </w:r>
    </w:p>
    <w:p w:rsidR="004E6C32" w:rsidRPr="006A75A2" w:rsidRDefault="004E6C32" w:rsidP="0067336F">
      <w:pPr>
        <w:pStyle w:val="Heading5a"/>
        <w:rPr>
          <w:lang w:eastAsia="en-AU"/>
        </w:rPr>
      </w:pPr>
      <w:r w:rsidRPr="006A75A2">
        <w:rPr>
          <w:lang w:eastAsia="en-AU"/>
        </w:rPr>
        <w:t>Reconciliation of movements in land and buildings</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bottom w:val="nil"/>
              <w:right w:val="nil"/>
            </w:tcBorders>
            <w:shd w:val="clear" w:color="000000" w:fill="000000"/>
          </w:tcPr>
          <w:p w:rsidR="00B546EF" w:rsidRPr="006A75A2" w:rsidRDefault="00B546EF"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B546EF" w:rsidRPr="006A75A2" w:rsidRDefault="00B546EF" w:rsidP="004B5CB1">
            <w:pPr>
              <w:pStyle w:val="TabletextheadingCentred"/>
              <w:rPr>
                <w:rFonts w:eastAsiaTheme="minorEastAsia"/>
                <w:lang w:eastAsia="en-AU"/>
              </w:rPr>
            </w:pPr>
          </w:p>
          <w:p w:rsidR="00B546EF" w:rsidRPr="006A75A2" w:rsidRDefault="00B546EF"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Opening balance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93 781.0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92 230.6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61 466.4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60 224.9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Acquisitions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2 421.9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2 742.9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1 931.5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2 058.0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Reclassification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(515.7)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177.9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(485.9)</w:t>
            </w:r>
          </w:p>
        </w:tc>
      </w:tr>
      <w:tr w:rsidR="004E6C32" w:rsidRPr="006A75A2" w:rsidTr="004B5CB1">
        <w:tc>
          <w:tcPr>
            <w:tcW w:w="5160"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Revaluation</w:t>
            </w:r>
            <w:r w:rsidRPr="006A75A2">
              <w:rPr>
                <w:rFonts w:eastAsiaTheme="minorEastAsia" w:cs="Calibri"/>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5 813.8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708.7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2 981.4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802.0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Disposals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(374.0)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(392.5)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(208.9)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(260.6)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recognised for the first time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138.3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398.3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92.8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163.7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provided free of charge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(873.7)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(873.7)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cs="Calibri"/>
                <w:szCs w:val="22"/>
                <w:vertAlign w:val="superscript"/>
                <w:lang w:eastAsia="en-AU"/>
              </w:rPr>
            </w:pPr>
            <w:r w:rsidRPr="006A75A2">
              <w:rPr>
                <w:rFonts w:eastAsiaTheme="minorEastAsia"/>
                <w:lang w:eastAsia="en-AU"/>
              </w:rPr>
              <w:t>Im</w:t>
            </w:r>
            <w:r w:rsidR="009861EA" w:rsidRPr="006A75A2">
              <w:rPr>
                <w:rFonts w:eastAsiaTheme="minorEastAsia"/>
                <w:lang w:eastAsia="en-AU"/>
              </w:rPr>
              <w:t>pairment</w:t>
            </w:r>
            <w:r w:rsidRPr="006A75A2">
              <w:rPr>
                <w:rFonts w:eastAsiaTheme="minorEastAsia" w:cs="Calibri"/>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(53.0)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(9.7)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(51.4)</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Depreciation</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(1 378.2)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(1 338.2)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(1 029.7)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(984.5)</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99 590.2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93 781.0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64 528.0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61 466.4</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$107.4 million has been reclassified from impairment to fair value to represent the economic obsolescence adjustment recognised for school building assets in 2013. The reclassification provides consistency with the current year accounting policy adopted for measuring fair value under AASB 13 </w:t>
      </w:r>
      <w:r w:rsidRPr="006A75A2">
        <w:rPr>
          <w:i w:val="0"/>
        </w:rPr>
        <w:t>Fair Value Measurement</w:t>
      </w:r>
      <w:r w:rsidRPr="006A75A2">
        <w:t xml:space="preserve"> brings clarity to the users of these statements and provides for better understanding.</w:t>
      </w:r>
    </w:p>
    <w:p w:rsidR="004E6C32" w:rsidRPr="006A75A2" w:rsidRDefault="004E6C32" w:rsidP="004B5CB1">
      <w:pPr>
        <w:pStyle w:val="million"/>
      </w:pPr>
    </w:p>
    <w:p w:rsidR="004E6C32" w:rsidRPr="006A75A2" w:rsidRDefault="004E6C32" w:rsidP="004B5CB1">
      <w:pPr>
        <w:rPr>
          <w:highlight w:val="yellow"/>
        </w:rPr>
      </w:pPr>
    </w:p>
    <w:p w:rsidR="004E6C32" w:rsidRPr="006A75A2" w:rsidRDefault="004E6C32" w:rsidP="004B5CB1">
      <w:pPr>
        <w:rPr>
          <w:highlight w:val="yellow"/>
        </w:rPr>
      </w:pPr>
    </w:p>
    <w:p w:rsidR="004E6C32" w:rsidRPr="006A75A2" w:rsidRDefault="004E6C32" w:rsidP="0067336F">
      <w:pPr>
        <w:pStyle w:val="Heading5a"/>
        <w:rPr>
          <w:lang w:eastAsia="en-AU"/>
        </w:rPr>
      </w:pPr>
      <w:r w:rsidRPr="006A75A2">
        <w:rPr>
          <w:lang w:eastAsia="en-AU"/>
        </w:rPr>
        <w:t>Reconciliation of movements in plant, equipment and vehicle, and infrastructure systems</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bottom w:val="nil"/>
              <w:right w:val="nil"/>
            </w:tcBorders>
            <w:shd w:val="clear" w:color="000000" w:fill="000000"/>
          </w:tcPr>
          <w:p w:rsidR="00B546EF" w:rsidRPr="006A75A2" w:rsidRDefault="00B546EF"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B546EF" w:rsidRPr="006A75A2" w:rsidRDefault="00B546EF" w:rsidP="004B5CB1">
            <w:pPr>
              <w:pStyle w:val="TabletextheadingCentred"/>
              <w:rPr>
                <w:rFonts w:eastAsiaTheme="minorEastAsia"/>
                <w:lang w:eastAsia="en-AU"/>
              </w:rPr>
            </w:pPr>
          </w:p>
          <w:p w:rsidR="00B546EF" w:rsidRPr="006A75A2" w:rsidRDefault="00B546EF"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1"/>
                <w:szCs w:val="21"/>
                <w:lang w:eastAsia="en-AU"/>
              </w:rPr>
            </w:pPr>
            <w:r w:rsidRPr="006A75A2">
              <w:rPr>
                <w:rFonts w:eastAsiaTheme="minorEastAsia"/>
                <w:iCs/>
                <w:sz w:val="21"/>
                <w:szCs w:val="21"/>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1"/>
                <w:szCs w:val="21"/>
                <w:lang w:eastAsia="en-AU"/>
              </w:rPr>
            </w:pPr>
            <w:r w:rsidRPr="006A75A2">
              <w:rPr>
                <w:rFonts w:eastAsiaTheme="minorEastAsia"/>
                <w:iCs/>
                <w:sz w:val="21"/>
                <w:szCs w:val="21"/>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1"/>
                <w:szCs w:val="21"/>
                <w:lang w:eastAsia="en-AU"/>
              </w:rPr>
            </w:pPr>
            <w:r w:rsidRPr="006A75A2">
              <w:rPr>
                <w:rFonts w:eastAsiaTheme="minorEastAsia"/>
                <w:iCs/>
                <w:sz w:val="21"/>
                <w:szCs w:val="21"/>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sz w:val="21"/>
                <w:szCs w:val="21"/>
                <w:lang w:eastAsia="en-AU"/>
              </w:rPr>
            </w:pPr>
            <w:r w:rsidRPr="006A75A2">
              <w:rPr>
                <w:rFonts w:eastAsiaTheme="minorEastAsia"/>
                <w:iCs/>
                <w:sz w:val="21"/>
                <w:szCs w:val="21"/>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9861EA">
            <w:pPr>
              <w:pStyle w:val="Tabletext"/>
            </w:pPr>
            <w:r w:rsidRPr="006A75A2">
              <w:rPr>
                <w:rFonts w:eastAsiaTheme="minorEastAsia"/>
                <w:lang w:eastAsia="en-AU"/>
              </w:rPr>
              <w:t>Opening balance</w:t>
            </w:r>
            <w:r w:rsidRPr="006A75A2">
              <w:rPr>
                <w:rFonts w:eastAsiaTheme="minorEastAsia" w:cs="Calibri"/>
                <w:szCs w:val="22"/>
                <w:vertAlign w:val="superscript"/>
                <w:lang w:eastAsia="en-AU"/>
              </w:rPr>
              <w:t>(</w:t>
            </w:r>
            <w:r w:rsidRPr="006A75A2">
              <w:rPr>
                <w:vertAlign w:val="superscript"/>
              </w:rPr>
              <w:t>a)</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60 421.9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53 628.5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4 193.5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3 563.1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Acquisitions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4 108.1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9 002.5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689.3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709.9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 xml:space="preserve">Reclassification </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(422.4)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660.1</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(320.6)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604.2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180.3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(278.9)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Disposals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(213.6)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(747.0)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(114.0)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(219.0)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recognised for the first time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233.5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provided free of charge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(22.3)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(22.3)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Impairment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(27.4)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(3.8)</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(4.3)</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Depreciation</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(2 115.9)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(2 049.4)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(615.3)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(607.1)</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9861EA">
            <w:pPr>
              <w:pStyle w:val="Tabletext"/>
            </w:pPr>
            <w:r w:rsidRPr="006A75A2">
              <w:rPr>
                <w:rFonts w:eastAsiaTheme="minorEastAsia"/>
                <w:b/>
                <w:bCs/>
                <w:lang w:eastAsia="en-AU"/>
              </w:rPr>
              <w:t>Closing balance</w:t>
            </w:r>
            <w:r w:rsidRPr="006A75A2">
              <w:rPr>
                <w:rFonts w:eastAsiaTheme="minorEastAsia" w:cs="Calibri"/>
                <w:b/>
                <w:bCs/>
                <w:szCs w:val="22"/>
                <w:vertAlign w:val="superscript"/>
                <w:lang w:eastAsia="en-AU"/>
              </w:rPr>
              <w:t>(</w:t>
            </w:r>
            <w:r w:rsidRPr="006A75A2">
              <w:rPr>
                <w:b/>
                <w:vertAlign w:val="superscript"/>
              </w:rPr>
              <w:t>a)</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62 144.6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60 421.9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3 837.7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4 193.5</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June 2013 figures have been restated due to a reclassification of non-financial assets from </w:t>
      </w:r>
      <w:r w:rsidR="00C96101" w:rsidRPr="006A75A2">
        <w:t>‘</w:t>
      </w:r>
      <w:r w:rsidRPr="006A75A2">
        <w:t>plant, equipment and vehicles, and infrastructure systems</w:t>
      </w:r>
      <w:r w:rsidR="00C96101" w:rsidRPr="006A75A2">
        <w:t>’</w:t>
      </w:r>
      <w:r w:rsidRPr="006A75A2">
        <w:t xml:space="preserve"> to </w:t>
      </w:r>
      <w:r w:rsidR="00C96101" w:rsidRPr="006A75A2">
        <w:t>‘</w:t>
      </w:r>
      <w:r w:rsidRPr="006A75A2">
        <w:t>roads, road infrastructure and earthworks</w:t>
      </w:r>
      <w:r w:rsidR="00C96101" w:rsidRPr="006A75A2">
        <w:t>’</w:t>
      </w:r>
      <w:r w:rsidRPr="006A75A2">
        <w:t>.</w:t>
      </w:r>
    </w:p>
    <w:p w:rsidR="004E6C32" w:rsidRPr="006A75A2" w:rsidRDefault="004E6C32" w:rsidP="004B5CB1">
      <w:pPr>
        <w:rPr>
          <w:highlight w:val="yellow"/>
        </w:rPr>
      </w:pPr>
    </w:p>
    <w:p w:rsidR="004E6C32" w:rsidRPr="006A75A2" w:rsidRDefault="004E6C32">
      <w:pPr>
        <w:spacing w:after="0"/>
        <w:rPr>
          <w:rFonts w:ascii="Calibri" w:hAnsi="Calibri"/>
          <w:b/>
          <w:sz w:val="28"/>
          <w:szCs w:val="22"/>
          <w:lang w:eastAsia="en-AU"/>
        </w:rPr>
      </w:pPr>
      <w:r w:rsidRPr="006A75A2">
        <w:rPr>
          <w:lang w:eastAsia="en-AU"/>
        </w:rPr>
        <w:br w:type="page"/>
      </w:r>
    </w:p>
    <w:p w:rsidR="004E6C32" w:rsidRPr="006A75A2" w:rsidRDefault="004E6C32" w:rsidP="004B5CB1">
      <w:pPr>
        <w:pStyle w:val="Heading2NotesContd"/>
        <w:rPr>
          <w:kern w:val="0"/>
          <w:lang w:eastAsia="en-AU"/>
        </w:rPr>
      </w:pPr>
      <w:r w:rsidRPr="006A75A2">
        <w:rPr>
          <w:kern w:val="0"/>
          <w:lang w:eastAsia="en-AU"/>
        </w:rPr>
        <w:lastRenderedPageBreak/>
        <w:t>Note 22:</w:t>
      </w:r>
      <w:r w:rsidRPr="006A75A2">
        <w:rPr>
          <w:kern w:val="0"/>
          <w:lang w:eastAsia="en-AU"/>
        </w:rPr>
        <w:tab/>
        <w:t>Land, buildings, infrastructure, plant and equipment</w:t>
      </w:r>
      <w:r w:rsidRPr="006A75A2">
        <w:rPr>
          <w:i/>
          <w:kern w:val="0"/>
          <w:lang w:eastAsia="en-AU"/>
        </w:rPr>
        <w:t xml:space="preserve"> (continued)</w:t>
      </w:r>
    </w:p>
    <w:p w:rsidR="004E6C32" w:rsidRPr="006A75A2" w:rsidRDefault="004E6C32" w:rsidP="0067336F">
      <w:pPr>
        <w:pStyle w:val="Heading5a"/>
        <w:rPr>
          <w:lang w:eastAsia="en-AU"/>
        </w:rPr>
      </w:pPr>
      <w:r w:rsidRPr="006A75A2">
        <w:rPr>
          <w:lang w:eastAsia="en-AU"/>
        </w:rPr>
        <w:t>Reconciliation of movements in roads, road infrastructure and earthworks</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bottom w:val="nil"/>
              <w:right w:val="nil"/>
            </w:tcBorders>
            <w:shd w:val="clear" w:color="000000" w:fill="000000"/>
          </w:tcPr>
          <w:p w:rsidR="00B546EF" w:rsidRPr="006A75A2" w:rsidRDefault="00B546EF"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B546EF" w:rsidRPr="006A75A2" w:rsidRDefault="00B546EF" w:rsidP="004B5CB1">
            <w:pPr>
              <w:pStyle w:val="TabletextheadingCentred"/>
              <w:rPr>
                <w:rFonts w:eastAsiaTheme="minorEastAsia"/>
                <w:lang w:eastAsia="en-AU"/>
              </w:rPr>
            </w:pPr>
          </w:p>
          <w:p w:rsidR="00B546EF" w:rsidRPr="006A75A2" w:rsidRDefault="00B546EF"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1"/>
                <w:szCs w:val="21"/>
                <w:lang w:eastAsia="en-AU"/>
              </w:rPr>
            </w:pPr>
            <w:r w:rsidRPr="006A75A2">
              <w:rPr>
                <w:rFonts w:eastAsiaTheme="minorEastAsia"/>
                <w:iCs/>
                <w:sz w:val="21"/>
                <w:szCs w:val="21"/>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1"/>
                <w:szCs w:val="21"/>
                <w:lang w:eastAsia="en-AU"/>
              </w:rPr>
            </w:pPr>
            <w:r w:rsidRPr="006A75A2">
              <w:rPr>
                <w:rFonts w:eastAsiaTheme="minorEastAsia"/>
                <w:iCs/>
                <w:sz w:val="21"/>
                <w:szCs w:val="21"/>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1"/>
                <w:szCs w:val="21"/>
                <w:lang w:eastAsia="en-AU"/>
              </w:rPr>
            </w:pPr>
            <w:r w:rsidRPr="006A75A2">
              <w:rPr>
                <w:rFonts w:eastAsiaTheme="minorEastAsia"/>
                <w:iCs/>
                <w:sz w:val="21"/>
                <w:szCs w:val="21"/>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sz w:val="21"/>
                <w:szCs w:val="21"/>
                <w:lang w:eastAsia="en-AU"/>
              </w:rPr>
            </w:pPr>
            <w:r w:rsidRPr="006A75A2">
              <w:rPr>
                <w:rFonts w:eastAsiaTheme="minorEastAsia"/>
                <w:iCs/>
                <w:sz w:val="21"/>
                <w:szCs w:val="21"/>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Opening balance</w:t>
            </w:r>
            <w:r w:rsidRPr="006A75A2">
              <w:rPr>
                <w:rFonts w:eastAsiaTheme="minorEastAsia"/>
                <w:vertAlign w:val="superscript"/>
                <w:lang w:eastAsia="en-AU"/>
              </w:rPr>
              <w:t>(a)</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29 756.0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28 598.5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29 685.5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28 550.6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Acquisitions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747.9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1 795.8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746.5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1 771.0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 xml:space="preserve">Reclassification </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(78.6)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(78.3)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(13.7)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Disposals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(66.8)</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(66.7)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recognised for the first time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provided free of charge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Impairment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(12.8)</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Depreciation</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(568.7)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(543.9)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(566.3)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(541.0)</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9861EA">
            <w:pPr>
              <w:pStyle w:val="Tabletext"/>
            </w:pPr>
            <w:r w:rsidRPr="006A75A2">
              <w:rPr>
                <w:rFonts w:eastAsiaTheme="minorEastAsia"/>
                <w:b/>
                <w:bCs/>
                <w:lang w:eastAsia="en-AU"/>
              </w:rPr>
              <w:t>Closing balance</w:t>
            </w:r>
            <w:r w:rsidRPr="006A75A2">
              <w:rPr>
                <w:rFonts w:eastAsiaTheme="minorEastAsia" w:cs="Calibri"/>
                <w:b/>
                <w:bCs/>
                <w:szCs w:val="22"/>
                <w:vertAlign w:val="superscript"/>
                <w:lang w:eastAsia="en-AU"/>
              </w:rPr>
              <w:t>(</w:t>
            </w:r>
            <w:r w:rsidRPr="006A75A2">
              <w:rPr>
                <w:b/>
                <w:vertAlign w:val="superscript"/>
              </w:rPr>
              <w:t>a)</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29 857.6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29 756.0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29 789.0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29 685.5</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 xml:space="preserve">June 2013 figures have been restated due to a reclassification of non-financial assets from </w:t>
      </w:r>
      <w:r w:rsidR="00C96101" w:rsidRPr="006A75A2">
        <w:t>‘</w:t>
      </w:r>
      <w:r w:rsidRPr="006A75A2">
        <w:t>plant, equipment and vehicles, and infrastructure systems</w:t>
      </w:r>
      <w:r w:rsidR="00C96101" w:rsidRPr="006A75A2">
        <w:t>’</w:t>
      </w:r>
      <w:r w:rsidRPr="006A75A2">
        <w:t xml:space="preserve"> to </w:t>
      </w:r>
      <w:r w:rsidR="00C96101" w:rsidRPr="006A75A2">
        <w:t>‘</w:t>
      </w:r>
      <w:r w:rsidRPr="006A75A2">
        <w:t>roads, road infrastructure and earthworks</w:t>
      </w:r>
      <w:r w:rsidR="00C96101" w:rsidRPr="006A75A2">
        <w:t>’</w:t>
      </w:r>
      <w:r w:rsidRPr="006A75A2">
        <w:t>.</w:t>
      </w:r>
    </w:p>
    <w:p w:rsidR="004E6C32" w:rsidRPr="006A75A2" w:rsidRDefault="004E6C32" w:rsidP="004B5CB1"/>
    <w:p w:rsidR="004E6C32" w:rsidRPr="006A75A2" w:rsidRDefault="004E6C32" w:rsidP="004B5CB1"/>
    <w:p w:rsidR="004E6C32" w:rsidRPr="006A75A2" w:rsidRDefault="004E6C32" w:rsidP="0067336F">
      <w:pPr>
        <w:pStyle w:val="Heading5a"/>
        <w:rPr>
          <w:lang w:eastAsia="en-AU"/>
        </w:rPr>
      </w:pPr>
      <w:r w:rsidRPr="006A75A2">
        <w:rPr>
          <w:lang w:eastAsia="en-AU"/>
        </w:rPr>
        <w:t>Reconciliation of movements in cultural assets</w:t>
      </w:r>
    </w:p>
    <w:p w:rsidR="004E6C32" w:rsidRPr="006A75A2" w:rsidRDefault="004E6C32" w:rsidP="004B5CB1">
      <w:pPr>
        <w:pStyle w:val="million"/>
        <w:rPr>
          <w:rFonts w:ascii="Times New Roman" w:hAnsi="Times New Roman"/>
          <w:lang w:eastAsia="en-AU"/>
        </w:rPr>
      </w:pPr>
      <w:r w:rsidRPr="006A75A2">
        <w:rPr>
          <w:lang w:eastAsia="en-AU"/>
        </w:rPr>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B546EF" w:rsidRPr="006A75A2" w:rsidTr="00AD1FBF">
        <w:tc>
          <w:tcPr>
            <w:tcW w:w="5160" w:type="dxa"/>
            <w:tcBorders>
              <w:top w:val="single" w:sz="6" w:space="0" w:color="auto"/>
              <w:left w:val="single" w:sz="6" w:space="0" w:color="auto"/>
              <w:bottom w:val="nil"/>
              <w:right w:val="nil"/>
            </w:tcBorders>
            <w:shd w:val="clear" w:color="000000" w:fill="000000"/>
          </w:tcPr>
          <w:p w:rsidR="00B546EF" w:rsidRPr="006A75A2" w:rsidRDefault="00B546EF"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B546EF" w:rsidRPr="006A75A2" w:rsidRDefault="00B546EF" w:rsidP="004B5CB1">
            <w:pPr>
              <w:pStyle w:val="TabletextheadingCentred"/>
              <w:rPr>
                <w:rFonts w:eastAsiaTheme="minorEastAsia"/>
                <w:lang w:eastAsia="en-AU"/>
              </w:rPr>
            </w:pPr>
          </w:p>
          <w:p w:rsidR="00B546EF" w:rsidRPr="006A75A2" w:rsidRDefault="00B546EF"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B546EF" w:rsidRPr="006A75A2" w:rsidRDefault="00B546EF" w:rsidP="00B546EF">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Opening balance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5 514.1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5 513.1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5 458.7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5 458.1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Acquisitions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Reclassification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Disposals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(3.1)</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recognised for the first time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provided free of charge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Impairment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Depreciation</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(21.1)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(21.8)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(21.1)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(21.8)</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5 544.6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5 514.1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5 489.5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5 458.7</w:t>
            </w:r>
          </w:p>
        </w:tc>
      </w:tr>
    </w:tbl>
    <w:p w:rsidR="004E6C32" w:rsidRPr="006A75A2" w:rsidRDefault="004E6C32" w:rsidP="004B5CB1"/>
    <w:p w:rsidR="004E6C32" w:rsidRPr="006A75A2" w:rsidRDefault="004E6C32" w:rsidP="004B5CB1">
      <w:pPr>
        <w:rPr>
          <w:highlight w:val="yellow"/>
        </w:rPr>
      </w:pPr>
    </w:p>
    <w:p w:rsidR="004E6C32" w:rsidRPr="006A75A2" w:rsidRDefault="004E6C32" w:rsidP="004B5CB1"/>
    <w:p w:rsidR="004E6C32" w:rsidRPr="006A75A2" w:rsidRDefault="004E6C32" w:rsidP="004B5CB1"/>
    <w:p w:rsidR="004E6C32" w:rsidRPr="006A75A2" w:rsidRDefault="004E6C32">
      <w:pPr>
        <w:spacing w:after="0"/>
        <w:rPr>
          <w:rFonts w:ascii="Calibri" w:hAnsi="Calibri"/>
          <w:b/>
          <w:highlight w:val="yellow"/>
        </w:rPr>
      </w:pPr>
      <w:r w:rsidRPr="006A75A2">
        <w:rPr>
          <w:highlight w:val="yellow"/>
        </w:rPr>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Land, buildings, infrastructure, plant and equipment</w:t>
      </w:r>
      <w:r w:rsidRPr="006A75A2">
        <w:rPr>
          <w:i/>
          <w:kern w:val="0"/>
        </w:rPr>
        <w:t xml:space="preserve"> (continued)</w:t>
      </w:r>
    </w:p>
    <w:p w:rsidR="004E6C32" w:rsidRPr="006A75A2" w:rsidRDefault="004E6C32" w:rsidP="0067336F">
      <w:pPr>
        <w:pStyle w:val="Heading5"/>
      </w:pPr>
      <w:r w:rsidRPr="006A75A2">
        <w:t xml:space="preserve">(g) </w:t>
      </w:r>
      <w:r w:rsidRPr="006A75A2">
        <w:tab/>
        <w:t>Fair value measurement of land, buildings, infrastructure, plant and equipment</w:t>
      </w:r>
    </w:p>
    <w:p w:rsidR="004E6C32" w:rsidRPr="006A75A2" w:rsidRDefault="004E6C32" w:rsidP="004B5CB1">
      <w:pPr>
        <w:pStyle w:val="million"/>
      </w:pPr>
      <w:r w:rsidRPr="006A75A2">
        <w:t>($ million)</w:t>
      </w:r>
    </w:p>
    <w:tbl>
      <w:tblPr>
        <w:tblW w:w="9640" w:type="dxa"/>
        <w:tblInd w:w="29" w:type="dxa"/>
        <w:tblLayout w:type="fixed"/>
        <w:tblCellMar>
          <w:left w:w="43" w:type="dxa"/>
          <w:right w:w="43" w:type="dxa"/>
        </w:tblCellMar>
        <w:tblLook w:val="0000" w:firstRow="0" w:lastRow="0" w:firstColumn="0" w:lastColumn="0" w:noHBand="0" w:noVBand="0"/>
      </w:tblPr>
      <w:tblGrid>
        <w:gridCol w:w="4550"/>
        <w:gridCol w:w="610"/>
        <w:gridCol w:w="1120"/>
        <w:gridCol w:w="1120"/>
        <w:gridCol w:w="1120"/>
        <w:gridCol w:w="1120"/>
      </w:tblGrid>
      <w:tr w:rsidR="00B546EF" w:rsidRPr="006A75A2" w:rsidTr="00AD1FBF">
        <w:tc>
          <w:tcPr>
            <w:tcW w:w="4550" w:type="dxa"/>
            <w:tcBorders>
              <w:top w:val="single" w:sz="6" w:space="0" w:color="auto"/>
              <w:left w:val="single" w:sz="6" w:space="0" w:color="auto"/>
              <w:right w:val="nil"/>
            </w:tcBorders>
            <w:shd w:val="clear" w:color="000000" w:fill="000000"/>
          </w:tcPr>
          <w:p w:rsidR="00B546EF" w:rsidRPr="006A75A2" w:rsidRDefault="00B546EF" w:rsidP="004B5CB1">
            <w:pPr>
              <w:pStyle w:val="TabletextheadingLeft"/>
              <w:rPr>
                <w:rFonts w:eastAsiaTheme="minorEastAsia"/>
                <w:lang w:eastAsia="en-AU"/>
              </w:rPr>
            </w:pPr>
            <w:r w:rsidRPr="006A75A2">
              <w:rPr>
                <w:rFonts w:eastAsiaTheme="minorEastAsia"/>
                <w:lang w:eastAsia="en-AU"/>
              </w:rPr>
              <w:t>State of Victoria</w:t>
            </w:r>
          </w:p>
        </w:tc>
        <w:tc>
          <w:tcPr>
            <w:tcW w:w="1730" w:type="dxa"/>
            <w:gridSpan w:val="2"/>
            <w:tcBorders>
              <w:top w:val="single" w:sz="6" w:space="0" w:color="auto"/>
              <w:left w:val="nil"/>
              <w:right w:val="nil"/>
            </w:tcBorders>
            <w:shd w:val="clear" w:color="000000" w:fill="000000"/>
          </w:tcPr>
          <w:p w:rsidR="00B546EF" w:rsidRPr="006A75A2" w:rsidRDefault="00B546EF" w:rsidP="004B5CB1">
            <w:pPr>
              <w:pStyle w:val="Tabletextheading"/>
              <w:rPr>
                <w:rFonts w:eastAsiaTheme="minorEastAsia"/>
                <w:lang w:eastAsia="en-AU"/>
              </w:rPr>
            </w:pPr>
            <w:r w:rsidRPr="006A75A2">
              <w:rPr>
                <w:rFonts w:eastAsiaTheme="minorEastAsia"/>
                <w:lang w:eastAsia="en-AU"/>
              </w:rPr>
              <w:t>Carrying amount as at 30 June</w:t>
            </w:r>
          </w:p>
        </w:tc>
        <w:tc>
          <w:tcPr>
            <w:tcW w:w="3360" w:type="dxa"/>
            <w:gridSpan w:val="3"/>
            <w:tcBorders>
              <w:top w:val="single" w:sz="6" w:space="0" w:color="auto"/>
              <w:left w:val="nil"/>
              <w:right w:val="single" w:sz="6" w:space="0" w:color="auto"/>
            </w:tcBorders>
            <w:shd w:val="clear" w:color="000000" w:fill="000000"/>
          </w:tcPr>
          <w:p w:rsidR="00B546EF" w:rsidRPr="006A75A2" w:rsidRDefault="00B546EF" w:rsidP="00B546EF">
            <w:pPr>
              <w:pStyle w:val="TabletextheadingCentred"/>
              <w:rPr>
                <w:rFonts w:eastAsiaTheme="minorEastAsia" w:cs="Calibri"/>
                <w:iCs/>
                <w:szCs w:val="22"/>
                <w:lang w:eastAsia="en-AU"/>
              </w:rPr>
            </w:pPr>
            <w:r w:rsidRPr="006A75A2">
              <w:rPr>
                <w:rFonts w:eastAsiaTheme="minorEastAsia"/>
                <w:lang w:eastAsia="en-AU"/>
              </w:rPr>
              <w:t>Fair value measurement at the end of reporting period using:</w:t>
            </w:r>
          </w:p>
        </w:tc>
      </w:tr>
      <w:tr w:rsidR="004E6C32" w:rsidRPr="006A75A2" w:rsidTr="004B5CB1">
        <w:tc>
          <w:tcPr>
            <w:tcW w:w="5160" w:type="dxa"/>
            <w:gridSpan w:val="2"/>
            <w:tcBorders>
              <w:top w:val="single" w:sz="6" w:space="0" w:color="auto"/>
              <w:left w:val="single" w:sz="4" w:space="0" w:color="auto"/>
              <w:bottom w:val="single" w:sz="4" w:space="0" w:color="auto"/>
              <w:right w:val="nil"/>
            </w:tcBorders>
            <w:shd w:val="solid" w:color="000000" w:fill="auto"/>
          </w:tcPr>
          <w:p w:rsidR="004E6C32" w:rsidRPr="006A75A2" w:rsidRDefault="004E6C32" w:rsidP="004B5CB1">
            <w:pPr>
              <w:pStyle w:val="TabletextheadingLeft"/>
              <w:rPr>
                <w:rFonts w:eastAsiaTheme="minorEastAsia"/>
                <w:lang w:eastAsia="en-AU"/>
              </w:rPr>
            </w:pPr>
            <w:r w:rsidRPr="006A75A2">
              <w:rPr>
                <w:rFonts w:eastAsiaTheme="minorEastAsia"/>
                <w:lang w:eastAsia="en-AU"/>
              </w:rPr>
              <w:t>2014</w:t>
            </w:r>
          </w:p>
        </w:tc>
        <w:tc>
          <w:tcPr>
            <w:tcW w:w="1120" w:type="dxa"/>
            <w:tcBorders>
              <w:top w:val="single" w:sz="6" w:space="0" w:color="auto"/>
              <w:left w:val="nil"/>
              <w:bottom w:val="single" w:sz="4" w:space="0" w:color="auto"/>
              <w:right w:val="nil"/>
            </w:tcBorders>
            <w:shd w:val="solid" w:color="000000" w:fill="auto"/>
          </w:tcPr>
          <w:p w:rsidR="004E6C32" w:rsidRPr="006A75A2" w:rsidRDefault="004E6C32" w:rsidP="004B5CB1">
            <w:pPr>
              <w:pStyle w:val="TableofFigures"/>
              <w:rPr>
                <w:rFonts w:eastAsiaTheme="minorEastAsia"/>
                <w:lang w:eastAsia="en-AU"/>
              </w:rPr>
            </w:pPr>
          </w:p>
        </w:tc>
        <w:tc>
          <w:tcPr>
            <w:tcW w:w="1120" w:type="dxa"/>
            <w:tcBorders>
              <w:top w:val="single" w:sz="6" w:space="0" w:color="auto"/>
              <w:left w:val="nil"/>
              <w:bottom w:val="single" w:sz="4" w:space="0" w:color="auto"/>
              <w:right w:val="nil"/>
            </w:tcBorders>
            <w:shd w:val="solid" w:color="000000" w:fill="auto"/>
          </w:tcPr>
          <w:p w:rsidR="004E6C32" w:rsidRPr="006A75A2" w:rsidRDefault="004E6C32" w:rsidP="004B5CB1">
            <w:pPr>
              <w:pStyle w:val="TableofFigures"/>
              <w:rPr>
                <w:rFonts w:eastAsiaTheme="minorEastAsia"/>
                <w:i/>
                <w:sz w:val="20"/>
                <w:vertAlign w:val="superscript"/>
                <w:lang w:eastAsia="en-AU"/>
              </w:rPr>
            </w:pPr>
            <w:r w:rsidRPr="006A75A2">
              <w:rPr>
                <w:rFonts w:eastAsiaTheme="minorEastAsia"/>
                <w:i/>
                <w:lang w:eastAsia="en-AU"/>
              </w:rPr>
              <w:t>Level 1</w:t>
            </w:r>
            <w:r w:rsidRPr="006A75A2">
              <w:rPr>
                <w:rFonts w:eastAsiaTheme="minorEastAsia"/>
                <w:i/>
                <w:vertAlign w:val="superscript"/>
                <w:lang w:eastAsia="en-AU"/>
              </w:rPr>
              <w:t>(</w:t>
            </w:r>
            <w:r w:rsidRPr="006A75A2">
              <w:rPr>
                <w:rFonts w:eastAsiaTheme="minorEastAsia"/>
                <w:i/>
                <w:sz w:val="20"/>
                <w:vertAlign w:val="superscript"/>
                <w:lang w:eastAsia="en-AU"/>
              </w:rPr>
              <w:t>a)</w:t>
            </w:r>
          </w:p>
        </w:tc>
        <w:tc>
          <w:tcPr>
            <w:tcW w:w="1120" w:type="dxa"/>
            <w:tcBorders>
              <w:top w:val="single" w:sz="6" w:space="0" w:color="auto"/>
              <w:left w:val="nil"/>
              <w:bottom w:val="single" w:sz="4" w:space="0" w:color="auto"/>
              <w:right w:val="nil"/>
            </w:tcBorders>
            <w:shd w:val="solid" w:color="000000" w:fill="auto"/>
          </w:tcPr>
          <w:p w:rsidR="004E6C32" w:rsidRPr="006A75A2" w:rsidRDefault="004E6C32" w:rsidP="009861EA">
            <w:pPr>
              <w:pStyle w:val="TableofFigures"/>
              <w:rPr>
                <w:rFonts w:eastAsiaTheme="minorEastAsia"/>
                <w:i/>
                <w:sz w:val="20"/>
                <w:vertAlign w:val="superscript"/>
                <w:lang w:eastAsia="en-AU"/>
              </w:rPr>
            </w:pPr>
            <w:r w:rsidRPr="006A75A2">
              <w:rPr>
                <w:rFonts w:eastAsiaTheme="minorEastAsia"/>
                <w:i/>
                <w:lang w:eastAsia="en-AU"/>
              </w:rPr>
              <w:t>Level 2</w:t>
            </w:r>
            <w:r w:rsidRPr="006A75A2">
              <w:rPr>
                <w:rFonts w:eastAsiaTheme="minorEastAsia"/>
                <w:i/>
                <w:sz w:val="20"/>
                <w:vertAlign w:val="superscript"/>
                <w:lang w:eastAsia="en-AU"/>
              </w:rPr>
              <w:t>(b)</w:t>
            </w:r>
          </w:p>
        </w:tc>
        <w:tc>
          <w:tcPr>
            <w:tcW w:w="1120" w:type="dxa"/>
            <w:tcBorders>
              <w:top w:val="single" w:sz="6" w:space="0" w:color="auto"/>
              <w:left w:val="nil"/>
              <w:bottom w:val="single" w:sz="4" w:space="0" w:color="auto"/>
              <w:right w:val="single" w:sz="4" w:space="0" w:color="auto"/>
            </w:tcBorders>
            <w:shd w:val="solid" w:color="000000" w:fill="auto"/>
          </w:tcPr>
          <w:p w:rsidR="004E6C32" w:rsidRPr="006A75A2" w:rsidRDefault="004E6C32" w:rsidP="004B5CB1">
            <w:pPr>
              <w:pStyle w:val="TableofFigures"/>
              <w:rPr>
                <w:rFonts w:eastAsiaTheme="minorEastAsia"/>
                <w:i/>
                <w:sz w:val="20"/>
                <w:vertAlign w:val="superscript"/>
                <w:lang w:eastAsia="en-AU"/>
              </w:rPr>
            </w:pPr>
            <w:r w:rsidRPr="006A75A2">
              <w:rPr>
                <w:rFonts w:eastAsiaTheme="minorEastAsia"/>
                <w:i/>
                <w:lang w:eastAsia="en-AU"/>
              </w:rPr>
              <w:t>Level 3</w:t>
            </w:r>
            <w:r w:rsidRPr="006A75A2">
              <w:rPr>
                <w:rFonts w:eastAsiaTheme="minorEastAsia"/>
                <w:i/>
                <w:vertAlign w:val="superscript"/>
                <w:lang w:eastAsia="en-AU"/>
              </w:rPr>
              <w:t>(</w:t>
            </w:r>
            <w:r w:rsidRPr="006A75A2">
              <w:rPr>
                <w:rFonts w:eastAsiaTheme="minorEastAsia"/>
                <w:i/>
                <w:sz w:val="20"/>
                <w:vertAlign w:val="superscript"/>
                <w:lang w:eastAsia="en-AU"/>
              </w:rPr>
              <w:t>c)</w:t>
            </w:r>
          </w:p>
        </w:tc>
      </w:tr>
      <w:tr w:rsidR="004E6C32" w:rsidRPr="006A75A2" w:rsidTr="004B5CB1">
        <w:tc>
          <w:tcPr>
            <w:tcW w:w="5160" w:type="dxa"/>
            <w:gridSpan w:val="2"/>
            <w:tcBorders>
              <w:top w:val="single" w:sz="4" w:space="0" w:color="auto"/>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Buildings</w:t>
            </w:r>
          </w:p>
        </w:tc>
        <w:tc>
          <w:tcPr>
            <w:tcW w:w="112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36 885.2</w:t>
            </w:r>
          </w:p>
        </w:tc>
        <w:tc>
          <w:tcPr>
            <w:tcW w:w="112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10 569.4</w:t>
            </w:r>
          </w:p>
        </w:tc>
        <w:tc>
          <w:tcPr>
            <w:tcW w:w="112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26 315.7</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Non-specialised buildings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12 231.9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9 360.7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2 871.2</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Specialised buildings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23 495.9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1 208.7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22 287.2</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Heritage buildings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1 157.4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1 157.4</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Land and national parks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57 072.6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14 932.4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42 140.2</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Non-specialised land</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15 497.5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13 548.6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1 948.9</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Specialised land</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23 996.9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1 383.8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22 613.0</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Land under roads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15 892.8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15 892.8</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National parks and other </w:t>
            </w:r>
            <w:r w:rsidR="00C96101" w:rsidRPr="006A75A2">
              <w:rPr>
                <w:rFonts w:eastAsiaTheme="minorEastAsia"/>
                <w:lang w:eastAsia="en-AU"/>
              </w:rPr>
              <w:t>‘</w:t>
            </w:r>
            <w:r w:rsidRPr="006A75A2">
              <w:rPr>
                <w:rFonts w:eastAsiaTheme="minorEastAsia"/>
                <w:lang w:eastAsia="en-AU"/>
              </w:rPr>
              <w:t>land only</w:t>
            </w:r>
            <w:r w:rsidR="00C96101" w:rsidRPr="006A75A2">
              <w:rPr>
                <w:rFonts w:eastAsiaTheme="minorEastAsia"/>
                <w:lang w:eastAsia="en-AU"/>
              </w:rPr>
              <w:t>’</w:t>
            </w:r>
            <w:r w:rsidRPr="006A75A2">
              <w:rPr>
                <w:rFonts w:eastAsiaTheme="minorEastAsia"/>
                <w:lang w:eastAsia="en-AU"/>
              </w:rPr>
              <w:t xml:space="preserve"> holdings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1 685.5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1 685.5</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Plant, equipment, vehicles and infrastructure systems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49 407.4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473.2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48 934.2</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Infrastructure systems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43 510.8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43 489.4</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Rolling stock</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2 555.8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2 555.8</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Plant, equipment and vehicles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3 340.8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451.8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2 889.0</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bCs/>
                <w:lang w:eastAsia="en-AU"/>
              </w:rPr>
              <w:t>Roads, road infrastructure and</w:t>
            </w:r>
            <w:r w:rsidRPr="006A75A2">
              <w:rPr>
                <w:rFonts w:eastAsiaTheme="minorEastAsia" w:cs="Calibri"/>
                <w:b/>
                <w:bCs/>
                <w:szCs w:val="22"/>
                <w:lang w:eastAsia="en-AU"/>
              </w:rPr>
              <w:t xml:space="preserve"> earthworks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28 676.0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405.3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28 270.7</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Roads and roads infrastructure</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20 990.8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361.0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20 629.8</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Earthworks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7 685.2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7 640.9</w:t>
            </w:r>
          </w:p>
        </w:tc>
      </w:tr>
      <w:tr w:rsidR="004E6C32" w:rsidRPr="006A75A2" w:rsidTr="004B5CB1">
        <w:tc>
          <w:tcPr>
            <w:tcW w:w="5160" w:type="dxa"/>
            <w:gridSpan w:val="2"/>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Cultural assets</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5 544.6</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3 398.5</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2 146.2</w:t>
            </w:r>
          </w:p>
        </w:tc>
      </w:tr>
      <w:tr w:rsidR="004E6C32" w:rsidRPr="006A75A2" w:rsidTr="004B5CB1">
        <w:tc>
          <w:tcPr>
            <w:tcW w:w="5160" w:type="dxa"/>
            <w:gridSpan w:val="2"/>
            <w:tcBorders>
              <w:top w:val="single" w:sz="6" w:space="0" w:color="auto"/>
              <w:left w:val="nil"/>
              <w:bottom w:val="single" w:sz="12" w:space="0" w:color="000000"/>
              <w:right w:val="nil"/>
            </w:tcBorders>
          </w:tcPr>
          <w:p w:rsidR="004E6C32" w:rsidRPr="006A75A2" w:rsidRDefault="004E6C32" w:rsidP="009861EA">
            <w:pPr>
              <w:pStyle w:val="Tabletext"/>
              <w:rPr>
                <w:rFonts w:eastAsiaTheme="minorEastAsia" w:cs="Calibri"/>
                <w:b/>
                <w:bCs/>
                <w:szCs w:val="22"/>
                <w:vertAlign w:val="superscript"/>
                <w:lang w:eastAsia="en-AU"/>
              </w:rPr>
            </w:pPr>
            <w:r w:rsidRPr="006A75A2">
              <w:rPr>
                <w:rFonts w:eastAsiaTheme="minorEastAsia"/>
                <w:b/>
                <w:bCs/>
                <w:lang w:eastAsia="en-AU"/>
              </w:rPr>
              <w:t>Total land, buildings, infrastructure, plant and equipment</w:t>
            </w:r>
            <w:r w:rsidRPr="006A75A2">
              <w:rPr>
                <w:vertAlign w:val="superscript"/>
              </w:rPr>
              <w:t>(</w:t>
            </w:r>
            <w:r w:rsidRPr="006A75A2">
              <w:rPr>
                <w:rFonts w:eastAsiaTheme="minorEastAsia" w:cs="Calibri"/>
                <w:b/>
                <w:bCs/>
                <w:szCs w:val="22"/>
                <w:vertAlign w:val="superscript"/>
                <w:lang w:eastAsia="en-AU"/>
              </w:rPr>
              <w:t>d)</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177 585.8</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29 778.8</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147 807.0</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Quoted prices (unadjusted) in active markets for identical assets or liabilities.</w:t>
      </w:r>
    </w:p>
    <w:p w:rsidR="004E6C32" w:rsidRPr="006A75A2" w:rsidRDefault="004E6C32" w:rsidP="004B5CB1">
      <w:pPr>
        <w:pStyle w:val="Notes"/>
      </w:pPr>
      <w:r w:rsidRPr="006A75A2">
        <w:t>(b)</w:t>
      </w:r>
      <w:r w:rsidRPr="006A75A2">
        <w:tab/>
        <w:t xml:space="preserve">Inputs based on observable market data (either directly using prices or indirectly derived from prices). </w:t>
      </w:r>
    </w:p>
    <w:p w:rsidR="004E6C32" w:rsidRPr="006A75A2" w:rsidRDefault="004E6C32" w:rsidP="004B5CB1">
      <w:pPr>
        <w:pStyle w:val="Notes"/>
      </w:pPr>
      <w:r w:rsidRPr="006A75A2">
        <w:t xml:space="preserve">(c) </w:t>
      </w:r>
      <w:r w:rsidRPr="006A75A2">
        <w:tab/>
        <w:t>Inputs not based on observable market data.</w:t>
      </w:r>
    </w:p>
    <w:p w:rsidR="004E6C32" w:rsidRPr="006A75A2" w:rsidRDefault="004E6C32" w:rsidP="004B5CB1">
      <w:pPr>
        <w:pStyle w:val="Notes"/>
      </w:pPr>
      <w:r w:rsidRPr="006A75A2">
        <w:t xml:space="preserve">(d) </w:t>
      </w:r>
      <w:r w:rsidRPr="006A75A2">
        <w:tab/>
        <w:t>The total land, building, infrastructure, plant and equipment excludes leased assets and construction in progress assets at cost of $19 551.2 million.</w:t>
      </w:r>
    </w:p>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Heading2NotesContd"/>
        <w:rPr>
          <w:i/>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2E2762" w:rsidRPr="006A75A2" w:rsidRDefault="002E2762" w:rsidP="002E2762">
      <w:pPr>
        <w:pStyle w:val="Heading5"/>
      </w:pPr>
      <w:r w:rsidRPr="006A75A2">
        <w:t xml:space="preserve">(g) </w:t>
      </w:r>
      <w:r w:rsidRPr="006A75A2">
        <w:tab/>
        <w:t xml:space="preserve">Fair value measurement of land, buildings, infrastructure, plant and equipment </w:t>
      </w:r>
      <w:r w:rsidRPr="006A75A2">
        <w:rPr>
          <w:i/>
        </w:rPr>
        <w:t>(continued)</w:t>
      </w:r>
    </w:p>
    <w:p w:rsidR="004E6C32" w:rsidRPr="006A75A2" w:rsidRDefault="004E6C32" w:rsidP="004B5CB1">
      <w:pPr>
        <w:pStyle w:val="million"/>
        <w:rPr>
          <w:rFonts w:ascii="Times New Roman" w:hAnsi="Times New Roman"/>
          <w:lang w:eastAsia="en-AU"/>
        </w:rPr>
      </w:pPr>
      <w:r w:rsidRPr="006A75A2">
        <w:t>($ million)</w:t>
      </w:r>
    </w:p>
    <w:tbl>
      <w:tblPr>
        <w:tblW w:w="9640" w:type="dxa"/>
        <w:tblInd w:w="29" w:type="dxa"/>
        <w:tblLayout w:type="fixed"/>
        <w:tblCellMar>
          <w:left w:w="43" w:type="dxa"/>
          <w:right w:w="43" w:type="dxa"/>
        </w:tblCellMar>
        <w:tblLook w:val="0000" w:firstRow="0" w:lastRow="0" w:firstColumn="0" w:lastColumn="0" w:noHBand="0" w:noVBand="0"/>
      </w:tblPr>
      <w:tblGrid>
        <w:gridCol w:w="4550"/>
        <w:gridCol w:w="610"/>
        <w:gridCol w:w="1120"/>
        <w:gridCol w:w="1120"/>
        <w:gridCol w:w="1120"/>
        <w:gridCol w:w="1120"/>
      </w:tblGrid>
      <w:tr w:rsidR="00B546EF" w:rsidRPr="006A75A2" w:rsidTr="00AD1FBF">
        <w:tc>
          <w:tcPr>
            <w:tcW w:w="4550" w:type="dxa"/>
            <w:tcBorders>
              <w:top w:val="single" w:sz="6" w:space="0" w:color="auto"/>
              <w:left w:val="single" w:sz="6" w:space="0" w:color="auto"/>
            </w:tcBorders>
            <w:shd w:val="clear" w:color="000000" w:fill="000000"/>
          </w:tcPr>
          <w:p w:rsidR="00B546EF" w:rsidRPr="006A75A2" w:rsidRDefault="00B546EF" w:rsidP="004B5CB1">
            <w:pPr>
              <w:pStyle w:val="TabletextheadingLeft"/>
              <w:rPr>
                <w:rFonts w:eastAsiaTheme="minorEastAsia"/>
                <w:lang w:eastAsia="en-AU"/>
              </w:rPr>
            </w:pPr>
            <w:r w:rsidRPr="006A75A2">
              <w:rPr>
                <w:rFonts w:eastAsiaTheme="minorEastAsia"/>
                <w:lang w:eastAsia="en-AU"/>
              </w:rPr>
              <w:t>General government sector</w:t>
            </w:r>
          </w:p>
        </w:tc>
        <w:tc>
          <w:tcPr>
            <w:tcW w:w="1730" w:type="dxa"/>
            <w:gridSpan w:val="2"/>
            <w:tcBorders>
              <w:top w:val="single" w:sz="6" w:space="0" w:color="auto"/>
            </w:tcBorders>
            <w:shd w:val="clear" w:color="000000" w:fill="000000"/>
          </w:tcPr>
          <w:p w:rsidR="00B546EF" w:rsidRPr="006A75A2" w:rsidRDefault="00B546EF" w:rsidP="004B5CB1">
            <w:pPr>
              <w:pStyle w:val="Tabletextheading"/>
              <w:rPr>
                <w:rFonts w:eastAsiaTheme="minorEastAsia"/>
                <w:lang w:eastAsia="en-AU"/>
              </w:rPr>
            </w:pPr>
            <w:r w:rsidRPr="006A75A2">
              <w:rPr>
                <w:rFonts w:eastAsiaTheme="minorEastAsia"/>
                <w:lang w:eastAsia="en-AU"/>
              </w:rPr>
              <w:t>Carrying amount as at 30 June</w:t>
            </w:r>
          </w:p>
        </w:tc>
        <w:tc>
          <w:tcPr>
            <w:tcW w:w="3360" w:type="dxa"/>
            <w:gridSpan w:val="3"/>
            <w:tcBorders>
              <w:top w:val="single" w:sz="6" w:space="0" w:color="auto"/>
              <w:right w:val="single" w:sz="6" w:space="0" w:color="auto"/>
            </w:tcBorders>
            <w:shd w:val="clear" w:color="000000" w:fill="000000"/>
          </w:tcPr>
          <w:p w:rsidR="00B546EF" w:rsidRPr="006A75A2" w:rsidRDefault="00B546EF" w:rsidP="00B546EF">
            <w:pPr>
              <w:pStyle w:val="TabletextheadingCentred"/>
              <w:rPr>
                <w:rFonts w:eastAsiaTheme="minorEastAsia" w:cs="Calibri"/>
                <w:iCs/>
                <w:szCs w:val="22"/>
                <w:lang w:eastAsia="en-AU"/>
              </w:rPr>
            </w:pPr>
            <w:r w:rsidRPr="006A75A2">
              <w:rPr>
                <w:rFonts w:eastAsiaTheme="minorEastAsia"/>
                <w:lang w:eastAsia="en-AU"/>
              </w:rPr>
              <w:t>Fair value measurement at the end of reporting period using:</w:t>
            </w:r>
          </w:p>
        </w:tc>
      </w:tr>
      <w:tr w:rsidR="004E6C32" w:rsidRPr="006A75A2" w:rsidTr="004B5CB1">
        <w:tc>
          <w:tcPr>
            <w:tcW w:w="5160" w:type="dxa"/>
            <w:gridSpan w:val="2"/>
            <w:tcBorders>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2014</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Level 1</w:t>
            </w:r>
            <w:r w:rsidRPr="006A75A2">
              <w:rPr>
                <w:rFonts w:eastAsiaTheme="minorEastAsia"/>
                <w:i w:val="0"/>
                <w:vertAlign w:val="superscript"/>
                <w:lang w:eastAsia="en-AU"/>
              </w:rPr>
              <w:t>(</w:t>
            </w:r>
            <w:r w:rsidRPr="006A75A2">
              <w:rPr>
                <w:rFonts w:eastAsiaTheme="minorEastAsia"/>
                <w:sz w:val="20"/>
                <w:vertAlign w:val="superscript"/>
                <w:lang w:eastAsia="en-AU"/>
              </w:rPr>
              <w:t>a)</w:t>
            </w:r>
          </w:p>
        </w:tc>
        <w:tc>
          <w:tcPr>
            <w:tcW w:w="1120" w:type="dxa"/>
            <w:tcBorders>
              <w:left w:val="nil"/>
              <w:bottom w:val="single" w:sz="6" w:space="0" w:color="auto"/>
              <w:right w:val="nil"/>
            </w:tcBorders>
            <w:shd w:val="clear" w:color="000000" w:fill="000000"/>
          </w:tcPr>
          <w:p w:rsidR="004E6C32" w:rsidRPr="006A75A2" w:rsidRDefault="004E6C32" w:rsidP="009861EA">
            <w:pPr>
              <w:pStyle w:val="Tabletextheading"/>
              <w:rPr>
                <w:rFonts w:eastAsiaTheme="minorEastAsia"/>
                <w:sz w:val="20"/>
                <w:vertAlign w:val="superscript"/>
                <w:lang w:eastAsia="en-AU"/>
              </w:rPr>
            </w:pPr>
            <w:r w:rsidRPr="006A75A2">
              <w:rPr>
                <w:rFonts w:eastAsiaTheme="minorEastAsia"/>
                <w:lang w:eastAsia="en-AU"/>
              </w:rPr>
              <w:t>Level 2</w:t>
            </w:r>
            <w:r w:rsidRPr="006A75A2">
              <w:rPr>
                <w:rFonts w:eastAsiaTheme="minorEastAsia"/>
                <w:sz w:val="20"/>
                <w:vertAlign w:val="superscript"/>
                <w:lang w:eastAsia="en-AU"/>
              </w:rPr>
              <w:t>(b)</w:t>
            </w:r>
          </w:p>
        </w:tc>
        <w:tc>
          <w:tcPr>
            <w:tcW w:w="1120" w:type="dxa"/>
            <w:tcBorders>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Level 3</w:t>
            </w:r>
            <w:r w:rsidRPr="006A75A2">
              <w:rPr>
                <w:rFonts w:eastAsiaTheme="minorEastAsia"/>
                <w:i w:val="0"/>
                <w:vertAlign w:val="superscript"/>
                <w:lang w:eastAsia="en-AU"/>
              </w:rPr>
              <w:t>(c</w:t>
            </w:r>
            <w:r w:rsidRPr="006A75A2">
              <w:rPr>
                <w:rFonts w:eastAsiaTheme="minorEastAsia"/>
                <w:sz w:val="20"/>
                <w:vertAlign w:val="superscript"/>
                <w:lang w:eastAsia="en-AU"/>
              </w:rPr>
              <w:t>)</w:t>
            </w:r>
          </w:p>
        </w:tc>
      </w:tr>
      <w:tr w:rsidR="004E6C32" w:rsidRPr="006A75A2" w:rsidTr="004B5CB1">
        <w:tc>
          <w:tcPr>
            <w:tcW w:w="5160" w:type="dxa"/>
            <w:gridSpan w:val="2"/>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Buildings</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21 579.7</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1 689.3</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19 890.4</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Non-specialised buildings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2 805.1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562.1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2 243.0</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Specialised buildings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17 617.2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1 127.3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16 489.9</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Heritage buildings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1 157.4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1 157.4</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Land and national parks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37 648.4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1 336.8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36 311.6</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Non-specialised land</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2 718.7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889.7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1 829.0</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Specialised land</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17 351.4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447.1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16 904.3</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Land under roads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15 892.8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15 892.8</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National parks and other </w:t>
            </w:r>
            <w:r w:rsidR="00C96101" w:rsidRPr="006A75A2">
              <w:rPr>
                <w:rFonts w:eastAsiaTheme="minorEastAsia"/>
                <w:lang w:eastAsia="en-AU"/>
              </w:rPr>
              <w:t>‘</w:t>
            </w:r>
            <w:r w:rsidRPr="006A75A2">
              <w:rPr>
                <w:rFonts w:eastAsiaTheme="minorEastAsia"/>
                <w:lang w:eastAsia="en-AU"/>
              </w:rPr>
              <w:t>land only</w:t>
            </w:r>
            <w:r w:rsidR="00C96101" w:rsidRPr="006A75A2">
              <w:rPr>
                <w:rFonts w:eastAsiaTheme="minorEastAsia"/>
                <w:lang w:eastAsia="en-AU"/>
              </w:rPr>
              <w:t>’</w:t>
            </w:r>
            <w:r w:rsidRPr="006A75A2">
              <w:rPr>
                <w:rFonts w:eastAsiaTheme="minorEastAsia"/>
                <w:lang w:eastAsia="en-AU"/>
              </w:rPr>
              <w:t xml:space="preserve"> holdings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1 685.5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1 685.5</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Plant, equipment, vehicles and infrastructure systems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3 121.7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256.3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2 865.4</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Infrastructure systems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1 134.8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1 125.3</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Rolling stock</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Plant, equipment and vehicles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1 986.9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246.8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1 740.1</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bCs/>
                <w:lang w:eastAsia="en-AU"/>
              </w:rPr>
              <w:t>Roads, road infrastructure and</w:t>
            </w:r>
            <w:r w:rsidRPr="006A75A2">
              <w:rPr>
                <w:rFonts w:eastAsiaTheme="minorEastAsia" w:cs="Calibri"/>
                <w:b/>
                <w:bCs/>
                <w:szCs w:val="22"/>
                <w:lang w:eastAsia="en-AU"/>
              </w:rPr>
              <w:t xml:space="preserve"> earthworks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28 607.4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400.4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28 207.0</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Roads and roads infrastructure</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20 922.2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356.1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20 566.1</w:t>
            </w:r>
          </w:p>
        </w:tc>
      </w:tr>
      <w:tr w:rsidR="004E6C32" w:rsidRPr="006A75A2" w:rsidTr="004B5CB1">
        <w:tc>
          <w:tcPr>
            <w:tcW w:w="516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Earthworks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7 685.2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7 640.9</w:t>
            </w:r>
          </w:p>
        </w:tc>
      </w:tr>
      <w:tr w:rsidR="004E6C32" w:rsidRPr="006A75A2" w:rsidTr="004B5CB1">
        <w:tc>
          <w:tcPr>
            <w:tcW w:w="5160" w:type="dxa"/>
            <w:gridSpan w:val="2"/>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Cultural assets</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5 489.5</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3 343.3</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2 146.2</w:t>
            </w:r>
          </w:p>
        </w:tc>
      </w:tr>
      <w:tr w:rsidR="004E6C32" w:rsidRPr="006A75A2" w:rsidTr="004B5CB1">
        <w:tc>
          <w:tcPr>
            <w:tcW w:w="5160" w:type="dxa"/>
            <w:gridSpan w:val="2"/>
            <w:tcBorders>
              <w:top w:val="single" w:sz="6" w:space="0" w:color="auto"/>
              <w:left w:val="nil"/>
              <w:bottom w:val="single" w:sz="12" w:space="0" w:color="000000"/>
              <w:right w:val="nil"/>
            </w:tcBorders>
          </w:tcPr>
          <w:p w:rsidR="004E6C32" w:rsidRPr="006A75A2" w:rsidRDefault="004E6C32" w:rsidP="009861EA">
            <w:pPr>
              <w:pStyle w:val="Tabletext"/>
              <w:rPr>
                <w:rFonts w:eastAsiaTheme="minorEastAsia" w:cs="Calibri"/>
                <w:b/>
                <w:bCs/>
                <w:szCs w:val="22"/>
                <w:vertAlign w:val="superscript"/>
                <w:lang w:eastAsia="en-AU"/>
              </w:rPr>
            </w:pPr>
            <w:r w:rsidRPr="006A75A2">
              <w:rPr>
                <w:rFonts w:eastAsiaTheme="minorEastAsia"/>
                <w:b/>
                <w:bCs/>
                <w:lang w:eastAsia="en-AU"/>
              </w:rPr>
              <w:t>Total land, buildings, infrastructure, plant and equipment</w:t>
            </w:r>
            <w:r w:rsidRPr="006A75A2">
              <w:rPr>
                <w:vertAlign w:val="superscript"/>
              </w:rPr>
              <w:t>(</w:t>
            </w:r>
            <w:r w:rsidRPr="006A75A2">
              <w:rPr>
                <w:rFonts w:eastAsiaTheme="minorEastAsia" w:cs="Calibri"/>
                <w:b/>
                <w:bCs/>
                <w:szCs w:val="22"/>
                <w:vertAlign w:val="superscript"/>
                <w:lang w:eastAsia="en-AU"/>
              </w:rPr>
              <w:t>d)</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96 446.6</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7 026.0</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89 420.6</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Quoted prices (unadjusted) in active markets for identical assets or liabilities.</w:t>
      </w:r>
    </w:p>
    <w:p w:rsidR="004E6C32" w:rsidRPr="006A75A2" w:rsidRDefault="004E6C32" w:rsidP="004B5CB1">
      <w:pPr>
        <w:pStyle w:val="Notes"/>
      </w:pPr>
      <w:r w:rsidRPr="006A75A2">
        <w:t xml:space="preserve">(b) </w:t>
      </w:r>
      <w:r w:rsidRPr="006A75A2">
        <w:tab/>
        <w:t xml:space="preserve">Inputs based on observable market data (either directly using prices or indirectly derived from prices). </w:t>
      </w:r>
    </w:p>
    <w:p w:rsidR="004E6C32" w:rsidRPr="006A75A2" w:rsidRDefault="004E6C32" w:rsidP="004B5CB1">
      <w:pPr>
        <w:pStyle w:val="Notes"/>
      </w:pPr>
      <w:r w:rsidRPr="006A75A2">
        <w:t xml:space="preserve">(c) </w:t>
      </w:r>
      <w:r w:rsidRPr="006A75A2">
        <w:tab/>
        <w:t>Inputs not based on observable market data.</w:t>
      </w:r>
    </w:p>
    <w:p w:rsidR="004E6C32" w:rsidRPr="006A75A2" w:rsidRDefault="004E6C32" w:rsidP="004B5CB1">
      <w:pPr>
        <w:pStyle w:val="Notes"/>
        <w:rPr>
          <w:rFonts w:asciiTheme="minorHAnsi" w:hAnsiTheme="minorHAnsi" w:cstheme="minorHAnsi"/>
          <w:sz w:val="22"/>
          <w:szCs w:val="22"/>
        </w:rPr>
      </w:pPr>
      <w:r w:rsidRPr="006A75A2">
        <w:t>(d)</w:t>
      </w:r>
      <w:r w:rsidRPr="006A75A2">
        <w:tab/>
        <w:t>The total land, building, infrastructure, plant and equipment excludes leased assets and construction in progress assets at cost of $7 197.5 million.</w:t>
      </w:r>
    </w:p>
    <w:p w:rsidR="004E6C32" w:rsidRPr="006A75A2" w:rsidRDefault="004E6C32" w:rsidP="004B5CB1">
      <w:pPr>
        <w:rPr>
          <w:rFonts w:asciiTheme="minorHAnsi" w:hAnsiTheme="minorHAnsi" w:cstheme="minorHAnsi"/>
          <w:sz w:val="22"/>
          <w:szCs w:val="22"/>
        </w:rPr>
      </w:pPr>
    </w:p>
    <w:p w:rsidR="004E6C32" w:rsidRPr="006A75A2" w:rsidRDefault="004E6C32">
      <w:pPr>
        <w:spacing w:after="0"/>
        <w:rPr>
          <w:rFonts w:ascii="Calibri" w:hAnsi="Calibri"/>
          <w:b/>
          <w:highlight w:val="yellow"/>
        </w:rPr>
      </w:pPr>
      <w:r w:rsidRPr="006A75A2">
        <w:rPr>
          <w:highlight w:val="yellow"/>
        </w:rPr>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4E6C32" w:rsidRPr="006A75A2" w:rsidRDefault="004E6C32" w:rsidP="0067336F">
      <w:pPr>
        <w:pStyle w:val="Heading5"/>
      </w:pPr>
      <w:r w:rsidRPr="006A75A2">
        <w:t>(h)</w:t>
      </w:r>
      <w:r w:rsidRPr="006A75A2">
        <w:tab/>
        <w:t>Reconciliation of Level 3 fair value movements</w:t>
      </w:r>
    </w:p>
    <w:p w:rsidR="004E6C32" w:rsidRPr="006A75A2" w:rsidRDefault="004E6C32" w:rsidP="004B5CB1">
      <w:pPr>
        <w:pStyle w:val="million"/>
      </w:pPr>
      <w:r w:rsidRPr="006A75A2">
        <w:t>($ million)</w:t>
      </w:r>
    </w:p>
    <w:tbl>
      <w:tblPr>
        <w:tblW w:w="9640" w:type="dxa"/>
        <w:tblInd w:w="29" w:type="dxa"/>
        <w:tblLayout w:type="fixed"/>
        <w:tblCellMar>
          <w:left w:w="45" w:type="dxa"/>
          <w:right w:w="45" w:type="dxa"/>
        </w:tblCellMar>
        <w:tblLook w:val="0000" w:firstRow="0" w:lastRow="0" w:firstColumn="0" w:lastColumn="0" w:noHBand="0" w:noVBand="0"/>
      </w:tblPr>
      <w:tblGrid>
        <w:gridCol w:w="4269"/>
        <w:gridCol w:w="992"/>
        <w:gridCol w:w="1334"/>
        <w:gridCol w:w="1246"/>
        <w:gridCol w:w="1799"/>
      </w:tblGrid>
      <w:tr w:rsidR="002E2762" w:rsidRPr="006A75A2" w:rsidTr="002E2762">
        <w:trPr>
          <w:cantSplit/>
          <w:trHeight w:val="80"/>
          <w:tblHeader/>
        </w:trPr>
        <w:tc>
          <w:tcPr>
            <w:tcW w:w="4269" w:type="dxa"/>
            <w:tcBorders>
              <w:top w:val="single" w:sz="6" w:space="0" w:color="000000"/>
              <w:left w:val="single" w:sz="6" w:space="0" w:color="000000"/>
              <w:right w:val="nil"/>
            </w:tcBorders>
            <w:shd w:val="clear" w:color="auto" w:fill="000000"/>
          </w:tcPr>
          <w:p w:rsidR="002E2762" w:rsidRPr="006A75A2" w:rsidRDefault="002E2762" w:rsidP="004B5CB1">
            <w:pPr>
              <w:pStyle w:val="Tabletext"/>
              <w:rPr>
                <w:rFonts w:eastAsiaTheme="minorEastAsia"/>
                <w:i/>
                <w:lang w:eastAsia="en-AU"/>
              </w:rPr>
            </w:pPr>
            <w:r w:rsidRPr="006A75A2">
              <w:rPr>
                <w:rFonts w:eastAsiaTheme="minorEastAsia"/>
                <w:i/>
                <w:lang w:eastAsia="en-AU"/>
              </w:rPr>
              <w:t>State of Victoria</w:t>
            </w:r>
          </w:p>
          <w:p w:rsidR="002E2762" w:rsidRPr="006A75A2" w:rsidRDefault="002E2762" w:rsidP="004B5CB1">
            <w:pPr>
              <w:pStyle w:val="Tabletext"/>
              <w:rPr>
                <w:rFonts w:eastAsiaTheme="minorEastAsia"/>
                <w:i/>
                <w:lang w:eastAsia="en-AU"/>
              </w:rPr>
            </w:pPr>
            <w:r w:rsidRPr="006A75A2">
              <w:rPr>
                <w:rFonts w:eastAsiaTheme="minorEastAsia"/>
                <w:i/>
                <w:lang w:eastAsia="en-AU"/>
              </w:rPr>
              <w:t>2014</w:t>
            </w:r>
          </w:p>
        </w:tc>
        <w:tc>
          <w:tcPr>
            <w:tcW w:w="992" w:type="dxa"/>
            <w:tcBorders>
              <w:top w:val="single" w:sz="6" w:space="0" w:color="000000"/>
              <w:left w:val="nil"/>
              <w:right w:val="nil"/>
            </w:tcBorders>
            <w:shd w:val="clear" w:color="auto" w:fill="000000"/>
          </w:tcPr>
          <w:p w:rsidR="002E2762" w:rsidRPr="006A75A2" w:rsidRDefault="002E2762" w:rsidP="004B5CB1">
            <w:pPr>
              <w:pStyle w:val="Tabletextheading"/>
              <w:rPr>
                <w:rFonts w:eastAsiaTheme="minorEastAsia"/>
                <w:lang w:eastAsia="en-AU"/>
              </w:rPr>
            </w:pPr>
            <w:r w:rsidRPr="006A75A2">
              <w:rPr>
                <w:rFonts w:eastAsiaTheme="minorEastAsia"/>
                <w:lang w:eastAsia="en-AU"/>
              </w:rPr>
              <w:t>Opening balance</w:t>
            </w:r>
          </w:p>
        </w:tc>
        <w:tc>
          <w:tcPr>
            <w:tcW w:w="1334" w:type="dxa"/>
            <w:tcBorders>
              <w:top w:val="single" w:sz="6" w:space="0" w:color="000000"/>
              <w:left w:val="nil"/>
              <w:right w:val="nil"/>
            </w:tcBorders>
            <w:shd w:val="clear" w:color="auto" w:fill="000000"/>
            <w:vAlign w:val="bottom"/>
          </w:tcPr>
          <w:p w:rsidR="002E2762" w:rsidRPr="006A75A2" w:rsidRDefault="002E2762" w:rsidP="002E2762">
            <w:pPr>
              <w:pStyle w:val="Tabletextheading"/>
              <w:rPr>
                <w:rFonts w:eastAsiaTheme="minorEastAsia"/>
                <w:lang w:eastAsia="en-AU"/>
              </w:rPr>
            </w:pPr>
            <w:r w:rsidRPr="006A75A2">
              <w:rPr>
                <w:rFonts w:eastAsiaTheme="minorEastAsia"/>
                <w:lang w:eastAsia="en-AU"/>
              </w:rPr>
              <w:t>Depreciation</w:t>
            </w:r>
          </w:p>
        </w:tc>
        <w:tc>
          <w:tcPr>
            <w:tcW w:w="1246" w:type="dxa"/>
            <w:tcBorders>
              <w:top w:val="single" w:sz="6" w:space="0" w:color="000000"/>
              <w:left w:val="nil"/>
              <w:right w:val="nil"/>
            </w:tcBorders>
            <w:shd w:val="clear" w:color="auto" w:fill="000000"/>
            <w:vAlign w:val="bottom"/>
          </w:tcPr>
          <w:p w:rsidR="002E2762" w:rsidRPr="006A75A2" w:rsidRDefault="002E2762" w:rsidP="002E2762">
            <w:pPr>
              <w:pStyle w:val="Tabletextheading"/>
              <w:rPr>
                <w:rFonts w:eastAsiaTheme="minorEastAsia"/>
                <w:lang w:eastAsia="en-AU"/>
              </w:rPr>
            </w:pPr>
            <w:r w:rsidRPr="006A75A2">
              <w:rPr>
                <w:rFonts w:eastAsiaTheme="minorEastAsia"/>
                <w:lang w:eastAsia="en-AU"/>
              </w:rPr>
              <w:t>Impairment</w:t>
            </w:r>
          </w:p>
        </w:tc>
        <w:tc>
          <w:tcPr>
            <w:tcW w:w="1799" w:type="dxa"/>
            <w:tcBorders>
              <w:top w:val="single" w:sz="6" w:space="0" w:color="000000"/>
              <w:left w:val="nil"/>
              <w:right w:val="single" w:sz="6" w:space="0" w:color="000000"/>
            </w:tcBorders>
            <w:shd w:val="clear" w:color="auto" w:fill="000000"/>
          </w:tcPr>
          <w:p w:rsidR="002E2762" w:rsidRPr="006A75A2" w:rsidRDefault="002E2762" w:rsidP="004B5CB1">
            <w:pPr>
              <w:pStyle w:val="Tabletextheading"/>
              <w:rPr>
                <w:rFonts w:eastAsiaTheme="minorEastAsia"/>
                <w:lang w:eastAsia="en-AU"/>
              </w:rPr>
            </w:pPr>
            <w:r w:rsidRPr="006A75A2">
              <w:rPr>
                <w:rFonts w:eastAsiaTheme="minorEastAsia"/>
                <w:lang w:eastAsia="en-AU"/>
              </w:rPr>
              <w:t>Assets recognised for the first time</w:t>
            </w:r>
          </w:p>
        </w:tc>
      </w:tr>
      <w:tr w:rsidR="004E6C32" w:rsidRPr="006A75A2" w:rsidTr="004B5CB1">
        <w:trPr>
          <w:cantSplit/>
        </w:trPr>
        <w:tc>
          <w:tcPr>
            <w:tcW w:w="4269" w:type="dxa"/>
            <w:tcBorders>
              <w:top w:val="single" w:sz="6" w:space="0" w:color="000000"/>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Buildings</w:t>
            </w:r>
          </w:p>
        </w:tc>
        <w:tc>
          <w:tcPr>
            <w:tcW w:w="992" w:type="dxa"/>
            <w:tcBorders>
              <w:top w:val="single" w:sz="6" w:space="0" w:color="000000"/>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24 279.4</w:t>
            </w:r>
          </w:p>
        </w:tc>
        <w:tc>
          <w:tcPr>
            <w:tcW w:w="1334" w:type="dxa"/>
            <w:tcBorders>
              <w:top w:val="single" w:sz="6" w:space="0" w:color="000000"/>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(1 116.1)</w:t>
            </w:r>
          </w:p>
        </w:tc>
        <w:tc>
          <w:tcPr>
            <w:tcW w:w="1246" w:type="dxa"/>
            <w:tcBorders>
              <w:top w:val="single" w:sz="6" w:space="0" w:color="000000"/>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(2.2)</w:t>
            </w:r>
          </w:p>
        </w:tc>
        <w:tc>
          <w:tcPr>
            <w:tcW w:w="1799" w:type="dxa"/>
            <w:tcBorders>
              <w:top w:val="single" w:sz="6" w:space="0" w:color="000000"/>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49.8</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Non-specialised buildings</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2 664.1</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(185.7)</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17.7</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Specialised buildings</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20 430.8</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(892.3)</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(2.2)</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32.0</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Heritage buildings</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1 184.5</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(38.2)</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Land and national parks</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41 561.7</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(2.8)</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(0.1)</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34.4</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Non-specialised land</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1 930.8</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22.3</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Specialised land</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22 053.0</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(2.8)</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(0.1)</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12.1</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Land under roads</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15 892.4</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National parks and other </w:t>
            </w:r>
            <w:r w:rsidR="00C96101" w:rsidRPr="006A75A2">
              <w:rPr>
                <w:rFonts w:eastAsiaTheme="minorEastAsia"/>
                <w:lang w:eastAsia="en-AU"/>
              </w:rPr>
              <w:t>‘</w:t>
            </w:r>
            <w:r w:rsidRPr="006A75A2">
              <w:rPr>
                <w:rFonts w:eastAsiaTheme="minorEastAsia"/>
                <w:lang w:eastAsia="en-AU"/>
              </w:rPr>
              <w:t>land only</w:t>
            </w:r>
            <w:r w:rsidR="00C96101" w:rsidRPr="006A75A2">
              <w:rPr>
                <w:rFonts w:eastAsiaTheme="minorEastAsia"/>
                <w:lang w:eastAsia="en-AU"/>
              </w:rPr>
              <w:t>’</w:t>
            </w:r>
            <w:r w:rsidRPr="006A75A2">
              <w:rPr>
                <w:rFonts w:eastAsiaTheme="minorEastAsia"/>
                <w:lang w:eastAsia="en-AU"/>
              </w:rPr>
              <w:t xml:space="preserve"> holdings</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1 685.5</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Plant, equipment, vehicles and infrastructure systems </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48 703.1</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(1 862.0)</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(2.2)</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90.3</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Infrastructure systems</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43 213.7</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(1 161.9)</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37.2</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Rolling stock</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2 481.8</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(0.2)</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Plant, equipment and vehicles</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3 007.6</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(700.1)</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(0.4)</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53.1</w:t>
            </w:r>
          </w:p>
        </w:tc>
      </w:tr>
      <w:tr w:rsidR="004E6C32" w:rsidRPr="006A75A2" w:rsidTr="004B5CB1">
        <w:trPr>
          <w:cantSplit/>
        </w:trPr>
        <w:tc>
          <w:tcPr>
            <w:tcW w:w="4269"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lang w:eastAsia="en-AU"/>
              </w:rPr>
              <w:t>Roads, road infrastructure and</w:t>
            </w:r>
            <w:r w:rsidRPr="006A75A2">
              <w:rPr>
                <w:rFonts w:eastAsiaTheme="minorEastAsia" w:cs="Calibri"/>
                <w:b/>
                <w:bCs/>
                <w:szCs w:val="22"/>
                <w:lang w:eastAsia="en-AU"/>
              </w:rPr>
              <w:t xml:space="preserve"> earthworks</w:t>
            </w:r>
          </w:p>
        </w:tc>
        <w:tc>
          <w:tcPr>
            <w:tcW w:w="99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27 349.7</w:t>
            </w:r>
          </w:p>
        </w:tc>
        <w:tc>
          <w:tcPr>
            <w:tcW w:w="133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(567.9)</w:t>
            </w:r>
          </w:p>
        </w:tc>
        <w:tc>
          <w:tcPr>
            <w:tcW w:w="124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79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4.4</w:t>
            </w:r>
          </w:p>
        </w:tc>
      </w:tr>
      <w:tr w:rsidR="004E6C32" w:rsidRPr="006A75A2" w:rsidTr="004B5CB1">
        <w:trPr>
          <w:cantSplit/>
        </w:trPr>
        <w:tc>
          <w:tcPr>
            <w:tcW w:w="4269" w:type="dxa"/>
            <w:tcBorders>
              <w:top w:val="nil"/>
              <w:left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Roads </w:t>
            </w:r>
            <w:r w:rsidRPr="006A75A2">
              <w:rPr>
                <w:rFonts w:eastAsiaTheme="minorEastAsia" w:cs="Calibri"/>
                <w:szCs w:val="22"/>
                <w:lang w:eastAsia="en-AU"/>
              </w:rPr>
              <w:t>and roads infrastructure</w:t>
            </w:r>
          </w:p>
        </w:tc>
        <w:tc>
          <w:tcPr>
            <w:tcW w:w="992" w:type="dxa"/>
            <w:tcBorders>
              <w:top w:val="nil"/>
              <w:left w:val="nil"/>
              <w:right w:val="nil"/>
            </w:tcBorders>
            <w:shd w:val="solid" w:color="FFFFFF" w:fill="auto"/>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20 097.6</w:t>
            </w:r>
          </w:p>
        </w:tc>
        <w:tc>
          <w:tcPr>
            <w:tcW w:w="1334" w:type="dxa"/>
            <w:tcBorders>
              <w:top w:val="nil"/>
              <w:left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(567.9)</w:t>
            </w:r>
          </w:p>
        </w:tc>
        <w:tc>
          <w:tcPr>
            <w:tcW w:w="1246" w:type="dxa"/>
            <w:tcBorders>
              <w:top w:val="nil"/>
              <w:left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99" w:type="dxa"/>
            <w:tcBorders>
              <w:top w:val="nil"/>
              <w:left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w:t>
            </w:r>
          </w:p>
        </w:tc>
      </w:tr>
      <w:tr w:rsidR="004E6C32" w:rsidRPr="006A75A2" w:rsidTr="004B5CB1">
        <w:trPr>
          <w:cantSplit/>
        </w:trPr>
        <w:tc>
          <w:tcPr>
            <w:tcW w:w="4269" w:type="dxa"/>
            <w:tcBorders>
              <w:top w:val="nil"/>
              <w:left w:val="nil"/>
              <w:right w:val="nil"/>
            </w:tcBorders>
            <w:shd w:val="solid" w:color="FFFFFF" w:fill="auto"/>
          </w:tcPr>
          <w:p w:rsidR="004E6C32" w:rsidRPr="006A75A2" w:rsidRDefault="004E6C32" w:rsidP="004B5CB1">
            <w:pPr>
              <w:pStyle w:val="Tabletext"/>
              <w:rPr>
                <w:rFonts w:eastAsiaTheme="minorEastAsia"/>
                <w:bCs/>
                <w:lang w:eastAsia="en-AU"/>
              </w:rPr>
            </w:pPr>
            <w:r w:rsidRPr="006A75A2">
              <w:rPr>
                <w:rFonts w:eastAsiaTheme="minorEastAsia"/>
                <w:bCs/>
                <w:lang w:eastAsia="en-AU"/>
              </w:rPr>
              <w:t>Earthworks</w:t>
            </w:r>
          </w:p>
        </w:tc>
        <w:tc>
          <w:tcPr>
            <w:tcW w:w="992" w:type="dxa"/>
            <w:tcBorders>
              <w:top w:val="nil"/>
              <w:left w:val="nil"/>
              <w:right w:val="nil"/>
            </w:tcBorders>
            <w:shd w:val="solid" w:color="FFFFFF" w:fill="auto"/>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7 252.1</w:t>
            </w:r>
          </w:p>
        </w:tc>
        <w:tc>
          <w:tcPr>
            <w:tcW w:w="1334" w:type="dxa"/>
            <w:tcBorders>
              <w:top w:val="nil"/>
              <w:left w:val="nil"/>
              <w:right w:val="nil"/>
            </w:tcBorders>
            <w:shd w:val="solid" w:color="FFFFFF" w:fill="auto"/>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w:t>
            </w:r>
          </w:p>
        </w:tc>
        <w:tc>
          <w:tcPr>
            <w:tcW w:w="1246" w:type="dxa"/>
            <w:tcBorders>
              <w:top w:val="nil"/>
              <w:left w:val="nil"/>
              <w:right w:val="nil"/>
            </w:tcBorders>
            <w:shd w:val="solid" w:color="FFFFFF" w:fill="auto"/>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w:t>
            </w:r>
          </w:p>
        </w:tc>
        <w:tc>
          <w:tcPr>
            <w:tcW w:w="1799" w:type="dxa"/>
            <w:tcBorders>
              <w:top w:val="nil"/>
              <w:left w:val="nil"/>
              <w:right w:val="nil"/>
            </w:tcBorders>
            <w:shd w:val="solid" w:color="FFFFFF" w:fill="auto"/>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 xml:space="preserve"> 0.5</w:t>
            </w:r>
          </w:p>
        </w:tc>
      </w:tr>
      <w:tr w:rsidR="004E6C32" w:rsidRPr="006A75A2" w:rsidTr="004B5CB1">
        <w:trPr>
          <w:cantSplit/>
        </w:trPr>
        <w:tc>
          <w:tcPr>
            <w:tcW w:w="4269" w:type="dxa"/>
            <w:tcBorders>
              <w:left w:val="nil"/>
              <w:bottom w:val="single" w:sz="12" w:space="0" w:color="auto"/>
              <w:right w:val="nil"/>
            </w:tcBorders>
          </w:tcPr>
          <w:p w:rsidR="004E6C32" w:rsidRPr="006A75A2" w:rsidRDefault="004E6C32" w:rsidP="004B5CB1">
            <w:pPr>
              <w:pStyle w:val="Tabletext"/>
              <w:rPr>
                <w:rFonts w:eastAsiaTheme="minorEastAsia" w:cs="Calibri"/>
                <w:b/>
                <w:bCs/>
                <w:szCs w:val="22"/>
                <w:lang w:eastAsia="en-AU"/>
              </w:rPr>
            </w:pPr>
            <w:r w:rsidRPr="006A75A2">
              <w:rPr>
                <w:rFonts w:eastAsiaTheme="minorEastAsia"/>
                <w:b/>
                <w:bCs/>
                <w:lang w:eastAsia="en-AU"/>
              </w:rPr>
              <w:t xml:space="preserve">Cultural </w:t>
            </w:r>
            <w:r w:rsidRPr="006A75A2">
              <w:rPr>
                <w:rFonts w:eastAsiaTheme="minorEastAsia" w:cs="Calibri"/>
                <w:b/>
                <w:bCs/>
                <w:szCs w:val="22"/>
                <w:lang w:eastAsia="en-AU"/>
              </w:rPr>
              <w:t>assets</w:t>
            </w:r>
          </w:p>
        </w:tc>
        <w:tc>
          <w:tcPr>
            <w:tcW w:w="992" w:type="dxa"/>
            <w:tcBorders>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2 092.0</w:t>
            </w:r>
          </w:p>
        </w:tc>
        <w:tc>
          <w:tcPr>
            <w:tcW w:w="1334" w:type="dxa"/>
            <w:tcBorders>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(15.2)</w:t>
            </w:r>
          </w:p>
        </w:tc>
        <w:tc>
          <w:tcPr>
            <w:tcW w:w="1246" w:type="dxa"/>
            <w:tcBorders>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799" w:type="dxa"/>
            <w:tcBorders>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r w:rsidR="004E6C32" w:rsidRPr="006A75A2" w:rsidTr="004B5CB1">
        <w:trPr>
          <w:cantSplit/>
        </w:trPr>
        <w:tc>
          <w:tcPr>
            <w:tcW w:w="4269" w:type="dxa"/>
            <w:tcBorders>
              <w:top w:val="single" w:sz="12" w:space="0" w:color="auto"/>
              <w:left w:val="nil"/>
              <w:bottom w:val="single" w:sz="12" w:space="0" w:color="000000"/>
              <w:right w:val="nil"/>
            </w:tcBorders>
          </w:tcPr>
          <w:p w:rsidR="004E6C32" w:rsidRPr="006A75A2" w:rsidRDefault="004E6C32" w:rsidP="004B5CB1">
            <w:pPr>
              <w:pStyle w:val="Tabletext"/>
              <w:rPr>
                <w:rFonts w:eastAsiaTheme="minorEastAsia" w:cs="Calibri"/>
                <w:b/>
                <w:bCs/>
                <w:szCs w:val="22"/>
                <w:lang w:eastAsia="en-AU"/>
              </w:rPr>
            </w:pPr>
            <w:r w:rsidRPr="006A75A2">
              <w:rPr>
                <w:rFonts w:eastAsiaTheme="minorEastAsia" w:cs="Calibri"/>
                <w:b/>
                <w:bCs/>
                <w:szCs w:val="22"/>
                <w:lang w:eastAsia="en-AU"/>
              </w:rPr>
              <w:t>Total</w:t>
            </w:r>
          </w:p>
        </w:tc>
        <w:tc>
          <w:tcPr>
            <w:tcW w:w="992" w:type="dxa"/>
            <w:tcBorders>
              <w:top w:val="single" w:sz="12"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cs="Calibri"/>
                <w:b/>
                <w:bCs/>
                <w:szCs w:val="22"/>
                <w:lang w:eastAsia="en-AU"/>
              </w:rPr>
              <w:t>143 985.9</w:t>
            </w:r>
          </w:p>
        </w:tc>
        <w:tc>
          <w:tcPr>
            <w:tcW w:w="1334" w:type="dxa"/>
            <w:tcBorders>
              <w:top w:val="single" w:sz="12"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cs="Calibri"/>
                <w:b/>
                <w:bCs/>
                <w:szCs w:val="22"/>
                <w:lang w:eastAsia="en-AU"/>
              </w:rPr>
              <w:t>(3 564.0)</w:t>
            </w:r>
          </w:p>
        </w:tc>
        <w:tc>
          <w:tcPr>
            <w:tcW w:w="1246" w:type="dxa"/>
            <w:tcBorders>
              <w:top w:val="single" w:sz="12"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cs="Calibri"/>
                <w:b/>
                <w:bCs/>
                <w:szCs w:val="22"/>
                <w:lang w:eastAsia="en-AU"/>
              </w:rPr>
              <w:t>(4.5)</w:t>
            </w:r>
          </w:p>
        </w:tc>
        <w:tc>
          <w:tcPr>
            <w:tcW w:w="1799" w:type="dxa"/>
            <w:tcBorders>
              <w:top w:val="single" w:sz="12"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cs="Calibri"/>
                <w:b/>
                <w:bCs/>
                <w:szCs w:val="22"/>
                <w:lang w:eastAsia="en-AU"/>
              </w:rPr>
              <w:t xml:space="preserve"> 178.8</w:t>
            </w:r>
          </w:p>
        </w:tc>
      </w:tr>
    </w:tbl>
    <w:p w:rsidR="004E6C32" w:rsidRPr="006A75A2" w:rsidRDefault="004E6C32" w:rsidP="004B5CB1"/>
    <w:p w:rsidR="004E6C32" w:rsidRPr="006A75A2" w:rsidRDefault="004E6C32" w:rsidP="004B5CB1">
      <w:pPr>
        <w:rPr>
          <w:rFonts w:ascii="Times New Roman" w:hAnsi="Times New Roman"/>
          <w:sz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4244"/>
        <w:gridCol w:w="990"/>
        <w:gridCol w:w="1350"/>
        <w:gridCol w:w="1260"/>
        <w:gridCol w:w="1804"/>
      </w:tblGrid>
      <w:tr w:rsidR="002E2762" w:rsidRPr="006A75A2" w:rsidTr="002E2762">
        <w:trPr>
          <w:trHeight w:val="85"/>
        </w:trPr>
        <w:tc>
          <w:tcPr>
            <w:tcW w:w="4244" w:type="dxa"/>
            <w:tcBorders>
              <w:top w:val="single" w:sz="4" w:space="0" w:color="auto"/>
              <w:left w:val="single" w:sz="4" w:space="0" w:color="auto"/>
              <w:right w:val="nil"/>
            </w:tcBorders>
            <w:shd w:val="clear" w:color="auto" w:fill="000000"/>
          </w:tcPr>
          <w:p w:rsidR="002E2762" w:rsidRPr="006A75A2" w:rsidRDefault="002E2762" w:rsidP="004B5CB1">
            <w:pPr>
              <w:pStyle w:val="TabletextheadingLeft"/>
              <w:rPr>
                <w:rFonts w:eastAsiaTheme="minorEastAsia"/>
                <w:lang w:eastAsia="en-AU"/>
              </w:rPr>
            </w:pPr>
            <w:r w:rsidRPr="006A75A2">
              <w:rPr>
                <w:rFonts w:eastAsiaTheme="minorEastAsia"/>
                <w:lang w:eastAsia="en-AU"/>
              </w:rPr>
              <w:t>General government sector</w:t>
            </w:r>
          </w:p>
          <w:p w:rsidR="002E2762" w:rsidRPr="006A75A2" w:rsidRDefault="002E2762" w:rsidP="004B5CB1">
            <w:pPr>
              <w:pStyle w:val="TabletextheadingLeft"/>
              <w:rPr>
                <w:rFonts w:eastAsiaTheme="minorEastAsia"/>
                <w:lang w:eastAsia="en-AU"/>
              </w:rPr>
            </w:pPr>
            <w:r w:rsidRPr="006A75A2">
              <w:rPr>
                <w:rFonts w:eastAsiaTheme="minorEastAsia"/>
                <w:lang w:eastAsia="en-AU"/>
              </w:rPr>
              <w:t>2014</w:t>
            </w:r>
          </w:p>
        </w:tc>
        <w:tc>
          <w:tcPr>
            <w:tcW w:w="990" w:type="dxa"/>
            <w:tcBorders>
              <w:top w:val="single" w:sz="4" w:space="0" w:color="auto"/>
              <w:left w:val="nil"/>
              <w:right w:val="nil"/>
            </w:tcBorders>
            <w:shd w:val="clear" w:color="auto" w:fill="000000"/>
          </w:tcPr>
          <w:p w:rsidR="002E2762" w:rsidRPr="006A75A2" w:rsidRDefault="002E2762" w:rsidP="004B5CB1">
            <w:pPr>
              <w:pStyle w:val="Tabletextheading"/>
              <w:rPr>
                <w:rFonts w:eastAsiaTheme="minorEastAsia"/>
                <w:lang w:eastAsia="en-AU"/>
              </w:rPr>
            </w:pPr>
            <w:r w:rsidRPr="006A75A2">
              <w:rPr>
                <w:rFonts w:eastAsiaTheme="minorEastAsia"/>
                <w:lang w:eastAsia="en-AU"/>
              </w:rPr>
              <w:t>Opening balance</w:t>
            </w:r>
          </w:p>
        </w:tc>
        <w:tc>
          <w:tcPr>
            <w:tcW w:w="1350" w:type="dxa"/>
            <w:tcBorders>
              <w:top w:val="single" w:sz="4" w:space="0" w:color="auto"/>
              <w:left w:val="nil"/>
              <w:right w:val="nil"/>
            </w:tcBorders>
            <w:shd w:val="clear" w:color="auto" w:fill="000000"/>
            <w:vAlign w:val="bottom"/>
          </w:tcPr>
          <w:p w:rsidR="002E2762" w:rsidRPr="006A75A2" w:rsidRDefault="002E2762" w:rsidP="002E2762">
            <w:pPr>
              <w:pStyle w:val="Tabletextheading"/>
              <w:rPr>
                <w:rFonts w:eastAsiaTheme="minorEastAsia"/>
                <w:lang w:eastAsia="en-AU"/>
              </w:rPr>
            </w:pPr>
            <w:r w:rsidRPr="006A75A2">
              <w:rPr>
                <w:rFonts w:eastAsiaTheme="minorEastAsia"/>
                <w:lang w:eastAsia="en-AU"/>
              </w:rPr>
              <w:t>Depreciation</w:t>
            </w:r>
          </w:p>
        </w:tc>
        <w:tc>
          <w:tcPr>
            <w:tcW w:w="1260" w:type="dxa"/>
            <w:tcBorders>
              <w:top w:val="single" w:sz="4" w:space="0" w:color="auto"/>
              <w:left w:val="nil"/>
              <w:right w:val="nil"/>
            </w:tcBorders>
            <w:shd w:val="clear" w:color="auto" w:fill="000000"/>
            <w:vAlign w:val="bottom"/>
          </w:tcPr>
          <w:p w:rsidR="002E2762" w:rsidRPr="006A75A2" w:rsidRDefault="002E2762" w:rsidP="002E2762">
            <w:pPr>
              <w:pStyle w:val="Tabletextheading"/>
              <w:rPr>
                <w:rFonts w:eastAsiaTheme="minorEastAsia"/>
                <w:lang w:eastAsia="en-AU"/>
              </w:rPr>
            </w:pPr>
            <w:r w:rsidRPr="006A75A2">
              <w:rPr>
                <w:rFonts w:eastAsiaTheme="minorEastAsia"/>
                <w:lang w:eastAsia="en-AU"/>
              </w:rPr>
              <w:t>Impairment</w:t>
            </w:r>
          </w:p>
        </w:tc>
        <w:tc>
          <w:tcPr>
            <w:tcW w:w="1804" w:type="dxa"/>
            <w:tcBorders>
              <w:top w:val="single" w:sz="4" w:space="0" w:color="auto"/>
              <w:left w:val="nil"/>
              <w:right w:val="single" w:sz="4" w:space="0" w:color="auto"/>
            </w:tcBorders>
            <w:shd w:val="clear" w:color="auto" w:fill="000000"/>
          </w:tcPr>
          <w:p w:rsidR="002E2762" w:rsidRPr="006A75A2" w:rsidRDefault="002E2762" w:rsidP="004B5CB1">
            <w:pPr>
              <w:pStyle w:val="Tabletextheading"/>
              <w:rPr>
                <w:rFonts w:eastAsiaTheme="minorEastAsia"/>
                <w:lang w:eastAsia="en-AU"/>
              </w:rPr>
            </w:pPr>
            <w:r w:rsidRPr="006A75A2">
              <w:rPr>
                <w:rFonts w:eastAsiaTheme="minorEastAsia"/>
                <w:lang w:eastAsia="en-AU"/>
              </w:rPr>
              <w:t>Assets recognised for the first time</w:t>
            </w:r>
          </w:p>
        </w:tc>
      </w:tr>
      <w:tr w:rsidR="004E6C32" w:rsidRPr="006A75A2" w:rsidTr="004B5CB1">
        <w:tc>
          <w:tcPr>
            <w:tcW w:w="4244" w:type="dxa"/>
            <w:tcBorders>
              <w:top w:val="single" w:sz="4" w:space="0" w:color="auto"/>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Buildings</w:t>
            </w:r>
          </w:p>
        </w:tc>
        <w:tc>
          <w:tcPr>
            <w:tcW w:w="99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17 662.3</w:t>
            </w:r>
          </w:p>
        </w:tc>
        <w:tc>
          <w:tcPr>
            <w:tcW w:w="135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(948.6)</w:t>
            </w:r>
          </w:p>
        </w:tc>
        <w:tc>
          <w:tcPr>
            <w:tcW w:w="126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(2.0)</w:t>
            </w:r>
          </w:p>
        </w:tc>
        <w:tc>
          <w:tcPr>
            <w:tcW w:w="1804"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25.1</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Non-specialised buildings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2 029.3</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(166.2)</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7.8</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Specialised buildings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14 448.6</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(744.2)</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(2.0)</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17.3</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Heritage buildings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1 184.5</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(38.2)</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Land and national parks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35 726.3</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(2.8)</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(0.1)</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22.1</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Non-specialised land</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1 812.6</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22.1</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Specialised land</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16 335.8</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(2.8)</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(0.1)</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Land under roads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15 892.4</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National parks and other </w:t>
            </w:r>
            <w:r w:rsidR="00C96101" w:rsidRPr="006A75A2">
              <w:rPr>
                <w:rFonts w:eastAsiaTheme="minorEastAsia"/>
                <w:lang w:eastAsia="en-AU"/>
              </w:rPr>
              <w:t>‘</w:t>
            </w:r>
            <w:r w:rsidRPr="006A75A2">
              <w:rPr>
                <w:rFonts w:eastAsiaTheme="minorEastAsia"/>
                <w:lang w:eastAsia="en-AU"/>
              </w:rPr>
              <w:t>land only</w:t>
            </w:r>
            <w:r w:rsidR="00C96101" w:rsidRPr="006A75A2">
              <w:rPr>
                <w:rFonts w:eastAsiaTheme="minorEastAsia"/>
                <w:lang w:eastAsia="en-AU"/>
              </w:rPr>
              <w:t>’</w:t>
            </w:r>
            <w:r w:rsidRPr="006A75A2">
              <w:rPr>
                <w:rFonts w:eastAsiaTheme="minorEastAsia"/>
                <w:lang w:eastAsia="en-AU"/>
              </w:rPr>
              <w:t xml:space="preserve"> holdings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1 685.5</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Plant, equipment, vehicles and infrastructure systems </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2 901.6</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(496.9)</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(0.4)</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22.3</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Infrastructure systems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1 149.7</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(33.5)</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0.4</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Rolling stock</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Plant, equipment and vehicles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1 751.9</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(463.4)</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(0.4)</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21.9</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bCs/>
                <w:lang w:eastAsia="en-AU"/>
              </w:rPr>
              <w:t>Roads, road infrastructure and</w:t>
            </w:r>
            <w:r w:rsidRPr="006A75A2">
              <w:rPr>
                <w:rFonts w:eastAsiaTheme="minorEastAsia" w:cs="Calibri"/>
                <w:b/>
                <w:bCs/>
                <w:szCs w:val="22"/>
                <w:lang w:eastAsia="en-AU"/>
              </w:rPr>
              <w:t xml:space="preserve"> earthworks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27 285.3</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(566.3)</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4.4</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Roads and roads infrastructure</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20 033.2</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(566.3)</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w:t>
            </w:r>
          </w:p>
        </w:tc>
      </w:tr>
      <w:tr w:rsidR="004E6C32" w:rsidRPr="006A75A2" w:rsidTr="004B5CB1">
        <w:tc>
          <w:tcPr>
            <w:tcW w:w="42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Earthworks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7 252.1</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0.5</w:t>
            </w:r>
          </w:p>
        </w:tc>
      </w:tr>
      <w:tr w:rsidR="004E6C32" w:rsidRPr="006A75A2" w:rsidTr="004B5CB1">
        <w:tc>
          <w:tcPr>
            <w:tcW w:w="4244"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Cultural assets</w:t>
            </w:r>
          </w:p>
        </w:tc>
        <w:tc>
          <w:tcPr>
            <w:tcW w:w="99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2 092.0</w:t>
            </w:r>
          </w:p>
        </w:tc>
        <w:tc>
          <w:tcPr>
            <w:tcW w:w="135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(15.2)</w:t>
            </w:r>
          </w:p>
        </w:tc>
        <w:tc>
          <w:tcPr>
            <w:tcW w:w="126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80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r w:rsidR="004E6C32" w:rsidRPr="006A75A2" w:rsidTr="004B5CB1">
        <w:tc>
          <w:tcPr>
            <w:tcW w:w="4244" w:type="dxa"/>
            <w:tcBorders>
              <w:top w:val="nil"/>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w:t>
            </w:r>
          </w:p>
        </w:tc>
        <w:tc>
          <w:tcPr>
            <w:tcW w:w="990"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85 667.4</w:t>
            </w:r>
          </w:p>
        </w:tc>
        <w:tc>
          <w:tcPr>
            <w:tcW w:w="1350"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(2 029.8)</w:t>
            </w:r>
          </w:p>
        </w:tc>
        <w:tc>
          <w:tcPr>
            <w:tcW w:w="1260"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(2.6)</w:t>
            </w:r>
          </w:p>
        </w:tc>
        <w:tc>
          <w:tcPr>
            <w:tcW w:w="1804"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73.9</w:t>
            </w:r>
          </w:p>
        </w:tc>
      </w:tr>
    </w:tbl>
    <w:p w:rsidR="004E6C32" w:rsidRPr="006A75A2" w:rsidRDefault="004E6C32" w:rsidP="004B5CB1"/>
    <w:p w:rsidR="004E6C32" w:rsidRPr="006A75A2" w:rsidRDefault="004E6C32" w:rsidP="004B5CB1">
      <w:pPr>
        <w:pStyle w:val="Heading2NotesContd"/>
        <w:rPr>
          <w:kern w:val="0"/>
        </w:rPr>
      </w:pPr>
    </w:p>
    <w:p w:rsidR="004E6C32" w:rsidRPr="006A75A2" w:rsidRDefault="004E6C32" w:rsidP="0067336F">
      <w:pPr>
        <w:pStyle w:val="Heading5"/>
      </w:pPr>
    </w:p>
    <w:p w:rsidR="004E6C32" w:rsidRPr="006A75A2" w:rsidRDefault="004E6C32" w:rsidP="004B5CB1">
      <w:pPr>
        <w:pStyle w:val="million"/>
        <w:rPr>
          <w:rFonts w:ascii="Times New Roman" w:hAnsi="Times New Roman"/>
          <w:lang w:eastAsia="en-AU"/>
        </w:rPr>
      </w:pPr>
    </w:p>
    <w:tbl>
      <w:tblPr>
        <w:tblW w:w="9640" w:type="dxa"/>
        <w:tblInd w:w="29" w:type="dxa"/>
        <w:tblLayout w:type="fixed"/>
        <w:tblCellMar>
          <w:left w:w="45" w:type="dxa"/>
          <w:right w:w="45" w:type="dxa"/>
        </w:tblCellMar>
        <w:tblLook w:val="0000" w:firstRow="0" w:lastRow="0" w:firstColumn="0" w:lastColumn="0" w:noHBand="0" w:noVBand="0"/>
      </w:tblPr>
      <w:tblGrid>
        <w:gridCol w:w="1934"/>
        <w:gridCol w:w="1932"/>
        <w:gridCol w:w="1931"/>
        <w:gridCol w:w="1918"/>
        <w:gridCol w:w="1925"/>
      </w:tblGrid>
      <w:tr w:rsidR="004E6C32" w:rsidRPr="006A75A2" w:rsidTr="002E2762">
        <w:trPr>
          <w:cantSplit/>
          <w:tblHeader/>
        </w:trPr>
        <w:tc>
          <w:tcPr>
            <w:tcW w:w="1934" w:type="dxa"/>
            <w:tcBorders>
              <w:top w:val="single" w:sz="6" w:space="0" w:color="000000"/>
              <w:left w:val="single" w:sz="6" w:space="0" w:color="000000"/>
              <w:bottom w:val="nil"/>
              <w:right w:val="nil"/>
            </w:tcBorders>
            <w:shd w:val="clear" w:color="auto" w:fill="000000"/>
            <w:vAlign w:val="bottom"/>
          </w:tcPr>
          <w:p w:rsidR="004E6C32" w:rsidRPr="006A75A2" w:rsidRDefault="004E6C32" w:rsidP="002E2762">
            <w:pPr>
              <w:pStyle w:val="Tabletext"/>
              <w:jc w:val="right"/>
              <w:rPr>
                <w:i/>
              </w:rPr>
            </w:pPr>
            <w:r w:rsidRPr="006A75A2">
              <w:rPr>
                <w:i/>
              </w:rPr>
              <w:t>Revaluation</w:t>
            </w:r>
          </w:p>
        </w:tc>
        <w:tc>
          <w:tcPr>
            <w:tcW w:w="1932" w:type="dxa"/>
            <w:tcBorders>
              <w:top w:val="single" w:sz="6" w:space="0" w:color="000000"/>
              <w:left w:val="nil"/>
              <w:bottom w:val="nil"/>
              <w:right w:val="nil"/>
            </w:tcBorders>
            <w:shd w:val="clear" w:color="auto" w:fill="000000"/>
          </w:tcPr>
          <w:p w:rsidR="004E6C32" w:rsidRPr="006A75A2" w:rsidRDefault="004E6C32" w:rsidP="002E2762">
            <w:pPr>
              <w:pStyle w:val="Tabletextheading"/>
              <w:rPr>
                <w:rFonts w:eastAsiaTheme="minorEastAsia"/>
                <w:lang w:eastAsia="en-AU"/>
              </w:rPr>
            </w:pPr>
            <w:r w:rsidRPr="006A75A2">
              <w:rPr>
                <w:rFonts w:eastAsiaTheme="minorEastAsia"/>
                <w:lang w:eastAsia="en-AU"/>
              </w:rPr>
              <w:t>Acquisitions/ (Disposals)</w:t>
            </w:r>
          </w:p>
        </w:tc>
        <w:tc>
          <w:tcPr>
            <w:tcW w:w="1931" w:type="dxa"/>
            <w:tcBorders>
              <w:top w:val="single" w:sz="6" w:space="0" w:color="000000"/>
              <w:left w:val="nil"/>
              <w:bottom w:val="nil"/>
              <w:right w:val="nil"/>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Transfers </w:t>
            </w:r>
            <w:r w:rsidR="002E2762" w:rsidRPr="006A75A2">
              <w:rPr>
                <w:rFonts w:eastAsiaTheme="minorEastAsia"/>
                <w:lang w:eastAsia="en-AU"/>
              </w:rPr>
              <w:br/>
            </w:r>
            <w:r w:rsidRPr="006A75A2">
              <w:rPr>
                <w:rFonts w:eastAsiaTheme="minorEastAsia"/>
                <w:lang w:eastAsia="en-AU"/>
              </w:rPr>
              <w:t>in/out of Level 3</w:t>
            </w:r>
          </w:p>
        </w:tc>
        <w:tc>
          <w:tcPr>
            <w:tcW w:w="1918" w:type="dxa"/>
            <w:tcBorders>
              <w:top w:val="single" w:sz="6" w:space="0" w:color="000000"/>
              <w:left w:val="nil"/>
              <w:bottom w:val="nil"/>
              <w:right w:val="nil"/>
            </w:tcBorders>
            <w:shd w:val="clear" w:color="auto" w:fill="000000"/>
            <w:vAlign w:val="bottom"/>
          </w:tcPr>
          <w:p w:rsidR="004E6C32" w:rsidRPr="006A75A2" w:rsidRDefault="004E6C32" w:rsidP="002E2762">
            <w:pPr>
              <w:pStyle w:val="Tabletextheading"/>
              <w:rPr>
                <w:rFonts w:eastAsiaTheme="minorEastAsia"/>
                <w:lang w:eastAsia="en-AU"/>
              </w:rPr>
            </w:pPr>
            <w:r w:rsidRPr="006A75A2">
              <w:rPr>
                <w:rFonts w:eastAsiaTheme="minorEastAsia"/>
                <w:lang w:eastAsia="en-AU"/>
              </w:rPr>
              <w:t>Reclassification</w:t>
            </w:r>
          </w:p>
        </w:tc>
        <w:tc>
          <w:tcPr>
            <w:tcW w:w="1925" w:type="dxa"/>
            <w:tcBorders>
              <w:top w:val="single" w:sz="6" w:space="0" w:color="000000"/>
              <w:left w:val="nil"/>
              <w:bottom w:val="nil"/>
              <w:right w:val="single" w:sz="6" w:space="0" w:color="000000"/>
            </w:tcBorders>
            <w:shd w:val="clear" w:color="auto" w:fill="000000"/>
            <w:vAlign w:val="bottom"/>
          </w:tcPr>
          <w:p w:rsidR="004E6C32" w:rsidRPr="006A75A2" w:rsidRDefault="004E6C32" w:rsidP="002E2762">
            <w:pPr>
              <w:pStyle w:val="Tabletextheading"/>
              <w:rPr>
                <w:rFonts w:eastAsiaTheme="minorEastAsia"/>
                <w:lang w:eastAsia="en-AU"/>
              </w:rPr>
            </w:pPr>
            <w:r w:rsidRPr="006A75A2">
              <w:rPr>
                <w:rFonts w:eastAsiaTheme="minorEastAsia"/>
                <w:lang w:eastAsia="en-AU"/>
              </w:rPr>
              <w:t>Closing balance</w:t>
            </w:r>
          </w:p>
        </w:tc>
      </w:tr>
      <w:tr w:rsidR="004E6C32" w:rsidRPr="006A75A2" w:rsidTr="004B5CB1">
        <w:trPr>
          <w:cantSplit/>
        </w:trPr>
        <w:tc>
          <w:tcPr>
            <w:tcW w:w="1934" w:type="dxa"/>
            <w:tcBorders>
              <w:top w:val="single" w:sz="6" w:space="0" w:color="000000"/>
              <w:left w:val="nil"/>
              <w:bottom w:val="nil"/>
              <w:right w:val="nil"/>
            </w:tcBorders>
            <w:shd w:val="solid" w:color="FFFFFF" w:fill="auto"/>
          </w:tcPr>
          <w:p w:rsidR="004E6C32" w:rsidRPr="006A75A2" w:rsidRDefault="004E6C32" w:rsidP="004B5CB1">
            <w:pPr>
              <w:pStyle w:val="Tabletext"/>
              <w:jc w:val="right"/>
              <w:rPr>
                <w:b/>
              </w:rPr>
            </w:pPr>
            <w:r w:rsidRPr="006A75A2">
              <w:rPr>
                <w:b/>
              </w:rPr>
              <w:t>2 247.0</w:t>
            </w:r>
          </w:p>
        </w:tc>
        <w:tc>
          <w:tcPr>
            <w:tcW w:w="1932" w:type="dxa"/>
            <w:tcBorders>
              <w:top w:val="single" w:sz="6" w:space="0" w:color="000000"/>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866.6</w:t>
            </w:r>
          </w:p>
        </w:tc>
        <w:tc>
          <w:tcPr>
            <w:tcW w:w="1931" w:type="dxa"/>
            <w:tcBorders>
              <w:top w:val="single" w:sz="6" w:space="0" w:color="000000"/>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(1.1)</w:t>
            </w:r>
          </w:p>
        </w:tc>
        <w:tc>
          <w:tcPr>
            <w:tcW w:w="1918" w:type="dxa"/>
            <w:tcBorders>
              <w:top w:val="single" w:sz="6" w:space="0" w:color="000000"/>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(7.7)</w:t>
            </w:r>
          </w:p>
        </w:tc>
        <w:tc>
          <w:tcPr>
            <w:tcW w:w="1925" w:type="dxa"/>
            <w:tcBorders>
              <w:top w:val="single" w:sz="6" w:space="0" w:color="000000"/>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26 315.7</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 xml:space="preserve"> 312.5</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82.0</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24.9</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(44.4)</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2 871.2</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1 934.4</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775.8</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(26.0)</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34.5</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22 287.2</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8.8</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1 157.4</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rPr>
                <w:b/>
              </w:rPr>
            </w:pPr>
            <w:r w:rsidRPr="006A75A2">
              <w:rPr>
                <w:b/>
              </w:rPr>
              <w:t xml:space="preserve"> 380.3</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311.5</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(36.8)</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(107.9)</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42 140.2</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 xml:space="preserve"> 6.3</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(1.4)</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(16.0)</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1 948.9</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 xml:space="preserve"> 374.0</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312.9</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(21.3)</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(114.8)</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22 613.0</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0.4</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15 892.8</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1 685.5</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tabs>
                <w:tab w:val="right" w:pos="1844"/>
              </w:tabs>
              <w:jc w:val="right"/>
              <w:rPr>
                <w:b/>
              </w:rPr>
            </w:pPr>
            <w:r w:rsidRPr="006A75A2">
              <w:rPr>
                <w:b/>
              </w:rPr>
              <w:t xml:space="preserve"> 183.2</w:t>
            </w:r>
            <w:r w:rsidRPr="006A75A2">
              <w:rPr>
                <w:b/>
              </w:rPr>
              <w:br/>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1 764.0</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9.8</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47.9</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48 934.2</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 xml:space="preserve"> 177.2</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1 197.9</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25.4</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43 489.4</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74.1</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2 555.8</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pPr>
            <w:r w:rsidRPr="006A75A2">
              <w:t xml:space="preserve"> 6.0</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492.0</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8.3</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22.5</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2 889.0</w:t>
            </w:r>
          </w:p>
        </w:tc>
      </w:tr>
      <w:tr w:rsidR="004E6C32" w:rsidRPr="006A75A2" w:rsidTr="004B5CB1">
        <w:trPr>
          <w:cantSplit/>
        </w:trPr>
        <w:tc>
          <w:tcPr>
            <w:tcW w:w="1934" w:type="dxa"/>
            <w:tcBorders>
              <w:top w:val="nil"/>
              <w:left w:val="nil"/>
              <w:bottom w:val="nil"/>
              <w:right w:val="nil"/>
            </w:tcBorders>
            <w:shd w:val="solid" w:color="FFFFFF" w:fill="auto"/>
          </w:tcPr>
          <w:p w:rsidR="004E6C32" w:rsidRPr="006A75A2" w:rsidRDefault="004E6C32" w:rsidP="004B5CB1">
            <w:pPr>
              <w:pStyle w:val="Tabletext"/>
              <w:jc w:val="right"/>
              <w:rPr>
                <w:b/>
              </w:rPr>
            </w:pPr>
            <w:r w:rsidRPr="006A75A2">
              <w:rPr>
                <w:b/>
              </w:rPr>
              <w:t xml:space="preserve"> 12.3</w:t>
            </w:r>
          </w:p>
        </w:tc>
        <w:tc>
          <w:tcPr>
            <w:tcW w:w="193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5.6</w:t>
            </w:r>
          </w:p>
        </w:tc>
        <w:tc>
          <w:tcPr>
            <w:tcW w:w="1931"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w:t>
            </w:r>
          </w:p>
        </w:tc>
        <w:tc>
          <w:tcPr>
            <w:tcW w:w="19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1 466.7</w:t>
            </w:r>
          </w:p>
        </w:tc>
        <w:tc>
          <w:tcPr>
            <w:tcW w:w="192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28 270.7</w:t>
            </w:r>
          </w:p>
        </w:tc>
      </w:tr>
      <w:tr w:rsidR="00C96101" w:rsidRPr="006A75A2" w:rsidTr="004B5CB1">
        <w:trPr>
          <w:cantSplit/>
        </w:trPr>
        <w:tc>
          <w:tcPr>
            <w:tcW w:w="1934" w:type="dxa"/>
            <w:tcBorders>
              <w:top w:val="nil"/>
              <w:left w:val="nil"/>
              <w:right w:val="nil"/>
            </w:tcBorders>
            <w:shd w:val="solid" w:color="FFFFFF" w:fill="auto"/>
          </w:tcPr>
          <w:p w:rsidR="004E6C32" w:rsidRPr="006A75A2" w:rsidRDefault="004E6C32" w:rsidP="00531ECD">
            <w:pPr>
              <w:pStyle w:val="Tabletext"/>
              <w:jc w:val="right"/>
            </w:pPr>
            <w:r w:rsidRPr="006A75A2">
              <w:t xml:space="preserve"> 12.3</w:t>
            </w:r>
          </w:p>
        </w:tc>
        <w:tc>
          <w:tcPr>
            <w:tcW w:w="1932" w:type="dxa"/>
            <w:tcBorders>
              <w:top w:val="nil"/>
              <w:left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w:t>
            </w:r>
          </w:p>
        </w:tc>
        <w:tc>
          <w:tcPr>
            <w:tcW w:w="1931" w:type="dxa"/>
            <w:tcBorders>
              <w:top w:val="nil"/>
              <w:left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918" w:type="dxa"/>
            <w:tcBorders>
              <w:top w:val="nil"/>
              <w:left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1 078.4</w:t>
            </w:r>
          </w:p>
        </w:tc>
        <w:tc>
          <w:tcPr>
            <w:tcW w:w="1925" w:type="dxa"/>
            <w:tcBorders>
              <w:top w:val="nil"/>
              <w:left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20 629.8</w:t>
            </w:r>
          </w:p>
        </w:tc>
      </w:tr>
      <w:tr w:rsidR="00C96101" w:rsidRPr="006A75A2" w:rsidTr="004B5CB1">
        <w:trPr>
          <w:cantSplit/>
          <w:trHeight w:val="537"/>
        </w:trPr>
        <w:tc>
          <w:tcPr>
            <w:tcW w:w="1934" w:type="dxa"/>
            <w:tcBorders>
              <w:left w:val="nil"/>
              <w:right w:val="nil"/>
            </w:tcBorders>
            <w:shd w:val="solid" w:color="FFFFFF" w:fill="auto"/>
          </w:tcPr>
          <w:p w:rsidR="00531ECD" w:rsidRPr="006A75A2" w:rsidRDefault="00531ECD" w:rsidP="00531ECD">
            <w:pPr>
              <w:pStyle w:val="Tabletext"/>
              <w:jc w:val="right"/>
            </w:pPr>
            <w:r w:rsidRPr="006A75A2">
              <w:rPr>
                <w:rFonts w:eastAsiaTheme="minorEastAsia"/>
                <w:lang w:eastAsia="en-AU"/>
              </w:rPr>
              <w:t>..</w:t>
            </w:r>
          </w:p>
          <w:p w:rsidR="004E6C32" w:rsidRPr="006A75A2" w:rsidRDefault="00531ECD" w:rsidP="00531ECD">
            <w:pPr>
              <w:pStyle w:val="Tabletext"/>
              <w:jc w:val="right"/>
              <w:rPr>
                <w:rFonts w:eastAsiaTheme="minorEastAsia"/>
                <w:b/>
                <w:lang w:eastAsia="en-AU"/>
              </w:rPr>
            </w:pPr>
            <w:r w:rsidRPr="006A75A2">
              <w:rPr>
                <w:b/>
              </w:rPr>
              <w:t>..</w:t>
            </w:r>
          </w:p>
        </w:tc>
        <w:tc>
          <w:tcPr>
            <w:tcW w:w="1932" w:type="dxa"/>
            <w:tcBorders>
              <w:top w:val="nil"/>
              <w:left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p w:rsidR="004E6C32" w:rsidRPr="006A75A2" w:rsidRDefault="004E6C32" w:rsidP="004B5CB1">
            <w:pPr>
              <w:pStyle w:val="TableofFigures"/>
              <w:rPr>
                <w:rFonts w:eastAsiaTheme="minorEastAsia"/>
                <w:b/>
                <w:lang w:eastAsia="en-AU"/>
              </w:rPr>
            </w:pPr>
            <w:r w:rsidRPr="006A75A2">
              <w:rPr>
                <w:rFonts w:eastAsiaTheme="minorEastAsia"/>
                <w:b/>
                <w:bCs/>
                <w:lang w:eastAsia="en-AU"/>
              </w:rPr>
              <w:t xml:space="preserve"> 5.3</w:t>
            </w:r>
          </w:p>
        </w:tc>
        <w:tc>
          <w:tcPr>
            <w:tcW w:w="1931" w:type="dxa"/>
            <w:tcBorders>
              <w:top w:val="nil"/>
              <w:left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p w:rsidR="004E6C32" w:rsidRPr="006A75A2" w:rsidRDefault="004E6C32" w:rsidP="004B5CB1">
            <w:pPr>
              <w:pStyle w:val="TableofFigures"/>
              <w:rPr>
                <w:rFonts w:eastAsiaTheme="minorEastAsia"/>
                <w:b/>
                <w:lang w:eastAsia="en-AU"/>
              </w:rPr>
            </w:pPr>
            <w:r w:rsidRPr="006A75A2">
              <w:rPr>
                <w:rFonts w:eastAsiaTheme="minorEastAsia"/>
                <w:b/>
                <w:bCs/>
                <w:lang w:eastAsia="en-AU"/>
              </w:rPr>
              <w:t>..</w:t>
            </w:r>
          </w:p>
        </w:tc>
        <w:tc>
          <w:tcPr>
            <w:tcW w:w="1918" w:type="dxa"/>
            <w:tcBorders>
              <w:top w:val="nil"/>
              <w:left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b/>
                <w:lang w:eastAsia="en-AU"/>
              </w:rPr>
              <w:t xml:space="preserve"> </w:t>
            </w:r>
            <w:r w:rsidRPr="006A75A2">
              <w:rPr>
                <w:rFonts w:eastAsiaTheme="minorEastAsia"/>
                <w:lang w:eastAsia="en-AU"/>
              </w:rPr>
              <w:t>388.3</w:t>
            </w:r>
          </w:p>
          <w:p w:rsidR="004E6C32" w:rsidRPr="006A75A2" w:rsidRDefault="004E6C32" w:rsidP="004B5CB1">
            <w:pPr>
              <w:pStyle w:val="TableofFigures"/>
              <w:rPr>
                <w:rFonts w:eastAsiaTheme="minorEastAsia"/>
                <w:b/>
                <w:lang w:eastAsia="en-AU"/>
              </w:rPr>
            </w:pPr>
            <w:r w:rsidRPr="006A75A2">
              <w:rPr>
                <w:rFonts w:eastAsiaTheme="minorEastAsia"/>
                <w:b/>
                <w:bCs/>
                <w:lang w:eastAsia="en-AU"/>
              </w:rPr>
              <w:t xml:space="preserve"> 64.1</w:t>
            </w:r>
          </w:p>
        </w:tc>
        <w:tc>
          <w:tcPr>
            <w:tcW w:w="1925" w:type="dxa"/>
            <w:tcBorders>
              <w:top w:val="nil"/>
              <w:left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7 640.9</w:t>
            </w:r>
          </w:p>
          <w:p w:rsidR="004E6C32" w:rsidRPr="006A75A2" w:rsidRDefault="004E6C32" w:rsidP="004B5CB1">
            <w:pPr>
              <w:pStyle w:val="TableofFigures"/>
              <w:rPr>
                <w:rFonts w:eastAsiaTheme="minorEastAsia"/>
                <w:b/>
                <w:lang w:eastAsia="en-AU"/>
              </w:rPr>
            </w:pPr>
            <w:r w:rsidRPr="006A75A2">
              <w:rPr>
                <w:rFonts w:eastAsiaTheme="minorEastAsia"/>
                <w:b/>
                <w:lang w:eastAsia="en-AU"/>
              </w:rPr>
              <w:t>2 146.2</w:t>
            </w:r>
          </w:p>
        </w:tc>
      </w:tr>
      <w:tr w:rsidR="004E6C32" w:rsidRPr="006A75A2" w:rsidTr="004B5CB1">
        <w:trPr>
          <w:cantSplit/>
        </w:trPr>
        <w:tc>
          <w:tcPr>
            <w:tcW w:w="1934" w:type="dxa"/>
            <w:tcBorders>
              <w:top w:val="single" w:sz="12" w:space="0" w:color="auto"/>
              <w:left w:val="nil"/>
              <w:bottom w:val="single" w:sz="12" w:space="0" w:color="000000"/>
              <w:right w:val="nil"/>
            </w:tcBorders>
            <w:shd w:val="solid" w:color="FFFFFF" w:fill="auto"/>
          </w:tcPr>
          <w:p w:rsidR="004E6C32" w:rsidRPr="006A75A2" w:rsidRDefault="004E6C32" w:rsidP="004B5CB1">
            <w:pPr>
              <w:pStyle w:val="Tabletext"/>
              <w:jc w:val="right"/>
              <w:rPr>
                <w:rFonts w:eastAsiaTheme="minorEastAsia" w:cs="Calibri"/>
                <w:b/>
                <w:bCs/>
                <w:szCs w:val="22"/>
                <w:lang w:eastAsia="en-AU"/>
              </w:rPr>
            </w:pPr>
            <w:r w:rsidRPr="006A75A2">
              <w:rPr>
                <w:rFonts w:eastAsiaTheme="minorEastAsia" w:cs="Calibri"/>
                <w:b/>
                <w:bCs/>
                <w:szCs w:val="22"/>
                <w:lang w:eastAsia="en-AU"/>
              </w:rPr>
              <w:t>2 822.8</w:t>
            </w:r>
          </w:p>
        </w:tc>
        <w:tc>
          <w:tcPr>
            <w:tcW w:w="1932" w:type="dxa"/>
            <w:tcBorders>
              <w:top w:val="single" w:sz="12"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cs="Calibri"/>
                <w:b/>
                <w:bCs/>
                <w:szCs w:val="22"/>
                <w:lang w:eastAsia="en-AU"/>
              </w:rPr>
              <w:t>2 953.0</w:t>
            </w:r>
          </w:p>
        </w:tc>
        <w:tc>
          <w:tcPr>
            <w:tcW w:w="1931" w:type="dxa"/>
            <w:tcBorders>
              <w:top w:val="single" w:sz="12"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cs="Calibri"/>
                <w:b/>
                <w:bCs/>
                <w:szCs w:val="22"/>
                <w:lang w:eastAsia="en-AU"/>
              </w:rPr>
              <w:t>(28.1)</w:t>
            </w:r>
          </w:p>
        </w:tc>
        <w:tc>
          <w:tcPr>
            <w:tcW w:w="1918" w:type="dxa"/>
            <w:tcBorders>
              <w:top w:val="single" w:sz="12"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cs="Calibri"/>
                <w:b/>
                <w:bCs/>
                <w:szCs w:val="22"/>
                <w:lang w:eastAsia="en-AU"/>
              </w:rPr>
              <w:t>1 463.1</w:t>
            </w:r>
          </w:p>
        </w:tc>
        <w:tc>
          <w:tcPr>
            <w:tcW w:w="1925" w:type="dxa"/>
            <w:tcBorders>
              <w:top w:val="single" w:sz="12"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cs="Calibri"/>
                <w:b/>
                <w:bCs/>
                <w:szCs w:val="22"/>
                <w:lang w:eastAsia="en-AU"/>
              </w:rPr>
              <w:t>147 807.0</w:t>
            </w:r>
          </w:p>
        </w:tc>
      </w:tr>
    </w:tbl>
    <w:p w:rsidR="004E6C32" w:rsidRPr="006A75A2" w:rsidRDefault="004E6C32" w:rsidP="004B5CB1"/>
    <w:p w:rsidR="004E6C32" w:rsidRPr="006A75A2" w:rsidRDefault="004E6C32" w:rsidP="004B5CB1">
      <w:pPr>
        <w:rPr>
          <w:rFonts w:ascii="Times New Roman" w:hAnsi="Times New Roman"/>
          <w:sz w:val="20"/>
          <w:lang w:eastAsia="en-AU"/>
        </w:rPr>
      </w:pPr>
    </w:p>
    <w:tbl>
      <w:tblPr>
        <w:tblW w:w="9648" w:type="dxa"/>
        <w:tblInd w:w="29" w:type="dxa"/>
        <w:tblLayout w:type="fixed"/>
        <w:tblCellMar>
          <w:left w:w="43" w:type="dxa"/>
          <w:right w:w="43" w:type="dxa"/>
        </w:tblCellMar>
        <w:tblLook w:val="0000" w:firstRow="0" w:lastRow="0" w:firstColumn="0" w:lastColumn="0" w:noHBand="0" w:noVBand="0"/>
      </w:tblPr>
      <w:tblGrid>
        <w:gridCol w:w="1929"/>
        <w:gridCol w:w="1930"/>
        <w:gridCol w:w="1929"/>
        <w:gridCol w:w="1930"/>
        <w:gridCol w:w="1930"/>
      </w:tblGrid>
      <w:tr w:rsidR="004E6C32" w:rsidRPr="006A75A2" w:rsidTr="002E2762">
        <w:tc>
          <w:tcPr>
            <w:tcW w:w="1929" w:type="dxa"/>
            <w:tcBorders>
              <w:top w:val="single" w:sz="4" w:space="0" w:color="auto"/>
              <w:left w:val="single" w:sz="4" w:space="0" w:color="auto"/>
              <w:bottom w:val="nil"/>
              <w:right w:val="nil"/>
            </w:tcBorders>
            <w:shd w:val="clear" w:color="auto" w:fill="000000"/>
            <w:vAlign w:val="bottom"/>
          </w:tcPr>
          <w:p w:rsidR="004E6C32" w:rsidRPr="006A75A2" w:rsidRDefault="004E6C32" w:rsidP="002E2762">
            <w:pPr>
              <w:pStyle w:val="Tabletextheading"/>
              <w:rPr>
                <w:rFonts w:eastAsiaTheme="minorEastAsia"/>
                <w:lang w:eastAsia="en-AU"/>
              </w:rPr>
            </w:pPr>
            <w:r w:rsidRPr="006A75A2">
              <w:rPr>
                <w:rFonts w:eastAsiaTheme="minorEastAsia"/>
                <w:lang w:eastAsia="en-AU"/>
              </w:rPr>
              <w:t>Revaluation</w:t>
            </w:r>
          </w:p>
        </w:tc>
        <w:tc>
          <w:tcPr>
            <w:tcW w:w="1930" w:type="dxa"/>
            <w:tcBorders>
              <w:top w:val="single" w:sz="4" w:space="0" w:color="auto"/>
              <w:left w:val="nil"/>
              <w:bottom w:val="nil"/>
              <w:right w:val="nil"/>
            </w:tcBorders>
            <w:shd w:val="clear" w:color="auto" w:fill="000000"/>
          </w:tcPr>
          <w:p w:rsidR="004E6C32" w:rsidRPr="006A75A2" w:rsidRDefault="004E6C32" w:rsidP="002E2762">
            <w:pPr>
              <w:pStyle w:val="Tabletextheading"/>
              <w:rPr>
                <w:rFonts w:eastAsiaTheme="minorEastAsia"/>
                <w:lang w:eastAsia="en-AU"/>
              </w:rPr>
            </w:pPr>
            <w:r w:rsidRPr="006A75A2">
              <w:rPr>
                <w:rFonts w:eastAsiaTheme="minorEastAsia"/>
                <w:lang w:eastAsia="en-AU"/>
              </w:rPr>
              <w:t>Acquisitions/ (Disposals)</w:t>
            </w:r>
          </w:p>
        </w:tc>
        <w:tc>
          <w:tcPr>
            <w:tcW w:w="1929" w:type="dxa"/>
            <w:tcBorders>
              <w:top w:val="single" w:sz="4" w:space="0" w:color="auto"/>
              <w:left w:val="nil"/>
              <w:bottom w:val="nil"/>
              <w:right w:val="nil"/>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Transfers </w:t>
            </w:r>
            <w:r w:rsidR="002E2762" w:rsidRPr="006A75A2">
              <w:rPr>
                <w:rFonts w:eastAsiaTheme="minorEastAsia"/>
                <w:lang w:eastAsia="en-AU"/>
              </w:rPr>
              <w:br/>
            </w:r>
            <w:r w:rsidRPr="006A75A2">
              <w:rPr>
                <w:rFonts w:eastAsiaTheme="minorEastAsia"/>
                <w:lang w:eastAsia="en-AU"/>
              </w:rPr>
              <w:t>in/out of Level 3</w:t>
            </w:r>
          </w:p>
        </w:tc>
        <w:tc>
          <w:tcPr>
            <w:tcW w:w="1930" w:type="dxa"/>
            <w:tcBorders>
              <w:top w:val="single" w:sz="4" w:space="0" w:color="auto"/>
              <w:left w:val="nil"/>
              <w:bottom w:val="nil"/>
              <w:right w:val="nil"/>
            </w:tcBorders>
            <w:shd w:val="clear" w:color="auto" w:fill="000000"/>
            <w:vAlign w:val="bottom"/>
          </w:tcPr>
          <w:p w:rsidR="004E6C32" w:rsidRPr="006A75A2" w:rsidRDefault="004E6C32" w:rsidP="002E2762">
            <w:pPr>
              <w:pStyle w:val="Tabletextheading"/>
              <w:rPr>
                <w:rFonts w:eastAsiaTheme="minorEastAsia"/>
                <w:lang w:eastAsia="en-AU"/>
              </w:rPr>
            </w:pPr>
            <w:r w:rsidRPr="006A75A2">
              <w:rPr>
                <w:rFonts w:eastAsiaTheme="minorEastAsia"/>
                <w:lang w:eastAsia="en-AU"/>
              </w:rPr>
              <w:t>Reclassification</w:t>
            </w:r>
          </w:p>
        </w:tc>
        <w:tc>
          <w:tcPr>
            <w:tcW w:w="1930" w:type="dxa"/>
            <w:tcBorders>
              <w:top w:val="single" w:sz="4" w:space="0" w:color="auto"/>
              <w:left w:val="nil"/>
              <w:bottom w:val="nil"/>
              <w:right w:val="single" w:sz="4" w:space="0" w:color="auto"/>
            </w:tcBorders>
            <w:shd w:val="clear" w:color="auto" w:fill="000000"/>
            <w:vAlign w:val="bottom"/>
          </w:tcPr>
          <w:p w:rsidR="004E6C32" w:rsidRPr="006A75A2" w:rsidRDefault="004E6C32" w:rsidP="002E2762">
            <w:pPr>
              <w:pStyle w:val="Tabletextheading"/>
              <w:rPr>
                <w:rFonts w:eastAsiaTheme="minorEastAsia"/>
                <w:lang w:eastAsia="en-AU"/>
              </w:rPr>
            </w:pPr>
            <w:r w:rsidRPr="006A75A2">
              <w:rPr>
                <w:rFonts w:eastAsiaTheme="minorEastAsia"/>
                <w:lang w:eastAsia="en-AU"/>
              </w:rPr>
              <w:t>Closing balance</w:t>
            </w:r>
          </w:p>
        </w:tc>
      </w:tr>
      <w:tr w:rsidR="004E6C32" w:rsidRPr="006A75A2" w:rsidTr="004B5CB1">
        <w:tc>
          <w:tcPr>
            <w:tcW w:w="1929" w:type="dxa"/>
            <w:tcBorders>
              <w:top w:val="single" w:sz="4" w:space="0" w:color="auto"/>
              <w:left w:val="nil"/>
              <w:bottom w:val="nil"/>
              <w:right w:val="nil"/>
            </w:tcBorders>
            <w:shd w:val="solid" w:color="FFFFFF" w:fill="auto"/>
          </w:tcPr>
          <w:p w:rsidR="004E6C32" w:rsidRPr="006A75A2" w:rsidRDefault="004E6C32" w:rsidP="004B5CB1">
            <w:pPr>
              <w:pStyle w:val="Tabletext"/>
              <w:jc w:val="right"/>
              <w:rPr>
                <w:rFonts w:eastAsiaTheme="minorEastAsia"/>
                <w:b/>
                <w:bCs/>
                <w:lang w:eastAsia="en-AU"/>
              </w:rPr>
            </w:pPr>
            <w:r w:rsidRPr="006A75A2">
              <w:rPr>
                <w:rFonts w:eastAsiaTheme="minorEastAsia"/>
                <w:b/>
                <w:bCs/>
                <w:lang w:eastAsia="en-AU"/>
              </w:rPr>
              <w:t>2 247.1</w:t>
            </w:r>
          </w:p>
        </w:tc>
        <w:tc>
          <w:tcPr>
            <w:tcW w:w="193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887.9</w:t>
            </w:r>
          </w:p>
        </w:tc>
        <w:tc>
          <w:tcPr>
            <w:tcW w:w="1929"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(1.1)</w:t>
            </w:r>
          </w:p>
        </w:tc>
        <w:tc>
          <w:tcPr>
            <w:tcW w:w="193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19.7</w:t>
            </w:r>
          </w:p>
        </w:tc>
        <w:tc>
          <w:tcPr>
            <w:tcW w:w="1930"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19 890.4</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 xml:space="preserve"> 312.9</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79.0</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24.9</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(44.6)</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2 243.0</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1 934.2</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800.0</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(26.0)</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62.1</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16 489.9</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8.8</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1 157.4</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b/>
                <w:bCs/>
                <w:lang w:eastAsia="en-AU"/>
              </w:rPr>
            </w:pPr>
            <w:r w:rsidRPr="006A75A2">
              <w:rPr>
                <w:rFonts w:eastAsiaTheme="minorEastAsia"/>
                <w:b/>
                <w:bCs/>
                <w:lang w:eastAsia="en-AU"/>
              </w:rPr>
              <w:t xml:space="preserve"> 377.8</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319.6</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(16.6)</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(114.8)</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36 311.6</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 xml:space="preserve"> 4.9</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(1.5)</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(16.0)</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1 829.0</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 xml:space="preserve"> 372.9</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321.1</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(121.6)</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16 904.3</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0.4</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15 892.8</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1 685.5</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b/>
                <w:bCs/>
                <w:lang w:eastAsia="en-AU"/>
              </w:rPr>
            </w:pPr>
            <w:r w:rsidRPr="006A75A2">
              <w:rPr>
                <w:rFonts w:eastAsiaTheme="minorEastAsia"/>
                <w:b/>
                <w:bCs/>
                <w:lang w:eastAsia="en-AU"/>
              </w:rPr>
              <w:t xml:space="preserve"> 6.0</w:t>
            </w:r>
            <w:r w:rsidRPr="006A75A2">
              <w:rPr>
                <w:rFonts w:eastAsiaTheme="minorEastAsia"/>
                <w:b/>
                <w:bCs/>
                <w:lang w:eastAsia="en-AU"/>
              </w:rPr>
              <w:br/>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407.6</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3.0</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22.3</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2 865.4</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18.3</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(9.6)</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1 125.3</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 xml:space="preserve"> 6.0</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389.3</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12.6</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22.3</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1 740.1</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b/>
                <w:bCs/>
                <w:lang w:eastAsia="en-AU"/>
              </w:rPr>
            </w:pPr>
            <w:r w:rsidRPr="006A75A2">
              <w:rPr>
                <w:rFonts w:eastAsiaTheme="minorEastAsia"/>
                <w:b/>
                <w:bCs/>
                <w:lang w:eastAsia="en-AU"/>
              </w:rPr>
              <w:t xml:space="preserve"> 12.3</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4.7</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1 466.7</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28 207.0</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 xml:space="preserve"> 12.3</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1 078.4</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20 566.1</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b/>
                <w:lang w:eastAsia="en-AU"/>
              </w:rPr>
              <w:t xml:space="preserve"> </w:t>
            </w:r>
            <w:r w:rsidRPr="006A75A2">
              <w:rPr>
                <w:rFonts w:eastAsiaTheme="minorEastAsia"/>
                <w:lang w:eastAsia="en-AU"/>
              </w:rPr>
              <w:t>388.3</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7 640.9</w:t>
            </w:r>
          </w:p>
        </w:tc>
      </w:tr>
      <w:tr w:rsidR="004E6C32" w:rsidRPr="006A75A2" w:rsidTr="004B5CB1">
        <w:tc>
          <w:tcPr>
            <w:tcW w:w="1929" w:type="dxa"/>
            <w:tcBorders>
              <w:top w:val="nil"/>
              <w:left w:val="nil"/>
              <w:bottom w:val="nil"/>
              <w:right w:val="nil"/>
            </w:tcBorders>
            <w:shd w:val="solid" w:color="FFFFFF" w:fill="auto"/>
          </w:tcPr>
          <w:p w:rsidR="004E6C32" w:rsidRPr="006A75A2" w:rsidRDefault="004E6C32" w:rsidP="004B5CB1">
            <w:pPr>
              <w:pStyle w:val="Tabletext"/>
              <w:jc w:val="right"/>
              <w:rPr>
                <w:rFonts w:eastAsiaTheme="minorEastAsia"/>
                <w:b/>
                <w:bCs/>
                <w:lang w:eastAsia="en-AU"/>
              </w:rPr>
            </w:pPr>
            <w:r w:rsidRPr="006A75A2">
              <w:rPr>
                <w:rFonts w:eastAsiaTheme="minorEastAsia"/>
                <w:b/>
                <w:bCs/>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5.3</w:t>
            </w:r>
          </w:p>
        </w:tc>
        <w:tc>
          <w:tcPr>
            <w:tcW w:w="192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64.1</w:t>
            </w:r>
          </w:p>
        </w:tc>
        <w:tc>
          <w:tcPr>
            <w:tcW w:w="193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2 146.2</w:t>
            </w:r>
          </w:p>
        </w:tc>
      </w:tr>
      <w:tr w:rsidR="004E6C32" w:rsidRPr="006A75A2" w:rsidTr="004B5CB1">
        <w:tc>
          <w:tcPr>
            <w:tcW w:w="1929"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text"/>
              <w:jc w:val="right"/>
              <w:rPr>
                <w:rFonts w:eastAsiaTheme="minorEastAsia"/>
                <w:b/>
                <w:bCs/>
                <w:lang w:eastAsia="en-AU"/>
              </w:rPr>
            </w:pPr>
            <w:r w:rsidRPr="006A75A2">
              <w:rPr>
                <w:rFonts w:eastAsiaTheme="minorEastAsia"/>
                <w:b/>
                <w:bCs/>
                <w:lang w:eastAsia="en-AU"/>
              </w:rPr>
              <w:t>2 643.3</w:t>
            </w:r>
          </w:p>
        </w:tc>
        <w:tc>
          <w:tcPr>
            <w:tcW w:w="1930"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1 625.1</w:t>
            </w:r>
          </w:p>
        </w:tc>
        <w:tc>
          <w:tcPr>
            <w:tcW w:w="1929"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(14.7)</w:t>
            </w:r>
          </w:p>
        </w:tc>
        <w:tc>
          <w:tcPr>
            <w:tcW w:w="1930"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1 458.0</w:t>
            </w:r>
          </w:p>
        </w:tc>
        <w:tc>
          <w:tcPr>
            <w:tcW w:w="1930"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89 420.6</w:t>
            </w:r>
          </w:p>
        </w:tc>
      </w:tr>
    </w:tbl>
    <w:p w:rsidR="004E6C32" w:rsidRPr="006A75A2" w:rsidRDefault="004E6C32" w:rsidP="004B5CB1"/>
    <w:p w:rsidR="004E6C32" w:rsidRPr="006A75A2" w:rsidRDefault="004E6C32" w:rsidP="004B5CB1">
      <w:pPr>
        <w:rPr>
          <w:rFonts w:asciiTheme="minorHAnsi" w:hAnsiTheme="minorHAnsi" w:cstheme="minorHAnsi"/>
        </w:rPr>
      </w:pPr>
    </w:p>
    <w:p w:rsidR="004E6C32" w:rsidRPr="006A75A2" w:rsidRDefault="004E6C32" w:rsidP="004B5CB1">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4E6C32" w:rsidRPr="006A75A2" w:rsidRDefault="004E6C32" w:rsidP="0067336F">
      <w:pPr>
        <w:pStyle w:val="Heading5a"/>
      </w:pPr>
      <w:r w:rsidRPr="006A75A2">
        <w:t>Transf</w:t>
      </w:r>
      <w:r w:rsidR="00022E3F" w:rsidRPr="006A75A2">
        <w:t>ers between Level 1 and Level 2</w:t>
      </w:r>
    </w:p>
    <w:p w:rsidR="004E6C32" w:rsidRPr="006A75A2" w:rsidRDefault="004E6C32" w:rsidP="004B5CB1">
      <w:pPr>
        <w:spacing w:after="0"/>
        <w:rPr>
          <w:rFonts w:ascii="Calibri" w:hAnsi="Calibri"/>
          <w:i/>
          <w:sz w:val="23"/>
        </w:rPr>
      </w:pPr>
      <w:r w:rsidRPr="006A75A2">
        <w:t>There were no transfers identified between Levels 1 and 2.</w:t>
      </w:r>
    </w:p>
    <w:p w:rsidR="004E6C32" w:rsidRPr="006A75A2" w:rsidRDefault="004E6C32" w:rsidP="004B5CB1">
      <w:pPr>
        <w:spacing w:after="0"/>
        <w:rPr>
          <w:rFonts w:ascii="Calibri" w:hAnsi="Calibri"/>
          <w:i/>
          <w:sz w:val="23"/>
        </w:rPr>
      </w:pPr>
    </w:p>
    <w:p w:rsidR="004E6C32" w:rsidRPr="006A75A2" w:rsidRDefault="004E6C32" w:rsidP="0067336F">
      <w:pPr>
        <w:pStyle w:val="Heading5"/>
      </w:pPr>
      <w:r w:rsidRPr="006A75A2">
        <w:t xml:space="preserve">(i) </w:t>
      </w:r>
      <w:r w:rsidRPr="006A75A2">
        <w:tab/>
        <w:t>Description of significant unobservable inputs to Level 3 valuations</w:t>
      </w:r>
    </w:p>
    <w:p w:rsidR="004E6C32" w:rsidRPr="006A75A2" w:rsidRDefault="004E6C32" w:rsidP="004B5CB1">
      <w:r w:rsidRPr="006A75A2">
        <w:rPr>
          <w:rFonts w:cs="Garamond"/>
          <w:szCs w:val="24"/>
          <w:lang w:eastAsia="en-AU"/>
        </w:rPr>
        <w:t>The description of the significant unobservable inputs to Level 3 assets measured at fair value can be seen below. The disclosure is based on the description associated with the significant asset balances within each of the different Level 3 asset classes as per Note 22(g).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r w:rsidRPr="006A75A2">
        <w:t xml:space="preserve"> </w:t>
      </w:r>
    </w:p>
    <w:p w:rsidR="004E6C32" w:rsidRPr="006A75A2" w:rsidRDefault="004E6C32" w:rsidP="00D76647">
      <w:pPr>
        <w:pStyle w:val="Heading5a"/>
      </w:pPr>
      <w:r w:rsidRPr="006A75A2">
        <w:t>Buildings</w:t>
      </w:r>
    </w:p>
    <w:tbl>
      <w:tblPr>
        <w:tblW w:w="9632" w:type="dxa"/>
        <w:tblInd w:w="28" w:type="dxa"/>
        <w:tblLayout w:type="fixed"/>
        <w:tblCellMar>
          <w:left w:w="43" w:type="dxa"/>
          <w:right w:w="43" w:type="dxa"/>
        </w:tblCellMar>
        <w:tblLook w:val="0000" w:firstRow="0" w:lastRow="0" w:firstColumn="0" w:lastColumn="0" w:noHBand="0" w:noVBand="0"/>
      </w:tblPr>
      <w:tblGrid>
        <w:gridCol w:w="1858"/>
        <w:gridCol w:w="2693"/>
        <w:gridCol w:w="2410"/>
        <w:gridCol w:w="2671"/>
      </w:tblGrid>
      <w:tr w:rsidR="004E6C32" w:rsidRPr="006A75A2" w:rsidTr="004B5CB1">
        <w:trPr>
          <w:cantSplit/>
          <w:tblHeader/>
        </w:trPr>
        <w:tc>
          <w:tcPr>
            <w:tcW w:w="1858" w:type="dxa"/>
            <w:tcBorders>
              <w:top w:val="single" w:sz="4" w:space="0" w:color="auto"/>
              <w:left w:val="single" w:sz="4" w:space="0" w:color="auto"/>
              <w:bottom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Asset class</w:t>
            </w:r>
          </w:p>
        </w:tc>
        <w:tc>
          <w:tcPr>
            <w:tcW w:w="2693" w:type="dxa"/>
            <w:tcBorders>
              <w:top w:val="single" w:sz="4" w:space="0" w:color="auto"/>
              <w:left w:val="nil"/>
              <w:bottom w:val="single" w:sz="4" w:space="0" w:color="auto"/>
              <w:right w:val="nil"/>
            </w:tcBorders>
            <w:shd w:val="solid" w:color="000000" w:fill="auto"/>
          </w:tcPr>
          <w:p w:rsidR="004E6C32" w:rsidRPr="006A75A2" w:rsidRDefault="004E6C32" w:rsidP="004B5CB1">
            <w:pPr>
              <w:pStyle w:val="TabletextheadingLeft"/>
              <w:rPr>
                <w:sz w:val="20"/>
                <w:szCs w:val="20"/>
                <w:vertAlign w:val="superscript"/>
              </w:rPr>
            </w:pPr>
            <w:r w:rsidRPr="006A75A2">
              <w:rPr>
                <w:sz w:val="20"/>
                <w:szCs w:val="20"/>
              </w:rPr>
              <w:t>Valuation technique</w:t>
            </w:r>
          </w:p>
        </w:tc>
        <w:tc>
          <w:tcPr>
            <w:tcW w:w="2410" w:type="dxa"/>
            <w:tcBorders>
              <w:top w:val="single" w:sz="4" w:space="0" w:color="auto"/>
              <w:left w:val="nil"/>
              <w:bottom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Significant unobservable input</w:t>
            </w:r>
          </w:p>
        </w:tc>
        <w:tc>
          <w:tcPr>
            <w:tcW w:w="2671" w:type="dxa"/>
            <w:tcBorders>
              <w:top w:val="single" w:sz="4" w:space="0" w:color="auto"/>
              <w:left w:val="nil"/>
              <w:bottom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Range</w:t>
            </w:r>
          </w:p>
        </w:tc>
      </w:tr>
      <w:tr w:rsidR="000E2915" w:rsidRPr="006A75A2" w:rsidTr="00AD1FBF">
        <w:trPr>
          <w:cantSplit/>
        </w:trPr>
        <w:tc>
          <w:tcPr>
            <w:tcW w:w="9632" w:type="dxa"/>
            <w:gridSpan w:val="4"/>
            <w:tcBorders>
              <w:top w:val="single" w:sz="4" w:space="0" w:color="auto"/>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Specialised buildings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Education</w:t>
            </w: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square metre</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$1 650–$3 800</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Enrolment data</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40–60 years</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n.a.</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Health and welfare</w:t>
            </w: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square metre</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$125–$5 265</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25–70 years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Public safety</w:t>
            </w: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Market approach</w:t>
            </w:r>
          </w:p>
        </w:tc>
        <w:tc>
          <w:tcPr>
            <w:tcW w:w="2410" w:type="dxa"/>
            <w:tcBorders>
              <w:left w:val="nil"/>
              <w:right w:val="nil"/>
            </w:tcBorders>
            <w:shd w:val="solid" w:color="FFFFFF" w:fill="auto"/>
          </w:tcPr>
          <w:p w:rsidR="004E6C32" w:rsidRPr="006A75A2" w:rsidRDefault="004E6C32" w:rsidP="009861EA">
            <w:pPr>
              <w:pStyle w:val="TableTextnoindent"/>
              <w:rPr>
                <w:rFonts w:cs="Calibri"/>
                <w:color w:val="auto"/>
                <w:sz w:val="20"/>
                <w:szCs w:val="20"/>
              </w:rPr>
            </w:pPr>
            <w:r w:rsidRPr="006A75A2">
              <w:rPr>
                <w:rFonts w:cs="Calibri"/>
                <w:color w:val="auto"/>
                <w:sz w:val="20"/>
                <w:szCs w:val="20"/>
              </w:rPr>
              <w:t xml:space="preserve">Community service </w:t>
            </w:r>
            <w:r w:rsidRPr="006A75A2">
              <w:rPr>
                <w:rFonts w:cs="Calibri"/>
                <w:color w:val="auto"/>
                <w:sz w:val="20"/>
                <w:szCs w:val="20"/>
              </w:rPr>
              <w:br/>
              <w:t xml:space="preserve">   obligation adjustment</w:t>
            </w:r>
            <w:r w:rsidRPr="006A75A2">
              <w:rPr>
                <w:rFonts w:cs="Calibri"/>
                <w:color w:val="auto"/>
                <w:sz w:val="20"/>
                <w:szCs w:val="20"/>
                <w:vertAlign w:val="superscript"/>
              </w:rPr>
              <w:t>(a)</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20%</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410" w:type="dxa"/>
            <w:tcBorders>
              <w:left w:val="nil"/>
              <w:right w:val="nil"/>
            </w:tcBorders>
            <w:shd w:val="solid" w:color="FFFFFF" w:fill="auto"/>
          </w:tcPr>
          <w:p w:rsidR="004E6C32" w:rsidRPr="006A75A2" w:rsidRDefault="004E6C32" w:rsidP="004B5CB1">
            <w:pPr>
              <w:pStyle w:val="TableTextnoindent"/>
              <w:rPr>
                <w:rFonts w:cs="Calibri"/>
                <w:i/>
                <w:color w:val="auto"/>
                <w:sz w:val="20"/>
                <w:szCs w:val="20"/>
              </w:rPr>
            </w:pPr>
            <w:r w:rsidRPr="006A75A2">
              <w:rPr>
                <w:rFonts w:cs="Calibri"/>
                <w:i/>
                <w:color w:val="auto"/>
                <w:sz w:val="20"/>
                <w:szCs w:val="20"/>
              </w:rPr>
              <w:t>Cost</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per unit</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$4 000–$6 112 000</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per square metre</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$15–$6 793</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1–67 years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Environment </w:t>
            </w: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Cost per square metre </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$10–$5 504</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33–100 years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Transportation and</w:t>
            </w:r>
            <w:r w:rsidRPr="006A75A2">
              <w:rPr>
                <w:rFonts w:cs="Calibri"/>
                <w:color w:val="auto"/>
                <w:sz w:val="20"/>
                <w:szCs w:val="20"/>
              </w:rPr>
              <w:br/>
              <w:t xml:space="preserve">   Communication </w:t>
            </w:r>
            <w:r w:rsidRPr="006A75A2">
              <w:rPr>
                <w:rFonts w:cs="Calibri"/>
                <w:color w:val="auto"/>
                <w:sz w:val="20"/>
                <w:szCs w:val="20"/>
              </w:rPr>
              <w:br/>
              <w:t xml:space="preserve">   (PNFC)</w:t>
            </w: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Ancillary cost</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$745</w:t>
            </w:r>
            <w:r w:rsidR="000E2915" w:rsidRPr="006A75A2">
              <w:rPr>
                <w:rFonts w:cs="Calibri"/>
                <w:color w:val="auto"/>
                <w:sz w:val="20"/>
                <w:szCs w:val="20"/>
              </w:rPr>
              <w:t>–</w:t>
            </w:r>
            <w:r w:rsidRPr="006A75A2">
              <w:rPr>
                <w:rFonts w:cs="Calibri"/>
                <w:color w:val="auto"/>
                <w:sz w:val="20"/>
                <w:szCs w:val="20"/>
              </w:rPr>
              <w:t xml:space="preserve">$74 500 per metre </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$345</w:t>
            </w:r>
            <w:r w:rsidR="000E2915" w:rsidRPr="006A75A2">
              <w:rPr>
                <w:rFonts w:cs="Calibri"/>
                <w:color w:val="auto"/>
                <w:sz w:val="20"/>
                <w:szCs w:val="20"/>
              </w:rPr>
              <w:t>–</w:t>
            </w:r>
            <w:r w:rsidRPr="006A75A2">
              <w:rPr>
                <w:rFonts w:cs="Calibri"/>
                <w:color w:val="auto"/>
                <w:sz w:val="20"/>
                <w:szCs w:val="20"/>
              </w:rPr>
              <w:t>$7 499 per square metre</w:t>
            </w:r>
          </w:p>
          <w:p w:rsidR="004E6C32" w:rsidRPr="006A75A2" w:rsidRDefault="004E6C32" w:rsidP="000E2915">
            <w:pPr>
              <w:pStyle w:val="TableTextnoindent"/>
              <w:rPr>
                <w:rFonts w:cs="Calibri"/>
                <w:color w:val="auto"/>
                <w:sz w:val="20"/>
                <w:szCs w:val="20"/>
              </w:rPr>
            </w:pPr>
            <w:r w:rsidRPr="006A75A2">
              <w:rPr>
                <w:rFonts w:cs="Calibri"/>
                <w:color w:val="auto"/>
                <w:sz w:val="20"/>
                <w:szCs w:val="20"/>
              </w:rPr>
              <w:t>$32 756</w:t>
            </w:r>
            <w:r w:rsidR="000E2915" w:rsidRPr="006A75A2">
              <w:rPr>
                <w:rFonts w:cs="Calibri"/>
                <w:color w:val="auto"/>
                <w:sz w:val="20"/>
                <w:szCs w:val="20"/>
              </w:rPr>
              <w:t>–</w:t>
            </w:r>
            <w:r w:rsidRPr="006A75A2">
              <w:rPr>
                <w:rFonts w:cs="Calibri"/>
                <w:color w:val="auto"/>
                <w:sz w:val="20"/>
                <w:szCs w:val="20"/>
              </w:rPr>
              <w:t>$558 409 per unit</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40–100 years</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Non-specialised buildings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Health and welfare</w:t>
            </w: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Cost per square metre </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$300–$2 100</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50–130 years</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Heritage buildings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Public administration</w:t>
            </w: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Cost per square metre </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$190–$21 000</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5–200 years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Public safety</w:t>
            </w:r>
          </w:p>
        </w:tc>
        <w:tc>
          <w:tcPr>
            <w:tcW w:w="2693"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410"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Cost per square metre </w:t>
            </w:r>
          </w:p>
        </w:tc>
        <w:tc>
          <w:tcPr>
            <w:tcW w:w="267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$200–$4 588</w:t>
            </w:r>
          </w:p>
        </w:tc>
      </w:tr>
      <w:tr w:rsidR="004E6C32" w:rsidRPr="006A75A2" w:rsidTr="004B5CB1">
        <w:trPr>
          <w:cantSplit/>
        </w:trPr>
        <w:tc>
          <w:tcPr>
            <w:tcW w:w="1858"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tc>
        <w:tc>
          <w:tcPr>
            <w:tcW w:w="2693"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tc>
        <w:tc>
          <w:tcPr>
            <w:tcW w:w="2410"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671"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1–50 years</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 xml:space="preserve">The community service obligation (CSO) adjustment reflects the specialised nature of the asset being valued through a market approach. </w:t>
      </w:r>
      <w:r w:rsidRPr="006A75A2">
        <w:br/>
        <w:t>The CSO adjustment is a reflection of the valuer</w:t>
      </w:r>
      <w:r w:rsidR="00C96101" w:rsidRPr="006A75A2">
        <w:t>’</w:t>
      </w:r>
      <w:r w:rsidRPr="006A75A2">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D76647" w:rsidRPr="006A75A2" w:rsidRDefault="00D76647" w:rsidP="00D76647">
      <w:pPr>
        <w:pStyle w:val="Heading5"/>
      </w:pPr>
      <w:r w:rsidRPr="006A75A2">
        <w:t xml:space="preserve">(i) </w:t>
      </w:r>
      <w:r w:rsidRPr="006A75A2">
        <w:tab/>
        <w:t xml:space="preserve">Description of significant unobservable inputs to Level 3 valuations </w:t>
      </w:r>
      <w:r w:rsidRPr="006A75A2">
        <w:rPr>
          <w:i/>
        </w:rPr>
        <w:t>(continued)</w:t>
      </w:r>
    </w:p>
    <w:p w:rsidR="004E6C32" w:rsidRPr="006A75A2" w:rsidRDefault="004E6C32" w:rsidP="00D76647">
      <w:pPr>
        <w:pStyle w:val="Heading5a"/>
      </w:pPr>
      <w:r w:rsidRPr="006A75A2">
        <w:t>Land and national parks</w:t>
      </w:r>
    </w:p>
    <w:tbl>
      <w:tblPr>
        <w:tblW w:w="9632" w:type="dxa"/>
        <w:tblInd w:w="28" w:type="dxa"/>
        <w:tblLayout w:type="fixed"/>
        <w:tblCellMar>
          <w:left w:w="43" w:type="dxa"/>
          <w:right w:w="43" w:type="dxa"/>
        </w:tblCellMar>
        <w:tblLook w:val="0000" w:firstRow="0" w:lastRow="0" w:firstColumn="0" w:lastColumn="0" w:noHBand="0" w:noVBand="0"/>
      </w:tblPr>
      <w:tblGrid>
        <w:gridCol w:w="1989"/>
        <w:gridCol w:w="11"/>
        <w:gridCol w:w="2268"/>
        <w:gridCol w:w="2977"/>
        <w:gridCol w:w="2387"/>
      </w:tblGrid>
      <w:tr w:rsidR="004E6C32" w:rsidRPr="006A75A2" w:rsidTr="000E2915">
        <w:trPr>
          <w:cantSplit/>
          <w:tblHeader/>
        </w:trPr>
        <w:tc>
          <w:tcPr>
            <w:tcW w:w="2000" w:type="dxa"/>
            <w:gridSpan w:val="2"/>
            <w:tcBorders>
              <w:top w:val="single" w:sz="4" w:space="0" w:color="auto"/>
              <w:left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Asset class</w:t>
            </w:r>
          </w:p>
        </w:tc>
        <w:tc>
          <w:tcPr>
            <w:tcW w:w="2268"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vertAlign w:val="superscript"/>
              </w:rPr>
            </w:pPr>
            <w:r w:rsidRPr="006A75A2">
              <w:rPr>
                <w:sz w:val="20"/>
                <w:szCs w:val="20"/>
              </w:rPr>
              <w:t>Valuation technique</w:t>
            </w:r>
          </w:p>
        </w:tc>
        <w:tc>
          <w:tcPr>
            <w:tcW w:w="2977" w:type="dxa"/>
            <w:tcBorders>
              <w:top w:val="single" w:sz="4" w:space="0" w:color="auto"/>
              <w:left w:val="nil"/>
              <w:right w:val="nil"/>
            </w:tcBorders>
            <w:shd w:val="solid" w:color="000000" w:fill="auto"/>
          </w:tcPr>
          <w:p w:rsidR="004E6C32" w:rsidRPr="006A75A2" w:rsidRDefault="004E6C32" w:rsidP="009861EA">
            <w:pPr>
              <w:pStyle w:val="TabletextheadingLeft"/>
              <w:rPr>
                <w:sz w:val="20"/>
                <w:szCs w:val="20"/>
              </w:rPr>
            </w:pPr>
            <w:r w:rsidRPr="006A75A2">
              <w:rPr>
                <w:sz w:val="20"/>
                <w:szCs w:val="20"/>
              </w:rPr>
              <w:t>Significant unobservable input</w:t>
            </w:r>
            <w:r w:rsidRPr="006A75A2">
              <w:rPr>
                <w:sz w:val="20"/>
                <w:szCs w:val="20"/>
                <w:vertAlign w:val="superscript"/>
              </w:rPr>
              <w:t>(a)</w:t>
            </w:r>
          </w:p>
        </w:tc>
        <w:tc>
          <w:tcPr>
            <w:tcW w:w="2387"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rPr>
            </w:pPr>
            <w:r w:rsidRPr="006A75A2">
              <w:rPr>
                <w:sz w:val="20"/>
                <w:szCs w:val="20"/>
              </w:rPr>
              <w:t>Range</w:t>
            </w:r>
          </w:p>
        </w:tc>
      </w:tr>
      <w:tr w:rsidR="000E2915" w:rsidRPr="006A75A2" w:rsidTr="00AD1FBF">
        <w:trPr>
          <w:cantSplit/>
        </w:trPr>
        <w:tc>
          <w:tcPr>
            <w:tcW w:w="9632" w:type="dxa"/>
            <w:gridSpan w:val="5"/>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Specialised land</w:t>
            </w:r>
          </w:p>
        </w:tc>
      </w:tr>
      <w:tr w:rsidR="004E6C32" w:rsidRPr="006A75A2" w:rsidTr="004B5CB1">
        <w:trPr>
          <w:cantSplit/>
        </w:trPr>
        <w:tc>
          <w:tcPr>
            <w:tcW w:w="1989"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Education</w:t>
            </w:r>
          </w:p>
        </w:tc>
        <w:tc>
          <w:tcPr>
            <w:tcW w:w="2279"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Market approach</w:t>
            </w: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Community service obligation </w:t>
            </w:r>
            <w:r w:rsidRPr="006A75A2">
              <w:rPr>
                <w:rFonts w:cs="Calibri"/>
                <w:color w:val="auto"/>
                <w:sz w:val="20"/>
                <w:szCs w:val="20"/>
              </w:rPr>
              <w:br/>
              <w:t xml:space="preserve">   (CSO) adjustment</w:t>
            </w: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20–50%</w:t>
            </w:r>
          </w:p>
        </w:tc>
      </w:tr>
      <w:tr w:rsidR="004E6C32" w:rsidRPr="006A75A2" w:rsidTr="004B5CB1">
        <w:trPr>
          <w:cantSplit/>
        </w:trPr>
        <w:tc>
          <w:tcPr>
            <w:tcW w:w="1989"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Environment</w:t>
            </w:r>
          </w:p>
        </w:tc>
        <w:tc>
          <w:tcPr>
            <w:tcW w:w="2279"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10–90%</w:t>
            </w:r>
          </w:p>
        </w:tc>
      </w:tr>
      <w:tr w:rsidR="004E6C32" w:rsidRPr="006A75A2" w:rsidTr="004B5CB1">
        <w:trPr>
          <w:cantSplit/>
        </w:trPr>
        <w:tc>
          <w:tcPr>
            <w:tcW w:w="1989"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Health and welfare</w:t>
            </w:r>
          </w:p>
        </w:tc>
        <w:tc>
          <w:tcPr>
            <w:tcW w:w="2279"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10–38%</w:t>
            </w:r>
          </w:p>
        </w:tc>
      </w:tr>
      <w:tr w:rsidR="004E6C32" w:rsidRPr="006A75A2" w:rsidTr="004B5CB1">
        <w:trPr>
          <w:cantSplit/>
        </w:trPr>
        <w:tc>
          <w:tcPr>
            <w:tcW w:w="1989"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Public safety</w:t>
            </w:r>
          </w:p>
        </w:tc>
        <w:tc>
          <w:tcPr>
            <w:tcW w:w="2279"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20–25% </w:t>
            </w:r>
          </w:p>
        </w:tc>
      </w:tr>
      <w:tr w:rsidR="004E6C32" w:rsidRPr="006A75A2" w:rsidTr="004B5CB1">
        <w:trPr>
          <w:cantSplit/>
        </w:trPr>
        <w:tc>
          <w:tcPr>
            <w:tcW w:w="1989"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Public administration</w:t>
            </w:r>
          </w:p>
        </w:tc>
        <w:tc>
          <w:tcPr>
            <w:tcW w:w="2279"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10–61%</w:t>
            </w:r>
          </w:p>
        </w:tc>
      </w:tr>
      <w:tr w:rsidR="004E6C32" w:rsidRPr="006A75A2" w:rsidTr="004B5CB1">
        <w:trPr>
          <w:cantSplit/>
        </w:trPr>
        <w:tc>
          <w:tcPr>
            <w:tcW w:w="1989"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Environment (PNFC)</w:t>
            </w:r>
          </w:p>
        </w:tc>
        <w:tc>
          <w:tcPr>
            <w:tcW w:w="2279"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20–90%</w:t>
            </w:r>
          </w:p>
        </w:tc>
      </w:tr>
      <w:tr w:rsidR="004E6C32" w:rsidRPr="006A75A2" w:rsidTr="004B5CB1">
        <w:trPr>
          <w:cantSplit/>
        </w:trPr>
        <w:tc>
          <w:tcPr>
            <w:tcW w:w="1989"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Transportation and</w:t>
            </w:r>
            <w:r w:rsidRPr="006A75A2">
              <w:rPr>
                <w:rFonts w:cs="Calibri"/>
                <w:color w:val="auto"/>
                <w:sz w:val="20"/>
                <w:szCs w:val="20"/>
              </w:rPr>
              <w:br/>
              <w:t xml:space="preserve">   communication</w:t>
            </w:r>
            <w:r w:rsidRPr="006A75A2">
              <w:rPr>
                <w:rFonts w:cs="Calibri"/>
                <w:color w:val="auto"/>
                <w:sz w:val="20"/>
                <w:szCs w:val="20"/>
              </w:rPr>
              <w:br/>
              <w:t xml:space="preserve">   (PNFC)</w:t>
            </w:r>
          </w:p>
        </w:tc>
        <w:tc>
          <w:tcPr>
            <w:tcW w:w="2279"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75%</w:t>
            </w:r>
          </w:p>
        </w:tc>
      </w:tr>
      <w:tr w:rsidR="000E2915" w:rsidRPr="006A75A2" w:rsidTr="00AD1FBF">
        <w:trPr>
          <w:cantSplit/>
        </w:trPr>
        <w:tc>
          <w:tcPr>
            <w:tcW w:w="9632" w:type="dxa"/>
            <w:gridSpan w:val="5"/>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Non-specialised land</w:t>
            </w:r>
          </w:p>
        </w:tc>
      </w:tr>
      <w:tr w:rsidR="004E6C32" w:rsidRPr="006A75A2" w:rsidTr="004B5CB1">
        <w:trPr>
          <w:cantSplit/>
        </w:trPr>
        <w:tc>
          <w:tcPr>
            <w:tcW w:w="2000"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Transportation and </w:t>
            </w:r>
            <w:r w:rsidRPr="006A75A2">
              <w:rPr>
                <w:rFonts w:cs="Calibri"/>
                <w:color w:val="auto"/>
                <w:sz w:val="20"/>
                <w:szCs w:val="20"/>
              </w:rPr>
              <w:br/>
              <w:t xml:space="preserve">   communication</w:t>
            </w:r>
          </w:p>
        </w:tc>
        <w:tc>
          <w:tcPr>
            <w:tcW w:w="226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Market approach</w:t>
            </w: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CSO adjustment</w:t>
            </w: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0–25%</w:t>
            </w:r>
          </w:p>
        </w:tc>
      </w:tr>
      <w:tr w:rsidR="004E6C32" w:rsidRPr="006A75A2" w:rsidTr="004B5CB1">
        <w:trPr>
          <w:cantSplit/>
        </w:trPr>
        <w:tc>
          <w:tcPr>
            <w:tcW w:w="2000"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Health and welfare</w:t>
            </w:r>
          </w:p>
        </w:tc>
        <w:tc>
          <w:tcPr>
            <w:tcW w:w="226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10–20%</w:t>
            </w:r>
          </w:p>
        </w:tc>
      </w:tr>
      <w:tr w:rsidR="000E2915" w:rsidRPr="006A75A2" w:rsidTr="00AD1FBF">
        <w:trPr>
          <w:cantSplit/>
        </w:trPr>
        <w:tc>
          <w:tcPr>
            <w:tcW w:w="9632" w:type="dxa"/>
            <w:gridSpan w:val="5"/>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Land under roads</w:t>
            </w:r>
          </w:p>
        </w:tc>
      </w:tr>
      <w:tr w:rsidR="004E6C32" w:rsidRPr="006A75A2" w:rsidTr="004B5CB1">
        <w:trPr>
          <w:cantSplit/>
        </w:trPr>
        <w:tc>
          <w:tcPr>
            <w:tcW w:w="2000"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26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Market approach</w:t>
            </w: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CSO adjustment</w:t>
            </w: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15–80%</w:t>
            </w:r>
          </w:p>
        </w:tc>
      </w:tr>
      <w:tr w:rsidR="004E6C32" w:rsidRPr="006A75A2" w:rsidTr="004B5CB1">
        <w:trPr>
          <w:cantSplit/>
        </w:trPr>
        <w:tc>
          <w:tcPr>
            <w:tcW w:w="2000"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26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97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Direct cost per hectare</w:t>
            </w: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$918–$34 350 000</w:t>
            </w:r>
          </w:p>
        </w:tc>
      </w:tr>
      <w:tr w:rsidR="000E2915" w:rsidRPr="006A75A2" w:rsidTr="00AD1FBF">
        <w:trPr>
          <w:cantSplit/>
        </w:trPr>
        <w:tc>
          <w:tcPr>
            <w:tcW w:w="9632" w:type="dxa"/>
            <w:gridSpan w:val="5"/>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National parks</w:t>
            </w:r>
          </w:p>
        </w:tc>
      </w:tr>
      <w:tr w:rsidR="004E6C32" w:rsidRPr="006A75A2" w:rsidTr="004B5CB1">
        <w:trPr>
          <w:cantSplit/>
        </w:trPr>
        <w:tc>
          <w:tcPr>
            <w:tcW w:w="2000" w:type="dxa"/>
            <w:gridSpan w:val="2"/>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tc>
        <w:tc>
          <w:tcPr>
            <w:tcW w:w="2268"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Market approach</w:t>
            </w:r>
          </w:p>
        </w:tc>
        <w:tc>
          <w:tcPr>
            <w:tcW w:w="2977"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CSO adjustment</w:t>
            </w:r>
          </w:p>
        </w:tc>
        <w:tc>
          <w:tcPr>
            <w:tcW w:w="2387"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70–90%</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 xml:space="preserve">The community service obligation (CSO) adjustment reflects the specialised nature of the asset being valued through a market approach. </w:t>
      </w:r>
      <w:r w:rsidRPr="006A75A2">
        <w:br/>
        <w:t>The CSO adjustment is a reflection of the valuer</w:t>
      </w:r>
      <w:r w:rsidR="00C96101" w:rsidRPr="006A75A2">
        <w:t>’</w:t>
      </w:r>
      <w:r w:rsidRPr="006A75A2">
        <w:t>s assessment of the impact of restrictions associated with an asset to the extent that is also equally applicable to market participants. This approach takes into account the highest and best use consideration for fair value measurement, and considers the use of the asset that is physically possible, legally permissible, and financially feasible.</w:t>
      </w:r>
    </w:p>
    <w:p w:rsidR="004E6C32" w:rsidRPr="006A75A2" w:rsidRDefault="004E6C32" w:rsidP="004B5CB1"/>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D76647" w:rsidRPr="006A75A2" w:rsidRDefault="00D76647" w:rsidP="00D76647">
      <w:pPr>
        <w:pStyle w:val="Heading5"/>
      </w:pPr>
      <w:r w:rsidRPr="006A75A2">
        <w:t xml:space="preserve">(i) </w:t>
      </w:r>
      <w:r w:rsidRPr="006A75A2">
        <w:tab/>
        <w:t xml:space="preserve">Description of significant unobservable inputs to Level 3 valuations </w:t>
      </w:r>
      <w:r w:rsidRPr="006A75A2">
        <w:rPr>
          <w:i/>
        </w:rPr>
        <w:t>(continued)</w:t>
      </w:r>
    </w:p>
    <w:p w:rsidR="004E6C32" w:rsidRPr="006A75A2" w:rsidRDefault="004E6C32" w:rsidP="00D76647">
      <w:pPr>
        <w:pStyle w:val="Heading5a"/>
      </w:pPr>
      <w:r w:rsidRPr="006A75A2">
        <w:t>Infrastructure systems and rolling stock</w:t>
      </w:r>
    </w:p>
    <w:tbl>
      <w:tblPr>
        <w:tblW w:w="9632" w:type="dxa"/>
        <w:tblInd w:w="28" w:type="dxa"/>
        <w:tblLayout w:type="fixed"/>
        <w:tblCellMar>
          <w:left w:w="43" w:type="dxa"/>
          <w:right w:w="43" w:type="dxa"/>
        </w:tblCellMar>
        <w:tblLook w:val="0000" w:firstRow="0" w:lastRow="0" w:firstColumn="0" w:lastColumn="0" w:noHBand="0" w:noVBand="0"/>
      </w:tblPr>
      <w:tblGrid>
        <w:gridCol w:w="1858"/>
        <w:gridCol w:w="142"/>
        <w:gridCol w:w="2649"/>
        <w:gridCol w:w="2737"/>
        <w:gridCol w:w="2246"/>
      </w:tblGrid>
      <w:tr w:rsidR="00C96101" w:rsidRPr="006A75A2" w:rsidTr="004B5CB1">
        <w:trPr>
          <w:cantSplit/>
          <w:tblHeader/>
        </w:trPr>
        <w:tc>
          <w:tcPr>
            <w:tcW w:w="1858" w:type="dxa"/>
            <w:tcBorders>
              <w:top w:val="single" w:sz="4" w:space="0" w:color="auto"/>
              <w:left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Asset class</w:t>
            </w:r>
          </w:p>
        </w:tc>
        <w:tc>
          <w:tcPr>
            <w:tcW w:w="2791" w:type="dxa"/>
            <w:gridSpan w:val="2"/>
            <w:tcBorders>
              <w:top w:val="single" w:sz="4" w:space="0" w:color="auto"/>
              <w:left w:val="nil"/>
              <w:right w:val="nil"/>
            </w:tcBorders>
            <w:shd w:val="solid" w:color="000000" w:fill="auto"/>
          </w:tcPr>
          <w:p w:rsidR="004E6C32" w:rsidRPr="006A75A2" w:rsidRDefault="004E6C32" w:rsidP="004B5CB1">
            <w:pPr>
              <w:pStyle w:val="TabletextheadingLeft"/>
              <w:rPr>
                <w:sz w:val="20"/>
                <w:szCs w:val="20"/>
                <w:vertAlign w:val="superscript"/>
              </w:rPr>
            </w:pPr>
            <w:r w:rsidRPr="006A75A2">
              <w:rPr>
                <w:sz w:val="20"/>
                <w:szCs w:val="20"/>
              </w:rPr>
              <w:t>Valuation technique</w:t>
            </w:r>
          </w:p>
        </w:tc>
        <w:tc>
          <w:tcPr>
            <w:tcW w:w="2737"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rPr>
            </w:pPr>
            <w:r w:rsidRPr="006A75A2">
              <w:rPr>
                <w:sz w:val="20"/>
                <w:szCs w:val="20"/>
              </w:rPr>
              <w:t>Significant unobservable input</w:t>
            </w:r>
          </w:p>
        </w:tc>
        <w:tc>
          <w:tcPr>
            <w:tcW w:w="2246"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rPr>
            </w:pPr>
            <w:r w:rsidRPr="006A75A2">
              <w:rPr>
                <w:sz w:val="20"/>
                <w:szCs w:val="20"/>
              </w:rPr>
              <w:t>Range</w:t>
            </w:r>
          </w:p>
        </w:tc>
      </w:tr>
      <w:tr w:rsidR="000E2915" w:rsidRPr="006A75A2" w:rsidTr="00AD1FBF">
        <w:trPr>
          <w:cantSplit/>
        </w:trPr>
        <w:tc>
          <w:tcPr>
            <w:tcW w:w="9632" w:type="dxa"/>
            <w:gridSpan w:val="5"/>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Piers, jetties and river improvements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unit</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$1 000–$5 300 000</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6–100 years</w:t>
            </w:r>
          </w:p>
        </w:tc>
      </w:tr>
      <w:tr w:rsidR="000E2915" w:rsidRPr="006A75A2" w:rsidTr="00AD1FBF">
        <w:trPr>
          <w:cantSplit/>
        </w:trPr>
        <w:tc>
          <w:tcPr>
            <w:tcW w:w="9632" w:type="dxa"/>
            <w:gridSpan w:val="5"/>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Metropolitan water infrastructure system (PNFC)</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Income approach</w:t>
            </w: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Discount rate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6.0–6.5%</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Inflation rate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2–3%</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color w:val="auto"/>
                <w:sz w:val="20"/>
                <w:szCs w:val="20"/>
              </w:rPr>
            </w:pPr>
            <w:r w:rsidRPr="006A75A2">
              <w:rPr>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bullet"/>
              <w:rPr>
                <w:sz w:val="20"/>
                <w:szCs w:val="20"/>
              </w:rPr>
            </w:pPr>
            <w:r w:rsidRPr="006A75A2">
              <w:rPr>
                <w:sz w:val="20"/>
                <w:szCs w:val="20"/>
              </w:rPr>
              <w:t>Melbourne Water</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3–200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bullet"/>
              <w:rPr>
                <w:sz w:val="20"/>
                <w:szCs w:val="20"/>
              </w:rPr>
            </w:pPr>
            <w:r w:rsidRPr="006A75A2">
              <w:rPr>
                <w:sz w:val="20"/>
                <w:szCs w:val="20"/>
              </w:rPr>
              <w:t>Other</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3–100 years</w:t>
            </w:r>
          </w:p>
        </w:tc>
      </w:tr>
      <w:tr w:rsidR="000E2915" w:rsidRPr="006A75A2" w:rsidTr="00AD1FBF">
        <w:trPr>
          <w:cantSplit/>
        </w:trPr>
        <w:tc>
          <w:tcPr>
            <w:tcW w:w="9632" w:type="dxa"/>
            <w:gridSpan w:val="5"/>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Infrastructure systems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Rail (track)</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Steel</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$1 870 per tonne</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Ancillary cost</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$31–$36 per tonne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$320–$23 950 per day</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$15–$415 per cubic metre</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50–100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531ECD">
            <w:pPr>
              <w:pStyle w:val="TableTextnoindent"/>
              <w:rPr>
                <w:rFonts w:cs="Calibri"/>
                <w:color w:val="auto"/>
                <w:sz w:val="20"/>
                <w:szCs w:val="20"/>
              </w:rPr>
            </w:pPr>
            <w:r w:rsidRPr="006A75A2">
              <w:rPr>
                <w:rFonts w:cs="Calibri"/>
                <w:color w:val="auto"/>
                <w:sz w:val="20"/>
                <w:szCs w:val="20"/>
              </w:rPr>
              <w:t>Rail (signals and</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Ancillary cost</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$160 900–$291 900</w:t>
            </w:r>
          </w:p>
        </w:tc>
      </w:tr>
      <w:tr w:rsidR="00C96101" w:rsidRPr="006A75A2" w:rsidTr="004B5CB1">
        <w:trPr>
          <w:cantSplit/>
        </w:trPr>
        <w:tc>
          <w:tcPr>
            <w:tcW w:w="1858" w:type="dxa"/>
            <w:tcBorders>
              <w:left w:val="nil"/>
              <w:right w:val="nil"/>
            </w:tcBorders>
            <w:shd w:val="solid" w:color="FFFFFF" w:fill="auto"/>
          </w:tcPr>
          <w:p w:rsidR="004E6C32" w:rsidRPr="006A75A2" w:rsidRDefault="00531ECD" w:rsidP="004B5CB1">
            <w:pPr>
              <w:pStyle w:val="TableTextnoindent"/>
              <w:rPr>
                <w:rFonts w:cs="Calibri"/>
                <w:color w:val="auto"/>
                <w:sz w:val="20"/>
                <w:szCs w:val="20"/>
              </w:rPr>
            </w:pPr>
            <w:r w:rsidRPr="006A75A2">
              <w:rPr>
                <w:rFonts w:cs="Calibri"/>
                <w:color w:val="auto"/>
                <w:sz w:val="20"/>
                <w:szCs w:val="20"/>
              </w:rPr>
              <w:t xml:space="preserve">    communications)</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30–33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Other (PNFC)</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unit</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$17 000–$2 022 000</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0–32 years</w:t>
            </w:r>
          </w:p>
        </w:tc>
      </w:tr>
      <w:tr w:rsidR="000E2915" w:rsidRPr="006A75A2" w:rsidTr="00AD1FBF">
        <w:trPr>
          <w:cantSplit/>
        </w:trPr>
        <w:tc>
          <w:tcPr>
            <w:tcW w:w="9632" w:type="dxa"/>
            <w:gridSpan w:val="5"/>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Regional water infrastructure systems (PNFC)</w:t>
            </w:r>
          </w:p>
        </w:tc>
      </w:tr>
      <w:tr w:rsidR="000E2915" w:rsidRPr="006A75A2" w:rsidTr="00AD1FBF">
        <w:trPr>
          <w:cantSplit/>
        </w:trPr>
        <w:tc>
          <w:tcPr>
            <w:tcW w:w="9632" w:type="dxa"/>
            <w:gridSpan w:val="5"/>
            <w:tcBorders>
              <w:left w:val="nil"/>
              <w:right w:val="nil"/>
            </w:tcBorders>
            <w:shd w:val="solid" w:color="FFFFFF" w:fill="auto"/>
          </w:tcPr>
          <w:p w:rsidR="000E2915" w:rsidRPr="006A75A2" w:rsidRDefault="000E2915" w:rsidP="004B5CB1">
            <w:pPr>
              <w:pStyle w:val="TableTextnoindent"/>
              <w:rPr>
                <w:rFonts w:cs="Calibri"/>
                <w:color w:val="auto"/>
                <w:sz w:val="20"/>
                <w:szCs w:val="20"/>
              </w:rPr>
            </w:pPr>
            <w:r w:rsidRPr="006A75A2">
              <w:rPr>
                <w:rFonts w:cs="Calibri"/>
                <w:i/>
                <w:color w:val="auto"/>
                <w:sz w:val="20"/>
                <w:szCs w:val="20"/>
              </w:rPr>
              <w:t>Sewer collection</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Mains</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737" w:type="dxa"/>
            <w:tcBorders>
              <w:left w:val="nil"/>
              <w:right w:val="nil"/>
            </w:tcBorders>
            <w:shd w:val="solid" w:color="FFFFFF" w:fill="auto"/>
          </w:tcPr>
          <w:p w:rsidR="004E6C32" w:rsidRPr="006A75A2" w:rsidRDefault="004E6C32" w:rsidP="004B5CB1">
            <w:pPr>
              <w:pStyle w:val="TableTextnoindent"/>
              <w:rPr>
                <w:color w:val="auto"/>
                <w:sz w:val="20"/>
                <w:szCs w:val="20"/>
              </w:rPr>
            </w:pPr>
            <w:r w:rsidRPr="006A75A2">
              <w:rPr>
                <w:color w:val="auto"/>
                <w:sz w:val="20"/>
                <w:szCs w:val="20"/>
              </w:rPr>
              <w:t>Cost</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bullet"/>
              <w:rPr>
                <w:sz w:val="20"/>
                <w:szCs w:val="20"/>
              </w:rPr>
            </w:pPr>
            <w:r w:rsidRPr="006A75A2">
              <w:rPr>
                <w:sz w:val="20"/>
                <w:szCs w:val="20"/>
              </w:rPr>
              <w:t>per station</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$50–$4 620</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bullet"/>
              <w:rPr>
                <w:sz w:val="20"/>
                <w:szCs w:val="20"/>
              </w:rPr>
            </w:pPr>
            <w:r w:rsidRPr="006A75A2">
              <w:rPr>
                <w:sz w:val="20"/>
                <w:szCs w:val="20"/>
              </w:rPr>
              <w:t>square metre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$5–$478</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50–110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Pump stations</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color w:val="auto"/>
                <w:sz w:val="20"/>
                <w:szCs w:val="20"/>
              </w:rPr>
            </w:pPr>
            <w:r w:rsidRPr="006A75A2">
              <w:rPr>
                <w:color w:val="auto"/>
                <w:sz w:val="20"/>
                <w:szCs w:val="20"/>
              </w:rPr>
              <w:t>Cost</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bullet"/>
              <w:rPr>
                <w:sz w:val="20"/>
                <w:szCs w:val="20"/>
              </w:rPr>
            </w:pPr>
            <w:r w:rsidRPr="006A75A2">
              <w:rPr>
                <w:sz w:val="20"/>
                <w:szCs w:val="20"/>
              </w:rPr>
              <w:t>per station</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$86 647</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bullet"/>
              <w:rPr>
                <w:sz w:val="20"/>
                <w:szCs w:val="20"/>
              </w:rPr>
            </w:pPr>
            <w:r w:rsidRPr="006A75A2">
              <w:rPr>
                <w:sz w:val="20"/>
                <w:szCs w:val="20"/>
              </w:rPr>
              <w:t>square metre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$322 244</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10–80 years</w:t>
            </w:r>
          </w:p>
        </w:tc>
      </w:tr>
      <w:tr w:rsidR="000E2915" w:rsidRPr="006A75A2" w:rsidTr="00AD1FBF">
        <w:trPr>
          <w:cantSplit/>
        </w:trPr>
        <w:tc>
          <w:tcPr>
            <w:tcW w:w="9632" w:type="dxa"/>
            <w:gridSpan w:val="5"/>
            <w:tcBorders>
              <w:left w:val="nil"/>
              <w:right w:val="nil"/>
            </w:tcBorders>
            <w:shd w:val="solid" w:color="FFFFFF" w:fill="auto"/>
          </w:tcPr>
          <w:p w:rsidR="000E2915" w:rsidRPr="006A75A2" w:rsidRDefault="000E2915" w:rsidP="004B5CB1">
            <w:pPr>
              <w:pStyle w:val="TableTextnoindent"/>
              <w:rPr>
                <w:rFonts w:cs="Calibri"/>
                <w:color w:val="auto"/>
                <w:sz w:val="20"/>
                <w:szCs w:val="20"/>
              </w:rPr>
            </w:pPr>
            <w:r w:rsidRPr="006A75A2">
              <w:rPr>
                <w:rFonts w:cs="Calibri"/>
                <w:i/>
                <w:color w:val="auto"/>
                <w:sz w:val="20"/>
                <w:szCs w:val="20"/>
              </w:rPr>
              <w:t>Sewer treatment</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Treatment plants</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Average cost per unit</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$2 733 032–$20 458 750</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10–105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Treatment plants</w:t>
            </w:r>
            <w:r w:rsidRPr="006A75A2">
              <w:rPr>
                <w:rFonts w:cs="Calibri"/>
                <w:color w:val="auto"/>
                <w:sz w:val="20"/>
                <w:szCs w:val="20"/>
              </w:rPr>
              <w:br/>
              <w:t xml:space="preserve">    mechanical/</w:t>
            </w:r>
            <w:r w:rsidRPr="006A75A2">
              <w:rPr>
                <w:rFonts w:cs="Calibri"/>
                <w:color w:val="auto"/>
                <w:sz w:val="20"/>
                <w:szCs w:val="20"/>
              </w:rPr>
              <w:br/>
              <w:t xml:space="preserve">    electrical</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Average cost per asset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$62 462</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15–20 years</w:t>
            </w:r>
          </w:p>
        </w:tc>
      </w:tr>
      <w:tr w:rsidR="00C96101" w:rsidRPr="006A75A2" w:rsidTr="004B5CB1">
        <w:trPr>
          <w:cantSplit/>
        </w:trPr>
        <w:tc>
          <w:tcPr>
            <w:tcW w:w="2000"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Specialised buildings</w:t>
            </w:r>
          </w:p>
        </w:tc>
        <w:tc>
          <w:tcPr>
            <w:tcW w:w="2649"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asset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$543 105</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80 years</w:t>
            </w:r>
          </w:p>
        </w:tc>
      </w:tr>
      <w:tr w:rsidR="000E2915" w:rsidRPr="006A75A2" w:rsidTr="00AD1FBF">
        <w:trPr>
          <w:cantSplit/>
        </w:trPr>
        <w:tc>
          <w:tcPr>
            <w:tcW w:w="9632" w:type="dxa"/>
            <w:gridSpan w:val="5"/>
            <w:tcBorders>
              <w:left w:val="nil"/>
              <w:right w:val="nil"/>
            </w:tcBorders>
            <w:shd w:val="solid" w:color="FFFFFF" w:fill="auto"/>
          </w:tcPr>
          <w:p w:rsidR="000E2915" w:rsidRPr="006A75A2" w:rsidRDefault="000E2915" w:rsidP="004B5CB1">
            <w:pPr>
              <w:pStyle w:val="TableTextnoindent"/>
              <w:rPr>
                <w:rFonts w:cs="Calibri"/>
                <w:color w:val="auto"/>
                <w:sz w:val="20"/>
                <w:szCs w:val="20"/>
              </w:rPr>
            </w:pPr>
            <w:r w:rsidRPr="006A75A2">
              <w:rPr>
                <w:rFonts w:cs="Calibri"/>
                <w:i/>
                <w:color w:val="auto"/>
                <w:sz w:val="20"/>
                <w:szCs w:val="20"/>
              </w:rPr>
              <w:t>Water distribution</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Mains</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color w:val="auto"/>
                <w:sz w:val="20"/>
                <w:szCs w:val="20"/>
              </w:rPr>
            </w:pPr>
            <w:r w:rsidRPr="006A75A2">
              <w:rPr>
                <w:color w:val="auto"/>
                <w:sz w:val="20"/>
                <w:szCs w:val="20"/>
              </w:rPr>
              <w:t>Cost</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bullet"/>
              <w:rPr>
                <w:sz w:val="20"/>
                <w:szCs w:val="20"/>
              </w:rPr>
            </w:pPr>
            <w:r w:rsidRPr="006A75A2">
              <w:rPr>
                <w:sz w:val="20"/>
                <w:szCs w:val="20"/>
              </w:rPr>
              <w:t>per metre</w:t>
            </w:r>
          </w:p>
          <w:p w:rsidR="004E6C32" w:rsidRPr="006A75A2" w:rsidRDefault="004E6C32" w:rsidP="004B5CB1">
            <w:pPr>
              <w:pStyle w:val="TableTextbullet"/>
              <w:rPr>
                <w:sz w:val="20"/>
                <w:szCs w:val="20"/>
              </w:rPr>
            </w:pPr>
            <w:r w:rsidRPr="006A75A2">
              <w:rPr>
                <w:sz w:val="20"/>
                <w:szCs w:val="20"/>
              </w:rPr>
              <w:t>per square metre</w:t>
            </w:r>
          </w:p>
          <w:p w:rsidR="004E6C32" w:rsidRPr="006A75A2" w:rsidRDefault="004E6C32" w:rsidP="004B5CB1">
            <w:pPr>
              <w:pStyle w:val="TableTextbullet"/>
              <w:rPr>
                <w:sz w:val="20"/>
                <w:szCs w:val="20"/>
              </w:rPr>
            </w:pPr>
            <w:r w:rsidRPr="006A75A2">
              <w:rPr>
                <w:sz w:val="20"/>
                <w:szCs w:val="20"/>
              </w:rPr>
              <w:t>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$50–$1 564</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$156</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$178</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50–120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Meters</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metre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$178 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8–16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Pipelines</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metre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$56</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10–80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Service basins </w:t>
            </w:r>
            <w:r w:rsidRPr="006A75A2">
              <w:rPr>
                <w:rFonts w:cs="Calibri"/>
                <w:color w:val="auto"/>
                <w:sz w:val="20"/>
                <w:szCs w:val="20"/>
              </w:rPr>
              <w:br/>
              <w:t xml:space="preserve">    and tanks</w:t>
            </w:r>
          </w:p>
        </w:tc>
        <w:tc>
          <w:tcPr>
            <w:tcW w:w="2791" w:type="dxa"/>
            <w:gridSpan w:val="2"/>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Average cost per facility</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$791 474</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67 years</w:t>
            </w:r>
          </w:p>
        </w:tc>
      </w:tr>
    </w:tbl>
    <w:p w:rsidR="00D76647" w:rsidRPr="006A75A2" w:rsidRDefault="00D76647"/>
    <w:p w:rsidR="00D76647" w:rsidRPr="006A75A2" w:rsidRDefault="00D76647"/>
    <w:p w:rsidR="00D76647" w:rsidRPr="006A75A2" w:rsidRDefault="00D76647" w:rsidP="00D76647">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D76647" w:rsidRPr="006A75A2" w:rsidRDefault="00D76647" w:rsidP="00D76647">
      <w:pPr>
        <w:pStyle w:val="Heading5"/>
      </w:pPr>
      <w:r w:rsidRPr="006A75A2">
        <w:t xml:space="preserve">(i) </w:t>
      </w:r>
      <w:r w:rsidRPr="006A75A2">
        <w:tab/>
        <w:t xml:space="preserve">Description of significant unobservable inputs to Level 3 valuations </w:t>
      </w:r>
      <w:r w:rsidRPr="006A75A2">
        <w:rPr>
          <w:i/>
        </w:rPr>
        <w:t>(continued)</w:t>
      </w:r>
    </w:p>
    <w:p w:rsidR="00D76647" w:rsidRPr="006A75A2" w:rsidRDefault="00D76647" w:rsidP="00D76647">
      <w:pPr>
        <w:pStyle w:val="Heading5a"/>
      </w:pPr>
      <w:r w:rsidRPr="006A75A2">
        <w:t>Infrastructure systems and rolling stock (continued)</w:t>
      </w:r>
    </w:p>
    <w:tbl>
      <w:tblPr>
        <w:tblW w:w="9632" w:type="dxa"/>
        <w:tblInd w:w="28" w:type="dxa"/>
        <w:tblLayout w:type="fixed"/>
        <w:tblCellMar>
          <w:left w:w="43" w:type="dxa"/>
          <w:right w:w="43" w:type="dxa"/>
        </w:tblCellMar>
        <w:tblLook w:val="0000" w:firstRow="0" w:lastRow="0" w:firstColumn="0" w:lastColumn="0" w:noHBand="0" w:noVBand="0"/>
      </w:tblPr>
      <w:tblGrid>
        <w:gridCol w:w="1858"/>
        <w:gridCol w:w="2791"/>
        <w:gridCol w:w="2737"/>
        <w:gridCol w:w="2246"/>
      </w:tblGrid>
      <w:tr w:rsidR="00D76647" w:rsidRPr="006A75A2" w:rsidTr="00C07A50">
        <w:trPr>
          <w:cantSplit/>
          <w:tblHeader/>
        </w:trPr>
        <w:tc>
          <w:tcPr>
            <w:tcW w:w="1858" w:type="dxa"/>
            <w:tcBorders>
              <w:top w:val="single" w:sz="4" w:space="0" w:color="auto"/>
              <w:left w:val="single" w:sz="4" w:space="0" w:color="auto"/>
              <w:right w:val="nil"/>
            </w:tcBorders>
            <w:shd w:val="solid" w:color="000000" w:fill="auto"/>
          </w:tcPr>
          <w:p w:rsidR="00D76647" w:rsidRPr="006A75A2" w:rsidRDefault="00D76647" w:rsidP="00C07A50">
            <w:pPr>
              <w:pStyle w:val="TabletextheadingLeft"/>
              <w:rPr>
                <w:sz w:val="20"/>
                <w:szCs w:val="20"/>
              </w:rPr>
            </w:pPr>
            <w:r w:rsidRPr="006A75A2">
              <w:rPr>
                <w:sz w:val="20"/>
                <w:szCs w:val="20"/>
              </w:rPr>
              <w:t>Asset class</w:t>
            </w:r>
          </w:p>
        </w:tc>
        <w:tc>
          <w:tcPr>
            <w:tcW w:w="2791" w:type="dxa"/>
            <w:tcBorders>
              <w:top w:val="single" w:sz="4" w:space="0" w:color="auto"/>
              <w:left w:val="nil"/>
              <w:right w:val="nil"/>
            </w:tcBorders>
            <w:shd w:val="solid" w:color="000000" w:fill="auto"/>
          </w:tcPr>
          <w:p w:rsidR="00D76647" w:rsidRPr="006A75A2" w:rsidRDefault="00D76647" w:rsidP="00C07A50">
            <w:pPr>
              <w:pStyle w:val="TabletextheadingLeft"/>
              <w:rPr>
                <w:sz w:val="20"/>
                <w:szCs w:val="20"/>
                <w:vertAlign w:val="superscript"/>
              </w:rPr>
            </w:pPr>
            <w:r w:rsidRPr="006A75A2">
              <w:rPr>
                <w:sz w:val="20"/>
                <w:szCs w:val="20"/>
              </w:rPr>
              <w:t>Valuation technique</w:t>
            </w:r>
          </w:p>
        </w:tc>
        <w:tc>
          <w:tcPr>
            <w:tcW w:w="2737" w:type="dxa"/>
            <w:tcBorders>
              <w:top w:val="single" w:sz="4" w:space="0" w:color="auto"/>
              <w:left w:val="nil"/>
              <w:right w:val="nil"/>
            </w:tcBorders>
            <w:shd w:val="solid" w:color="000000" w:fill="auto"/>
          </w:tcPr>
          <w:p w:rsidR="00D76647" w:rsidRPr="006A75A2" w:rsidRDefault="00D76647" w:rsidP="00C07A50">
            <w:pPr>
              <w:pStyle w:val="TabletextheadingLeft"/>
              <w:rPr>
                <w:sz w:val="20"/>
                <w:szCs w:val="20"/>
              </w:rPr>
            </w:pPr>
            <w:r w:rsidRPr="006A75A2">
              <w:rPr>
                <w:sz w:val="20"/>
                <w:szCs w:val="20"/>
              </w:rPr>
              <w:t>Significant unobservable input</w:t>
            </w:r>
          </w:p>
        </w:tc>
        <w:tc>
          <w:tcPr>
            <w:tcW w:w="2246" w:type="dxa"/>
            <w:tcBorders>
              <w:top w:val="single" w:sz="4" w:space="0" w:color="auto"/>
              <w:left w:val="nil"/>
              <w:right w:val="nil"/>
            </w:tcBorders>
            <w:shd w:val="solid" w:color="000000" w:fill="auto"/>
          </w:tcPr>
          <w:p w:rsidR="00D76647" w:rsidRPr="006A75A2" w:rsidRDefault="00D76647" w:rsidP="00C07A50">
            <w:pPr>
              <w:pStyle w:val="TabletextheadingLeft"/>
              <w:rPr>
                <w:sz w:val="20"/>
                <w:szCs w:val="20"/>
              </w:rPr>
            </w:pPr>
            <w:r w:rsidRPr="006A75A2">
              <w:rPr>
                <w:sz w:val="20"/>
                <w:szCs w:val="20"/>
              </w:rPr>
              <w:t>Range</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D76647">
            <w:pPr>
              <w:pStyle w:val="TableTextnoindent"/>
              <w:rPr>
                <w:rFonts w:cs="Calibri"/>
                <w:b/>
                <w:bCs/>
                <w:iCs/>
                <w:color w:val="auto"/>
                <w:sz w:val="20"/>
                <w:szCs w:val="20"/>
              </w:rPr>
            </w:pPr>
            <w:r w:rsidRPr="006A75A2">
              <w:rPr>
                <w:rFonts w:cs="Calibri"/>
                <w:b/>
                <w:bCs/>
                <w:color w:val="auto"/>
                <w:sz w:val="20"/>
                <w:szCs w:val="20"/>
              </w:rPr>
              <w:t xml:space="preserve">Regional water infrastructure systems (PNFC) </w:t>
            </w:r>
            <w:r w:rsidRPr="006A75A2">
              <w:rPr>
                <w:rFonts w:cs="Calibri"/>
                <w:b/>
                <w:bCs/>
                <w:i/>
                <w:color w:val="auto"/>
                <w:sz w:val="20"/>
                <w:szCs w:val="20"/>
              </w:rPr>
              <w:t>(continued)</w:t>
            </w:r>
          </w:p>
        </w:tc>
      </w:tr>
      <w:tr w:rsidR="000E2915" w:rsidRPr="006A75A2" w:rsidTr="00AD1FBF">
        <w:trPr>
          <w:cantSplit/>
          <w:trHeight w:val="80"/>
        </w:trPr>
        <w:tc>
          <w:tcPr>
            <w:tcW w:w="9632" w:type="dxa"/>
            <w:gridSpan w:val="4"/>
            <w:tcBorders>
              <w:left w:val="nil"/>
              <w:right w:val="nil"/>
            </w:tcBorders>
            <w:shd w:val="solid" w:color="FFFFFF" w:fill="auto"/>
          </w:tcPr>
          <w:p w:rsidR="000E2915" w:rsidRPr="006A75A2" w:rsidRDefault="000E2915" w:rsidP="000E2915">
            <w:pPr>
              <w:pStyle w:val="TableTextnoindent"/>
              <w:rPr>
                <w:rFonts w:cs="Calibri"/>
                <w:color w:val="auto"/>
                <w:sz w:val="20"/>
                <w:szCs w:val="20"/>
              </w:rPr>
            </w:pPr>
            <w:r w:rsidRPr="006A75A2">
              <w:rPr>
                <w:rFonts w:cs="Calibri"/>
                <w:i/>
                <w:color w:val="auto"/>
                <w:sz w:val="20"/>
                <w:szCs w:val="20"/>
              </w:rPr>
              <w:t>Water quality</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Treatment plants</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Average cost 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$1 032 779–$3 280 266</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10–90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Treatment plants</w:t>
            </w:r>
            <w:r w:rsidRPr="006A75A2">
              <w:rPr>
                <w:rFonts w:cs="Calibri"/>
                <w:color w:val="auto"/>
                <w:sz w:val="20"/>
                <w:szCs w:val="20"/>
              </w:rPr>
              <w:br/>
              <w:t xml:space="preserve">    mechanical/ </w:t>
            </w:r>
            <w:r w:rsidRPr="006A75A2">
              <w:rPr>
                <w:rFonts w:cs="Calibri"/>
                <w:color w:val="auto"/>
                <w:sz w:val="20"/>
                <w:szCs w:val="20"/>
              </w:rPr>
              <w:br/>
              <w:t xml:space="preserve">    electrical</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$32 982</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15–20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Pump stations</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$146 547–$872 547</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10–80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Water </w:t>
            </w:r>
            <w:r w:rsidRPr="006A75A2">
              <w:rPr>
                <w:rFonts w:cs="Calibri"/>
                <w:color w:val="auto"/>
                <w:sz w:val="20"/>
                <w:szCs w:val="20"/>
              </w:rPr>
              <w:br/>
              <w:t xml:space="preserve">    (distribution) pump</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$741 421 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30–80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Specialised</w:t>
            </w:r>
            <w:r w:rsidRPr="006A75A2">
              <w:rPr>
                <w:rFonts w:cs="Calibri"/>
                <w:color w:val="auto"/>
                <w:sz w:val="20"/>
                <w:szCs w:val="20"/>
              </w:rPr>
              <w:br/>
              <w:t xml:space="preserve">    buildings</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Average cost per asset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Useful life </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$175 661 per asset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80 years</w:t>
            </w:r>
          </w:p>
        </w:tc>
      </w:tr>
      <w:tr w:rsidR="00C96101" w:rsidRPr="006A75A2" w:rsidTr="004B5CB1">
        <w:trPr>
          <w:cantSplit/>
          <w:trHeight w:val="539"/>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Water </w:t>
            </w:r>
            <w:r w:rsidRPr="006A75A2">
              <w:rPr>
                <w:rFonts w:cs="Calibri"/>
                <w:color w:val="auto"/>
                <w:sz w:val="20"/>
                <w:szCs w:val="20"/>
              </w:rPr>
              <w:br/>
              <w:t xml:space="preserve">    infrastructure</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Useful life </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10–150 years</w:t>
            </w:r>
          </w:p>
        </w:tc>
      </w:tr>
      <w:tr w:rsidR="000E2915" w:rsidRPr="006A75A2" w:rsidTr="00AD1FBF">
        <w:trPr>
          <w:cantSplit/>
          <w:trHeight w:val="80"/>
        </w:trPr>
        <w:tc>
          <w:tcPr>
            <w:tcW w:w="9632" w:type="dxa"/>
            <w:gridSpan w:val="4"/>
            <w:tcBorders>
              <w:left w:val="nil"/>
              <w:right w:val="nil"/>
            </w:tcBorders>
            <w:shd w:val="solid" w:color="FFFFFF" w:fill="auto"/>
          </w:tcPr>
          <w:p w:rsidR="000E2915" w:rsidRPr="006A75A2" w:rsidRDefault="000E2915" w:rsidP="004B5CB1">
            <w:pPr>
              <w:pStyle w:val="TableTextnoindent"/>
              <w:rPr>
                <w:rFonts w:cs="Calibri"/>
                <w:color w:val="auto"/>
                <w:sz w:val="20"/>
                <w:szCs w:val="20"/>
              </w:rPr>
            </w:pPr>
            <w:r w:rsidRPr="006A75A2">
              <w:rPr>
                <w:rFonts w:cs="Calibri"/>
                <w:i/>
                <w:color w:val="auto"/>
                <w:sz w:val="20"/>
                <w:szCs w:val="20"/>
              </w:rPr>
              <w:t>Water harvesting</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Bores</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$29 116–$66 558 </w:t>
            </w:r>
          </w:p>
          <w:p w:rsidR="004E6C32" w:rsidRPr="006A75A2" w:rsidRDefault="000E2915" w:rsidP="004B5CB1">
            <w:pPr>
              <w:pStyle w:val="TableTextnoindent"/>
              <w:rPr>
                <w:rFonts w:cs="Calibri"/>
                <w:color w:val="auto"/>
                <w:sz w:val="20"/>
                <w:szCs w:val="20"/>
              </w:rPr>
            </w:pPr>
            <w:r w:rsidRPr="006A75A2">
              <w:rPr>
                <w:rFonts w:cs="Calibri"/>
                <w:color w:val="auto"/>
                <w:sz w:val="20"/>
                <w:szCs w:val="20"/>
              </w:rPr>
              <w:t>2–</w:t>
            </w:r>
            <w:r w:rsidR="004E6C32" w:rsidRPr="006A75A2">
              <w:rPr>
                <w:rFonts w:cs="Calibri"/>
                <w:color w:val="auto"/>
                <w:sz w:val="20"/>
                <w:szCs w:val="20"/>
              </w:rPr>
              <w:t>75 years</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Storages</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$112 780–$2 921 593</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50–350 years</w:t>
            </w:r>
          </w:p>
        </w:tc>
      </w:tr>
      <w:tr w:rsidR="00C96101" w:rsidRPr="006A75A2" w:rsidTr="00531ECD">
        <w:trPr>
          <w:cantSplit/>
          <w:trHeight w:val="906"/>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Channels</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color w:val="auto"/>
                <w:sz w:val="20"/>
                <w:szCs w:val="20"/>
              </w:rPr>
            </w:pPr>
            <w:r w:rsidRPr="006A75A2">
              <w:rPr>
                <w:color w:val="auto"/>
                <w:sz w:val="20"/>
                <w:szCs w:val="20"/>
              </w:rPr>
              <w:t>Cost</w:t>
            </w:r>
          </w:p>
          <w:p w:rsidR="004E6C32" w:rsidRPr="006A75A2" w:rsidRDefault="004E6C32" w:rsidP="004B5CB1">
            <w:pPr>
              <w:pStyle w:val="TableTextbullet"/>
              <w:rPr>
                <w:sz w:val="20"/>
                <w:szCs w:val="20"/>
              </w:rPr>
            </w:pPr>
            <w:r w:rsidRPr="006A75A2">
              <w:rPr>
                <w:sz w:val="20"/>
                <w:szCs w:val="20"/>
              </w:rPr>
              <w:t>per metre</w:t>
            </w:r>
          </w:p>
          <w:p w:rsidR="004E6C32" w:rsidRPr="006A75A2" w:rsidRDefault="004E6C32" w:rsidP="004B5CB1">
            <w:pPr>
              <w:pStyle w:val="TableTextbullet"/>
              <w:rPr>
                <w:sz w:val="20"/>
                <w:szCs w:val="20"/>
              </w:rPr>
            </w:pPr>
            <w:r w:rsidRPr="006A75A2">
              <w:rPr>
                <w:sz w:val="20"/>
                <w:szCs w:val="20"/>
              </w:rPr>
              <w:t>per unit</w:t>
            </w:r>
          </w:p>
          <w:p w:rsidR="004E6C32" w:rsidRPr="006A75A2" w:rsidRDefault="004E6C32" w:rsidP="004B5CB1">
            <w:pPr>
              <w:pStyle w:val="TableTextbullet"/>
              <w:rPr>
                <w:sz w:val="20"/>
                <w:szCs w:val="20"/>
              </w:rPr>
            </w:pPr>
            <w:r w:rsidRPr="006A75A2">
              <w:rPr>
                <w:sz w:val="20"/>
                <w:szCs w:val="20"/>
              </w:rPr>
              <w:t>per facility</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p w:rsidR="004E6C32" w:rsidRPr="006A75A2" w:rsidRDefault="004E6C32" w:rsidP="004B5CB1">
            <w:pPr>
              <w:pStyle w:val="TableTextnoindent"/>
              <w:rPr>
                <w:rFonts w:cs="Calibri"/>
                <w:color w:val="auto"/>
                <w:sz w:val="20"/>
                <w:szCs w:val="20"/>
              </w:rPr>
            </w:pPr>
            <w:r w:rsidRPr="006A75A2">
              <w:rPr>
                <w:rFonts w:cs="Calibri"/>
                <w:color w:val="auto"/>
                <w:sz w:val="20"/>
                <w:szCs w:val="20"/>
              </w:rPr>
              <w:t>$14–$1 235</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$211</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$2 142 299</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10–140 years</w:t>
            </w:r>
          </w:p>
        </w:tc>
      </w:tr>
      <w:tr w:rsidR="000E2915" w:rsidRPr="006A75A2" w:rsidTr="00AD1FBF">
        <w:trPr>
          <w:cantSplit/>
          <w:trHeight w:val="80"/>
        </w:trPr>
        <w:tc>
          <w:tcPr>
            <w:tcW w:w="9632" w:type="dxa"/>
            <w:gridSpan w:val="4"/>
            <w:tcBorders>
              <w:left w:val="nil"/>
              <w:right w:val="nil"/>
            </w:tcBorders>
            <w:shd w:val="solid" w:color="FFFFFF" w:fill="auto"/>
          </w:tcPr>
          <w:p w:rsidR="000E2915" w:rsidRPr="006A75A2" w:rsidRDefault="000E2915" w:rsidP="004B5CB1">
            <w:pPr>
              <w:pStyle w:val="TableTextnoindent"/>
              <w:rPr>
                <w:rFonts w:cs="Calibri"/>
                <w:color w:val="auto"/>
                <w:sz w:val="20"/>
                <w:szCs w:val="20"/>
              </w:rPr>
            </w:pPr>
            <w:r w:rsidRPr="006A75A2">
              <w:rPr>
                <w:rFonts w:cs="Calibri"/>
                <w:i/>
                <w:color w:val="auto"/>
                <w:sz w:val="20"/>
                <w:szCs w:val="20"/>
              </w:rPr>
              <w:t>Other</w:t>
            </w:r>
          </w:p>
        </w:tc>
      </w:tr>
      <w:tr w:rsidR="00C96101"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    Recycled water </w:t>
            </w:r>
            <w:r w:rsidRPr="006A75A2">
              <w:rPr>
                <w:rFonts w:cs="Calibri"/>
                <w:color w:val="auto"/>
                <w:sz w:val="20"/>
                <w:szCs w:val="20"/>
              </w:rPr>
              <w:br/>
              <w:t xml:space="preserve">    factory</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unit</w:t>
            </w:r>
          </w:p>
          <w:p w:rsidR="004E6C32" w:rsidRPr="006A75A2" w:rsidRDefault="004E6C32" w:rsidP="004B5CB1">
            <w:pPr>
              <w:pStyle w:val="TableTextnoindent"/>
              <w:rPr>
                <w:rFonts w:cs="Calibri"/>
                <w:i/>
                <w:color w:val="auto"/>
                <w:sz w:val="20"/>
                <w:szCs w:val="20"/>
              </w:rPr>
            </w:pPr>
            <w:r w:rsidRPr="006A75A2">
              <w:rPr>
                <w:rFonts w:cs="Calibri"/>
                <w:color w:val="auto"/>
                <w:sz w:val="20"/>
                <w:szCs w:val="20"/>
              </w:rPr>
              <w:t>Useful life</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$35 328 102</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20–80 years</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Rolling stock (PNFC)</w:t>
            </w:r>
          </w:p>
        </w:tc>
      </w:tr>
      <w:tr w:rsidR="00C96101" w:rsidRPr="006A75A2" w:rsidTr="004B5CB1">
        <w:trPr>
          <w:cantSplit/>
        </w:trPr>
        <w:tc>
          <w:tcPr>
            <w:tcW w:w="1858"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737"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w:t>
            </w:r>
          </w:p>
          <w:p w:rsidR="004E6C32" w:rsidRPr="006A75A2" w:rsidRDefault="004E6C32" w:rsidP="009861EA">
            <w:pPr>
              <w:pStyle w:val="TableTextnoindent"/>
              <w:rPr>
                <w:rFonts w:cs="Calibri"/>
                <w:color w:val="auto"/>
                <w:sz w:val="20"/>
                <w:szCs w:val="20"/>
              </w:rPr>
            </w:pPr>
            <w:r w:rsidRPr="006A75A2">
              <w:rPr>
                <w:rFonts w:cs="Calibri"/>
                <w:color w:val="auto"/>
                <w:sz w:val="20"/>
                <w:szCs w:val="20"/>
              </w:rPr>
              <w:t>Qualitative attractiveness</w:t>
            </w:r>
            <w:r w:rsidRPr="006A75A2">
              <w:rPr>
                <w:rFonts w:cs="Calibri"/>
                <w:color w:val="auto"/>
                <w:sz w:val="20"/>
                <w:szCs w:val="20"/>
                <w:vertAlign w:val="superscript"/>
              </w:rPr>
              <w:t>(a)</w:t>
            </w:r>
          </w:p>
        </w:tc>
        <w:tc>
          <w:tcPr>
            <w:tcW w:w="2246"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$756 000–$8 300 000</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4–45 years</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0–20%</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Qualitative attractiveness represents the discount applied to the replacement cost for each type of rolling stock to account for difference in technical specification and functional obsolescence.</w:t>
      </w:r>
    </w:p>
    <w:p w:rsidR="004E6C32" w:rsidRPr="006A75A2" w:rsidRDefault="004E6C32" w:rsidP="004B5CB1"/>
    <w:p w:rsidR="004E6C32" w:rsidRPr="006A75A2" w:rsidRDefault="004E6C32" w:rsidP="004B5CB1"/>
    <w:p w:rsidR="004E6C32" w:rsidRPr="006A75A2" w:rsidRDefault="004E6C32">
      <w:pPr>
        <w:spacing w:after="0"/>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C07A50" w:rsidRPr="006A75A2" w:rsidRDefault="00C07A50" w:rsidP="00C07A50">
      <w:pPr>
        <w:pStyle w:val="Heading5"/>
      </w:pPr>
      <w:r w:rsidRPr="006A75A2">
        <w:t xml:space="preserve">(i) </w:t>
      </w:r>
      <w:r w:rsidRPr="006A75A2">
        <w:tab/>
        <w:t xml:space="preserve">Description of significant unobservable inputs to Level 3 valuations </w:t>
      </w:r>
      <w:r w:rsidRPr="006A75A2">
        <w:rPr>
          <w:i/>
        </w:rPr>
        <w:t>(continued)</w:t>
      </w:r>
    </w:p>
    <w:p w:rsidR="004E6C32" w:rsidRPr="006A75A2" w:rsidRDefault="004E6C32" w:rsidP="00D76647">
      <w:pPr>
        <w:pStyle w:val="Heading5a"/>
      </w:pPr>
      <w:r w:rsidRPr="006A75A2">
        <w:t>Plant, equipment and vehicles</w:t>
      </w:r>
    </w:p>
    <w:tbl>
      <w:tblPr>
        <w:tblW w:w="9632" w:type="dxa"/>
        <w:tblInd w:w="28" w:type="dxa"/>
        <w:tblLayout w:type="fixed"/>
        <w:tblCellMar>
          <w:left w:w="43" w:type="dxa"/>
          <w:right w:w="43" w:type="dxa"/>
        </w:tblCellMar>
        <w:tblLook w:val="0000" w:firstRow="0" w:lastRow="0" w:firstColumn="0" w:lastColumn="0" w:noHBand="0" w:noVBand="0"/>
      </w:tblPr>
      <w:tblGrid>
        <w:gridCol w:w="1858"/>
        <w:gridCol w:w="2791"/>
        <w:gridCol w:w="2596"/>
        <w:gridCol w:w="2387"/>
      </w:tblGrid>
      <w:tr w:rsidR="004E6C32" w:rsidRPr="006A75A2" w:rsidTr="004B5CB1">
        <w:trPr>
          <w:cantSplit/>
          <w:tblHeader/>
        </w:trPr>
        <w:tc>
          <w:tcPr>
            <w:tcW w:w="1858" w:type="dxa"/>
            <w:tcBorders>
              <w:top w:val="single" w:sz="4" w:space="0" w:color="auto"/>
              <w:left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Asset class</w:t>
            </w:r>
          </w:p>
        </w:tc>
        <w:tc>
          <w:tcPr>
            <w:tcW w:w="2791"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vertAlign w:val="superscript"/>
              </w:rPr>
            </w:pPr>
            <w:r w:rsidRPr="006A75A2">
              <w:rPr>
                <w:sz w:val="20"/>
                <w:szCs w:val="20"/>
              </w:rPr>
              <w:t>Valuation technique</w:t>
            </w:r>
          </w:p>
        </w:tc>
        <w:tc>
          <w:tcPr>
            <w:tcW w:w="2596"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rPr>
            </w:pPr>
            <w:r w:rsidRPr="006A75A2">
              <w:rPr>
                <w:sz w:val="20"/>
                <w:szCs w:val="20"/>
              </w:rPr>
              <w:t>Significant unobservable input</w:t>
            </w:r>
          </w:p>
        </w:tc>
        <w:tc>
          <w:tcPr>
            <w:tcW w:w="2387"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rPr>
            </w:pPr>
            <w:r w:rsidRPr="006A75A2">
              <w:rPr>
                <w:sz w:val="20"/>
                <w:szCs w:val="20"/>
              </w:rPr>
              <w:t>Range</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Plant and equipment</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596" w:type="dxa"/>
            <w:tcBorders>
              <w:left w:val="nil"/>
              <w:right w:val="nil"/>
            </w:tcBorders>
            <w:shd w:val="solid" w:color="FFFFFF" w:fill="auto"/>
          </w:tcPr>
          <w:p w:rsidR="004E6C32" w:rsidRPr="006A75A2" w:rsidRDefault="004E6C32" w:rsidP="004B5CB1">
            <w:pPr>
              <w:pStyle w:val="TableTextnoindent"/>
              <w:rPr>
                <w:color w:val="auto"/>
                <w:sz w:val="20"/>
                <w:szCs w:val="20"/>
              </w:rPr>
            </w:pPr>
            <w:r w:rsidRPr="006A75A2">
              <w:rPr>
                <w:color w:val="auto"/>
                <w:sz w:val="20"/>
                <w:szCs w:val="20"/>
              </w:rPr>
              <w:t>Cost per unit</w:t>
            </w:r>
          </w:p>
          <w:p w:rsidR="004E6C32" w:rsidRPr="006A75A2" w:rsidRDefault="004E6C32" w:rsidP="004B5CB1">
            <w:pPr>
              <w:pStyle w:val="TableTextbullet"/>
              <w:rPr>
                <w:sz w:val="20"/>
                <w:szCs w:val="20"/>
              </w:rPr>
            </w:pPr>
            <w:r w:rsidRPr="006A75A2">
              <w:rPr>
                <w:sz w:val="20"/>
                <w:szCs w:val="20"/>
              </w:rPr>
              <w:t>Other</w:t>
            </w:r>
          </w:p>
          <w:p w:rsidR="004E6C32" w:rsidRPr="006A75A2" w:rsidRDefault="004E6C32" w:rsidP="004B5CB1">
            <w:pPr>
              <w:pStyle w:val="TableTextnoindent"/>
              <w:rPr>
                <w:color w:val="auto"/>
                <w:sz w:val="20"/>
                <w:szCs w:val="20"/>
              </w:rPr>
            </w:pPr>
            <w:r w:rsidRPr="006A75A2">
              <w:rPr>
                <w:color w:val="auto"/>
                <w:sz w:val="20"/>
                <w:szCs w:val="20"/>
              </w:rPr>
              <w:t>Useful life</w:t>
            </w:r>
          </w:p>
          <w:p w:rsidR="004E6C32" w:rsidRPr="006A75A2" w:rsidRDefault="004E6C32" w:rsidP="004B5CB1">
            <w:pPr>
              <w:pStyle w:val="TableTextbullet"/>
              <w:rPr>
                <w:sz w:val="20"/>
                <w:szCs w:val="20"/>
              </w:rPr>
            </w:pPr>
            <w:r w:rsidRPr="006A75A2">
              <w:rPr>
                <w:sz w:val="20"/>
                <w:szCs w:val="20"/>
              </w:rPr>
              <w:t>Health and welfare</w:t>
            </w:r>
          </w:p>
          <w:p w:rsidR="004E6C32" w:rsidRPr="006A75A2" w:rsidRDefault="004E6C32" w:rsidP="004B5CB1">
            <w:pPr>
              <w:pStyle w:val="TableTextbullet"/>
              <w:rPr>
                <w:sz w:val="20"/>
                <w:szCs w:val="20"/>
              </w:rPr>
            </w:pPr>
            <w:r w:rsidRPr="006A75A2">
              <w:rPr>
                <w:sz w:val="20"/>
                <w:szCs w:val="20"/>
              </w:rPr>
              <w:t>Other</w:t>
            </w: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p w:rsidR="004E6C32" w:rsidRPr="006A75A2" w:rsidRDefault="004E6C32" w:rsidP="004B5CB1">
            <w:pPr>
              <w:pStyle w:val="TableTextnoindent"/>
              <w:rPr>
                <w:rFonts w:cs="Calibri"/>
                <w:color w:val="auto"/>
                <w:sz w:val="20"/>
                <w:szCs w:val="20"/>
              </w:rPr>
            </w:pPr>
            <w:r w:rsidRPr="006A75A2">
              <w:rPr>
                <w:rFonts w:cs="Calibri"/>
                <w:color w:val="auto"/>
                <w:sz w:val="20"/>
                <w:szCs w:val="20"/>
              </w:rPr>
              <w:t>$1 000–$1 630 646</w:t>
            </w:r>
          </w:p>
          <w:p w:rsidR="004E6C32" w:rsidRPr="006A75A2" w:rsidRDefault="004E6C32" w:rsidP="004B5CB1">
            <w:pPr>
              <w:pStyle w:val="TableTextnoindent"/>
              <w:rPr>
                <w:rFonts w:cs="Calibri"/>
                <w:color w:val="auto"/>
                <w:sz w:val="20"/>
                <w:szCs w:val="20"/>
              </w:rPr>
            </w:pPr>
          </w:p>
          <w:p w:rsidR="004E6C32" w:rsidRPr="006A75A2" w:rsidRDefault="004E6C32" w:rsidP="004B5CB1">
            <w:pPr>
              <w:pStyle w:val="TableTextnoindent"/>
              <w:rPr>
                <w:rFonts w:cs="Calibri"/>
                <w:color w:val="auto"/>
                <w:sz w:val="20"/>
                <w:szCs w:val="20"/>
              </w:rPr>
            </w:pPr>
            <w:r w:rsidRPr="006A75A2">
              <w:rPr>
                <w:rFonts w:cs="Calibri"/>
                <w:color w:val="auto"/>
                <w:sz w:val="20"/>
                <w:szCs w:val="20"/>
              </w:rPr>
              <w:t>4–10 years</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1–21 years</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Plant and equipment (PNFC)</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59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Contracted price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Contracted price inflation</w:t>
            </w: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$1 200 000–$8 300 000</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1.9% a year</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Vehicles</w:t>
            </w:r>
          </w:p>
        </w:tc>
      </w:tr>
      <w:tr w:rsidR="004E6C32" w:rsidRPr="006A75A2" w:rsidTr="004B5CB1">
        <w:trPr>
          <w:cantSplit/>
        </w:trPr>
        <w:tc>
          <w:tcPr>
            <w:tcW w:w="1858"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596" w:type="dxa"/>
            <w:tcBorders>
              <w:left w:val="nil"/>
              <w:bottom w:val="single" w:sz="12" w:space="0" w:color="auto"/>
              <w:right w:val="nil"/>
            </w:tcBorders>
            <w:shd w:val="solid" w:color="FFFFFF" w:fill="auto"/>
          </w:tcPr>
          <w:p w:rsidR="004E6C32" w:rsidRPr="006A75A2" w:rsidRDefault="004E6C32" w:rsidP="004B5CB1">
            <w:pPr>
              <w:pStyle w:val="TableTextnoindent"/>
              <w:rPr>
                <w:color w:val="auto"/>
                <w:sz w:val="20"/>
                <w:szCs w:val="20"/>
              </w:rPr>
            </w:pPr>
            <w:r w:rsidRPr="006A75A2">
              <w:rPr>
                <w:color w:val="auto"/>
                <w:sz w:val="20"/>
                <w:szCs w:val="20"/>
              </w:rPr>
              <w:t>Cost per unit</w:t>
            </w:r>
          </w:p>
          <w:p w:rsidR="004E6C32" w:rsidRPr="006A75A2" w:rsidRDefault="004E6C32" w:rsidP="004B5CB1">
            <w:pPr>
              <w:pStyle w:val="TableTextbullet"/>
              <w:rPr>
                <w:sz w:val="20"/>
                <w:szCs w:val="20"/>
              </w:rPr>
            </w:pPr>
            <w:r w:rsidRPr="006A75A2">
              <w:rPr>
                <w:sz w:val="20"/>
                <w:szCs w:val="20"/>
              </w:rPr>
              <w:t>Health and welfare</w:t>
            </w:r>
          </w:p>
          <w:p w:rsidR="004E6C32" w:rsidRPr="006A75A2" w:rsidRDefault="004E6C32" w:rsidP="004B5CB1">
            <w:pPr>
              <w:pStyle w:val="TableTextbullet"/>
              <w:rPr>
                <w:sz w:val="20"/>
                <w:szCs w:val="20"/>
              </w:rPr>
            </w:pPr>
            <w:r w:rsidRPr="006A75A2">
              <w:rPr>
                <w:sz w:val="20"/>
                <w:szCs w:val="20"/>
              </w:rPr>
              <w:t>Public safety</w:t>
            </w:r>
          </w:p>
          <w:p w:rsidR="004E6C32" w:rsidRPr="006A75A2" w:rsidRDefault="004E6C32" w:rsidP="004B5CB1">
            <w:pPr>
              <w:pStyle w:val="TableTextnoindent"/>
              <w:rPr>
                <w:color w:val="auto"/>
                <w:sz w:val="20"/>
                <w:szCs w:val="20"/>
              </w:rPr>
            </w:pPr>
            <w:r w:rsidRPr="006A75A2">
              <w:rPr>
                <w:color w:val="auto"/>
                <w:sz w:val="20"/>
                <w:szCs w:val="20"/>
              </w:rPr>
              <w:t>Useful life</w:t>
            </w:r>
          </w:p>
          <w:p w:rsidR="004E6C32" w:rsidRPr="006A75A2" w:rsidRDefault="004E6C32" w:rsidP="004B5CB1">
            <w:pPr>
              <w:pStyle w:val="TableTextbullet"/>
              <w:rPr>
                <w:sz w:val="20"/>
                <w:szCs w:val="20"/>
              </w:rPr>
            </w:pPr>
            <w:r w:rsidRPr="006A75A2">
              <w:rPr>
                <w:sz w:val="20"/>
                <w:szCs w:val="20"/>
              </w:rPr>
              <w:t>Health and welfare</w:t>
            </w:r>
          </w:p>
          <w:p w:rsidR="004E6C32" w:rsidRPr="006A75A2" w:rsidRDefault="004E6C32" w:rsidP="004B5CB1">
            <w:pPr>
              <w:pStyle w:val="TableTextbullet"/>
              <w:rPr>
                <w:sz w:val="20"/>
                <w:szCs w:val="20"/>
              </w:rPr>
            </w:pPr>
            <w:r w:rsidRPr="006A75A2">
              <w:rPr>
                <w:sz w:val="20"/>
                <w:szCs w:val="20"/>
              </w:rPr>
              <w:t>Public safety</w:t>
            </w:r>
          </w:p>
        </w:tc>
        <w:tc>
          <w:tcPr>
            <w:tcW w:w="2387"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p w:rsidR="004E6C32" w:rsidRPr="006A75A2" w:rsidRDefault="004E6C32" w:rsidP="004B5CB1">
            <w:pPr>
              <w:pStyle w:val="TableTextnoindent"/>
              <w:rPr>
                <w:rFonts w:cs="Calibri"/>
                <w:color w:val="auto"/>
                <w:sz w:val="20"/>
                <w:szCs w:val="20"/>
              </w:rPr>
            </w:pPr>
            <w:r w:rsidRPr="006A75A2">
              <w:rPr>
                <w:rFonts w:cs="Calibri"/>
                <w:color w:val="auto"/>
                <w:sz w:val="20"/>
                <w:szCs w:val="20"/>
              </w:rPr>
              <w:t>$2 000–$360 282</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$1 000–$1 735 000</w:t>
            </w:r>
          </w:p>
          <w:p w:rsidR="004E6C32" w:rsidRPr="006A75A2" w:rsidRDefault="004E6C32" w:rsidP="004B5CB1">
            <w:pPr>
              <w:pStyle w:val="TableTextnoindent"/>
              <w:rPr>
                <w:rFonts w:cs="Calibri"/>
                <w:color w:val="auto"/>
                <w:sz w:val="20"/>
                <w:szCs w:val="20"/>
              </w:rPr>
            </w:pPr>
          </w:p>
          <w:p w:rsidR="004E6C32" w:rsidRPr="006A75A2" w:rsidRDefault="004E6C32" w:rsidP="004B5CB1">
            <w:pPr>
              <w:pStyle w:val="TableTextnoindent"/>
              <w:rPr>
                <w:rFonts w:cs="Calibri"/>
                <w:color w:val="auto"/>
                <w:sz w:val="20"/>
                <w:szCs w:val="20"/>
              </w:rPr>
            </w:pPr>
            <w:r w:rsidRPr="006A75A2">
              <w:rPr>
                <w:rFonts w:cs="Calibri"/>
                <w:color w:val="auto"/>
                <w:sz w:val="20"/>
                <w:szCs w:val="20"/>
              </w:rPr>
              <w:t>1–10 years</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5–20 years</w:t>
            </w:r>
          </w:p>
        </w:tc>
      </w:tr>
    </w:tbl>
    <w:p w:rsidR="004E6C32" w:rsidRPr="006A75A2" w:rsidRDefault="004E6C32" w:rsidP="004B5CB1"/>
    <w:p w:rsidR="004E6C32" w:rsidRPr="006A75A2" w:rsidRDefault="004E6C32" w:rsidP="00D76647">
      <w:pPr>
        <w:pStyle w:val="Heading5a"/>
      </w:pPr>
      <w:r w:rsidRPr="006A75A2">
        <w:t>Roads, road infrastructure and earthworks</w:t>
      </w:r>
    </w:p>
    <w:tbl>
      <w:tblPr>
        <w:tblW w:w="9632" w:type="dxa"/>
        <w:tblInd w:w="28" w:type="dxa"/>
        <w:tblLayout w:type="fixed"/>
        <w:tblCellMar>
          <w:left w:w="43" w:type="dxa"/>
          <w:right w:w="43" w:type="dxa"/>
        </w:tblCellMar>
        <w:tblLook w:val="0000" w:firstRow="0" w:lastRow="0" w:firstColumn="0" w:lastColumn="0" w:noHBand="0" w:noVBand="0"/>
      </w:tblPr>
      <w:tblGrid>
        <w:gridCol w:w="1858"/>
        <w:gridCol w:w="2791"/>
        <w:gridCol w:w="2596"/>
        <w:gridCol w:w="2387"/>
      </w:tblGrid>
      <w:tr w:rsidR="004E6C32" w:rsidRPr="006A75A2" w:rsidTr="004B5CB1">
        <w:trPr>
          <w:cantSplit/>
          <w:tblHeader/>
        </w:trPr>
        <w:tc>
          <w:tcPr>
            <w:tcW w:w="1858" w:type="dxa"/>
            <w:tcBorders>
              <w:top w:val="single" w:sz="4" w:space="0" w:color="auto"/>
              <w:left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Asset class</w:t>
            </w:r>
          </w:p>
        </w:tc>
        <w:tc>
          <w:tcPr>
            <w:tcW w:w="2791"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vertAlign w:val="superscript"/>
              </w:rPr>
            </w:pPr>
            <w:r w:rsidRPr="006A75A2">
              <w:rPr>
                <w:sz w:val="20"/>
                <w:szCs w:val="20"/>
              </w:rPr>
              <w:t>Valuation technique</w:t>
            </w:r>
          </w:p>
        </w:tc>
        <w:tc>
          <w:tcPr>
            <w:tcW w:w="2596"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rPr>
            </w:pPr>
            <w:r w:rsidRPr="006A75A2">
              <w:rPr>
                <w:sz w:val="20"/>
                <w:szCs w:val="20"/>
              </w:rPr>
              <w:t>Significant unobservable input</w:t>
            </w:r>
          </w:p>
        </w:tc>
        <w:tc>
          <w:tcPr>
            <w:tcW w:w="2387"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rPr>
            </w:pPr>
            <w:r w:rsidRPr="006A75A2">
              <w:rPr>
                <w:sz w:val="20"/>
                <w:szCs w:val="20"/>
              </w:rPr>
              <w:t>Range</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Earthworks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59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km</w:t>
            </w: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$119 556–$2 536 137</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Roads and roads infrastructure</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Road pavements</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59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km lane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 of roads</w:t>
            </w: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$83 025–$1 960 497</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Under 60 years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Bridges</w:t>
            </w: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59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Cost per square metre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 of bridges</w:t>
            </w:r>
          </w:p>
        </w:tc>
        <w:tc>
          <w:tcPr>
            <w:tcW w:w="238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$1 328–$11 070</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Under 90 years</w:t>
            </w:r>
          </w:p>
        </w:tc>
      </w:tr>
      <w:tr w:rsidR="004E6C32" w:rsidRPr="006A75A2" w:rsidTr="004B5CB1">
        <w:trPr>
          <w:cantSplit/>
        </w:trPr>
        <w:tc>
          <w:tcPr>
            <w:tcW w:w="1858"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Other</w:t>
            </w:r>
          </w:p>
        </w:tc>
        <w:tc>
          <w:tcPr>
            <w:tcW w:w="2791"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tc>
        <w:tc>
          <w:tcPr>
            <w:tcW w:w="2596" w:type="dxa"/>
            <w:tcBorders>
              <w:left w:val="nil"/>
              <w:bottom w:val="single" w:sz="12" w:space="0" w:color="auto"/>
              <w:right w:val="nil"/>
            </w:tcBorders>
            <w:shd w:val="solid" w:color="FFFFFF" w:fill="auto"/>
          </w:tcPr>
          <w:p w:rsidR="004E6C32" w:rsidRPr="006A75A2" w:rsidRDefault="004E6C32" w:rsidP="004B5CB1">
            <w:pPr>
              <w:pStyle w:val="TableTextnoindent"/>
              <w:rPr>
                <w:color w:val="auto"/>
                <w:sz w:val="20"/>
                <w:szCs w:val="20"/>
              </w:rPr>
            </w:pPr>
            <w:r w:rsidRPr="006A75A2">
              <w:rPr>
                <w:color w:val="auto"/>
                <w:sz w:val="20"/>
                <w:szCs w:val="20"/>
              </w:rPr>
              <w:t>Cost</w:t>
            </w:r>
          </w:p>
          <w:p w:rsidR="004E6C32" w:rsidRPr="006A75A2" w:rsidRDefault="004E6C32" w:rsidP="004B5CB1">
            <w:pPr>
              <w:pStyle w:val="TableTextbullet"/>
              <w:rPr>
                <w:sz w:val="20"/>
                <w:szCs w:val="20"/>
              </w:rPr>
            </w:pPr>
            <w:r w:rsidRPr="006A75A2">
              <w:rPr>
                <w:sz w:val="20"/>
                <w:szCs w:val="20"/>
              </w:rPr>
              <w:t>per km lane</w:t>
            </w:r>
          </w:p>
          <w:p w:rsidR="004E6C32" w:rsidRPr="006A75A2" w:rsidRDefault="004E6C32" w:rsidP="004B5CB1">
            <w:pPr>
              <w:pStyle w:val="TableTextbullet"/>
              <w:rPr>
                <w:sz w:val="20"/>
                <w:szCs w:val="20"/>
              </w:rPr>
            </w:pPr>
            <w:r w:rsidRPr="006A75A2">
              <w:rPr>
                <w:sz w:val="20"/>
                <w:szCs w:val="20"/>
              </w:rPr>
              <w:t>per square metre</w:t>
            </w:r>
          </w:p>
          <w:p w:rsidR="004E6C32" w:rsidRPr="006A75A2" w:rsidRDefault="004E6C32" w:rsidP="004B5CB1">
            <w:pPr>
              <w:pStyle w:val="TableTextbullet"/>
              <w:rPr>
                <w:sz w:val="20"/>
                <w:szCs w:val="20"/>
              </w:rPr>
            </w:pPr>
            <w:r w:rsidRPr="006A75A2">
              <w:rPr>
                <w:sz w:val="20"/>
                <w:szCs w:val="20"/>
              </w:rPr>
              <w:t>per unit</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 of asset</w:t>
            </w:r>
          </w:p>
        </w:tc>
        <w:tc>
          <w:tcPr>
            <w:tcW w:w="2387"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p w:rsidR="004E6C32" w:rsidRPr="006A75A2" w:rsidRDefault="004E6C32" w:rsidP="004B5CB1">
            <w:pPr>
              <w:pStyle w:val="TableTextnoindent"/>
              <w:rPr>
                <w:rFonts w:cs="Calibri"/>
                <w:color w:val="auto"/>
                <w:sz w:val="20"/>
                <w:szCs w:val="20"/>
              </w:rPr>
            </w:pPr>
            <w:r w:rsidRPr="006A75A2">
              <w:rPr>
                <w:rFonts w:cs="Calibri"/>
                <w:color w:val="auto"/>
                <w:sz w:val="20"/>
                <w:szCs w:val="20"/>
              </w:rPr>
              <w:t>$41 011–$583 511</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$415–$908</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$6 642–$28 285</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Under 80 years</w:t>
            </w:r>
          </w:p>
        </w:tc>
      </w:tr>
    </w:tbl>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22:</w:t>
      </w:r>
      <w:r w:rsidRPr="006A75A2">
        <w:rPr>
          <w:kern w:val="0"/>
        </w:rPr>
        <w:tab/>
        <w:t xml:space="preserve">Land, buildings, infrastructure, plant and equipment </w:t>
      </w:r>
      <w:r w:rsidRPr="006A75A2">
        <w:rPr>
          <w:i/>
          <w:kern w:val="0"/>
        </w:rPr>
        <w:t>(continued)</w:t>
      </w:r>
    </w:p>
    <w:p w:rsidR="00C07A50" w:rsidRPr="006A75A2" w:rsidRDefault="00C07A50" w:rsidP="00C07A50">
      <w:pPr>
        <w:pStyle w:val="Heading5"/>
      </w:pPr>
      <w:r w:rsidRPr="006A75A2">
        <w:t xml:space="preserve">(i) </w:t>
      </w:r>
      <w:r w:rsidRPr="006A75A2">
        <w:tab/>
        <w:t xml:space="preserve">Description of significant unobservable inputs to Level 3 valuations </w:t>
      </w:r>
      <w:r w:rsidRPr="006A75A2">
        <w:rPr>
          <w:i/>
        </w:rPr>
        <w:t>(continued)</w:t>
      </w:r>
    </w:p>
    <w:p w:rsidR="004E6C32" w:rsidRPr="006A75A2" w:rsidRDefault="004E6C32" w:rsidP="00D76647">
      <w:pPr>
        <w:pStyle w:val="Heading5a"/>
      </w:pPr>
      <w:r w:rsidRPr="006A75A2">
        <w:t>Cultural assets</w:t>
      </w:r>
    </w:p>
    <w:tbl>
      <w:tblPr>
        <w:tblW w:w="9632" w:type="dxa"/>
        <w:tblInd w:w="28" w:type="dxa"/>
        <w:tblLayout w:type="fixed"/>
        <w:tblCellMar>
          <w:left w:w="43" w:type="dxa"/>
          <w:right w:w="43" w:type="dxa"/>
        </w:tblCellMar>
        <w:tblLook w:val="0000" w:firstRow="0" w:lastRow="0" w:firstColumn="0" w:lastColumn="0" w:noHBand="0" w:noVBand="0"/>
      </w:tblPr>
      <w:tblGrid>
        <w:gridCol w:w="1858"/>
        <w:gridCol w:w="2791"/>
        <w:gridCol w:w="2737"/>
        <w:gridCol w:w="2246"/>
      </w:tblGrid>
      <w:tr w:rsidR="004E6C32" w:rsidRPr="006A75A2" w:rsidTr="004B5CB1">
        <w:trPr>
          <w:cantSplit/>
          <w:tblHeader/>
        </w:trPr>
        <w:tc>
          <w:tcPr>
            <w:tcW w:w="1858" w:type="dxa"/>
            <w:tcBorders>
              <w:top w:val="single" w:sz="4" w:space="0" w:color="auto"/>
              <w:left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Asset class</w:t>
            </w:r>
          </w:p>
        </w:tc>
        <w:tc>
          <w:tcPr>
            <w:tcW w:w="2791"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vertAlign w:val="superscript"/>
              </w:rPr>
            </w:pPr>
            <w:r w:rsidRPr="006A75A2">
              <w:rPr>
                <w:sz w:val="20"/>
                <w:szCs w:val="20"/>
              </w:rPr>
              <w:t>Valuation technique</w:t>
            </w:r>
          </w:p>
        </w:tc>
        <w:tc>
          <w:tcPr>
            <w:tcW w:w="2737"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rPr>
            </w:pPr>
            <w:r w:rsidRPr="006A75A2">
              <w:rPr>
                <w:sz w:val="20"/>
                <w:szCs w:val="20"/>
              </w:rPr>
              <w:t>Significant unobservable input</w:t>
            </w:r>
          </w:p>
        </w:tc>
        <w:tc>
          <w:tcPr>
            <w:tcW w:w="2246" w:type="dxa"/>
            <w:tcBorders>
              <w:top w:val="single" w:sz="4" w:space="0" w:color="auto"/>
              <w:left w:val="nil"/>
              <w:right w:val="nil"/>
            </w:tcBorders>
            <w:shd w:val="solid" w:color="000000" w:fill="auto"/>
          </w:tcPr>
          <w:p w:rsidR="004E6C32" w:rsidRPr="006A75A2" w:rsidRDefault="004E6C32" w:rsidP="004B5CB1">
            <w:pPr>
              <w:pStyle w:val="TabletextheadingLeft"/>
              <w:rPr>
                <w:sz w:val="20"/>
                <w:szCs w:val="20"/>
              </w:rPr>
            </w:pPr>
            <w:r w:rsidRPr="006A75A2">
              <w:rPr>
                <w:sz w:val="20"/>
                <w:szCs w:val="20"/>
              </w:rPr>
              <w:t>Range</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State collection of works of art</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Statistical valuation was used for works of art valued at less than $500 000</w:t>
            </w: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Statistical calculation based on extrapolation of sample valuations</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Two random sampling errors or ±5.8%</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Shaw Research Library collection</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Professional judgement used for the valuation of books valued at less than $1 000</w:t>
            </w: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Valuation of items using professional judgement</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$0 to $999 </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Icons and collections</w:t>
            </w:r>
          </w:p>
        </w:tc>
      </w:tr>
      <w:tr w:rsidR="004E6C32" w:rsidRPr="006A75A2" w:rsidTr="004B5CB1">
        <w:trPr>
          <w:cantSplit/>
        </w:trPr>
        <w:tc>
          <w:tcPr>
            <w:tcW w:w="1858"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737"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Unit value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Useful life per item</w:t>
            </w:r>
          </w:p>
        </w:tc>
        <w:tc>
          <w:tcPr>
            <w:tcW w:w="2246" w:type="dxa"/>
            <w:tcBorders>
              <w:left w:val="nil"/>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 xml:space="preserve">$12–$3 500 </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100–200 years</w:t>
            </w:r>
          </w:p>
        </w:tc>
      </w:tr>
      <w:tr w:rsidR="000E2915" w:rsidRPr="006A75A2" w:rsidTr="00AD1FBF">
        <w:trPr>
          <w:cantSplit/>
        </w:trPr>
        <w:tc>
          <w:tcPr>
            <w:tcW w:w="9632" w:type="dxa"/>
            <w:gridSpan w:val="4"/>
            <w:tcBorders>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Collections</w:t>
            </w:r>
          </w:p>
        </w:tc>
      </w:tr>
      <w:tr w:rsidR="004E6C32" w:rsidRPr="006A75A2" w:rsidTr="004B5CB1">
        <w:trPr>
          <w:cantSplit/>
        </w:trPr>
        <w:tc>
          <w:tcPr>
            <w:tcW w:w="1858"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tc>
        <w:tc>
          <w:tcPr>
            <w:tcW w:w="2791"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Depreciated replacement cost</w:t>
            </w:r>
          </w:p>
        </w:tc>
        <w:tc>
          <w:tcPr>
            <w:tcW w:w="2737"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Market price</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Statistically verified random sample</w:t>
            </w:r>
          </w:p>
        </w:tc>
        <w:tc>
          <w:tcPr>
            <w:tcW w:w="2246"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0.02–80.0%</w:t>
            </w:r>
          </w:p>
          <w:p w:rsidR="004E6C32" w:rsidRPr="006A75A2" w:rsidRDefault="004E6C32" w:rsidP="004B5CB1">
            <w:pPr>
              <w:pStyle w:val="TableTextnoindent"/>
              <w:rPr>
                <w:rFonts w:cs="Calibri"/>
                <w:color w:val="auto"/>
                <w:sz w:val="20"/>
                <w:szCs w:val="20"/>
              </w:rPr>
            </w:pPr>
            <w:r w:rsidRPr="006A75A2">
              <w:rPr>
                <w:rFonts w:cs="Calibri"/>
                <w:color w:val="auto"/>
                <w:sz w:val="20"/>
                <w:szCs w:val="20"/>
              </w:rPr>
              <w:t>Statistically selected sample</w:t>
            </w:r>
          </w:p>
        </w:tc>
      </w:tr>
    </w:tbl>
    <w:p w:rsidR="004E6C32" w:rsidRPr="006A75A2" w:rsidRDefault="004E6C32" w:rsidP="004B5CB1"/>
    <w:p w:rsidR="004E6C32" w:rsidRPr="006A75A2" w:rsidRDefault="004E6C32" w:rsidP="004B5CB1"/>
    <w:p w:rsidR="004E6C32" w:rsidRPr="006A75A2" w:rsidRDefault="004E6C32" w:rsidP="004B5CB1">
      <w:pPr>
        <w:pStyle w:val="Heading2Notes"/>
        <w:rPr>
          <w:kern w:val="0"/>
        </w:rPr>
      </w:pPr>
      <w:bookmarkStart w:id="53" w:name="_Toc400040270"/>
      <w:r w:rsidRPr="006A75A2">
        <w:rPr>
          <w:kern w:val="0"/>
        </w:rPr>
        <w:t>Note 23:</w:t>
      </w:r>
      <w:r w:rsidRPr="006A75A2">
        <w:rPr>
          <w:kern w:val="0"/>
        </w:rPr>
        <w:tab/>
        <w:t>Other non-financial assets</w:t>
      </w:r>
      <w:bookmarkEnd w:id="53"/>
    </w:p>
    <w:p w:rsidR="004E6C32" w:rsidRPr="006A75A2" w:rsidRDefault="004E6C32" w:rsidP="0067336F">
      <w:pPr>
        <w:pStyle w:val="Heading5"/>
      </w:pPr>
      <w:r w:rsidRPr="006A75A2">
        <w:t xml:space="preserve">(a) </w:t>
      </w:r>
      <w:r w:rsidRPr="006A75A2">
        <w:tab/>
        <w:t>Other non-financial assets</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0E2915" w:rsidRPr="006A75A2" w:rsidTr="00AD1FBF">
        <w:tc>
          <w:tcPr>
            <w:tcW w:w="5160" w:type="dxa"/>
            <w:tcBorders>
              <w:top w:val="single" w:sz="6" w:space="0" w:color="auto"/>
              <w:left w:val="single" w:sz="6" w:space="0" w:color="auto"/>
              <w:bottom w:val="nil"/>
              <w:right w:val="nil"/>
            </w:tcBorders>
            <w:shd w:val="clear" w:color="000000" w:fill="000000"/>
          </w:tcPr>
          <w:p w:rsidR="000E2915" w:rsidRPr="006A75A2" w:rsidRDefault="000E291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0E2915" w:rsidRPr="006A75A2" w:rsidRDefault="000E2915" w:rsidP="004B5CB1">
            <w:pPr>
              <w:pStyle w:val="TabletextheadingCentred"/>
              <w:rPr>
                <w:rFonts w:eastAsiaTheme="minorEastAsia"/>
                <w:lang w:eastAsia="en-AU"/>
              </w:rPr>
            </w:pPr>
          </w:p>
          <w:p w:rsidR="000E2915" w:rsidRPr="006A75A2" w:rsidRDefault="000E291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0E2915" w:rsidRPr="006A75A2" w:rsidRDefault="000E2915" w:rsidP="004B5CB1">
            <w:pPr>
              <w:pStyle w:val="TabletextheadingCentred"/>
              <w:rPr>
                <w:rFonts w:eastAsiaTheme="minorEastAsia"/>
                <w:lang w:eastAsia="en-AU"/>
              </w:rPr>
            </w:pPr>
            <w:r w:rsidRPr="006A75A2">
              <w:rPr>
                <w:rFonts w:eastAsiaTheme="minorEastAsia"/>
                <w:lang w:eastAsia="en-AU"/>
              </w:rPr>
              <w:t xml:space="preserve">General </w:t>
            </w:r>
          </w:p>
          <w:p w:rsidR="000E2915" w:rsidRPr="006A75A2" w:rsidRDefault="000E2915"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Intangible produced assets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2 424.9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1 799.1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1 375.4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1 062.1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Accumulated depreciation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(1 047.5)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(799.0)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(603.7)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(476.3)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Intangible non-produced assets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675.2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813.7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168.1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Accumulated amortisation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(115.3)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(178.3)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(0.1)</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(90.0)</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Total intangibles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1 937.3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1 635.4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772.0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663.8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Investment properties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143.3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137.3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53.5</w:t>
            </w:r>
          </w:p>
        </w:tc>
      </w:tr>
      <w:tr w:rsidR="004E6C32" w:rsidRPr="006A75A2" w:rsidTr="004B5CB1">
        <w:tc>
          <w:tcPr>
            <w:tcW w:w="5160" w:type="dxa"/>
            <w:tcBorders>
              <w:top w:val="nil"/>
              <w:left w:val="nil"/>
              <w:bottom w:val="nil"/>
              <w:right w:val="nil"/>
            </w:tcBorders>
          </w:tcPr>
          <w:p w:rsidR="004E6C32" w:rsidRPr="006A75A2" w:rsidRDefault="009861EA" w:rsidP="004B5CB1">
            <w:pPr>
              <w:pStyle w:val="Tabletext"/>
              <w:rPr>
                <w:rFonts w:eastAsiaTheme="minorEastAsia"/>
                <w:vertAlign w:val="superscript"/>
                <w:lang w:eastAsia="en-AU"/>
              </w:rPr>
            </w:pPr>
            <w:r w:rsidRPr="006A75A2">
              <w:rPr>
                <w:rFonts w:eastAsiaTheme="minorEastAsia"/>
                <w:lang w:eastAsia="en-AU"/>
              </w:rPr>
              <w:t>Biological assets</w:t>
            </w:r>
            <w:r w:rsidR="004E6C32"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41.8</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assets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339.3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283.2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290.6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195.1</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other non-financial assets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2 458.1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2 053.1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1 204.8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954.3</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The majority of biological assets comprises commercial forests and also includes any living animal, plant or agricultural produce which is the harvested product of biological assets.</w:t>
      </w:r>
    </w:p>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23:</w:t>
      </w:r>
      <w:r w:rsidRPr="006A75A2">
        <w:rPr>
          <w:kern w:val="0"/>
        </w:rPr>
        <w:tab/>
        <w:t xml:space="preserve">Other non-financial assets </w:t>
      </w:r>
      <w:r w:rsidRPr="006A75A2">
        <w:rPr>
          <w:i/>
          <w:kern w:val="0"/>
        </w:rPr>
        <w:t>(continued)</w:t>
      </w:r>
    </w:p>
    <w:p w:rsidR="004E6C32" w:rsidRPr="006A75A2" w:rsidRDefault="004E6C32" w:rsidP="0067336F">
      <w:pPr>
        <w:pStyle w:val="Heading5"/>
      </w:pPr>
      <w:r w:rsidRPr="006A75A2">
        <w:t xml:space="preserve">(b) </w:t>
      </w:r>
      <w:r w:rsidRPr="006A75A2">
        <w:tab/>
        <w:t>Reconciliation of movement in intangibles, investment properties and biological assets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0E2915" w:rsidRPr="006A75A2" w:rsidTr="00AD1FBF">
        <w:tc>
          <w:tcPr>
            <w:tcW w:w="5160" w:type="dxa"/>
            <w:tcBorders>
              <w:top w:val="single" w:sz="6" w:space="0" w:color="auto"/>
              <w:left w:val="single" w:sz="6" w:space="0" w:color="auto"/>
              <w:bottom w:val="nil"/>
              <w:right w:val="nil"/>
            </w:tcBorders>
            <w:shd w:val="clear" w:color="000000" w:fill="000000"/>
          </w:tcPr>
          <w:p w:rsidR="000E2915" w:rsidRPr="006A75A2" w:rsidRDefault="000E291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0E2915" w:rsidRPr="006A75A2" w:rsidRDefault="000E2915" w:rsidP="004B5CB1">
            <w:pPr>
              <w:pStyle w:val="TabletextheadingCentred"/>
              <w:rPr>
                <w:rFonts w:eastAsiaTheme="minorEastAsia"/>
                <w:lang w:eastAsia="en-AU"/>
              </w:rPr>
            </w:pPr>
          </w:p>
          <w:p w:rsidR="000E2915" w:rsidRPr="006A75A2" w:rsidRDefault="000E291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0E2915" w:rsidRPr="006A75A2" w:rsidRDefault="000E2915" w:rsidP="004B5CB1">
            <w:pPr>
              <w:pStyle w:val="TabletextheadingCentred"/>
              <w:rPr>
                <w:rFonts w:eastAsiaTheme="minorEastAsia"/>
                <w:lang w:eastAsia="en-AU"/>
              </w:rPr>
            </w:pPr>
            <w:r w:rsidRPr="006A75A2">
              <w:rPr>
                <w:rFonts w:eastAsiaTheme="minorEastAsia"/>
                <w:lang w:eastAsia="en-AU"/>
              </w:rPr>
              <w:t xml:space="preserve">General </w:t>
            </w:r>
          </w:p>
          <w:p w:rsidR="000E2915" w:rsidRPr="006A75A2" w:rsidRDefault="000E2915"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Opening balance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1 769.9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1 614.9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759.2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591.6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Acquisitions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295.2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302.6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Reclassification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114.8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(59.1)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Disposals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(34.2)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(155.1)</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(24.8)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recognised for the first time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Impairment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(32.7)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(31.0)</w:t>
            </w:r>
          </w:p>
        </w:tc>
      </w:tr>
      <w:tr w:rsidR="004E6C32" w:rsidRPr="006A75A2" w:rsidTr="004B5CB1">
        <w:tc>
          <w:tcPr>
            <w:tcW w:w="5160" w:type="dxa"/>
            <w:tcBorders>
              <w:top w:val="nil"/>
              <w:left w:val="nil"/>
              <w:bottom w:val="single" w:sz="6" w:space="0" w:color="auto"/>
              <w:right w:val="nil"/>
            </w:tcBorders>
          </w:tcPr>
          <w:p w:rsidR="004E6C32" w:rsidRPr="006A75A2" w:rsidRDefault="004E6C32" w:rsidP="009861EA">
            <w:pPr>
              <w:pStyle w:val="Tabletext"/>
              <w:rPr>
                <w:rFonts w:eastAsiaTheme="minorEastAsia"/>
                <w:vertAlign w:val="superscript"/>
                <w:lang w:eastAsia="en-AU"/>
              </w:rPr>
            </w:pPr>
            <w:r w:rsidRPr="006A75A2">
              <w:rPr>
                <w:rFonts w:eastAsiaTheme="minorEastAsia"/>
                <w:lang w:eastAsia="en-AU"/>
              </w:rPr>
              <w:t>Amortisation and depreciation</w:t>
            </w:r>
            <w:r w:rsidRPr="006A75A2">
              <w:rPr>
                <w:rFonts w:eastAsiaTheme="minorEastAsia"/>
                <w:vertAlign w:val="superscript"/>
                <w:lang w:eastAsia="en-AU"/>
              </w:rPr>
              <w:t>(a)</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(338.5)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(202.0)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(200.3)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(115.6)</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9861EA">
            <w:pPr>
              <w:pStyle w:val="Tabletext"/>
              <w:rPr>
                <w:rFonts w:eastAsiaTheme="minorEastAsia"/>
                <w:b/>
                <w:bCs/>
                <w:vertAlign w:val="superscript"/>
                <w:lang w:eastAsia="en-AU"/>
              </w:rPr>
            </w:pPr>
            <w:r w:rsidRPr="006A75A2">
              <w:rPr>
                <w:rFonts w:eastAsiaTheme="minorEastAsia"/>
                <w:b/>
                <w:bCs/>
                <w:lang w:eastAsia="en-AU"/>
              </w:rPr>
              <w:t>Closing balance</w:t>
            </w:r>
            <w:r w:rsidRPr="006A75A2">
              <w:rPr>
                <w:rFonts w:eastAsiaTheme="minorEastAsia"/>
                <w:b/>
                <w:bCs/>
                <w:vertAlign w:val="superscript"/>
                <w:lang w:eastAsia="en-AU"/>
              </w:rPr>
              <w:t>(b)</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Cs w:val="24"/>
                <w:lang w:eastAsia="en-AU"/>
              </w:rPr>
            </w:pPr>
            <w:r w:rsidRPr="006A75A2">
              <w:rPr>
                <w:rFonts w:eastAsiaTheme="minorEastAsia"/>
                <w:b/>
                <w:bCs/>
                <w:szCs w:val="24"/>
                <w:lang w:eastAsia="en-AU"/>
              </w:rPr>
              <w:t>2 118.7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Cs w:val="24"/>
                <w:lang w:eastAsia="en-AU"/>
              </w:rPr>
            </w:pPr>
            <w:r w:rsidRPr="006A75A2">
              <w:rPr>
                <w:rFonts w:eastAsiaTheme="minorEastAsia"/>
                <w:b/>
                <w:bCs/>
                <w:szCs w:val="24"/>
                <w:lang w:eastAsia="en-AU"/>
              </w:rPr>
              <w:t>1 769.9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Cs w:val="24"/>
                <w:lang w:eastAsia="en-AU"/>
              </w:rPr>
            </w:pPr>
            <w:r w:rsidRPr="006A75A2">
              <w:rPr>
                <w:rFonts w:eastAsiaTheme="minorEastAsia"/>
                <w:b/>
                <w:bCs/>
                <w:szCs w:val="24"/>
                <w:lang w:eastAsia="en-AU"/>
              </w:rPr>
              <w:t xml:space="preserve"> 914.3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Cs w:val="24"/>
                <w:lang w:eastAsia="en-AU"/>
              </w:rPr>
            </w:pPr>
            <w:r w:rsidRPr="006A75A2">
              <w:rPr>
                <w:rFonts w:eastAsiaTheme="minorEastAsia"/>
                <w:b/>
                <w:bCs/>
                <w:szCs w:val="24"/>
                <w:lang w:eastAsia="en-AU"/>
              </w:rPr>
              <w:t xml:space="preserve"> 759.2</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For produced and non-produced intangible assets.</w:t>
      </w:r>
    </w:p>
    <w:p w:rsidR="004E6C32" w:rsidRPr="006A75A2" w:rsidRDefault="004E6C32" w:rsidP="004B5CB1">
      <w:pPr>
        <w:pStyle w:val="Notes"/>
      </w:pPr>
      <w:r w:rsidRPr="006A75A2">
        <w:t>(b)</w:t>
      </w:r>
      <w:r w:rsidRPr="006A75A2">
        <w:tab/>
        <w:t xml:space="preserve">Reconciliation does not include movements of </w:t>
      </w:r>
      <w:r w:rsidR="00C96101" w:rsidRPr="006A75A2">
        <w:t>‘</w:t>
      </w:r>
      <w:r w:rsidRPr="006A75A2">
        <w:t>other assets</w:t>
      </w:r>
      <w:r w:rsidR="00C96101" w:rsidRPr="006A75A2">
        <w:t>’</w:t>
      </w:r>
      <w:r w:rsidRPr="006A75A2">
        <w:t>.</w:t>
      </w:r>
    </w:p>
    <w:p w:rsidR="004E6C32" w:rsidRPr="006A75A2" w:rsidRDefault="004E6C32" w:rsidP="00C07A50"/>
    <w:p w:rsidR="00C07A50" w:rsidRPr="006A75A2" w:rsidRDefault="00C07A50" w:rsidP="00C07A50"/>
    <w:p w:rsidR="004E6C32" w:rsidRPr="006A75A2" w:rsidRDefault="004E6C32" w:rsidP="0067336F">
      <w:pPr>
        <w:pStyle w:val="Heading5"/>
      </w:pPr>
      <w:r w:rsidRPr="006A75A2">
        <w:t xml:space="preserve">(c) </w:t>
      </w:r>
      <w:r w:rsidRPr="006A75A2">
        <w:tab/>
        <w:t>Fair value measurement of investment properties and biological assets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553"/>
        <w:gridCol w:w="607"/>
        <w:gridCol w:w="1120"/>
        <w:gridCol w:w="1120"/>
        <w:gridCol w:w="1120"/>
        <w:gridCol w:w="1120"/>
      </w:tblGrid>
      <w:tr w:rsidR="000E2915" w:rsidRPr="006A75A2" w:rsidTr="00AD1FBF">
        <w:tc>
          <w:tcPr>
            <w:tcW w:w="4553" w:type="dxa"/>
            <w:tcBorders>
              <w:top w:val="single" w:sz="6" w:space="0" w:color="auto"/>
              <w:left w:val="single" w:sz="6" w:space="0" w:color="auto"/>
              <w:bottom w:val="nil"/>
              <w:right w:val="nil"/>
            </w:tcBorders>
            <w:shd w:val="clear" w:color="000000" w:fill="000000"/>
          </w:tcPr>
          <w:p w:rsidR="000E2915" w:rsidRPr="006A75A2" w:rsidRDefault="000E2915" w:rsidP="004B5CB1">
            <w:pPr>
              <w:pStyle w:val="TabletextheadingLeft"/>
              <w:rPr>
                <w:rFonts w:eastAsiaTheme="minorEastAsia"/>
                <w:lang w:eastAsia="en-AU"/>
              </w:rPr>
            </w:pPr>
            <w:r w:rsidRPr="006A75A2">
              <w:rPr>
                <w:rFonts w:eastAsiaTheme="minorEastAsia"/>
                <w:lang w:eastAsia="en-AU"/>
              </w:rPr>
              <w:t>State of Victoria</w:t>
            </w:r>
          </w:p>
        </w:tc>
        <w:tc>
          <w:tcPr>
            <w:tcW w:w="1727" w:type="dxa"/>
            <w:gridSpan w:val="2"/>
            <w:tcBorders>
              <w:top w:val="single" w:sz="6" w:space="0" w:color="auto"/>
              <w:left w:val="nil"/>
              <w:bottom w:val="nil"/>
              <w:right w:val="nil"/>
            </w:tcBorders>
            <w:shd w:val="clear" w:color="000000" w:fill="000000"/>
          </w:tcPr>
          <w:p w:rsidR="000E2915" w:rsidRPr="006A75A2" w:rsidRDefault="000E2915" w:rsidP="004B5CB1">
            <w:pPr>
              <w:pStyle w:val="Tabletextheading"/>
              <w:rPr>
                <w:rFonts w:eastAsiaTheme="minorEastAsia"/>
                <w:lang w:eastAsia="en-AU"/>
              </w:rPr>
            </w:pPr>
            <w:r w:rsidRPr="006A75A2">
              <w:rPr>
                <w:rFonts w:eastAsiaTheme="minorEastAsia"/>
                <w:lang w:eastAsia="en-AU"/>
              </w:rPr>
              <w:t>Carrying amount as at 30 June</w:t>
            </w:r>
          </w:p>
        </w:tc>
        <w:tc>
          <w:tcPr>
            <w:tcW w:w="3360" w:type="dxa"/>
            <w:gridSpan w:val="3"/>
            <w:tcBorders>
              <w:top w:val="single" w:sz="6" w:space="0" w:color="auto"/>
              <w:left w:val="nil"/>
              <w:bottom w:val="nil"/>
              <w:right w:val="single" w:sz="6" w:space="0" w:color="auto"/>
            </w:tcBorders>
            <w:shd w:val="clear" w:color="000000" w:fill="000000"/>
          </w:tcPr>
          <w:p w:rsidR="000E2915" w:rsidRPr="006A75A2" w:rsidRDefault="000E2915" w:rsidP="000E2915">
            <w:pPr>
              <w:pStyle w:val="TabletextheadingCentred"/>
              <w:rPr>
                <w:rFonts w:eastAsiaTheme="minorEastAsia" w:cs="Calibri"/>
                <w:iCs/>
                <w:szCs w:val="22"/>
                <w:lang w:eastAsia="en-AU"/>
              </w:rPr>
            </w:pPr>
            <w:r w:rsidRPr="006A75A2">
              <w:rPr>
                <w:rFonts w:eastAsiaTheme="minorEastAsia"/>
                <w:lang w:eastAsia="en-AU"/>
              </w:rPr>
              <w:t>Fair value measurement at the end of reporting period using:</w:t>
            </w:r>
            <w:r w:rsidRPr="006A75A2">
              <w:rPr>
                <w:rFonts w:eastAsiaTheme="minorEastAsia" w:cs="Calibri"/>
                <w:iCs/>
                <w:szCs w:val="22"/>
                <w:lang w:eastAsia="en-AU"/>
              </w:rPr>
              <w:t xml:space="preserve"> </w:t>
            </w:r>
          </w:p>
        </w:tc>
      </w:tr>
      <w:tr w:rsidR="004E6C32" w:rsidRPr="006A75A2" w:rsidTr="004B5CB1">
        <w:tc>
          <w:tcPr>
            <w:tcW w:w="5160" w:type="dxa"/>
            <w:gridSpan w:val="2"/>
            <w:tcBorders>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2014</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Level 1</w:t>
            </w:r>
            <w:r w:rsidRPr="006A75A2">
              <w:rPr>
                <w:rFonts w:eastAsiaTheme="minorEastAsia"/>
                <w:vertAlign w:val="superscript"/>
                <w:lang w:eastAsia="en-AU"/>
              </w:rPr>
              <w:t>(</w:t>
            </w:r>
            <w:r w:rsidRPr="006A75A2">
              <w:rPr>
                <w:rFonts w:eastAsiaTheme="minorEastAsia"/>
                <w:sz w:val="20"/>
                <w:vertAlign w:val="superscript"/>
                <w:lang w:eastAsia="en-AU"/>
              </w:rPr>
              <w:t>a)</w:t>
            </w:r>
          </w:p>
        </w:tc>
        <w:tc>
          <w:tcPr>
            <w:tcW w:w="1120" w:type="dxa"/>
            <w:tcBorders>
              <w:left w:val="nil"/>
              <w:bottom w:val="single" w:sz="6" w:space="0" w:color="auto"/>
              <w:right w:val="nil"/>
            </w:tcBorders>
            <w:shd w:val="clear" w:color="000000" w:fill="000000"/>
          </w:tcPr>
          <w:p w:rsidR="004E6C32" w:rsidRPr="006A75A2" w:rsidRDefault="004E6C32" w:rsidP="009861EA">
            <w:pPr>
              <w:pStyle w:val="Tabletextheading"/>
              <w:rPr>
                <w:rFonts w:eastAsiaTheme="minorEastAsia"/>
                <w:sz w:val="20"/>
                <w:vertAlign w:val="superscript"/>
                <w:lang w:eastAsia="en-AU"/>
              </w:rPr>
            </w:pPr>
            <w:r w:rsidRPr="006A75A2">
              <w:rPr>
                <w:rFonts w:eastAsiaTheme="minorEastAsia"/>
                <w:lang w:eastAsia="en-AU"/>
              </w:rPr>
              <w:t>Level 2</w:t>
            </w:r>
            <w:r w:rsidRPr="006A75A2">
              <w:rPr>
                <w:rFonts w:eastAsiaTheme="minorEastAsia"/>
                <w:sz w:val="20"/>
                <w:vertAlign w:val="superscript"/>
                <w:lang w:eastAsia="en-AU"/>
              </w:rPr>
              <w:t>(b)</w:t>
            </w:r>
          </w:p>
        </w:tc>
        <w:tc>
          <w:tcPr>
            <w:tcW w:w="1120" w:type="dxa"/>
            <w:tcBorders>
              <w:left w:val="nil"/>
              <w:bottom w:val="single" w:sz="6" w:space="0" w:color="auto"/>
              <w:right w:val="single" w:sz="6" w:space="0" w:color="auto"/>
            </w:tcBorders>
            <w:shd w:val="clear" w:color="000000" w:fill="000000"/>
          </w:tcPr>
          <w:p w:rsidR="004E6C32" w:rsidRPr="006A75A2" w:rsidRDefault="004E6C32" w:rsidP="009861EA">
            <w:pPr>
              <w:pStyle w:val="Tabletextheading"/>
              <w:rPr>
                <w:rFonts w:eastAsiaTheme="minorEastAsia"/>
                <w:sz w:val="20"/>
                <w:vertAlign w:val="superscript"/>
                <w:lang w:eastAsia="en-AU"/>
              </w:rPr>
            </w:pPr>
            <w:r w:rsidRPr="006A75A2">
              <w:rPr>
                <w:rFonts w:eastAsiaTheme="minorEastAsia"/>
                <w:lang w:eastAsia="en-AU"/>
              </w:rPr>
              <w:t>Level 3</w:t>
            </w:r>
            <w:r w:rsidRPr="006A75A2">
              <w:rPr>
                <w:rFonts w:eastAsiaTheme="minorEastAsia"/>
                <w:sz w:val="20"/>
                <w:vertAlign w:val="superscript"/>
                <w:lang w:eastAsia="en-AU"/>
              </w:rPr>
              <w:t>(c)</w:t>
            </w:r>
          </w:p>
        </w:tc>
      </w:tr>
      <w:tr w:rsidR="004E6C32" w:rsidRPr="006A75A2" w:rsidTr="004B5CB1">
        <w:tc>
          <w:tcPr>
            <w:tcW w:w="5160" w:type="dxa"/>
            <w:gridSpan w:val="2"/>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Investment properties</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143.3</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65.7</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68.4</w:t>
            </w:r>
          </w:p>
        </w:tc>
      </w:tr>
      <w:tr w:rsidR="004E6C32" w:rsidRPr="006A75A2" w:rsidTr="004B5CB1">
        <w:tc>
          <w:tcPr>
            <w:tcW w:w="5160" w:type="dxa"/>
            <w:gridSpan w:val="2"/>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Biological assets</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38.1</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38.1</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gridSpan w:val="2"/>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investment properties and biological assets</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181.4</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9.1</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103.9</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68.4</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4553"/>
        <w:gridCol w:w="607"/>
        <w:gridCol w:w="1120"/>
        <w:gridCol w:w="1120"/>
        <w:gridCol w:w="1120"/>
        <w:gridCol w:w="1120"/>
      </w:tblGrid>
      <w:tr w:rsidR="000E2915" w:rsidRPr="006A75A2" w:rsidTr="00AD1FBF">
        <w:tc>
          <w:tcPr>
            <w:tcW w:w="4553" w:type="dxa"/>
            <w:tcBorders>
              <w:top w:val="single" w:sz="6" w:space="0" w:color="auto"/>
              <w:left w:val="single" w:sz="6" w:space="0" w:color="auto"/>
              <w:bottom w:val="nil"/>
            </w:tcBorders>
            <w:shd w:val="clear" w:color="000000" w:fill="000000"/>
          </w:tcPr>
          <w:p w:rsidR="000E2915" w:rsidRPr="006A75A2" w:rsidRDefault="000E2915" w:rsidP="004B5CB1">
            <w:pPr>
              <w:pStyle w:val="TabletextheadingLeft"/>
              <w:rPr>
                <w:rFonts w:eastAsiaTheme="minorEastAsia"/>
                <w:lang w:eastAsia="en-AU"/>
              </w:rPr>
            </w:pPr>
            <w:r w:rsidRPr="006A75A2">
              <w:rPr>
                <w:rFonts w:eastAsiaTheme="minorEastAsia"/>
                <w:lang w:eastAsia="en-AU"/>
              </w:rPr>
              <w:t>General government sector</w:t>
            </w:r>
          </w:p>
        </w:tc>
        <w:tc>
          <w:tcPr>
            <w:tcW w:w="1727" w:type="dxa"/>
            <w:gridSpan w:val="2"/>
            <w:tcBorders>
              <w:top w:val="single" w:sz="6" w:space="0" w:color="auto"/>
              <w:bottom w:val="nil"/>
            </w:tcBorders>
            <w:shd w:val="clear" w:color="000000" w:fill="000000"/>
          </w:tcPr>
          <w:p w:rsidR="000E2915" w:rsidRPr="006A75A2" w:rsidRDefault="000E2915" w:rsidP="004B5CB1">
            <w:pPr>
              <w:pStyle w:val="Tabletextheading"/>
              <w:rPr>
                <w:rFonts w:eastAsiaTheme="minorEastAsia"/>
                <w:lang w:eastAsia="en-AU"/>
              </w:rPr>
            </w:pPr>
            <w:r w:rsidRPr="006A75A2">
              <w:rPr>
                <w:rFonts w:eastAsiaTheme="minorEastAsia"/>
                <w:lang w:eastAsia="en-AU"/>
              </w:rPr>
              <w:t>Carrying amount as at 30 June</w:t>
            </w:r>
          </w:p>
        </w:tc>
        <w:tc>
          <w:tcPr>
            <w:tcW w:w="3360" w:type="dxa"/>
            <w:gridSpan w:val="3"/>
            <w:tcBorders>
              <w:top w:val="single" w:sz="6" w:space="0" w:color="auto"/>
              <w:bottom w:val="nil"/>
              <w:right w:val="single" w:sz="6" w:space="0" w:color="auto"/>
            </w:tcBorders>
            <w:shd w:val="clear" w:color="000000" w:fill="000000"/>
          </w:tcPr>
          <w:p w:rsidR="000E2915" w:rsidRPr="006A75A2" w:rsidRDefault="000E2915" w:rsidP="000E2915">
            <w:pPr>
              <w:pStyle w:val="TabletextheadingCentred"/>
              <w:rPr>
                <w:rFonts w:eastAsiaTheme="minorEastAsia" w:cs="Calibri"/>
                <w:iCs/>
                <w:szCs w:val="22"/>
                <w:lang w:eastAsia="en-AU"/>
              </w:rPr>
            </w:pPr>
            <w:r w:rsidRPr="006A75A2">
              <w:rPr>
                <w:rFonts w:eastAsiaTheme="minorEastAsia"/>
                <w:lang w:eastAsia="en-AU"/>
              </w:rPr>
              <w:t>Fair value measurement at the end of reporting period using:</w:t>
            </w:r>
            <w:r w:rsidRPr="006A75A2">
              <w:rPr>
                <w:rFonts w:eastAsiaTheme="minorEastAsia" w:cs="Calibri"/>
                <w:iCs/>
                <w:szCs w:val="22"/>
                <w:lang w:eastAsia="en-AU"/>
              </w:rPr>
              <w:t xml:space="preserve"> </w:t>
            </w:r>
          </w:p>
        </w:tc>
      </w:tr>
      <w:tr w:rsidR="004E6C32" w:rsidRPr="006A75A2" w:rsidTr="004B5CB1">
        <w:tc>
          <w:tcPr>
            <w:tcW w:w="5160" w:type="dxa"/>
            <w:gridSpan w:val="2"/>
            <w:tcBorders>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2014</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vertAlign w:val="superscript"/>
                <w:lang w:eastAsia="en-AU"/>
              </w:rPr>
            </w:pPr>
            <w:r w:rsidRPr="006A75A2">
              <w:rPr>
                <w:rFonts w:eastAsiaTheme="minorEastAsia"/>
                <w:lang w:eastAsia="en-AU"/>
              </w:rPr>
              <w:t>Level 1</w:t>
            </w:r>
            <w:r w:rsidRPr="006A75A2">
              <w:rPr>
                <w:rFonts w:eastAsiaTheme="minorEastAsia"/>
                <w:vertAlign w:val="superscript"/>
                <w:lang w:eastAsia="en-AU"/>
              </w:rPr>
              <w:t>(</w:t>
            </w:r>
            <w:r w:rsidRPr="006A75A2">
              <w:rPr>
                <w:rFonts w:eastAsiaTheme="minorEastAsia"/>
                <w:sz w:val="20"/>
                <w:vertAlign w:val="superscript"/>
                <w:lang w:eastAsia="en-AU"/>
              </w:rPr>
              <w:t>a)</w:t>
            </w:r>
          </w:p>
        </w:tc>
        <w:tc>
          <w:tcPr>
            <w:tcW w:w="1120" w:type="dxa"/>
            <w:tcBorders>
              <w:left w:val="nil"/>
              <w:bottom w:val="single" w:sz="6" w:space="0" w:color="auto"/>
              <w:right w:val="nil"/>
            </w:tcBorders>
            <w:shd w:val="clear" w:color="000000" w:fill="000000"/>
          </w:tcPr>
          <w:p w:rsidR="004E6C32" w:rsidRPr="006A75A2" w:rsidRDefault="004E6C32" w:rsidP="009861EA">
            <w:pPr>
              <w:pStyle w:val="Tabletextheading"/>
              <w:rPr>
                <w:rFonts w:eastAsiaTheme="minorEastAsia"/>
                <w:sz w:val="20"/>
                <w:vertAlign w:val="superscript"/>
                <w:lang w:eastAsia="en-AU"/>
              </w:rPr>
            </w:pPr>
            <w:r w:rsidRPr="006A75A2">
              <w:rPr>
                <w:rFonts w:eastAsiaTheme="minorEastAsia"/>
                <w:lang w:eastAsia="en-AU"/>
              </w:rPr>
              <w:t>Level 2</w:t>
            </w:r>
            <w:r w:rsidRPr="006A75A2">
              <w:rPr>
                <w:rFonts w:eastAsiaTheme="minorEastAsia"/>
                <w:sz w:val="20"/>
                <w:vertAlign w:val="superscript"/>
                <w:lang w:eastAsia="en-AU"/>
              </w:rPr>
              <w:t>(b)</w:t>
            </w:r>
          </w:p>
        </w:tc>
        <w:tc>
          <w:tcPr>
            <w:tcW w:w="1120" w:type="dxa"/>
            <w:tcBorders>
              <w:left w:val="nil"/>
              <w:bottom w:val="single" w:sz="6" w:space="0" w:color="auto"/>
              <w:right w:val="single" w:sz="6" w:space="0" w:color="auto"/>
            </w:tcBorders>
            <w:shd w:val="clear" w:color="000000" w:fill="000000"/>
          </w:tcPr>
          <w:p w:rsidR="004E6C32" w:rsidRPr="006A75A2" w:rsidRDefault="004E6C32" w:rsidP="009861EA">
            <w:pPr>
              <w:pStyle w:val="Tabletextheading"/>
              <w:rPr>
                <w:rFonts w:eastAsiaTheme="minorEastAsia"/>
                <w:sz w:val="20"/>
                <w:vertAlign w:val="superscript"/>
                <w:lang w:eastAsia="en-AU"/>
              </w:rPr>
            </w:pPr>
            <w:r w:rsidRPr="006A75A2">
              <w:rPr>
                <w:rFonts w:eastAsiaTheme="minorEastAsia"/>
                <w:lang w:eastAsia="en-AU"/>
              </w:rPr>
              <w:t>Level 3</w:t>
            </w:r>
            <w:r w:rsidRPr="006A75A2">
              <w:rPr>
                <w:rFonts w:eastAsiaTheme="minorEastAsia"/>
                <w:sz w:val="20"/>
                <w:vertAlign w:val="superscript"/>
                <w:lang w:eastAsia="en-AU"/>
              </w:rPr>
              <w:t>(c)</w:t>
            </w:r>
          </w:p>
        </w:tc>
      </w:tr>
      <w:tr w:rsidR="004E6C32" w:rsidRPr="006A75A2" w:rsidTr="004B5CB1">
        <w:tc>
          <w:tcPr>
            <w:tcW w:w="5160" w:type="dxa"/>
            <w:gridSpan w:val="2"/>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Investment properties</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137.3</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60.5</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67.7</w:t>
            </w:r>
          </w:p>
        </w:tc>
      </w:tr>
      <w:tr w:rsidR="004E6C32" w:rsidRPr="006A75A2" w:rsidTr="004B5CB1">
        <w:tc>
          <w:tcPr>
            <w:tcW w:w="5160" w:type="dxa"/>
            <w:gridSpan w:val="2"/>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Biological assets</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gridSpan w:val="2"/>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investment properties and biological assets</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142.3</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9.1</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65.4</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67.7</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Quoted prices (unadjusted) in active markets for identical assets or liabilities.</w:t>
      </w:r>
    </w:p>
    <w:p w:rsidR="004E6C32" w:rsidRPr="006A75A2" w:rsidRDefault="004E6C32" w:rsidP="004B5CB1">
      <w:pPr>
        <w:pStyle w:val="Notes"/>
      </w:pPr>
      <w:r w:rsidRPr="006A75A2">
        <w:t>(b)</w:t>
      </w:r>
      <w:r w:rsidRPr="006A75A2">
        <w:tab/>
        <w:t xml:space="preserve">Inputs based on observable market data (either directly using prices or indirectly derived from prices). </w:t>
      </w:r>
    </w:p>
    <w:p w:rsidR="004E6C32" w:rsidRPr="006A75A2" w:rsidRDefault="004E6C32" w:rsidP="004B5CB1">
      <w:pPr>
        <w:pStyle w:val="Notes"/>
        <w:rPr>
          <w:highlight w:val="yellow"/>
        </w:rPr>
      </w:pPr>
      <w:r w:rsidRPr="006A75A2">
        <w:t>(c)</w:t>
      </w:r>
      <w:r w:rsidRPr="006A75A2">
        <w:tab/>
        <w:t>Inputs not based on observable market data.</w:t>
      </w:r>
    </w:p>
    <w:p w:rsidR="004E6C32" w:rsidRPr="006A75A2" w:rsidRDefault="004E6C32" w:rsidP="004B5CB1">
      <w:pPr>
        <w:rPr>
          <w:highlight w:val="yellow"/>
        </w:rPr>
      </w:pPr>
    </w:p>
    <w:p w:rsidR="004E6C32" w:rsidRPr="006A75A2" w:rsidRDefault="004E6C32" w:rsidP="004B5CB1"/>
    <w:p w:rsidR="004E6C32" w:rsidRPr="006A75A2" w:rsidRDefault="004E6C32">
      <w:pPr>
        <w:spacing w:after="0"/>
        <w:rPr>
          <w:rFonts w:ascii="Calibri" w:hAnsi="Calibri"/>
          <w:b/>
          <w:highlight w:val="yellow"/>
        </w:rPr>
      </w:pPr>
      <w:r w:rsidRPr="006A75A2">
        <w:rPr>
          <w:highlight w:val="yellow"/>
        </w:rPr>
        <w:br w:type="page"/>
      </w:r>
    </w:p>
    <w:p w:rsidR="004E6C32" w:rsidRPr="006A75A2" w:rsidRDefault="004E6C32" w:rsidP="004B5CB1">
      <w:pPr>
        <w:pStyle w:val="Heading2NotesContd"/>
        <w:rPr>
          <w:kern w:val="0"/>
        </w:rPr>
      </w:pPr>
      <w:r w:rsidRPr="006A75A2">
        <w:rPr>
          <w:kern w:val="0"/>
        </w:rPr>
        <w:lastRenderedPageBreak/>
        <w:t>Note 23:</w:t>
      </w:r>
      <w:r w:rsidRPr="006A75A2">
        <w:rPr>
          <w:kern w:val="0"/>
        </w:rPr>
        <w:tab/>
        <w:t xml:space="preserve">Other non-financial assets </w:t>
      </w:r>
      <w:r w:rsidRPr="006A75A2">
        <w:rPr>
          <w:i/>
          <w:kern w:val="0"/>
        </w:rPr>
        <w:t>(continued)</w:t>
      </w:r>
    </w:p>
    <w:p w:rsidR="004E6C32" w:rsidRPr="006A75A2" w:rsidRDefault="004E6C32" w:rsidP="0067336F">
      <w:pPr>
        <w:pStyle w:val="Heading5"/>
      </w:pPr>
      <w:r w:rsidRPr="006A75A2">
        <w:t>(d)</w:t>
      </w:r>
      <w:r w:rsidRPr="006A75A2">
        <w:tab/>
        <w:t>Reconciliation of Level 3 fair value movements</w:t>
      </w:r>
    </w:p>
    <w:p w:rsidR="004E6C32" w:rsidRPr="006A75A2" w:rsidRDefault="004E6C32" w:rsidP="004B5CB1">
      <w:pPr>
        <w:pStyle w:val="million"/>
        <w:rPr>
          <w:rFonts w:ascii="Times New Roman" w:hAnsi="Times New Roman"/>
          <w:i w:val="0"/>
          <w:szCs w:val="20"/>
          <w:lang w:eastAsia="en-AU"/>
        </w:rPr>
      </w:pPr>
      <w:r w:rsidRPr="006A75A2">
        <w:t>($ million)</w:t>
      </w:r>
    </w:p>
    <w:tbl>
      <w:tblPr>
        <w:tblW w:w="9528" w:type="dxa"/>
        <w:tblInd w:w="78" w:type="dxa"/>
        <w:tblLayout w:type="fixed"/>
        <w:tblLook w:val="0000" w:firstRow="0" w:lastRow="0" w:firstColumn="0" w:lastColumn="0" w:noHBand="0" w:noVBand="0"/>
      </w:tblPr>
      <w:tblGrid>
        <w:gridCol w:w="4992"/>
        <w:gridCol w:w="3118"/>
        <w:gridCol w:w="1418"/>
      </w:tblGrid>
      <w:tr w:rsidR="004E6C32" w:rsidRPr="006A75A2" w:rsidTr="000E2915">
        <w:trPr>
          <w:trHeight w:val="82"/>
        </w:trPr>
        <w:tc>
          <w:tcPr>
            <w:tcW w:w="4992" w:type="dxa"/>
            <w:tcBorders>
              <w:top w:val="nil"/>
              <w:left w:val="nil"/>
              <w:bottom w:val="nil"/>
              <w:right w:val="nil"/>
            </w:tcBorders>
            <w:shd w:val="solid" w:color="000000" w:fill="auto"/>
          </w:tcPr>
          <w:p w:rsidR="004E6C32" w:rsidRPr="006A75A2" w:rsidRDefault="004E6C32" w:rsidP="004B5CB1">
            <w:pPr>
              <w:autoSpaceDE w:val="0"/>
              <w:autoSpaceDN w:val="0"/>
              <w:adjustRightInd w:val="0"/>
              <w:spacing w:after="0"/>
              <w:rPr>
                <w:rFonts w:ascii="Calibri" w:eastAsiaTheme="minorEastAsia" w:hAnsi="Calibri" w:cs="Calibri"/>
                <w:i/>
                <w:iCs/>
                <w:sz w:val="22"/>
                <w:szCs w:val="22"/>
                <w:lang w:eastAsia="en-AU"/>
              </w:rPr>
            </w:pPr>
            <w:r w:rsidRPr="006A75A2">
              <w:rPr>
                <w:rFonts w:ascii="Calibri" w:eastAsiaTheme="minorEastAsia" w:hAnsi="Calibri" w:cs="Calibri"/>
                <w:i/>
                <w:iCs/>
                <w:sz w:val="22"/>
                <w:szCs w:val="22"/>
                <w:lang w:eastAsia="en-AU"/>
              </w:rPr>
              <w:t>State of Victoria</w:t>
            </w:r>
          </w:p>
        </w:tc>
        <w:tc>
          <w:tcPr>
            <w:tcW w:w="3118" w:type="dxa"/>
            <w:tcBorders>
              <w:top w:val="nil"/>
              <w:left w:val="nil"/>
              <w:bottom w:val="nil"/>
              <w:right w:val="nil"/>
            </w:tcBorders>
            <w:shd w:val="solid" w:color="000000" w:fill="auto"/>
          </w:tcPr>
          <w:p w:rsidR="004E6C32" w:rsidRPr="006A75A2" w:rsidRDefault="004E6C32" w:rsidP="004B5CB1">
            <w:pPr>
              <w:autoSpaceDE w:val="0"/>
              <w:autoSpaceDN w:val="0"/>
              <w:adjustRightInd w:val="0"/>
              <w:spacing w:after="0"/>
              <w:jc w:val="right"/>
              <w:rPr>
                <w:rFonts w:ascii="Calibri" w:eastAsiaTheme="minorEastAsia" w:hAnsi="Calibri" w:cs="Calibri"/>
                <w:i/>
                <w:iCs/>
                <w:sz w:val="22"/>
                <w:szCs w:val="22"/>
                <w:lang w:eastAsia="en-AU"/>
              </w:rPr>
            </w:pPr>
            <w:r w:rsidRPr="006A75A2">
              <w:rPr>
                <w:rFonts w:ascii="Calibri" w:eastAsiaTheme="minorEastAsia" w:hAnsi="Calibri" w:cs="Calibri"/>
                <w:i/>
                <w:iCs/>
                <w:sz w:val="22"/>
                <w:szCs w:val="22"/>
                <w:lang w:eastAsia="en-AU"/>
              </w:rPr>
              <w:t>Investment properties</w:t>
            </w:r>
          </w:p>
        </w:tc>
        <w:tc>
          <w:tcPr>
            <w:tcW w:w="1418" w:type="dxa"/>
            <w:tcBorders>
              <w:top w:val="nil"/>
              <w:left w:val="nil"/>
              <w:bottom w:val="nil"/>
              <w:right w:val="nil"/>
            </w:tcBorders>
            <w:shd w:val="solid" w:color="000000" w:fill="auto"/>
          </w:tcPr>
          <w:p w:rsidR="004E6C32" w:rsidRPr="006A75A2" w:rsidRDefault="004E6C32" w:rsidP="004B5CB1">
            <w:pPr>
              <w:autoSpaceDE w:val="0"/>
              <w:autoSpaceDN w:val="0"/>
              <w:adjustRightInd w:val="0"/>
              <w:spacing w:after="0"/>
              <w:jc w:val="right"/>
              <w:rPr>
                <w:rFonts w:ascii="Calibri" w:eastAsiaTheme="minorEastAsia" w:hAnsi="Calibri" w:cs="Calibri"/>
                <w:i/>
                <w:iCs/>
                <w:sz w:val="22"/>
                <w:szCs w:val="22"/>
                <w:lang w:eastAsia="en-AU"/>
              </w:rPr>
            </w:pPr>
            <w:r w:rsidRPr="006A75A2">
              <w:rPr>
                <w:rFonts w:ascii="Calibri" w:eastAsiaTheme="minorEastAsia" w:hAnsi="Calibri" w:cs="Calibri"/>
                <w:i/>
                <w:iCs/>
                <w:sz w:val="22"/>
                <w:szCs w:val="22"/>
                <w:lang w:eastAsia="en-AU"/>
              </w:rPr>
              <w:t>Total</w:t>
            </w:r>
          </w:p>
        </w:tc>
      </w:tr>
      <w:tr w:rsidR="004E6C32" w:rsidRPr="006A75A2" w:rsidTr="000E2915">
        <w:trPr>
          <w:trHeight w:val="307"/>
        </w:trPr>
        <w:tc>
          <w:tcPr>
            <w:tcW w:w="4992"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b/>
                <w:bCs/>
                <w:sz w:val="22"/>
                <w:szCs w:val="22"/>
                <w:lang w:eastAsia="en-AU"/>
              </w:rPr>
            </w:pPr>
            <w:r w:rsidRPr="006A75A2">
              <w:rPr>
                <w:rFonts w:ascii="Calibri" w:eastAsiaTheme="minorEastAsia" w:hAnsi="Calibri" w:cs="Calibri"/>
                <w:b/>
                <w:bCs/>
                <w:sz w:val="22"/>
                <w:szCs w:val="22"/>
                <w:lang w:eastAsia="en-AU"/>
              </w:rPr>
              <w:t>Opening balance</w:t>
            </w:r>
          </w:p>
        </w:tc>
        <w:tc>
          <w:tcPr>
            <w:tcW w:w="3118"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b/>
                <w:bCs/>
                <w:sz w:val="22"/>
                <w:szCs w:val="22"/>
                <w:lang w:eastAsia="en-AU"/>
              </w:rPr>
            </w:pPr>
            <w:r w:rsidRPr="006A75A2">
              <w:rPr>
                <w:rFonts w:ascii="Calibri" w:eastAsiaTheme="minorEastAsia" w:hAnsi="Calibri" w:cs="Calibri"/>
                <w:b/>
                <w:bCs/>
                <w:sz w:val="22"/>
                <w:szCs w:val="22"/>
                <w:lang w:eastAsia="en-AU"/>
              </w:rPr>
              <w:t xml:space="preserve"> 0.9</w:t>
            </w:r>
          </w:p>
        </w:tc>
        <w:tc>
          <w:tcPr>
            <w:tcW w:w="1418"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b/>
                <w:bCs/>
                <w:sz w:val="22"/>
                <w:szCs w:val="22"/>
                <w:lang w:eastAsia="en-AU"/>
              </w:rPr>
            </w:pPr>
            <w:r w:rsidRPr="006A75A2">
              <w:rPr>
                <w:rFonts w:ascii="Calibri" w:eastAsiaTheme="minorEastAsia" w:hAnsi="Calibri" w:cs="Calibri"/>
                <w:b/>
                <w:bCs/>
                <w:sz w:val="22"/>
                <w:szCs w:val="22"/>
                <w:lang w:eastAsia="en-AU"/>
              </w:rPr>
              <w:t xml:space="preserve"> 0.9</w:t>
            </w:r>
          </w:p>
        </w:tc>
      </w:tr>
      <w:tr w:rsidR="004E6C32" w:rsidRPr="006A75A2" w:rsidTr="000E2915">
        <w:trPr>
          <w:trHeight w:val="307"/>
        </w:trPr>
        <w:tc>
          <w:tcPr>
            <w:tcW w:w="4992"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Assets reclassified/(sales)</w:t>
            </w:r>
          </w:p>
        </w:tc>
        <w:tc>
          <w:tcPr>
            <w:tcW w:w="3118"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 xml:space="preserve"> 96.0</w:t>
            </w:r>
          </w:p>
        </w:tc>
        <w:tc>
          <w:tcPr>
            <w:tcW w:w="1418"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 xml:space="preserve"> 96.0</w:t>
            </w:r>
          </w:p>
        </w:tc>
      </w:tr>
      <w:tr w:rsidR="004E6C32" w:rsidRPr="006A75A2" w:rsidTr="000E2915">
        <w:trPr>
          <w:trHeight w:val="307"/>
        </w:trPr>
        <w:tc>
          <w:tcPr>
            <w:tcW w:w="4992"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Transfers in (out) of Level 3</w:t>
            </w:r>
          </w:p>
        </w:tc>
        <w:tc>
          <w:tcPr>
            <w:tcW w:w="3118"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w:t>
            </w:r>
          </w:p>
        </w:tc>
        <w:tc>
          <w:tcPr>
            <w:tcW w:w="1418"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w:t>
            </w:r>
          </w:p>
        </w:tc>
      </w:tr>
      <w:tr w:rsidR="004E6C32" w:rsidRPr="006A75A2" w:rsidTr="000E2915">
        <w:trPr>
          <w:trHeight w:val="307"/>
        </w:trPr>
        <w:tc>
          <w:tcPr>
            <w:tcW w:w="4992"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Revaluation</w:t>
            </w:r>
          </w:p>
        </w:tc>
        <w:tc>
          <w:tcPr>
            <w:tcW w:w="3118" w:type="dxa"/>
            <w:tcBorders>
              <w:top w:val="nil"/>
              <w:left w:val="nil"/>
              <w:bottom w:val="nil"/>
              <w:right w:val="nil"/>
            </w:tcBorders>
            <w:shd w:val="solid" w:color="FFFFFF" w:fill="auto"/>
          </w:tcPr>
          <w:p w:rsidR="004E6C32" w:rsidRPr="006A75A2" w:rsidRDefault="00C96101" w:rsidP="004B5CB1">
            <w:pPr>
              <w:autoSpaceDE w:val="0"/>
              <w:autoSpaceDN w:val="0"/>
              <w:adjustRightInd w:val="0"/>
              <w:spacing w:after="0"/>
              <w:jc w:val="right"/>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(28.3)</w:t>
            </w:r>
          </w:p>
        </w:tc>
        <w:tc>
          <w:tcPr>
            <w:tcW w:w="1418" w:type="dxa"/>
            <w:tcBorders>
              <w:top w:val="nil"/>
              <w:left w:val="nil"/>
              <w:bottom w:val="nil"/>
              <w:right w:val="nil"/>
            </w:tcBorders>
            <w:shd w:val="solid" w:color="FFFFFF" w:fill="auto"/>
          </w:tcPr>
          <w:p w:rsidR="004E6C32" w:rsidRPr="006A75A2" w:rsidRDefault="00C96101" w:rsidP="004B5CB1">
            <w:pPr>
              <w:autoSpaceDE w:val="0"/>
              <w:autoSpaceDN w:val="0"/>
              <w:adjustRightInd w:val="0"/>
              <w:spacing w:after="0"/>
              <w:jc w:val="right"/>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(28.3)</w:t>
            </w:r>
          </w:p>
        </w:tc>
      </w:tr>
      <w:tr w:rsidR="004E6C32" w:rsidRPr="006A75A2" w:rsidTr="000E2915">
        <w:trPr>
          <w:trHeight w:val="307"/>
        </w:trPr>
        <w:tc>
          <w:tcPr>
            <w:tcW w:w="4992"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Reclassification</w:t>
            </w:r>
          </w:p>
        </w:tc>
        <w:tc>
          <w:tcPr>
            <w:tcW w:w="3118" w:type="dxa"/>
            <w:tcBorders>
              <w:top w:val="nil"/>
              <w:left w:val="nil"/>
              <w:bottom w:val="nil"/>
              <w:right w:val="nil"/>
            </w:tcBorders>
            <w:shd w:val="solid" w:color="FFFFFF" w:fill="auto"/>
          </w:tcPr>
          <w:p w:rsidR="004E6C32" w:rsidRPr="006A75A2" w:rsidRDefault="00C96101" w:rsidP="004B5CB1">
            <w:pPr>
              <w:autoSpaceDE w:val="0"/>
              <w:autoSpaceDN w:val="0"/>
              <w:adjustRightInd w:val="0"/>
              <w:spacing w:after="0"/>
              <w:jc w:val="right"/>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(0.1)</w:t>
            </w:r>
          </w:p>
        </w:tc>
        <w:tc>
          <w:tcPr>
            <w:tcW w:w="1418" w:type="dxa"/>
            <w:tcBorders>
              <w:top w:val="nil"/>
              <w:left w:val="nil"/>
              <w:bottom w:val="nil"/>
              <w:right w:val="nil"/>
            </w:tcBorders>
            <w:shd w:val="solid" w:color="FFFFFF" w:fill="auto"/>
          </w:tcPr>
          <w:p w:rsidR="004E6C32" w:rsidRPr="006A75A2" w:rsidRDefault="00C96101" w:rsidP="004B5CB1">
            <w:pPr>
              <w:autoSpaceDE w:val="0"/>
              <w:autoSpaceDN w:val="0"/>
              <w:adjustRightInd w:val="0"/>
              <w:spacing w:after="0"/>
              <w:jc w:val="right"/>
              <w:rPr>
                <w:rFonts w:ascii="Calibri" w:eastAsiaTheme="minorEastAsia" w:hAnsi="Calibri" w:cs="Calibri"/>
                <w:sz w:val="22"/>
                <w:szCs w:val="22"/>
                <w:lang w:eastAsia="en-AU"/>
              </w:rPr>
            </w:pPr>
            <w:r w:rsidRPr="006A75A2">
              <w:rPr>
                <w:rFonts w:ascii="Calibri" w:eastAsiaTheme="minorEastAsia" w:hAnsi="Calibri" w:cs="Calibri"/>
                <w:sz w:val="22"/>
                <w:szCs w:val="22"/>
                <w:lang w:eastAsia="en-AU"/>
              </w:rPr>
              <w:t>(0.1)</w:t>
            </w:r>
          </w:p>
        </w:tc>
      </w:tr>
      <w:tr w:rsidR="004E6C32" w:rsidRPr="006A75A2" w:rsidTr="000E2915">
        <w:trPr>
          <w:trHeight w:val="322"/>
        </w:trPr>
        <w:tc>
          <w:tcPr>
            <w:tcW w:w="4992" w:type="dxa"/>
            <w:tcBorders>
              <w:top w:val="single" w:sz="6" w:space="0" w:color="auto"/>
              <w:left w:val="nil"/>
              <w:bottom w:val="single" w:sz="12"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b/>
                <w:bCs/>
                <w:sz w:val="22"/>
                <w:szCs w:val="22"/>
                <w:lang w:eastAsia="en-AU"/>
              </w:rPr>
            </w:pPr>
            <w:r w:rsidRPr="006A75A2">
              <w:rPr>
                <w:rFonts w:ascii="Calibri" w:eastAsiaTheme="minorEastAsia" w:hAnsi="Calibri" w:cs="Calibri"/>
                <w:b/>
                <w:bCs/>
                <w:sz w:val="22"/>
                <w:szCs w:val="22"/>
                <w:lang w:eastAsia="en-AU"/>
              </w:rPr>
              <w:t>Closing balance at 30 June 2014</w:t>
            </w:r>
          </w:p>
        </w:tc>
        <w:tc>
          <w:tcPr>
            <w:tcW w:w="3118" w:type="dxa"/>
            <w:tcBorders>
              <w:top w:val="single" w:sz="6" w:space="0" w:color="auto"/>
              <w:left w:val="nil"/>
              <w:bottom w:val="single" w:sz="12" w:space="0" w:color="auto"/>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b/>
                <w:bCs/>
                <w:sz w:val="22"/>
                <w:szCs w:val="22"/>
                <w:lang w:eastAsia="en-AU"/>
              </w:rPr>
            </w:pPr>
            <w:r w:rsidRPr="006A75A2">
              <w:rPr>
                <w:rFonts w:ascii="Calibri" w:eastAsiaTheme="minorEastAsia" w:hAnsi="Calibri" w:cs="Calibri"/>
                <w:b/>
                <w:bCs/>
                <w:sz w:val="22"/>
                <w:szCs w:val="22"/>
                <w:lang w:eastAsia="en-AU"/>
              </w:rPr>
              <w:t xml:space="preserve"> 68.4</w:t>
            </w:r>
          </w:p>
        </w:tc>
        <w:tc>
          <w:tcPr>
            <w:tcW w:w="1418" w:type="dxa"/>
            <w:tcBorders>
              <w:top w:val="single" w:sz="6" w:space="0" w:color="auto"/>
              <w:left w:val="nil"/>
              <w:bottom w:val="single" w:sz="12" w:space="0" w:color="auto"/>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b/>
                <w:bCs/>
                <w:sz w:val="22"/>
                <w:szCs w:val="22"/>
                <w:lang w:eastAsia="en-AU"/>
              </w:rPr>
            </w:pPr>
            <w:r w:rsidRPr="006A75A2">
              <w:rPr>
                <w:rFonts w:ascii="Calibri" w:eastAsiaTheme="minorEastAsia" w:hAnsi="Calibri" w:cs="Calibri"/>
                <w:b/>
                <w:bCs/>
                <w:sz w:val="22"/>
                <w:szCs w:val="22"/>
                <w:lang w:eastAsia="en-AU"/>
              </w:rPr>
              <w:t xml:space="preserve"> 68.4</w:t>
            </w:r>
          </w:p>
        </w:tc>
      </w:tr>
    </w:tbl>
    <w:p w:rsidR="004E6C32" w:rsidRPr="006A75A2" w:rsidRDefault="004E6C32" w:rsidP="004B5CB1">
      <w:pPr>
        <w:pStyle w:val="million"/>
        <w:rPr>
          <w:i w:val="0"/>
        </w:rPr>
      </w:pPr>
    </w:p>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4979"/>
        <w:gridCol w:w="3172"/>
        <w:gridCol w:w="1489"/>
      </w:tblGrid>
      <w:tr w:rsidR="004E6C32" w:rsidRPr="006A75A2" w:rsidTr="000E2915">
        <w:trPr>
          <w:trHeight w:val="65"/>
        </w:trPr>
        <w:tc>
          <w:tcPr>
            <w:tcW w:w="4979"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General government sector</w:t>
            </w:r>
          </w:p>
        </w:tc>
        <w:tc>
          <w:tcPr>
            <w:tcW w:w="3172"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Investment properties</w:t>
            </w:r>
          </w:p>
        </w:tc>
        <w:tc>
          <w:tcPr>
            <w:tcW w:w="1489"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Total</w:t>
            </w:r>
          </w:p>
        </w:tc>
      </w:tr>
      <w:tr w:rsidR="004E6C32" w:rsidRPr="006A75A2" w:rsidTr="000E2915">
        <w:tc>
          <w:tcPr>
            <w:tcW w:w="4979"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Opening balance</w:t>
            </w:r>
          </w:p>
        </w:tc>
        <w:tc>
          <w:tcPr>
            <w:tcW w:w="3172"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489"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r w:rsidR="004E6C32" w:rsidRPr="006A75A2" w:rsidTr="000E2915">
        <w:tc>
          <w:tcPr>
            <w:tcW w:w="497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Assets reclassified/(sales)</w:t>
            </w:r>
          </w:p>
        </w:tc>
        <w:tc>
          <w:tcPr>
            <w:tcW w:w="317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96.0</w:t>
            </w:r>
          </w:p>
        </w:tc>
        <w:tc>
          <w:tcPr>
            <w:tcW w:w="148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96.0</w:t>
            </w:r>
          </w:p>
        </w:tc>
      </w:tr>
      <w:tr w:rsidR="004E6C32" w:rsidRPr="006A75A2" w:rsidTr="000E2915">
        <w:tc>
          <w:tcPr>
            <w:tcW w:w="497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Transfers in (out) of Level 3</w:t>
            </w:r>
          </w:p>
        </w:tc>
        <w:tc>
          <w:tcPr>
            <w:tcW w:w="317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48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0E2915">
        <w:tc>
          <w:tcPr>
            <w:tcW w:w="497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Revaluation</w:t>
            </w:r>
          </w:p>
        </w:tc>
        <w:tc>
          <w:tcPr>
            <w:tcW w:w="317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(28.3)</w:t>
            </w:r>
          </w:p>
        </w:tc>
        <w:tc>
          <w:tcPr>
            <w:tcW w:w="148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(28.3)</w:t>
            </w:r>
          </w:p>
        </w:tc>
      </w:tr>
      <w:tr w:rsidR="004E6C32" w:rsidRPr="006A75A2" w:rsidTr="000E2915">
        <w:tc>
          <w:tcPr>
            <w:tcW w:w="4979"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Reclassification</w:t>
            </w:r>
          </w:p>
        </w:tc>
        <w:tc>
          <w:tcPr>
            <w:tcW w:w="3172"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489"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0E2915">
        <w:tc>
          <w:tcPr>
            <w:tcW w:w="4979"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 at 30 June 2014</w:t>
            </w:r>
          </w:p>
        </w:tc>
        <w:tc>
          <w:tcPr>
            <w:tcW w:w="317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67.7</w:t>
            </w:r>
          </w:p>
        </w:tc>
        <w:tc>
          <w:tcPr>
            <w:tcW w:w="1489"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67.7</w:t>
            </w:r>
          </w:p>
        </w:tc>
      </w:tr>
    </w:tbl>
    <w:p w:rsidR="004E6C32" w:rsidRPr="006A75A2" w:rsidRDefault="004E6C32" w:rsidP="004B5CB1"/>
    <w:p w:rsidR="004E6C32" w:rsidRPr="006A75A2" w:rsidRDefault="004E6C32" w:rsidP="0067336F">
      <w:pPr>
        <w:pStyle w:val="Heading5a"/>
      </w:pPr>
      <w:r w:rsidRPr="006A75A2">
        <w:t>Transf</w:t>
      </w:r>
      <w:r w:rsidR="00022E3F" w:rsidRPr="006A75A2">
        <w:t>ers between Level 1 and Level 2</w:t>
      </w:r>
    </w:p>
    <w:p w:rsidR="004E6C32" w:rsidRPr="006A75A2" w:rsidRDefault="004E6C32" w:rsidP="004B5CB1">
      <w:pPr>
        <w:spacing w:after="0"/>
        <w:rPr>
          <w:rFonts w:ascii="Calibri" w:hAnsi="Calibri"/>
          <w:i/>
          <w:sz w:val="23"/>
        </w:rPr>
      </w:pPr>
      <w:r w:rsidRPr="006A75A2">
        <w:t>There were no transfers identified between Levels 1 and 2.</w:t>
      </w:r>
    </w:p>
    <w:p w:rsidR="004E6C32" w:rsidRPr="006A75A2" w:rsidRDefault="004E6C32" w:rsidP="004B5CB1"/>
    <w:p w:rsidR="00C07A50" w:rsidRPr="006A75A2" w:rsidRDefault="00C07A50" w:rsidP="004B5CB1"/>
    <w:p w:rsidR="004E6C32" w:rsidRPr="006A75A2" w:rsidRDefault="004E6C32" w:rsidP="0067336F">
      <w:pPr>
        <w:pStyle w:val="Heading5"/>
      </w:pPr>
      <w:r w:rsidRPr="006A75A2">
        <w:t>(e)</w:t>
      </w:r>
      <w:r w:rsidRPr="006A75A2">
        <w:tab/>
        <w:t xml:space="preserve">Description of significant unobservable inputs to Level 3 valuations </w:t>
      </w:r>
    </w:p>
    <w:p w:rsidR="004E6C32" w:rsidRPr="006A75A2" w:rsidRDefault="004E6C32" w:rsidP="004B5CB1"/>
    <w:p w:rsidR="004E6C32" w:rsidRPr="006A75A2" w:rsidRDefault="004E6C32" w:rsidP="004B5CB1">
      <w:r w:rsidRPr="006A75A2">
        <w:rPr>
          <w:rFonts w:cs="Garamond"/>
          <w:szCs w:val="24"/>
          <w:lang w:eastAsia="en-AU"/>
        </w:rPr>
        <w:t>The description of the significant unobservable inputs to Level 3 assets measured at fair value can be seen below.  The disclosure is based on the description associated with the significant asset balances within each of the different Level 3 asset classes as per Note 23(c).    These assets are measured at the end of the reporting period using inputs not based on observable market data. The sensitivity of the unobservable input to fair value has been assessed and a significant increase or decrease in the significant unobservable input will result in significant higher or lower valuation of the underlying asset.</w:t>
      </w:r>
      <w:r w:rsidRPr="006A75A2">
        <w:t xml:space="preserve"> </w:t>
      </w:r>
    </w:p>
    <w:p w:rsidR="004E6C32" w:rsidRPr="006A75A2" w:rsidRDefault="004E6C32" w:rsidP="004B5CB1"/>
    <w:tbl>
      <w:tblPr>
        <w:tblW w:w="9632" w:type="dxa"/>
        <w:tblInd w:w="28" w:type="dxa"/>
        <w:tblLayout w:type="fixed"/>
        <w:tblCellMar>
          <w:left w:w="43" w:type="dxa"/>
          <w:right w:w="43" w:type="dxa"/>
        </w:tblCellMar>
        <w:tblLook w:val="0000" w:firstRow="0" w:lastRow="0" w:firstColumn="0" w:lastColumn="0" w:noHBand="0" w:noVBand="0"/>
      </w:tblPr>
      <w:tblGrid>
        <w:gridCol w:w="1858"/>
        <w:gridCol w:w="2552"/>
        <w:gridCol w:w="2976"/>
        <w:gridCol w:w="2246"/>
      </w:tblGrid>
      <w:tr w:rsidR="004E6C32" w:rsidRPr="006A75A2" w:rsidTr="004B5CB1">
        <w:trPr>
          <w:cantSplit/>
          <w:tblHeader/>
        </w:trPr>
        <w:tc>
          <w:tcPr>
            <w:tcW w:w="1858" w:type="dxa"/>
            <w:tcBorders>
              <w:top w:val="single" w:sz="4" w:space="0" w:color="auto"/>
              <w:left w:val="single" w:sz="4" w:space="0" w:color="auto"/>
              <w:bottom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Asset class</w:t>
            </w:r>
          </w:p>
        </w:tc>
        <w:tc>
          <w:tcPr>
            <w:tcW w:w="2552" w:type="dxa"/>
            <w:tcBorders>
              <w:top w:val="single" w:sz="4" w:space="0" w:color="auto"/>
              <w:left w:val="nil"/>
              <w:bottom w:val="single" w:sz="4" w:space="0" w:color="auto"/>
              <w:right w:val="nil"/>
            </w:tcBorders>
            <w:shd w:val="solid" w:color="000000" w:fill="auto"/>
          </w:tcPr>
          <w:p w:rsidR="004E6C32" w:rsidRPr="006A75A2" w:rsidRDefault="004E6C32" w:rsidP="004B5CB1">
            <w:pPr>
              <w:pStyle w:val="TabletextheadingLeft"/>
              <w:rPr>
                <w:sz w:val="20"/>
                <w:szCs w:val="20"/>
                <w:vertAlign w:val="superscript"/>
              </w:rPr>
            </w:pPr>
            <w:r w:rsidRPr="006A75A2">
              <w:rPr>
                <w:sz w:val="20"/>
                <w:szCs w:val="20"/>
              </w:rPr>
              <w:t>Valuation technique</w:t>
            </w:r>
          </w:p>
        </w:tc>
        <w:tc>
          <w:tcPr>
            <w:tcW w:w="2976" w:type="dxa"/>
            <w:tcBorders>
              <w:top w:val="single" w:sz="4" w:space="0" w:color="auto"/>
              <w:left w:val="nil"/>
              <w:bottom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Significant unobservable input</w:t>
            </w:r>
          </w:p>
        </w:tc>
        <w:tc>
          <w:tcPr>
            <w:tcW w:w="2246" w:type="dxa"/>
            <w:tcBorders>
              <w:top w:val="single" w:sz="4" w:space="0" w:color="auto"/>
              <w:left w:val="nil"/>
              <w:bottom w:val="single" w:sz="4" w:space="0" w:color="auto"/>
              <w:right w:val="nil"/>
            </w:tcBorders>
            <w:shd w:val="solid" w:color="000000" w:fill="auto"/>
          </w:tcPr>
          <w:p w:rsidR="004E6C32" w:rsidRPr="006A75A2" w:rsidRDefault="004E6C32" w:rsidP="004B5CB1">
            <w:pPr>
              <w:pStyle w:val="TabletextheadingLeft"/>
              <w:rPr>
                <w:sz w:val="20"/>
                <w:szCs w:val="20"/>
              </w:rPr>
            </w:pPr>
            <w:r w:rsidRPr="006A75A2">
              <w:rPr>
                <w:sz w:val="20"/>
                <w:szCs w:val="20"/>
              </w:rPr>
              <w:t>Range</w:t>
            </w:r>
          </w:p>
        </w:tc>
      </w:tr>
      <w:tr w:rsidR="000E2915" w:rsidRPr="006A75A2" w:rsidTr="00AD1FBF">
        <w:trPr>
          <w:cantSplit/>
        </w:trPr>
        <w:tc>
          <w:tcPr>
            <w:tcW w:w="9632" w:type="dxa"/>
            <w:gridSpan w:val="4"/>
            <w:tcBorders>
              <w:top w:val="single" w:sz="4" w:space="0" w:color="auto"/>
              <w:left w:val="nil"/>
              <w:right w:val="nil"/>
            </w:tcBorders>
            <w:shd w:val="clear" w:color="FFFFFF" w:fill="BFBFBF" w:themeFill="background1" w:themeFillShade="BF"/>
          </w:tcPr>
          <w:p w:rsidR="000E2915" w:rsidRPr="006A75A2" w:rsidRDefault="000E2915" w:rsidP="004B5CB1">
            <w:pPr>
              <w:pStyle w:val="TableTextnoindent"/>
              <w:rPr>
                <w:rFonts w:cs="Calibri"/>
                <w:b/>
                <w:bCs/>
                <w:iCs/>
                <w:color w:val="auto"/>
                <w:sz w:val="20"/>
                <w:szCs w:val="20"/>
              </w:rPr>
            </w:pPr>
            <w:r w:rsidRPr="006A75A2">
              <w:rPr>
                <w:rFonts w:cs="Calibri"/>
                <w:b/>
                <w:bCs/>
                <w:color w:val="auto"/>
                <w:sz w:val="20"/>
                <w:szCs w:val="20"/>
              </w:rPr>
              <w:t>Investment properties</w:t>
            </w:r>
          </w:p>
        </w:tc>
      </w:tr>
      <w:tr w:rsidR="004E6C32" w:rsidRPr="006A75A2" w:rsidTr="004B5CB1">
        <w:trPr>
          <w:cantSplit/>
        </w:trPr>
        <w:tc>
          <w:tcPr>
            <w:tcW w:w="1858"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p>
        </w:tc>
        <w:tc>
          <w:tcPr>
            <w:tcW w:w="2552"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Income approach</w:t>
            </w:r>
          </w:p>
        </w:tc>
        <w:tc>
          <w:tcPr>
            <w:tcW w:w="2976"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Applied value per square metre</w:t>
            </w:r>
          </w:p>
        </w:tc>
        <w:tc>
          <w:tcPr>
            <w:tcW w:w="2246" w:type="dxa"/>
            <w:tcBorders>
              <w:left w:val="nil"/>
              <w:bottom w:val="single" w:sz="12" w:space="0" w:color="auto"/>
              <w:right w:val="nil"/>
            </w:tcBorders>
            <w:shd w:val="solid" w:color="FFFFFF" w:fill="auto"/>
          </w:tcPr>
          <w:p w:rsidR="004E6C32" w:rsidRPr="006A75A2" w:rsidRDefault="004E6C32" w:rsidP="004B5CB1">
            <w:pPr>
              <w:pStyle w:val="TableTextnoindent"/>
              <w:rPr>
                <w:rFonts w:cs="Calibri"/>
                <w:color w:val="auto"/>
                <w:sz w:val="20"/>
                <w:szCs w:val="20"/>
              </w:rPr>
            </w:pPr>
            <w:r w:rsidRPr="006A75A2">
              <w:rPr>
                <w:rFonts w:cs="Calibri"/>
                <w:color w:val="auto"/>
                <w:sz w:val="20"/>
                <w:szCs w:val="20"/>
              </w:rPr>
              <w:t>13–38% discount rate</w:t>
            </w:r>
          </w:p>
        </w:tc>
      </w:tr>
    </w:tbl>
    <w:p w:rsidR="004E6C32" w:rsidRPr="006A75A2" w:rsidRDefault="004E6C32" w:rsidP="004B5CB1">
      <w:pPr>
        <w:pStyle w:val="Notes"/>
      </w:pPr>
    </w:p>
    <w:p w:rsidR="004E6C32" w:rsidRPr="006A75A2" w:rsidRDefault="004E6C32">
      <w:pPr>
        <w:spacing w:after="0"/>
      </w:pPr>
    </w:p>
    <w:p w:rsidR="004E6C32" w:rsidRPr="006A75A2" w:rsidRDefault="004E6C32">
      <w:pPr>
        <w:spacing w:after="0"/>
      </w:pPr>
      <w:r w:rsidRPr="006A75A2">
        <w:br w:type="page"/>
      </w:r>
    </w:p>
    <w:p w:rsidR="004E6C32" w:rsidRPr="006A75A2" w:rsidRDefault="004E6C32" w:rsidP="004B5CB1">
      <w:pPr>
        <w:pStyle w:val="Heading2Notes"/>
        <w:rPr>
          <w:kern w:val="0"/>
        </w:rPr>
      </w:pPr>
      <w:bookmarkStart w:id="54" w:name="_Toc400040271"/>
      <w:r w:rsidRPr="006A75A2">
        <w:rPr>
          <w:kern w:val="0"/>
        </w:rPr>
        <w:lastRenderedPageBreak/>
        <w:t>Note 24:</w:t>
      </w:r>
      <w:r w:rsidRPr="006A75A2">
        <w:rPr>
          <w:kern w:val="0"/>
        </w:rPr>
        <w:tab/>
        <w:t>Assets classified by government purpose classification and department</w:t>
      </w:r>
      <w:bookmarkEnd w:id="54"/>
    </w:p>
    <w:p w:rsidR="004E6C32" w:rsidRPr="006A75A2" w:rsidRDefault="004E6C32" w:rsidP="0067336F">
      <w:pPr>
        <w:pStyle w:val="Heading5"/>
        <w:rPr>
          <w:vertAlign w:val="superscript"/>
        </w:rPr>
      </w:pPr>
      <w:r w:rsidRPr="006A75A2">
        <w:t>(a)</w:t>
      </w:r>
      <w:r w:rsidRPr="006A75A2">
        <w:tab/>
        <w:t>Purchases of non-financial assets by government purpose classification</w:t>
      </w:r>
      <w:r w:rsidRPr="006A75A2">
        <w:rPr>
          <w:vertAlign w:val="superscript"/>
        </w:rPr>
        <w:t>(a)</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0E2915" w:rsidRPr="006A75A2" w:rsidTr="00AD1FBF">
        <w:tc>
          <w:tcPr>
            <w:tcW w:w="5160" w:type="dxa"/>
            <w:tcBorders>
              <w:top w:val="single" w:sz="6" w:space="0" w:color="auto"/>
              <w:left w:val="single" w:sz="6" w:space="0" w:color="auto"/>
              <w:bottom w:val="nil"/>
              <w:right w:val="nil"/>
            </w:tcBorders>
            <w:shd w:val="clear" w:color="000000" w:fill="000000"/>
          </w:tcPr>
          <w:p w:rsidR="000E2915" w:rsidRPr="006A75A2" w:rsidRDefault="000E291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0E2915" w:rsidRPr="006A75A2" w:rsidRDefault="000E2915" w:rsidP="004B5CB1">
            <w:pPr>
              <w:pStyle w:val="TabletextheadingCentred"/>
              <w:rPr>
                <w:rFonts w:eastAsiaTheme="minorEastAsia"/>
                <w:lang w:eastAsia="en-AU"/>
              </w:rPr>
            </w:pPr>
          </w:p>
          <w:p w:rsidR="000E2915" w:rsidRPr="006A75A2" w:rsidRDefault="000E291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0E2915" w:rsidRPr="006A75A2" w:rsidRDefault="000E2915" w:rsidP="004B5CB1">
            <w:pPr>
              <w:pStyle w:val="TabletextheadingCentred"/>
              <w:rPr>
                <w:rFonts w:eastAsiaTheme="minorEastAsia"/>
                <w:lang w:eastAsia="en-AU"/>
              </w:rPr>
            </w:pPr>
            <w:r w:rsidRPr="006A75A2">
              <w:rPr>
                <w:rFonts w:eastAsiaTheme="minorEastAsia"/>
                <w:lang w:eastAsia="en-AU"/>
              </w:rPr>
              <w:t xml:space="preserve">General </w:t>
            </w:r>
          </w:p>
          <w:p w:rsidR="000E2915" w:rsidRPr="006A75A2" w:rsidRDefault="000E2915"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General public services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112.8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260.1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79.3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Public order and safety</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526.7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526.7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Education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676.9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676.9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Health</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899.5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794.9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899.3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794.6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Social security and welfare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31.9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31.9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Housing and community amenities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1 630.2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2 181.9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140.5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122.7</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Recreation and culture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151.6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30.2</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Fuel and energy</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Agriculture, forestry, fishing, and hunting</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35.3</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Mining, manufacturing, and construction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Transport and communications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2 922.4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2 771.9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1 288.9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1 748.7</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Other economic affairs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99.4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99.4</w:t>
            </w:r>
          </w:p>
        </w:tc>
      </w:tr>
      <w:tr w:rsidR="004E6C32" w:rsidRPr="006A75A2" w:rsidTr="004B5CB1">
        <w:tc>
          <w:tcPr>
            <w:tcW w:w="5160"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Other purposes</w:t>
            </w:r>
            <w:r w:rsidRPr="006A75A2">
              <w:rPr>
                <w:rFonts w:eastAsiaTheme="minorEastAsia"/>
                <w:vertAlign w:val="superscript"/>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0.5</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0.8</w:t>
            </w:r>
          </w:p>
        </w:tc>
      </w:tr>
      <w:tr w:rsidR="004E6C32" w:rsidRPr="006A75A2" w:rsidTr="004B5CB1">
        <w:tc>
          <w:tcPr>
            <w:tcW w:w="5160" w:type="dxa"/>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vertAlign w:val="superscript"/>
                <w:lang w:eastAsia="en-AU"/>
              </w:rPr>
            </w:pPr>
            <w:r w:rsidRPr="006A75A2">
              <w:rPr>
                <w:rFonts w:eastAsiaTheme="minorEastAsia"/>
                <w:b/>
                <w:bCs/>
                <w:lang w:eastAsia="en-AU"/>
              </w:rPr>
              <w:t>Total purchases of non-financial assets</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7 306.0</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7 597.8</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3 997.3</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4 133.2</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Note 41 provides definitions and descriptions of government purpose classifications.</w:t>
      </w:r>
    </w:p>
    <w:p w:rsidR="004E6C32" w:rsidRPr="006A75A2" w:rsidRDefault="004E6C32" w:rsidP="00C07A50"/>
    <w:p w:rsidR="004E6C32" w:rsidRPr="006A75A2" w:rsidRDefault="004E6C32" w:rsidP="0067336F">
      <w:pPr>
        <w:pStyle w:val="Heading5"/>
      </w:pPr>
      <w:r w:rsidRPr="006A75A2">
        <w:t>(b)</w:t>
      </w:r>
      <w:r w:rsidRPr="006A75A2">
        <w:tab/>
        <w:t>Purchase of non-financial assets by department</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0E2915" w:rsidRPr="006A75A2" w:rsidTr="00AD1FBF">
        <w:tc>
          <w:tcPr>
            <w:tcW w:w="5160" w:type="dxa"/>
            <w:tcBorders>
              <w:top w:val="single" w:sz="6" w:space="0" w:color="auto"/>
              <w:left w:val="single" w:sz="6" w:space="0" w:color="auto"/>
              <w:bottom w:val="nil"/>
              <w:right w:val="nil"/>
            </w:tcBorders>
            <w:shd w:val="clear" w:color="000000" w:fill="000000"/>
          </w:tcPr>
          <w:p w:rsidR="000E2915" w:rsidRPr="006A75A2" w:rsidRDefault="000E2915" w:rsidP="004B5CB1">
            <w:pPr>
              <w:pStyle w:val="Tabletext"/>
              <w:rPr>
                <w:rFonts w:eastAsiaTheme="minorEastAsia"/>
                <w:szCs w:val="22"/>
                <w:lang w:eastAsia="en-AU"/>
              </w:rPr>
            </w:pPr>
            <w:r w:rsidRPr="006A75A2">
              <w:rPr>
                <w:rFonts w:eastAsiaTheme="minorEastAsia"/>
                <w:szCs w:val="22"/>
                <w:lang w:eastAsia="en-AU"/>
              </w:rPr>
              <w:t xml:space="preserve"> </w:t>
            </w:r>
          </w:p>
        </w:tc>
        <w:tc>
          <w:tcPr>
            <w:tcW w:w="2240" w:type="dxa"/>
            <w:gridSpan w:val="2"/>
            <w:tcBorders>
              <w:top w:val="single" w:sz="6" w:space="0" w:color="auto"/>
              <w:left w:val="nil"/>
              <w:bottom w:val="nil"/>
              <w:right w:val="nil"/>
            </w:tcBorders>
            <w:shd w:val="clear" w:color="000000" w:fill="000000"/>
          </w:tcPr>
          <w:p w:rsidR="000E2915" w:rsidRPr="006A75A2" w:rsidRDefault="000E2915" w:rsidP="004B5CB1">
            <w:pPr>
              <w:pStyle w:val="TabletextheadingCentred"/>
              <w:rPr>
                <w:rFonts w:eastAsiaTheme="minorEastAsia"/>
                <w:szCs w:val="22"/>
                <w:lang w:eastAsia="en-AU"/>
              </w:rPr>
            </w:pPr>
          </w:p>
          <w:p w:rsidR="000E2915" w:rsidRPr="006A75A2" w:rsidRDefault="000E2915" w:rsidP="004B5CB1">
            <w:pPr>
              <w:pStyle w:val="TabletextheadingCentred"/>
              <w:rPr>
                <w:rFonts w:eastAsiaTheme="minorEastAsia"/>
                <w:szCs w:val="22"/>
                <w:lang w:eastAsia="en-AU"/>
              </w:rPr>
            </w:pPr>
            <w:r w:rsidRPr="006A75A2">
              <w:rPr>
                <w:rFonts w:eastAsiaTheme="minorEastAsia"/>
                <w:szCs w:val="22"/>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0E2915" w:rsidRPr="006A75A2" w:rsidRDefault="000E2915" w:rsidP="004B5CB1">
            <w:pPr>
              <w:pStyle w:val="TabletextheadingCentred"/>
              <w:rPr>
                <w:rFonts w:eastAsiaTheme="minorEastAsia"/>
                <w:szCs w:val="22"/>
                <w:lang w:eastAsia="en-AU"/>
              </w:rPr>
            </w:pPr>
            <w:r w:rsidRPr="006A75A2">
              <w:rPr>
                <w:rFonts w:eastAsiaTheme="minorEastAsia"/>
                <w:szCs w:val="22"/>
                <w:lang w:eastAsia="en-AU"/>
              </w:rPr>
              <w:t xml:space="preserve">General </w:t>
            </w:r>
          </w:p>
          <w:p w:rsidR="000E2915" w:rsidRPr="006A75A2" w:rsidRDefault="000E2915" w:rsidP="004B5CB1">
            <w:pPr>
              <w:pStyle w:val="TabletextheadingCentred"/>
              <w:rPr>
                <w:rFonts w:eastAsiaTheme="minorEastAsia"/>
                <w:szCs w:val="22"/>
                <w:lang w:eastAsia="en-AU"/>
              </w:rPr>
            </w:pPr>
            <w:r w:rsidRPr="006A75A2">
              <w:rPr>
                <w:rFonts w:eastAsiaTheme="minorEastAsia"/>
                <w:szCs w:val="22"/>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2013</w:t>
            </w:r>
          </w:p>
        </w:tc>
      </w:tr>
      <w:tr w:rsidR="004E6C32" w:rsidRPr="006A75A2" w:rsidTr="004B5CB1">
        <w:tc>
          <w:tcPr>
            <w:tcW w:w="5160"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Education and Early Childhood Development</w:t>
            </w:r>
          </w:p>
        </w:tc>
        <w:tc>
          <w:tcPr>
            <w:tcW w:w="1120" w:type="dxa"/>
            <w:tcBorders>
              <w:top w:val="single" w:sz="6" w:space="0" w:color="auto"/>
              <w:left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521.9</w:t>
            </w:r>
          </w:p>
        </w:tc>
        <w:tc>
          <w:tcPr>
            <w:tcW w:w="1120" w:type="dxa"/>
            <w:tcBorders>
              <w:top w:val="single" w:sz="6" w:space="0" w:color="auto"/>
              <w:left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677.2</w:t>
            </w:r>
          </w:p>
        </w:tc>
        <w:tc>
          <w:tcPr>
            <w:tcW w:w="1120" w:type="dxa"/>
            <w:tcBorders>
              <w:top w:val="single" w:sz="6" w:space="0" w:color="auto"/>
              <w:left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521.9</w:t>
            </w:r>
          </w:p>
        </w:tc>
        <w:tc>
          <w:tcPr>
            <w:tcW w:w="1120" w:type="dxa"/>
            <w:tcBorders>
              <w:top w:val="single" w:sz="6" w:space="0" w:color="auto"/>
              <w:left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677.2</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9861EA">
            <w:pPr>
              <w:pStyle w:val="Tabletext"/>
              <w:rPr>
                <w:rFonts w:eastAsiaTheme="minorEastAsia"/>
                <w:szCs w:val="22"/>
                <w:vertAlign w:val="superscript"/>
                <w:lang w:eastAsia="en-AU"/>
              </w:rPr>
            </w:pPr>
            <w:r w:rsidRPr="006A75A2">
              <w:rPr>
                <w:rFonts w:eastAsiaTheme="minorEastAsia"/>
                <w:szCs w:val="22"/>
                <w:lang w:eastAsia="en-AU"/>
              </w:rPr>
              <w:t>Environment and Primary Industries</w:t>
            </w:r>
            <w:r w:rsidRPr="006A75A2">
              <w:rPr>
                <w:rFonts w:eastAsiaTheme="minorEastAsia"/>
                <w:szCs w:val="22"/>
                <w:vertAlign w:val="superscript"/>
                <w:lang w:eastAsia="en-AU"/>
              </w:rPr>
              <w:t>(a)</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Cs w:val="22"/>
                <w:lang w:eastAsia="en-AU"/>
              </w:rPr>
              <w:t>1 339.8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2 058.8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135.1</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141.8</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Health</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1 032.1</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807.8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1 004.6</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800.7</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Human Services</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336.2</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338.8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44.6</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32.0</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Justice</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436.8</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263.3</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436.0</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259.3</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Premier and Cabinet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72.3</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49.2</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67.5</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25.9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vertAlign w:val="superscript"/>
                <w:lang w:eastAsia="en-AU"/>
              </w:rPr>
            </w:pPr>
            <w:r w:rsidRPr="006A75A2">
              <w:rPr>
                <w:rFonts w:eastAsiaTheme="minorEastAsia"/>
                <w:szCs w:val="22"/>
                <w:lang w:eastAsia="en-AU"/>
              </w:rPr>
              <w:t>State Devel</w:t>
            </w:r>
            <w:r w:rsidR="009861EA" w:rsidRPr="006A75A2">
              <w:rPr>
                <w:rFonts w:eastAsiaTheme="minorEastAsia"/>
                <w:szCs w:val="22"/>
                <w:lang w:eastAsia="en-AU"/>
              </w:rPr>
              <w:t>opment, Business and Innovation</w:t>
            </w:r>
            <w:r w:rsidRPr="006A75A2">
              <w:rPr>
                <w:rFonts w:eastAsiaTheme="minorEastAsia"/>
                <w:szCs w:val="22"/>
                <w:vertAlign w:val="superscript"/>
                <w:lang w:eastAsia="en-AU"/>
              </w:rPr>
              <w:t>(a)</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66.6</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134.2</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50.1</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120.1</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9861EA">
            <w:pPr>
              <w:pStyle w:val="Tabletext"/>
              <w:rPr>
                <w:rFonts w:eastAsiaTheme="minorEastAsia"/>
                <w:szCs w:val="22"/>
                <w:vertAlign w:val="superscript"/>
                <w:lang w:eastAsia="en-AU"/>
              </w:rPr>
            </w:pPr>
            <w:r w:rsidRPr="006A75A2">
              <w:rPr>
                <w:rFonts w:eastAsiaTheme="minorEastAsia"/>
                <w:szCs w:val="22"/>
                <w:lang w:eastAsia="en-AU"/>
              </w:rPr>
              <w:t>Transport, Planning and Local Infrastructure</w:t>
            </w:r>
            <w:r w:rsidRPr="006A75A2">
              <w:rPr>
                <w:rFonts w:eastAsiaTheme="minorEastAsia"/>
                <w:szCs w:val="22"/>
                <w:vertAlign w:val="superscript"/>
                <w:lang w:eastAsia="en-AU"/>
              </w:rPr>
              <w:t>(a)</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3 304.3</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2 819.5</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1 571.2</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1 693.8</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 xml:space="preserve">Treasury and Finance </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95.5</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162.1</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62.6</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30.9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Parliament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13.3</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12.4</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13.3</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12.4</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Regulatory bodies and other part budget funded agencies</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172.9</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244.0</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172.9</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244.0</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9861EA">
            <w:pPr>
              <w:pStyle w:val="Tabletext"/>
              <w:rPr>
                <w:rFonts w:eastAsiaTheme="minorEastAsia"/>
                <w:szCs w:val="22"/>
                <w:vertAlign w:val="superscript"/>
                <w:lang w:eastAsia="en-AU"/>
              </w:rPr>
            </w:pPr>
            <w:r w:rsidRPr="006A75A2">
              <w:rPr>
                <w:rFonts w:eastAsiaTheme="minorEastAsia"/>
                <w:szCs w:val="22"/>
                <w:lang w:eastAsia="en-AU"/>
              </w:rPr>
              <w:t>Planning and Community Development</w:t>
            </w:r>
            <w:r w:rsidRPr="006A75A2">
              <w:rPr>
                <w:rFonts w:eastAsiaTheme="minorEastAsia"/>
                <w:szCs w:val="22"/>
                <w:vertAlign w:val="superscript"/>
                <w:lang w:eastAsia="en-AU"/>
              </w:rPr>
              <w:t>(b)</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62.3</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62.3</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9861EA">
            <w:pPr>
              <w:pStyle w:val="Tabletext"/>
              <w:rPr>
                <w:rFonts w:eastAsiaTheme="minorEastAsia"/>
                <w:szCs w:val="22"/>
                <w:vertAlign w:val="superscript"/>
                <w:lang w:eastAsia="en-AU"/>
              </w:rPr>
            </w:pPr>
            <w:r w:rsidRPr="006A75A2">
              <w:rPr>
                <w:rFonts w:eastAsiaTheme="minorEastAsia"/>
                <w:szCs w:val="22"/>
                <w:lang w:eastAsia="en-AU"/>
              </w:rPr>
              <w:t>Primary Industries</w:t>
            </w:r>
            <w:r w:rsidRPr="006A75A2">
              <w:rPr>
                <w:rFonts w:eastAsiaTheme="minorEastAsia"/>
                <w:szCs w:val="22"/>
                <w:vertAlign w:val="superscript"/>
                <w:lang w:eastAsia="en-AU"/>
              </w:rPr>
              <w:t>(b)</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33.7</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33.7</w:t>
            </w:r>
          </w:p>
        </w:tc>
      </w:tr>
      <w:tr w:rsidR="004E6C32" w:rsidRPr="006A75A2" w:rsidTr="004B5CB1">
        <w:tc>
          <w:tcPr>
            <w:tcW w:w="5160" w:type="dxa"/>
            <w:tcBorders>
              <w:top w:val="nil"/>
              <w:left w:val="nil"/>
              <w:bottom w:val="single" w:sz="6" w:space="0" w:color="auto"/>
              <w:right w:val="nil"/>
            </w:tcBorders>
            <w:shd w:val="solid" w:color="FFFFFF" w:fill="auto"/>
          </w:tcPr>
          <w:p w:rsidR="004E6C32" w:rsidRPr="006A75A2" w:rsidRDefault="004E6C32" w:rsidP="009861EA">
            <w:pPr>
              <w:pStyle w:val="Tabletext"/>
              <w:rPr>
                <w:szCs w:val="22"/>
              </w:rPr>
            </w:pPr>
            <w:r w:rsidRPr="006A75A2">
              <w:rPr>
                <w:rFonts w:eastAsiaTheme="minorEastAsia"/>
                <w:szCs w:val="22"/>
                <w:lang w:eastAsia="en-AU"/>
              </w:rPr>
              <w:t>Adjustments</w:t>
            </w:r>
            <w:r w:rsidRPr="006A75A2">
              <w:rPr>
                <w:rFonts w:eastAsiaTheme="minorEastAsia"/>
                <w:szCs w:val="22"/>
                <w:vertAlign w:val="superscript"/>
                <w:lang w:eastAsia="en-AU"/>
              </w:rPr>
              <w:t>(c)</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(85.6)</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Cs w:val="22"/>
                <w:lang w:eastAsia="en-AU"/>
              </w:rPr>
              <w:t>(65.5)</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(82.5)</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(0.9)</w:t>
            </w:r>
          </w:p>
        </w:tc>
      </w:tr>
      <w:tr w:rsidR="004E6C32" w:rsidRPr="006A75A2" w:rsidTr="004B5CB1">
        <w:tc>
          <w:tcPr>
            <w:tcW w:w="516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bCs/>
                <w:szCs w:val="22"/>
                <w:lang w:eastAsia="en-AU"/>
              </w:rPr>
            </w:pPr>
            <w:r w:rsidRPr="006A75A2">
              <w:rPr>
                <w:rFonts w:eastAsiaTheme="minorEastAsia"/>
                <w:b/>
                <w:bCs/>
                <w:szCs w:val="22"/>
                <w:lang w:eastAsia="en-AU"/>
              </w:rPr>
              <w:t xml:space="preserve">Total </w:t>
            </w:r>
            <w:r w:rsidRPr="006A75A2">
              <w:rPr>
                <w:rFonts w:eastAsiaTheme="minorEastAsia"/>
                <w:b/>
                <w:bCs/>
                <w:lang w:eastAsia="en-AU"/>
              </w:rPr>
              <w:t>purchases of non-financial assets</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7 306.0</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7 597.8</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3 997.3</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4 133.2</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Effective 9 April 2013, several departments were renamed due to machinery of government changes:</w:t>
      </w:r>
    </w:p>
    <w:p w:rsidR="004E6C32" w:rsidRPr="006A75A2" w:rsidRDefault="004E6C32" w:rsidP="004B5CB1">
      <w:pPr>
        <w:pStyle w:val="NotesDash"/>
      </w:pPr>
      <w:r w:rsidRPr="006A75A2">
        <w:t>the Department of Sustainability and Environment became the Department of Environment and Primary Industries;</w:t>
      </w:r>
    </w:p>
    <w:p w:rsidR="004E6C32" w:rsidRPr="006A75A2" w:rsidRDefault="004E6C32" w:rsidP="004B5CB1">
      <w:pPr>
        <w:pStyle w:val="NotesDash"/>
      </w:pPr>
      <w:r w:rsidRPr="006A75A2">
        <w:t>the Department of Business and Innovation became the Department of State Development, Business and Innovation; and</w:t>
      </w:r>
    </w:p>
    <w:p w:rsidR="004E6C32" w:rsidRPr="006A75A2" w:rsidRDefault="004E6C32" w:rsidP="004B5CB1">
      <w:pPr>
        <w:pStyle w:val="NotesDash"/>
      </w:pPr>
      <w:r w:rsidRPr="006A75A2">
        <w:t>the Department of Transport became the Department of Transport, Planning and Local Infrastructure.</w:t>
      </w:r>
    </w:p>
    <w:p w:rsidR="004E6C32" w:rsidRPr="006A75A2" w:rsidRDefault="004E6C32" w:rsidP="004B5CB1">
      <w:pPr>
        <w:pStyle w:val="Notes"/>
      </w:pPr>
      <w:r w:rsidRPr="006A75A2">
        <w:t>(b)</w:t>
      </w:r>
      <w:r w:rsidRPr="006A75A2">
        <w:tab/>
        <w:t>Effective 1 July 2013, the following departments ceased to exist and had their functions and operations transferred to other Victorian government departments:</w:t>
      </w:r>
    </w:p>
    <w:p w:rsidR="004E6C32" w:rsidRPr="006A75A2" w:rsidRDefault="004E6C32" w:rsidP="004B5CB1">
      <w:pPr>
        <w:pStyle w:val="NotesDash"/>
      </w:pPr>
      <w:r w:rsidRPr="006A75A2">
        <w:t>Department of Planning and Community Development; and</w:t>
      </w:r>
    </w:p>
    <w:p w:rsidR="004E6C32" w:rsidRPr="006A75A2" w:rsidRDefault="004E6C32" w:rsidP="004B5CB1">
      <w:pPr>
        <w:pStyle w:val="NotesDash"/>
      </w:pPr>
      <w:r w:rsidRPr="006A75A2">
        <w:t>Department of Primary Industries.</w:t>
      </w:r>
    </w:p>
    <w:p w:rsidR="004E6C32" w:rsidRPr="006A75A2" w:rsidRDefault="004E6C32" w:rsidP="004B5CB1">
      <w:pPr>
        <w:pStyle w:val="Notes"/>
      </w:pPr>
      <w:r w:rsidRPr="006A75A2">
        <w:t>(c)</w:t>
      </w:r>
      <w:r w:rsidRPr="006A75A2">
        <w:tab/>
        <w:t>Represents adjustments for transfers between portfolio departments.</w:t>
      </w:r>
    </w:p>
    <w:p w:rsidR="004E6C32" w:rsidRPr="006A75A2" w:rsidRDefault="004E6C32" w:rsidP="004B5CB1">
      <w:pPr>
        <w:pStyle w:val="Heading2NotesContd"/>
        <w:rPr>
          <w:kern w:val="0"/>
        </w:rPr>
      </w:pPr>
      <w:r w:rsidRPr="006A75A2">
        <w:rPr>
          <w:kern w:val="0"/>
        </w:rPr>
        <w:lastRenderedPageBreak/>
        <w:t>Note 24:</w:t>
      </w:r>
      <w:r w:rsidRPr="006A75A2">
        <w:rPr>
          <w:kern w:val="0"/>
        </w:rPr>
        <w:tab/>
        <w:t xml:space="preserve">Assets classified by government purpose classification and by department </w:t>
      </w:r>
      <w:r w:rsidRPr="006A75A2">
        <w:rPr>
          <w:i/>
          <w:kern w:val="0"/>
        </w:rPr>
        <w:t>(continued)</w:t>
      </w:r>
    </w:p>
    <w:p w:rsidR="004E6C32" w:rsidRPr="006A75A2" w:rsidRDefault="004E6C32" w:rsidP="0067336F">
      <w:pPr>
        <w:pStyle w:val="Heading5"/>
        <w:rPr>
          <w:vertAlign w:val="superscript"/>
        </w:rPr>
      </w:pPr>
      <w:r w:rsidRPr="006A75A2">
        <w:t>(c)</w:t>
      </w:r>
      <w:r w:rsidRPr="006A75A2">
        <w:tab/>
        <w:t>Total assets by government purpose classification</w:t>
      </w:r>
      <w:r w:rsidRPr="006A75A2">
        <w:rPr>
          <w:vertAlign w:val="superscript"/>
        </w:rPr>
        <w:t>(a)</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0E2915" w:rsidRPr="006A75A2" w:rsidTr="00AD1FBF">
        <w:tc>
          <w:tcPr>
            <w:tcW w:w="5160" w:type="dxa"/>
            <w:tcBorders>
              <w:top w:val="single" w:sz="6" w:space="0" w:color="auto"/>
              <w:left w:val="single" w:sz="6" w:space="0" w:color="auto"/>
              <w:bottom w:val="nil"/>
              <w:right w:val="nil"/>
            </w:tcBorders>
            <w:shd w:val="clear" w:color="000000" w:fill="000000"/>
          </w:tcPr>
          <w:p w:rsidR="000E2915" w:rsidRPr="006A75A2" w:rsidRDefault="000E2915"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2240" w:type="dxa"/>
            <w:gridSpan w:val="2"/>
            <w:tcBorders>
              <w:top w:val="single" w:sz="6" w:space="0" w:color="auto"/>
              <w:left w:val="nil"/>
              <w:bottom w:val="nil"/>
              <w:right w:val="nil"/>
            </w:tcBorders>
            <w:shd w:val="clear" w:color="000000" w:fill="000000"/>
          </w:tcPr>
          <w:p w:rsidR="000E2915" w:rsidRPr="006A75A2" w:rsidRDefault="000E2915" w:rsidP="004B5CB1">
            <w:pPr>
              <w:pStyle w:val="TabletextheadingCentred"/>
              <w:rPr>
                <w:rFonts w:eastAsiaTheme="minorEastAsia"/>
                <w:sz w:val="21"/>
                <w:szCs w:val="21"/>
                <w:lang w:eastAsia="en-AU"/>
              </w:rPr>
            </w:pPr>
          </w:p>
          <w:p w:rsidR="000E2915" w:rsidRPr="006A75A2" w:rsidRDefault="000E2915" w:rsidP="004B5CB1">
            <w:pPr>
              <w:pStyle w:val="TabletextheadingCentred"/>
              <w:rPr>
                <w:rFonts w:eastAsiaTheme="minorEastAsia"/>
                <w:sz w:val="21"/>
                <w:szCs w:val="21"/>
                <w:lang w:eastAsia="en-AU"/>
              </w:rPr>
            </w:pPr>
            <w:r w:rsidRPr="006A75A2">
              <w:rPr>
                <w:rFonts w:eastAsiaTheme="minorEastAsia"/>
                <w:sz w:val="21"/>
                <w:szCs w:val="21"/>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0E2915" w:rsidRPr="006A75A2" w:rsidRDefault="000E2915" w:rsidP="004B5CB1">
            <w:pPr>
              <w:pStyle w:val="TabletextheadingCentred"/>
              <w:rPr>
                <w:rFonts w:eastAsiaTheme="minorEastAsia"/>
                <w:sz w:val="21"/>
                <w:szCs w:val="21"/>
                <w:lang w:eastAsia="en-AU"/>
              </w:rPr>
            </w:pPr>
            <w:r w:rsidRPr="006A75A2">
              <w:rPr>
                <w:rFonts w:eastAsiaTheme="minorEastAsia"/>
                <w:sz w:val="21"/>
                <w:szCs w:val="21"/>
                <w:lang w:eastAsia="en-AU"/>
              </w:rPr>
              <w:t xml:space="preserve">General </w:t>
            </w:r>
          </w:p>
          <w:p w:rsidR="000E2915" w:rsidRPr="006A75A2" w:rsidRDefault="000E2915" w:rsidP="004B5CB1">
            <w:pPr>
              <w:pStyle w:val="TabletextheadingCentred"/>
              <w:rPr>
                <w:rFonts w:eastAsiaTheme="minorEastAsia"/>
                <w:sz w:val="21"/>
                <w:szCs w:val="21"/>
                <w:lang w:eastAsia="en-AU"/>
              </w:rPr>
            </w:pPr>
            <w:r w:rsidRPr="006A75A2">
              <w:rPr>
                <w:rFonts w:eastAsiaTheme="minorEastAsia"/>
                <w:sz w:val="21"/>
                <w:szCs w:val="21"/>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2013</w:t>
            </w:r>
          </w:p>
        </w:tc>
      </w:tr>
      <w:tr w:rsidR="004E6C32" w:rsidRPr="006A75A2" w:rsidTr="004B5CB1">
        <w:tc>
          <w:tcPr>
            <w:tcW w:w="5160"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General public services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1 262.6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1 414.6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1 168.4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1 256.0</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9861EA">
            <w:pPr>
              <w:pStyle w:val="Tabletext"/>
              <w:rPr>
                <w:rFonts w:eastAsiaTheme="minorEastAsia"/>
                <w:sz w:val="21"/>
                <w:szCs w:val="21"/>
                <w:vertAlign w:val="superscript"/>
                <w:lang w:eastAsia="en-AU"/>
              </w:rPr>
            </w:pPr>
            <w:r w:rsidRPr="006A75A2">
              <w:rPr>
                <w:rFonts w:eastAsiaTheme="minorEastAsia"/>
                <w:sz w:val="21"/>
                <w:szCs w:val="21"/>
                <w:lang w:eastAsia="en-AU"/>
              </w:rPr>
              <w:t>Public order and safety</w:t>
            </w:r>
            <w:r w:rsidRPr="006A75A2">
              <w:rPr>
                <w:rFonts w:eastAsiaTheme="minorEastAsia"/>
                <w:sz w:val="21"/>
                <w:szCs w:val="21"/>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8 376.2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7 452.3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8 376.2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7 452.3</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Education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16 907.2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17 352.8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16 907.2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17 352.8</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Health</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12 865.5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10 398.1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12 845.2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10 378.9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Social security and welfare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1 058.0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855.1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1 058.0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855.1</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sz w:val="21"/>
                <w:szCs w:val="21"/>
                <w:lang w:eastAsia="en-AU"/>
              </w:rPr>
              <w:t>Housing and community amenities</w:t>
            </w:r>
            <w:r w:rsidRPr="006A75A2">
              <w:rPr>
                <w:rFonts w:eastAsiaTheme="minorEastAsia"/>
                <w:sz w:val="21"/>
                <w:szCs w:val="21"/>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69 762.3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67 247.1</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7 225.2</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7 364.9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Recreation and culture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12 878.7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12 034.7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8 543.0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8 438.3</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Fuel and energy</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25.4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15.3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Agriculture, forestry, fishing, and hunting</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671.1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895.5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604.4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836.2</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Mining, manufacturing, and construction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0" w:type="dxa"/>
            <w:tcBorders>
              <w:top w:val="nil"/>
              <w:left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0" w:type="dxa"/>
            <w:tcBorders>
              <w:top w:val="nil"/>
              <w:left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vertAlign w:val="superscript"/>
                <w:lang w:eastAsia="en-AU"/>
              </w:rPr>
            </w:pPr>
            <w:r w:rsidRPr="006A75A2">
              <w:rPr>
                <w:rFonts w:eastAsiaTheme="minorEastAsia"/>
                <w:sz w:val="21"/>
                <w:szCs w:val="21"/>
                <w:lang w:eastAsia="en-AU"/>
              </w:rPr>
              <w:t>Transport and communications</w:t>
            </w:r>
            <w:r w:rsidRPr="006A75A2">
              <w:rPr>
                <w:rFonts w:eastAsiaTheme="minorEastAsia"/>
                <w:sz w:val="21"/>
                <w:szCs w:val="21"/>
                <w:vertAlign w:val="superscript"/>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75 824.7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74 044.7</w:t>
            </w:r>
          </w:p>
        </w:tc>
        <w:tc>
          <w:tcPr>
            <w:tcW w:w="1120" w:type="dxa"/>
            <w:tcBorders>
              <w:top w:val="nil"/>
              <w:left w:val="nil"/>
              <w:bottom w:val="nil"/>
              <w:right w:val="nil"/>
            </w:tcBorders>
            <w:shd w:val="clear" w:color="FFFF00" w:fill="auto"/>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47 497.0</w:t>
            </w:r>
          </w:p>
        </w:tc>
        <w:tc>
          <w:tcPr>
            <w:tcW w:w="1120" w:type="dxa"/>
            <w:tcBorders>
              <w:top w:val="nil"/>
              <w:left w:val="nil"/>
              <w:bottom w:val="nil"/>
              <w:right w:val="nil"/>
            </w:tcBorders>
            <w:shd w:val="clear" w:color="FFFF00" w:fill="auto"/>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47 304.2</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Other economic affairs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925.8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851.4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925.8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851.4</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1"/>
                <w:szCs w:val="21"/>
                <w:vertAlign w:val="superscript"/>
                <w:lang w:eastAsia="en-AU"/>
              </w:rPr>
            </w:pPr>
            <w:r w:rsidRPr="006A75A2">
              <w:rPr>
                <w:rFonts w:eastAsiaTheme="minorEastAsia"/>
                <w:sz w:val="21"/>
                <w:szCs w:val="21"/>
                <w:lang w:eastAsia="en-AU"/>
              </w:rPr>
              <w:t>Other purposes</w:t>
            </w:r>
            <w:r w:rsidRPr="006A75A2">
              <w:rPr>
                <w:rFonts w:eastAsiaTheme="minorEastAsia"/>
                <w:sz w:val="21"/>
                <w:szCs w:val="21"/>
                <w:vertAlign w:val="superscript"/>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2.5</w:t>
            </w:r>
          </w:p>
        </w:tc>
      </w:tr>
      <w:tr w:rsidR="004E6C32" w:rsidRPr="006A75A2" w:rsidTr="004B5CB1">
        <w:tc>
          <w:tcPr>
            <w:tcW w:w="5160" w:type="dxa"/>
            <w:tcBorders>
              <w:top w:val="nil"/>
              <w:left w:val="nil"/>
              <w:bottom w:val="single" w:sz="6" w:space="0" w:color="auto"/>
              <w:right w:val="nil"/>
            </w:tcBorders>
          </w:tcPr>
          <w:p w:rsidR="004E6C32" w:rsidRPr="006A75A2" w:rsidRDefault="004E6C32" w:rsidP="009861EA">
            <w:pPr>
              <w:pStyle w:val="Tabletext"/>
            </w:pPr>
            <w:r w:rsidRPr="006A75A2">
              <w:rPr>
                <w:rFonts w:eastAsiaTheme="minorEastAsia"/>
                <w:sz w:val="21"/>
                <w:szCs w:val="21"/>
                <w:lang w:eastAsia="en-AU"/>
              </w:rPr>
              <w:t>Not allocated by purpose</w:t>
            </w:r>
            <w:r w:rsidRPr="006A75A2">
              <w:rPr>
                <w:rFonts w:eastAsiaTheme="minorEastAsia"/>
                <w:sz w:val="21"/>
                <w:szCs w:val="21"/>
                <w:vertAlign w:val="superscript"/>
                <w:lang w:eastAsia="en-AU"/>
              </w:rPr>
              <w:t>(b)</w:t>
            </w:r>
            <w:r w:rsidRPr="006A75A2">
              <w:rPr>
                <w:rFonts w:eastAsiaTheme="minorEastAsia" w:cs="Calibri"/>
                <w:sz w:val="21"/>
                <w:szCs w:val="21"/>
                <w:vertAlign w:val="superscript"/>
                <w:lang w:eastAsia="en-AU"/>
              </w:rPr>
              <w:t>(c)</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47 716.2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43 177.7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93 059.4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86 797.4</w:t>
            </w:r>
          </w:p>
        </w:tc>
      </w:tr>
      <w:tr w:rsidR="004E6C32" w:rsidRPr="006A75A2" w:rsidTr="004B5CB1">
        <w:tc>
          <w:tcPr>
            <w:tcW w:w="5160" w:type="dxa"/>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Total asset</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248 280.1</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235 747.8</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198 227.4</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188 889.9</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Note 41 provides definitions and descriptions of government purpose classifications.</w:t>
      </w:r>
    </w:p>
    <w:p w:rsidR="004E6C32" w:rsidRPr="006A75A2" w:rsidRDefault="004E6C32" w:rsidP="004B5CB1">
      <w:pPr>
        <w:pStyle w:val="Notes"/>
      </w:pPr>
      <w:r w:rsidRPr="006A75A2">
        <w:t>(b)</w:t>
      </w:r>
      <w:r w:rsidRPr="006A75A2">
        <w:tab/>
        <w:t>June 2013 comparatives have been updated and now reflect current information.</w:t>
      </w:r>
    </w:p>
    <w:p w:rsidR="004E6C32" w:rsidRPr="006A75A2" w:rsidRDefault="004E6C32" w:rsidP="004B5CB1">
      <w:pPr>
        <w:pStyle w:val="Notes"/>
      </w:pPr>
      <w:r w:rsidRPr="006A75A2">
        <w:t>(c)</w:t>
      </w:r>
      <w:r w:rsidRPr="006A75A2">
        <w:tab/>
        <w:t>Represents financial assets which are not able to be allocated by purpose.</w:t>
      </w:r>
    </w:p>
    <w:p w:rsidR="004E6C32" w:rsidRPr="006A75A2" w:rsidRDefault="004E6C32" w:rsidP="00C07A50"/>
    <w:p w:rsidR="004E6C32" w:rsidRPr="006A75A2" w:rsidRDefault="004E6C32" w:rsidP="004B5CB1">
      <w:pPr>
        <w:pStyle w:val="Heading2Notes"/>
        <w:rPr>
          <w:kern w:val="0"/>
        </w:rPr>
      </w:pPr>
      <w:bookmarkStart w:id="55" w:name="_Toc400040272"/>
      <w:r w:rsidRPr="006A75A2">
        <w:rPr>
          <w:kern w:val="0"/>
        </w:rPr>
        <w:t>Note 25:</w:t>
      </w:r>
      <w:r w:rsidRPr="006A75A2">
        <w:rPr>
          <w:kern w:val="0"/>
        </w:rPr>
        <w:tab/>
        <w:t>Payables</w:t>
      </w:r>
      <w:bookmarkEnd w:id="55"/>
    </w:p>
    <w:p w:rsidR="004E6C32" w:rsidRPr="006A75A2" w:rsidRDefault="004E6C32" w:rsidP="004B5CB1">
      <w:pPr>
        <w:pStyle w:val="million"/>
        <w:rPr>
          <w:rFonts w:ascii="Times New Roman" w:hAnsi="Times New Roman"/>
          <w:b/>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0E2915" w:rsidRPr="006A75A2" w:rsidTr="00AD1FBF">
        <w:tc>
          <w:tcPr>
            <w:tcW w:w="5160" w:type="dxa"/>
            <w:tcBorders>
              <w:top w:val="single" w:sz="6" w:space="0" w:color="auto"/>
              <w:left w:val="single" w:sz="6" w:space="0" w:color="auto"/>
              <w:bottom w:val="nil"/>
              <w:right w:val="nil"/>
            </w:tcBorders>
            <w:shd w:val="clear" w:color="000000" w:fill="000000"/>
          </w:tcPr>
          <w:p w:rsidR="000E2915" w:rsidRPr="006A75A2" w:rsidRDefault="000E2915" w:rsidP="004B5CB1">
            <w:pPr>
              <w:pStyle w:val="Tabletext"/>
              <w:rPr>
                <w:rFonts w:eastAsiaTheme="minorEastAsia"/>
                <w:lang w:eastAsia="en-AU"/>
              </w:rPr>
            </w:pPr>
          </w:p>
        </w:tc>
        <w:tc>
          <w:tcPr>
            <w:tcW w:w="2240" w:type="dxa"/>
            <w:gridSpan w:val="2"/>
            <w:tcBorders>
              <w:top w:val="single" w:sz="6" w:space="0" w:color="auto"/>
              <w:left w:val="nil"/>
              <w:bottom w:val="nil"/>
              <w:right w:val="nil"/>
            </w:tcBorders>
            <w:shd w:val="clear" w:color="000000" w:fill="000000"/>
          </w:tcPr>
          <w:p w:rsidR="000E2915" w:rsidRPr="006A75A2" w:rsidRDefault="000E2915" w:rsidP="004B5CB1">
            <w:pPr>
              <w:pStyle w:val="TabletextheadingCentred"/>
              <w:rPr>
                <w:rFonts w:eastAsiaTheme="minorEastAsia"/>
                <w:lang w:eastAsia="en-AU"/>
              </w:rPr>
            </w:pPr>
          </w:p>
          <w:p w:rsidR="000E2915" w:rsidRPr="006A75A2" w:rsidRDefault="000E291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0E2915" w:rsidRPr="006A75A2" w:rsidRDefault="000E2915" w:rsidP="004B5CB1">
            <w:pPr>
              <w:pStyle w:val="TabletextheadingCentred"/>
              <w:rPr>
                <w:rFonts w:eastAsiaTheme="minorEastAsia"/>
                <w:lang w:eastAsia="en-AU"/>
              </w:rPr>
            </w:pPr>
            <w:r w:rsidRPr="006A75A2">
              <w:rPr>
                <w:rFonts w:eastAsiaTheme="minorEastAsia"/>
                <w:lang w:eastAsia="en-AU"/>
              </w:rPr>
              <w:t xml:space="preserve">General </w:t>
            </w:r>
          </w:p>
          <w:p w:rsidR="000E2915" w:rsidRPr="006A75A2" w:rsidRDefault="000E2915"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vertAlign w:val="superscript"/>
                <w:lang w:eastAsia="en-AU"/>
              </w:rPr>
            </w:pPr>
            <w:r w:rsidRPr="006A75A2">
              <w:rPr>
                <w:rFonts w:eastAsiaTheme="minorEastAsia"/>
                <w:iCs/>
                <w:lang w:eastAsia="en-AU"/>
              </w:rPr>
              <w:t>2013</w:t>
            </w:r>
            <w:r w:rsidRPr="006A75A2">
              <w:rPr>
                <w:rFonts w:eastAsiaTheme="minorEastAsia"/>
                <w:iCs/>
                <w:vertAlign w:val="superscript"/>
                <w:lang w:eastAsia="en-AU"/>
              </w:rPr>
              <w:t>(a)</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Current payables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lang w:eastAsia="en-AU"/>
              </w:rPr>
            </w:pP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lang w:eastAsia="en-AU"/>
              </w:rPr>
            </w:pP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lang w:eastAsia="en-AU"/>
              </w:rPr>
            </w:pP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lang w:eastAsia="en-AU"/>
              </w:rPr>
            </w:pP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Accounts payable and accrued expenses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4 </w:t>
            </w:r>
            <w:r w:rsidRPr="006A75A2">
              <w:rPr>
                <w:rFonts w:eastAsiaTheme="minorEastAsia" w:cs="Calibri"/>
                <w:szCs w:val="22"/>
                <w:lang w:eastAsia="en-AU"/>
              </w:rPr>
              <w:t>456.9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4 </w:t>
            </w:r>
            <w:r w:rsidRPr="006A75A2">
              <w:rPr>
                <w:rFonts w:eastAsiaTheme="minorEastAsia" w:cs="Calibri"/>
                <w:szCs w:val="22"/>
                <w:lang w:eastAsia="en-AU"/>
              </w:rPr>
              <w:t>734.4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3 </w:t>
            </w:r>
            <w:r w:rsidRPr="006A75A2">
              <w:rPr>
                <w:rFonts w:eastAsiaTheme="minorEastAsia" w:cs="Calibri"/>
                <w:szCs w:val="22"/>
                <w:lang w:eastAsia="en-AU"/>
              </w:rPr>
              <w:t>405.2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3 </w:t>
            </w:r>
            <w:r w:rsidRPr="006A75A2">
              <w:rPr>
                <w:rFonts w:eastAsiaTheme="minorEastAsia" w:cs="Calibri"/>
                <w:szCs w:val="22"/>
                <w:lang w:eastAsia="en-AU"/>
              </w:rPr>
              <w:t>230.1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Accrued taxes payable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85.3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112.0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33.6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34.2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Unearned income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1 </w:t>
            </w:r>
            <w:r w:rsidRPr="006A75A2">
              <w:rPr>
                <w:rFonts w:eastAsiaTheme="minorEastAsia" w:cs="Calibri"/>
                <w:szCs w:val="22"/>
                <w:lang w:eastAsia="en-AU"/>
              </w:rPr>
              <w:t>512.5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1 </w:t>
            </w:r>
            <w:r w:rsidRPr="006A75A2">
              <w:rPr>
                <w:rFonts w:eastAsiaTheme="minorEastAsia" w:cs="Calibri"/>
                <w:szCs w:val="22"/>
                <w:lang w:eastAsia="en-AU"/>
              </w:rPr>
              <w:t>512.0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627.7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688.0</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current payables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6 </w:t>
            </w:r>
            <w:r w:rsidRPr="006A75A2">
              <w:rPr>
                <w:rFonts w:eastAsiaTheme="minorEastAsia" w:cs="Calibri"/>
                <w:b/>
                <w:bCs/>
                <w:szCs w:val="22"/>
                <w:lang w:eastAsia="en-AU"/>
              </w:rPr>
              <w:t>054.7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6 </w:t>
            </w:r>
            <w:r w:rsidRPr="006A75A2">
              <w:rPr>
                <w:rFonts w:eastAsiaTheme="minorEastAsia" w:cs="Calibri"/>
                <w:b/>
                <w:bCs/>
                <w:szCs w:val="22"/>
                <w:lang w:eastAsia="en-AU"/>
              </w:rPr>
              <w:t>358.5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4 </w:t>
            </w:r>
            <w:r w:rsidRPr="006A75A2">
              <w:rPr>
                <w:rFonts w:eastAsiaTheme="minorEastAsia" w:cs="Calibri"/>
                <w:b/>
                <w:bCs/>
                <w:szCs w:val="22"/>
                <w:lang w:eastAsia="en-AU"/>
              </w:rPr>
              <w:t>066.5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3 </w:t>
            </w:r>
            <w:r w:rsidRPr="006A75A2">
              <w:rPr>
                <w:rFonts w:eastAsiaTheme="minorEastAsia" w:cs="Calibri"/>
                <w:b/>
                <w:bCs/>
                <w:szCs w:val="22"/>
                <w:lang w:eastAsia="en-AU"/>
              </w:rPr>
              <w:t>952.4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Non-current payables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Accounts payable and accrued expenses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136.1</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127.0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243.5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383.0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Accrued taxes payable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Unearned income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1 </w:t>
            </w:r>
            <w:r w:rsidRPr="006A75A2">
              <w:rPr>
                <w:rFonts w:eastAsiaTheme="minorEastAsia" w:cs="Calibri"/>
                <w:szCs w:val="22"/>
                <w:lang w:eastAsia="en-AU"/>
              </w:rPr>
              <w:t>541.4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1 </w:t>
            </w:r>
            <w:r w:rsidRPr="006A75A2">
              <w:rPr>
                <w:rFonts w:eastAsiaTheme="minorEastAsia" w:cs="Calibri"/>
                <w:szCs w:val="22"/>
                <w:lang w:eastAsia="en-AU"/>
              </w:rPr>
              <w:t>711.6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1 </w:t>
            </w:r>
            <w:r w:rsidRPr="006A75A2">
              <w:rPr>
                <w:rFonts w:eastAsiaTheme="minorEastAsia" w:cs="Calibri"/>
                <w:szCs w:val="22"/>
                <w:lang w:eastAsia="en-AU"/>
              </w:rPr>
              <w:t>436.4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1 </w:t>
            </w:r>
            <w:r w:rsidRPr="006A75A2">
              <w:rPr>
                <w:rFonts w:eastAsiaTheme="minorEastAsia" w:cs="Calibri"/>
                <w:szCs w:val="22"/>
                <w:lang w:eastAsia="en-AU"/>
              </w:rPr>
              <w:t>623.0</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non-current payables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1 677.5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1 838.6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1 680.0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2 006.0</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payables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7 732.2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8 197.2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5 746.5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5 958.4</w:t>
            </w:r>
          </w:p>
        </w:tc>
      </w:tr>
    </w:tbl>
    <w:p w:rsidR="004E6C32" w:rsidRPr="006A75A2" w:rsidRDefault="004E6C32" w:rsidP="004B5CB1">
      <w:pPr>
        <w:pStyle w:val="Notes"/>
      </w:pPr>
      <w:r w:rsidRPr="006A75A2">
        <w:t>Note:</w:t>
      </w:r>
    </w:p>
    <w:p w:rsidR="004E6C32" w:rsidRPr="006A75A2" w:rsidRDefault="004E6C32" w:rsidP="004E6C32">
      <w:pPr>
        <w:pStyle w:val="Notes"/>
        <w:numPr>
          <w:ilvl w:val="0"/>
          <w:numId w:val="17"/>
        </w:numPr>
      </w:pPr>
      <w:r w:rsidRPr="006A75A2">
        <w:t>June 2013 comparative figures have been restated. See Note 37.</w:t>
      </w:r>
    </w:p>
    <w:p w:rsidR="004E6C32" w:rsidRPr="006A75A2" w:rsidRDefault="004E6C32" w:rsidP="004B5CB1">
      <w:pPr>
        <w:pStyle w:val="Notes"/>
      </w:pPr>
    </w:p>
    <w:p w:rsidR="004E6C32" w:rsidRPr="006A75A2" w:rsidRDefault="004E6C32" w:rsidP="004B5CB1">
      <w:pPr>
        <w:pStyle w:val="Notes"/>
      </w:pPr>
    </w:p>
    <w:p w:rsidR="004E6C32" w:rsidRPr="006A75A2" w:rsidRDefault="004E6C32">
      <w:pPr>
        <w:spacing w:after="0"/>
        <w:rPr>
          <w:rFonts w:ascii="Calibri" w:hAnsi="Calibri"/>
          <w:b/>
          <w:sz w:val="28"/>
          <w:szCs w:val="22"/>
          <w:highlight w:val="cyan"/>
        </w:rPr>
      </w:pPr>
      <w:r w:rsidRPr="006A75A2">
        <w:rPr>
          <w:highlight w:val="cyan"/>
        </w:rPr>
        <w:br w:type="page"/>
      </w:r>
    </w:p>
    <w:p w:rsidR="004E6C32" w:rsidRPr="006A75A2" w:rsidRDefault="004E6C32" w:rsidP="004B5CB1">
      <w:pPr>
        <w:pStyle w:val="Heading2Notes"/>
        <w:rPr>
          <w:kern w:val="0"/>
        </w:rPr>
      </w:pPr>
      <w:bookmarkStart w:id="56" w:name="_Toc400040273"/>
      <w:r w:rsidRPr="006A75A2">
        <w:rPr>
          <w:kern w:val="0"/>
        </w:rPr>
        <w:lastRenderedPageBreak/>
        <w:t>Note 26:</w:t>
      </w:r>
      <w:r w:rsidRPr="006A75A2">
        <w:rPr>
          <w:kern w:val="0"/>
        </w:rPr>
        <w:tab/>
        <w:t>Borrowings</w:t>
      </w:r>
      <w:bookmarkEnd w:id="56"/>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0E2915" w:rsidRPr="006A75A2" w:rsidTr="00AD1FBF">
        <w:tc>
          <w:tcPr>
            <w:tcW w:w="5160" w:type="dxa"/>
            <w:tcBorders>
              <w:top w:val="single" w:sz="6" w:space="0" w:color="auto"/>
              <w:left w:val="single" w:sz="6" w:space="0" w:color="auto"/>
              <w:bottom w:val="nil"/>
              <w:right w:val="nil"/>
            </w:tcBorders>
            <w:shd w:val="clear" w:color="000000" w:fill="000000"/>
          </w:tcPr>
          <w:p w:rsidR="000E2915" w:rsidRPr="006A75A2" w:rsidRDefault="000E291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0E2915" w:rsidRPr="006A75A2" w:rsidRDefault="000E2915" w:rsidP="004B5CB1">
            <w:pPr>
              <w:pStyle w:val="TabletextheadingCentred"/>
              <w:rPr>
                <w:rFonts w:eastAsiaTheme="minorEastAsia"/>
                <w:lang w:eastAsia="en-AU"/>
              </w:rPr>
            </w:pPr>
          </w:p>
          <w:p w:rsidR="000E2915" w:rsidRPr="006A75A2" w:rsidRDefault="000E291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0E2915" w:rsidRPr="006A75A2" w:rsidRDefault="000E2915" w:rsidP="004B5CB1">
            <w:pPr>
              <w:pStyle w:val="TabletextheadingCentred"/>
              <w:rPr>
                <w:rFonts w:eastAsiaTheme="minorEastAsia"/>
                <w:lang w:eastAsia="en-AU"/>
              </w:rPr>
            </w:pPr>
            <w:r w:rsidRPr="006A75A2">
              <w:rPr>
                <w:rFonts w:eastAsiaTheme="minorEastAsia"/>
                <w:lang w:eastAsia="en-AU"/>
              </w:rPr>
              <w:t xml:space="preserve">General </w:t>
            </w:r>
          </w:p>
          <w:p w:rsidR="000E2915" w:rsidRPr="006A75A2" w:rsidRDefault="000E2915"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Current borrowings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Domestic borrowings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2 936.9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1 046.6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1 438.8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2 599.8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Foreign currency borrowings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168.4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432.7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Finance lease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187.2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135.8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116.1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234.6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695.0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current borrowings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3 527.2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2 310.2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1 554.8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2 674.7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Non-current borrowings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Domestic borrowings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38 680.7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35 950.1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23 444.2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20 703.2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Foreign currency borrowings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Finance lease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8 630.1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8 724.5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7 933.8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7 958.4</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339.1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non-current borrowings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47 750.3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45 126.8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31 398.8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28 670.6</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borrowings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51 277.4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47 437.0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32 953.6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31 345.3</w:t>
            </w:r>
          </w:p>
        </w:tc>
      </w:tr>
    </w:tbl>
    <w:p w:rsidR="004E6C32" w:rsidRPr="006A75A2" w:rsidRDefault="004E6C32" w:rsidP="004B5CB1"/>
    <w:p w:rsidR="004E6C32" w:rsidRPr="006A75A2" w:rsidRDefault="004E6C32" w:rsidP="004B5CB1">
      <w:pPr>
        <w:pStyle w:val="Heading2Notes"/>
        <w:rPr>
          <w:kern w:val="0"/>
        </w:rPr>
      </w:pPr>
      <w:bookmarkStart w:id="57" w:name="_Toc400040274"/>
      <w:r w:rsidRPr="006A75A2">
        <w:rPr>
          <w:kern w:val="0"/>
        </w:rPr>
        <w:t>Note 27:</w:t>
      </w:r>
      <w:r w:rsidRPr="006A75A2">
        <w:rPr>
          <w:kern w:val="0"/>
        </w:rPr>
        <w:tab/>
        <w:t>Employee benefits</w:t>
      </w:r>
      <w:bookmarkEnd w:id="57"/>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0E2915" w:rsidRPr="006A75A2" w:rsidTr="00AD1FBF">
        <w:tc>
          <w:tcPr>
            <w:tcW w:w="5160" w:type="dxa"/>
            <w:tcBorders>
              <w:top w:val="single" w:sz="6" w:space="0" w:color="auto"/>
              <w:left w:val="single" w:sz="6" w:space="0" w:color="auto"/>
              <w:bottom w:val="nil"/>
              <w:right w:val="nil"/>
            </w:tcBorders>
            <w:shd w:val="clear" w:color="000000" w:fill="000000"/>
          </w:tcPr>
          <w:p w:rsidR="000E2915" w:rsidRPr="006A75A2" w:rsidRDefault="000E291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0E2915" w:rsidRPr="006A75A2" w:rsidRDefault="000E2915" w:rsidP="004B5CB1">
            <w:pPr>
              <w:pStyle w:val="TabletextheadingCentred"/>
              <w:rPr>
                <w:rFonts w:eastAsiaTheme="minorEastAsia"/>
                <w:lang w:eastAsia="en-AU"/>
              </w:rPr>
            </w:pPr>
          </w:p>
          <w:p w:rsidR="000E2915" w:rsidRPr="006A75A2" w:rsidRDefault="000E291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0E2915" w:rsidRPr="006A75A2" w:rsidRDefault="000E2915" w:rsidP="004B5CB1">
            <w:pPr>
              <w:pStyle w:val="TabletextheadingCentred"/>
              <w:rPr>
                <w:rFonts w:eastAsiaTheme="minorEastAsia"/>
                <w:lang w:eastAsia="en-AU"/>
              </w:rPr>
            </w:pPr>
            <w:r w:rsidRPr="006A75A2">
              <w:rPr>
                <w:rFonts w:eastAsiaTheme="minorEastAsia"/>
                <w:lang w:eastAsia="en-AU"/>
              </w:rPr>
              <w:t xml:space="preserve">General </w:t>
            </w:r>
          </w:p>
          <w:p w:rsidR="000E2915" w:rsidRPr="006A75A2" w:rsidRDefault="000E2915" w:rsidP="004B5CB1">
            <w:pPr>
              <w:pStyle w:val="TabletextheadingCentred"/>
              <w:rPr>
                <w:rFonts w:eastAsiaTheme="minorEastAsia"/>
                <w:lang w:eastAsia="en-AU"/>
              </w:rPr>
            </w:pPr>
            <w:r w:rsidRPr="006A75A2">
              <w:rPr>
                <w:rFonts w:eastAsiaTheme="minorEastAsia"/>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Current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Accrued salaries and wages</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1 756.5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1 801.4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1 575.9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1 622.3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Long service leave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3 248.8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3 150.0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3 050.4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2 962.2</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current employee benefits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5 005.3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4 951.4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4 626.3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4 584.6</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Non-current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Long service leave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739.8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673.3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676.5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624.3</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non-current employee benefits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739.8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673.3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676.5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624.3</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employee benefits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5 745.1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5 624.7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5 302.7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5 208.8</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Includes accrued annual leave, payroll tax and other similar on-costs.</w:t>
      </w:r>
    </w:p>
    <w:p w:rsidR="004E6C32" w:rsidRPr="006A75A2" w:rsidRDefault="004E6C32" w:rsidP="004B5CB1"/>
    <w:p w:rsidR="004E6C32" w:rsidRPr="006A75A2" w:rsidRDefault="004E6C32" w:rsidP="004B5CB1">
      <w:pPr>
        <w:spacing w:after="0"/>
        <w:rPr>
          <w:rFonts w:ascii="Calibri" w:hAnsi="Calibri"/>
          <w:b/>
          <w:sz w:val="28"/>
          <w:szCs w:val="22"/>
        </w:rPr>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58" w:name="_Toc400040275"/>
      <w:r w:rsidRPr="006A75A2">
        <w:rPr>
          <w:kern w:val="0"/>
        </w:rPr>
        <w:lastRenderedPageBreak/>
        <w:t>Note 28:</w:t>
      </w:r>
      <w:r w:rsidRPr="006A75A2">
        <w:rPr>
          <w:kern w:val="0"/>
        </w:rPr>
        <w:tab/>
        <w:t>Other provisions</w:t>
      </w:r>
      <w:bookmarkEnd w:id="58"/>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Provision for insurance claims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Victorian WorkCover Authority</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1 928.1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1 891.8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Transport Accident Commission</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1 079.8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1 063.6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Victorian Managed Insurance Authority</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381.2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375.0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agencies</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15.9</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17.4</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11.7</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Current provision for insurance claims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3 405.0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3 347.8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11.7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12.9</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Onerous contracts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126.4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Other provisions </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368.3</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297.4</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181.3</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current other provisions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3 818.7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3 771.6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193.0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193.2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Non-current provision for insurance claims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Victorian WorkCover Authority</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8 823.2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8 545.0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Transport Accident Commission</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9 768.6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8 966.8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Victorian Managed Insurance Authority</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1 665.2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1 589.4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agencies</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27.5</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Non-current provision for insurance claims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20 284.4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19 131.2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26.6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28.5</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Onerous contracts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Other provisions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460.8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428.2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410.9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381.6</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non-current other provisions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20 814.3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19 770.9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437.5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410.1</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other provisions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24 632.9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23 542.4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630.6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603.3</w:t>
            </w:r>
          </w:p>
        </w:tc>
      </w:tr>
    </w:tbl>
    <w:p w:rsidR="004E6C32" w:rsidRPr="006A75A2" w:rsidRDefault="004E6C32" w:rsidP="004B5CB1"/>
    <w:p w:rsidR="004E6C32" w:rsidRPr="006A75A2" w:rsidRDefault="004E6C32" w:rsidP="004B5CB1">
      <w:pPr>
        <w:pStyle w:val="Tableheading"/>
      </w:pPr>
      <w:r w:rsidRPr="006A75A2">
        <w:t>Reconciliation of movements in insurance claims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Opening balance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22 479.0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22 666.7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Effect of changes in assumptions and claims experience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(286.4)</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(1 403.0)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Cost of prior year claims (unwinding of discount)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1 060.6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765.2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w:t>
            </w:r>
          </w:p>
        </w:tc>
      </w:tr>
      <w:tr w:rsidR="004E6C32" w:rsidRPr="006A75A2" w:rsidTr="004B5CB1">
        <w:tc>
          <w:tcPr>
            <w:tcW w:w="5160" w:type="dxa"/>
            <w:tcBorders>
              <w:top w:val="nil"/>
              <w:left w:val="nil"/>
              <w:bottom w:val="nil"/>
              <w:right w:val="nil"/>
            </w:tcBorders>
          </w:tcPr>
          <w:p w:rsidR="004E6C32" w:rsidRPr="006A75A2" w:rsidRDefault="009861EA" w:rsidP="004B5CB1">
            <w:pPr>
              <w:pStyle w:val="Tabletext"/>
              <w:rPr>
                <w:rFonts w:eastAsiaTheme="minorEastAsia"/>
                <w:vertAlign w:val="superscript"/>
                <w:lang w:eastAsia="en-AU"/>
              </w:rPr>
            </w:pPr>
            <w:r w:rsidRPr="006A75A2">
              <w:rPr>
                <w:rFonts w:eastAsiaTheme="minorEastAsia"/>
                <w:lang w:eastAsia="en-AU"/>
              </w:rPr>
              <w:t>Increase in claims incurred</w:t>
            </w:r>
            <w:r w:rsidR="004E6C32"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3 774.7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3 768.9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18.1</w:t>
            </w:r>
          </w:p>
        </w:tc>
      </w:tr>
      <w:tr w:rsidR="004E6C32" w:rsidRPr="006A75A2" w:rsidTr="004B5CB1">
        <w:tc>
          <w:tcPr>
            <w:tcW w:w="5160" w:type="dxa"/>
            <w:tcBorders>
              <w:top w:val="nil"/>
              <w:left w:val="nil"/>
              <w:bottom w:val="nil"/>
              <w:right w:val="nil"/>
            </w:tcBorders>
          </w:tcPr>
          <w:p w:rsidR="004E6C32" w:rsidRPr="006A75A2" w:rsidRDefault="004E6C32" w:rsidP="009861EA">
            <w:pPr>
              <w:pStyle w:val="Tabletext"/>
              <w:rPr>
                <w:rFonts w:eastAsiaTheme="minorEastAsia"/>
                <w:vertAlign w:val="superscript"/>
                <w:lang w:eastAsia="en-AU"/>
              </w:rPr>
            </w:pPr>
            <w:r w:rsidRPr="006A75A2">
              <w:rPr>
                <w:rFonts w:eastAsiaTheme="minorEastAsia"/>
                <w:lang w:eastAsia="en-AU"/>
              </w:rPr>
              <w:t>Claim payments during the year</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(2 </w:t>
            </w:r>
            <w:r w:rsidRPr="006A75A2">
              <w:rPr>
                <w:rFonts w:eastAsiaTheme="minorEastAsia" w:cs="Calibri"/>
                <w:szCs w:val="22"/>
                <w:lang w:eastAsia="en-AU"/>
              </w:rPr>
              <w:t>930.5)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(2 885.6)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(16.3)</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(408.0)</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(433.3)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23 689.4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22 479.0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38.3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41.4</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Claim payments and claims incurred during the year are net of recoveries.</w:t>
      </w:r>
    </w:p>
    <w:p w:rsidR="004E6C32" w:rsidRPr="006A75A2" w:rsidRDefault="004E6C32" w:rsidP="004B5CB1">
      <w:pPr>
        <w:pStyle w:val="Heading2NotesContd"/>
        <w:rPr>
          <w:kern w:val="0"/>
        </w:rPr>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28:</w:t>
      </w:r>
      <w:r w:rsidRPr="006A75A2">
        <w:rPr>
          <w:kern w:val="0"/>
        </w:rPr>
        <w:tab/>
        <w:t>Other provisions</w:t>
      </w:r>
      <w:r w:rsidRPr="006A75A2">
        <w:rPr>
          <w:bCs/>
          <w:i/>
          <w:iCs/>
          <w:kern w:val="0"/>
        </w:rPr>
        <w:t xml:space="preserve"> (continued)</w:t>
      </w:r>
    </w:p>
    <w:p w:rsidR="004E6C32" w:rsidRPr="006A75A2" w:rsidRDefault="004E6C32" w:rsidP="004B5CB1">
      <w:pPr>
        <w:pStyle w:val="Tableheading"/>
      </w:pPr>
      <w:r w:rsidRPr="006A75A2">
        <w:t>Reconciliation of movements in onerous contracts provisions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Opening balance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337.9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507.1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Receipts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Payments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(415.2)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(478.1)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9861EA">
            <w:pPr>
              <w:pStyle w:val="Tabletext"/>
              <w:rPr>
                <w:rFonts w:eastAsiaTheme="minorEastAsia"/>
                <w:vertAlign w:val="superscript"/>
                <w:lang w:eastAsia="en-AU"/>
              </w:rPr>
            </w:pPr>
            <w:r w:rsidRPr="006A75A2">
              <w:rPr>
                <w:rFonts w:eastAsiaTheme="minorEastAsia"/>
                <w:lang w:eastAsia="en-AU"/>
              </w:rPr>
              <w:t>Discount interest</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(Gain)/loss on restatement of the liability</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(163.7)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(57.1)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Closing balance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114.4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337.9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The net change in the present value of assets and liabilities between reporting periods has been recognised as discount interest.</w:t>
      </w:r>
    </w:p>
    <w:p w:rsidR="004E6C32" w:rsidRPr="006A75A2" w:rsidRDefault="004E6C32" w:rsidP="004B5CB1"/>
    <w:p w:rsidR="004E6C32" w:rsidRPr="006A75A2" w:rsidRDefault="004E6C32" w:rsidP="004B5CB1"/>
    <w:p w:rsidR="004E6C32" w:rsidRPr="006A75A2" w:rsidRDefault="004E6C32">
      <w:pPr>
        <w:spacing w:after="0"/>
        <w:rPr>
          <w:rFonts w:ascii="Calibri" w:hAnsi="Calibri"/>
          <w:i/>
          <w:sz w:val="16"/>
        </w:rPr>
      </w:pPr>
      <w:r w:rsidRPr="006A75A2">
        <w:br w:type="page"/>
      </w:r>
    </w:p>
    <w:p w:rsidR="004E6C32" w:rsidRPr="006A75A2" w:rsidRDefault="004E6C32" w:rsidP="004B5CB1">
      <w:pPr>
        <w:pStyle w:val="Heading2NotesContd"/>
        <w:rPr>
          <w:kern w:val="0"/>
        </w:rPr>
      </w:pPr>
      <w:r w:rsidRPr="006A75A2">
        <w:rPr>
          <w:kern w:val="0"/>
        </w:rPr>
        <w:lastRenderedPageBreak/>
        <w:t>Note 28:</w:t>
      </w:r>
      <w:r w:rsidRPr="006A75A2">
        <w:rPr>
          <w:kern w:val="0"/>
        </w:rPr>
        <w:tab/>
        <w:t>Other provisions</w:t>
      </w:r>
      <w:r w:rsidRPr="006A75A2">
        <w:rPr>
          <w:bCs/>
          <w:i/>
          <w:iCs/>
          <w:kern w:val="0"/>
        </w:rPr>
        <w:t xml:space="preserve"> (continued)</w:t>
      </w:r>
    </w:p>
    <w:p w:rsidR="004E6C32" w:rsidRPr="006A75A2" w:rsidRDefault="004E6C32" w:rsidP="004B5CB1">
      <w:pPr>
        <w:pStyle w:val="Tableheading"/>
        <w:rPr>
          <w:rFonts w:ascii="Times New Roman" w:hAnsi="Times New Roman"/>
          <w:i/>
          <w:sz w:val="20"/>
          <w:lang w:eastAsia="en-AU"/>
        </w:rPr>
      </w:pPr>
      <w:r w:rsidRPr="006A75A2">
        <w:t>2014 Assumptions</w:t>
      </w:r>
    </w:p>
    <w:tbl>
      <w:tblPr>
        <w:tblW w:w="9595" w:type="dxa"/>
        <w:tblInd w:w="78" w:type="dxa"/>
        <w:tblLayout w:type="fixed"/>
        <w:tblCellMar>
          <w:left w:w="43" w:type="dxa"/>
          <w:right w:w="43" w:type="dxa"/>
        </w:tblCellMar>
        <w:tblLook w:val="0000" w:firstRow="0" w:lastRow="0" w:firstColumn="0" w:lastColumn="0" w:noHBand="0" w:noVBand="0"/>
      </w:tblPr>
      <w:tblGrid>
        <w:gridCol w:w="987"/>
        <w:gridCol w:w="1540"/>
        <w:gridCol w:w="1218"/>
        <w:gridCol w:w="2070"/>
        <w:gridCol w:w="2087"/>
        <w:gridCol w:w="1693"/>
      </w:tblGrid>
      <w:tr w:rsidR="004E6C32" w:rsidRPr="006A75A2" w:rsidTr="00AA1ED5">
        <w:tc>
          <w:tcPr>
            <w:tcW w:w="987" w:type="dxa"/>
            <w:tcBorders>
              <w:top w:val="single" w:sz="6" w:space="0" w:color="auto"/>
              <w:left w:val="nil"/>
              <w:bottom w:val="single" w:sz="6" w:space="0" w:color="auto"/>
              <w:right w:val="nil"/>
            </w:tcBorders>
            <w:shd w:val="solid" w:color="000000" w:fill="auto"/>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Entity</w:t>
            </w:r>
          </w:p>
        </w:tc>
        <w:tc>
          <w:tcPr>
            <w:tcW w:w="1540" w:type="dxa"/>
            <w:tcBorders>
              <w:top w:val="single" w:sz="6" w:space="0" w:color="auto"/>
              <w:left w:val="nil"/>
              <w:bottom w:val="single" w:sz="6" w:space="0" w:color="auto"/>
              <w:right w:val="nil"/>
            </w:tcBorders>
            <w:shd w:val="solid" w:color="000000" w:fill="auto"/>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Actuary</w:t>
            </w:r>
          </w:p>
        </w:tc>
        <w:tc>
          <w:tcPr>
            <w:tcW w:w="1218" w:type="dxa"/>
            <w:tcBorders>
              <w:top w:val="single" w:sz="6" w:space="0" w:color="auto"/>
              <w:left w:val="nil"/>
              <w:bottom w:val="single" w:sz="6" w:space="0" w:color="auto"/>
              <w:right w:val="nil"/>
            </w:tcBorders>
            <w:shd w:val="solid" w:color="000000" w:fill="auto"/>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Weighted average expected term to settlement</w:t>
            </w:r>
          </w:p>
        </w:tc>
        <w:tc>
          <w:tcPr>
            <w:tcW w:w="2070" w:type="dxa"/>
            <w:tcBorders>
              <w:top w:val="single" w:sz="6" w:space="0" w:color="auto"/>
              <w:left w:val="nil"/>
              <w:bottom w:val="single" w:sz="6" w:space="0" w:color="auto"/>
              <w:right w:val="nil"/>
            </w:tcBorders>
            <w:shd w:val="solid" w:color="000000" w:fill="auto"/>
          </w:tcPr>
          <w:p w:rsidR="00AA1ED5" w:rsidRPr="006A75A2" w:rsidRDefault="00AA1ED5" w:rsidP="00AA1ED5">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AA1ED5">
            <w:pPr>
              <w:autoSpaceDE w:val="0"/>
              <w:autoSpaceDN w:val="0"/>
              <w:adjustRightInd w:val="0"/>
              <w:spacing w:after="0"/>
              <w:rPr>
                <w:rFonts w:ascii="Calibri" w:eastAsiaTheme="minorEastAsia" w:hAnsi="Calibri" w:cs="Calibri"/>
                <w:i/>
                <w:iCs/>
                <w:sz w:val="18"/>
                <w:szCs w:val="22"/>
                <w:vertAlign w:val="superscript"/>
                <w:lang w:eastAsia="en-AU"/>
              </w:rPr>
            </w:pPr>
            <w:r w:rsidRPr="006A75A2">
              <w:rPr>
                <w:rFonts w:ascii="Calibri" w:eastAsiaTheme="minorEastAsia" w:hAnsi="Calibri" w:cs="Calibri"/>
                <w:i/>
                <w:iCs/>
                <w:sz w:val="18"/>
                <w:szCs w:val="22"/>
                <w:lang w:eastAsia="en-AU"/>
              </w:rPr>
              <w:t xml:space="preserve">Financial assumptions used </w:t>
            </w:r>
            <w:r w:rsidR="00AA1ED5" w:rsidRPr="006A75A2">
              <w:rPr>
                <w:rFonts w:ascii="Calibri" w:eastAsiaTheme="minorEastAsia" w:hAnsi="Calibri" w:cs="Calibri"/>
                <w:i/>
                <w:iCs/>
                <w:sz w:val="18"/>
                <w:szCs w:val="22"/>
                <w:lang w:eastAsia="en-AU"/>
              </w:rPr>
              <w:br/>
            </w:r>
            <w:r w:rsidRPr="006A75A2">
              <w:rPr>
                <w:rFonts w:ascii="Calibri" w:eastAsiaTheme="minorEastAsia" w:hAnsi="Calibri" w:cs="Calibri"/>
                <w:i/>
                <w:iCs/>
                <w:sz w:val="18"/>
                <w:szCs w:val="22"/>
                <w:lang w:eastAsia="en-AU"/>
              </w:rPr>
              <w:t>(not later than 1 year)</w:t>
            </w:r>
            <w:r w:rsidRPr="006A75A2">
              <w:rPr>
                <w:rFonts w:ascii="Calibri" w:eastAsiaTheme="minorEastAsia" w:hAnsi="Calibri" w:cs="Calibri"/>
                <w:i/>
                <w:iCs/>
                <w:sz w:val="18"/>
                <w:szCs w:val="22"/>
                <w:vertAlign w:val="superscript"/>
                <w:lang w:eastAsia="en-AU"/>
              </w:rPr>
              <w:t>(a)</w:t>
            </w:r>
          </w:p>
        </w:tc>
        <w:tc>
          <w:tcPr>
            <w:tcW w:w="2087" w:type="dxa"/>
            <w:tcBorders>
              <w:top w:val="single" w:sz="6" w:space="0" w:color="auto"/>
              <w:left w:val="nil"/>
              <w:bottom w:val="single" w:sz="6" w:space="0" w:color="auto"/>
              <w:right w:val="nil"/>
            </w:tcBorders>
            <w:shd w:val="solid" w:color="000000" w:fill="auto"/>
          </w:tcPr>
          <w:p w:rsidR="00AA1ED5" w:rsidRPr="006A75A2" w:rsidRDefault="00AA1ED5" w:rsidP="00AA1ED5">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AA1ED5">
            <w:pPr>
              <w:autoSpaceDE w:val="0"/>
              <w:autoSpaceDN w:val="0"/>
              <w:adjustRightInd w:val="0"/>
              <w:spacing w:after="0"/>
              <w:rPr>
                <w:rFonts w:ascii="Calibri" w:eastAsiaTheme="minorEastAsia" w:hAnsi="Calibri" w:cs="Calibri"/>
                <w:i/>
                <w:iCs/>
                <w:sz w:val="18"/>
                <w:szCs w:val="22"/>
                <w:vertAlign w:val="superscript"/>
                <w:lang w:eastAsia="en-AU"/>
              </w:rPr>
            </w:pPr>
            <w:r w:rsidRPr="006A75A2">
              <w:rPr>
                <w:rFonts w:ascii="Calibri" w:eastAsiaTheme="minorEastAsia" w:hAnsi="Calibri" w:cs="Calibri"/>
                <w:i/>
                <w:iCs/>
                <w:sz w:val="18"/>
                <w:szCs w:val="22"/>
                <w:lang w:eastAsia="en-AU"/>
              </w:rPr>
              <w:t xml:space="preserve">Financial assumptions </w:t>
            </w:r>
            <w:r w:rsidR="00AA1ED5" w:rsidRPr="006A75A2">
              <w:rPr>
                <w:rFonts w:ascii="Calibri" w:eastAsiaTheme="minorEastAsia" w:hAnsi="Calibri" w:cs="Calibri"/>
                <w:i/>
                <w:iCs/>
                <w:sz w:val="18"/>
                <w:szCs w:val="22"/>
                <w:lang w:eastAsia="en-AU"/>
              </w:rPr>
              <w:br/>
            </w:r>
            <w:r w:rsidRPr="006A75A2">
              <w:rPr>
                <w:rFonts w:ascii="Calibri" w:eastAsiaTheme="minorEastAsia" w:hAnsi="Calibri" w:cs="Calibri"/>
                <w:i/>
                <w:iCs/>
                <w:sz w:val="18"/>
                <w:szCs w:val="22"/>
                <w:lang w:eastAsia="en-AU"/>
              </w:rPr>
              <w:t xml:space="preserve">used </w:t>
            </w:r>
            <w:r w:rsidR="00AA1ED5" w:rsidRPr="006A75A2">
              <w:rPr>
                <w:rFonts w:ascii="Calibri" w:eastAsiaTheme="minorEastAsia" w:hAnsi="Calibri" w:cs="Calibri"/>
                <w:i/>
                <w:iCs/>
                <w:sz w:val="18"/>
                <w:szCs w:val="22"/>
                <w:lang w:eastAsia="en-AU"/>
              </w:rPr>
              <w:br/>
            </w:r>
            <w:r w:rsidRPr="006A75A2">
              <w:rPr>
                <w:rFonts w:ascii="Calibri" w:eastAsiaTheme="minorEastAsia" w:hAnsi="Calibri" w:cs="Calibri"/>
                <w:i/>
                <w:iCs/>
                <w:sz w:val="18"/>
                <w:szCs w:val="22"/>
                <w:lang w:eastAsia="en-AU"/>
              </w:rPr>
              <w:t>(later than 1 year)</w:t>
            </w:r>
            <w:r w:rsidRPr="006A75A2">
              <w:rPr>
                <w:rFonts w:ascii="Calibri" w:eastAsiaTheme="minorEastAsia" w:hAnsi="Calibri" w:cs="Calibri"/>
                <w:i/>
                <w:iCs/>
                <w:sz w:val="18"/>
                <w:szCs w:val="22"/>
                <w:vertAlign w:val="superscript"/>
                <w:lang w:eastAsia="en-AU"/>
              </w:rPr>
              <w:t>(a)</w:t>
            </w:r>
          </w:p>
        </w:tc>
        <w:tc>
          <w:tcPr>
            <w:tcW w:w="1693" w:type="dxa"/>
            <w:tcBorders>
              <w:top w:val="single" w:sz="6" w:space="0" w:color="auto"/>
              <w:left w:val="nil"/>
              <w:bottom w:val="single" w:sz="6" w:space="0" w:color="auto"/>
              <w:right w:val="nil"/>
            </w:tcBorders>
            <w:shd w:val="solid" w:color="000000" w:fill="auto"/>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Prudential </w:t>
            </w:r>
            <w:r w:rsidR="00AA1ED5" w:rsidRPr="006A75A2">
              <w:rPr>
                <w:rFonts w:ascii="Calibri" w:eastAsiaTheme="minorEastAsia" w:hAnsi="Calibri" w:cs="Calibri"/>
                <w:i/>
                <w:iCs/>
                <w:sz w:val="18"/>
                <w:szCs w:val="22"/>
                <w:lang w:eastAsia="en-AU"/>
              </w:rPr>
              <w:br/>
            </w:r>
            <w:r w:rsidRPr="006A75A2">
              <w:rPr>
                <w:rFonts w:ascii="Calibri" w:eastAsiaTheme="minorEastAsia" w:hAnsi="Calibri" w:cs="Calibri"/>
                <w:i/>
                <w:iCs/>
                <w:sz w:val="18"/>
                <w:szCs w:val="22"/>
                <w:lang w:eastAsia="en-AU"/>
              </w:rPr>
              <w:t>margin</w:t>
            </w:r>
          </w:p>
        </w:tc>
      </w:tr>
      <w:tr w:rsidR="004E6C32" w:rsidRPr="006A75A2" w:rsidTr="00AA1ED5">
        <w:tc>
          <w:tcPr>
            <w:tcW w:w="987"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Victorian WorkCover Authority</w:t>
            </w:r>
          </w:p>
        </w:tc>
        <w:tc>
          <w:tcPr>
            <w:tcW w:w="1540"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Pricewaterhouse Coopers Actuarial Ltd</w:t>
            </w:r>
          </w:p>
        </w:tc>
        <w:tc>
          <w:tcPr>
            <w:tcW w:w="1218"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5.7 years</w:t>
            </w:r>
          </w:p>
        </w:tc>
        <w:tc>
          <w:tcPr>
            <w:tcW w:w="2070"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AWE inflation rate</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3.75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CPI inflation rate</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2.50 per cent</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discount rate</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2.47 per cent </w:t>
            </w:r>
          </w:p>
        </w:tc>
        <w:tc>
          <w:tcPr>
            <w:tcW w:w="2087"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AWE inflation rate</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3.75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CPI inflation rate</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2.50 per cent</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discount rate</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2.62–5.50 per cent</w:t>
            </w:r>
          </w:p>
        </w:tc>
        <w:tc>
          <w:tcPr>
            <w:tcW w:w="1693"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8.0 per cent</w:t>
            </w:r>
          </w:p>
        </w:tc>
      </w:tr>
      <w:tr w:rsidR="004E6C32" w:rsidRPr="006A75A2" w:rsidTr="00AA1ED5">
        <w:tc>
          <w:tcPr>
            <w:tcW w:w="987" w:type="dxa"/>
            <w:tcBorders>
              <w:top w:val="nil"/>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Transport Accident Commission</w:t>
            </w:r>
          </w:p>
        </w:tc>
        <w:tc>
          <w:tcPr>
            <w:tcW w:w="1540" w:type="dxa"/>
            <w:tcBorders>
              <w:top w:val="nil"/>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Pricewaterhouse Coopers Actuarial Ltd</w:t>
            </w:r>
          </w:p>
        </w:tc>
        <w:tc>
          <w:tcPr>
            <w:tcW w:w="1218"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15.0 years</w:t>
            </w:r>
          </w:p>
        </w:tc>
        <w:tc>
          <w:tcPr>
            <w:tcW w:w="2070"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inflation rate</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3.75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discount rate</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2.27 per cent </w:t>
            </w:r>
          </w:p>
        </w:tc>
        <w:tc>
          <w:tcPr>
            <w:tcW w:w="2087"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inflation rate</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3.75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discount rate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2.62–5.50 per cent</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4.7 per cent</w:t>
            </w:r>
          </w:p>
        </w:tc>
        <w:tc>
          <w:tcPr>
            <w:tcW w:w="1693" w:type="dxa"/>
            <w:tcBorders>
              <w:top w:val="single" w:sz="6" w:space="0" w:color="auto"/>
              <w:left w:val="nil"/>
              <w:bottom w:val="single" w:sz="6" w:space="0" w:color="auto"/>
              <w:right w:val="nil"/>
            </w:tcBorders>
            <w:shd w:val="solid" w:color="FFFFFF" w:fill="auto"/>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10.0 per cent</w:t>
            </w:r>
          </w:p>
        </w:tc>
      </w:tr>
      <w:tr w:rsidR="004E6C32" w:rsidRPr="006A75A2" w:rsidTr="00AA1ED5">
        <w:tc>
          <w:tcPr>
            <w:tcW w:w="9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Victorian Managed Insurance Authority</w:t>
            </w:r>
          </w:p>
        </w:tc>
        <w:tc>
          <w:tcPr>
            <w:tcW w:w="154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Finity Consulting Pty Ltd</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(Medical Indemnity)</w:t>
            </w:r>
          </w:p>
        </w:tc>
        <w:tc>
          <w:tcPr>
            <w:tcW w:w="1218"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5.6 years</w:t>
            </w:r>
          </w:p>
        </w:tc>
        <w:tc>
          <w:tcPr>
            <w:tcW w:w="207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7.8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3.4 per cent</w:t>
            </w:r>
          </w:p>
        </w:tc>
        <w:tc>
          <w:tcPr>
            <w:tcW w:w="20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7.8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3.4 per cent</w:t>
            </w:r>
          </w:p>
        </w:tc>
        <w:tc>
          <w:tcPr>
            <w:tcW w:w="1693"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21.1 per cent of the net central estimate of outstanding claims liability and claims handling expense </w:t>
            </w:r>
          </w:p>
        </w:tc>
      </w:tr>
      <w:tr w:rsidR="004E6C32" w:rsidRPr="006A75A2" w:rsidTr="00AA1ED5">
        <w:tc>
          <w:tcPr>
            <w:tcW w:w="9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Victorian Managed Insurance Authority</w:t>
            </w:r>
          </w:p>
        </w:tc>
        <w:tc>
          <w:tcPr>
            <w:tcW w:w="154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Finity Consulting Pty Ltd</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(Liability)</w:t>
            </w:r>
          </w:p>
        </w:tc>
        <w:tc>
          <w:tcPr>
            <w:tcW w:w="1218"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3.0 years</w:t>
            </w:r>
          </w:p>
        </w:tc>
        <w:tc>
          <w:tcPr>
            <w:tcW w:w="207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3.8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3.0 per cent</w:t>
            </w:r>
          </w:p>
        </w:tc>
        <w:tc>
          <w:tcPr>
            <w:tcW w:w="20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3.8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3.0 per cent</w:t>
            </w:r>
          </w:p>
        </w:tc>
        <w:tc>
          <w:tcPr>
            <w:tcW w:w="1693"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32.2 per cent of the net central estimate of outstanding claims liability and claims handling expense </w:t>
            </w:r>
          </w:p>
        </w:tc>
      </w:tr>
      <w:tr w:rsidR="004E6C32" w:rsidRPr="006A75A2" w:rsidTr="00AA1ED5">
        <w:tc>
          <w:tcPr>
            <w:tcW w:w="9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Victorian Managed Insurance Authority</w:t>
            </w:r>
          </w:p>
        </w:tc>
        <w:tc>
          <w:tcPr>
            <w:tcW w:w="154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Finity Consulting Pty Ltd</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(Property)</w:t>
            </w:r>
          </w:p>
        </w:tc>
        <w:tc>
          <w:tcPr>
            <w:tcW w:w="1218"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0.9 years</w:t>
            </w:r>
          </w:p>
        </w:tc>
        <w:tc>
          <w:tcPr>
            <w:tcW w:w="207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3.8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3.0 per cent</w:t>
            </w:r>
          </w:p>
        </w:tc>
        <w:tc>
          <w:tcPr>
            <w:tcW w:w="20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3.8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3.0 per cent</w:t>
            </w:r>
          </w:p>
        </w:tc>
        <w:tc>
          <w:tcPr>
            <w:tcW w:w="1693"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24.3 per cent of the net central estimate of outstanding claims liability and claims handling expense </w:t>
            </w:r>
          </w:p>
        </w:tc>
      </w:tr>
      <w:tr w:rsidR="004E6C32" w:rsidRPr="006A75A2" w:rsidTr="00AA1ED5">
        <w:tc>
          <w:tcPr>
            <w:tcW w:w="9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Victorian Managed Insurance Authority</w:t>
            </w:r>
          </w:p>
        </w:tc>
        <w:tc>
          <w:tcPr>
            <w:tcW w:w="154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Finity Consulting Pty Ltd</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(Other)</w:t>
            </w:r>
          </w:p>
        </w:tc>
        <w:tc>
          <w:tcPr>
            <w:tcW w:w="1218"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3.1 years</w:t>
            </w:r>
          </w:p>
        </w:tc>
        <w:tc>
          <w:tcPr>
            <w:tcW w:w="207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3.8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3.0 per cent</w:t>
            </w:r>
          </w:p>
        </w:tc>
        <w:tc>
          <w:tcPr>
            <w:tcW w:w="20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3.8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3.0 per cent</w:t>
            </w:r>
          </w:p>
        </w:tc>
        <w:tc>
          <w:tcPr>
            <w:tcW w:w="1693"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30.5 per cent of the net central estimate of outstanding claims liability and claims handling expense </w:t>
            </w:r>
          </w:p>
        </w:tc>
      </w:tr>
      <w:tr w:rsidR="004E6C32" w:rsidRPr="006A75A2" w:rsidTr="00AA1ED5">
        <w:tc>
          <w:tcPr>
            <w:tcW w:w="9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Victorian Managed Insurance Authority </w:t>
            </w:r>
          </w:p>
        </w:tc>
        <w:tc>
          <w:tcPr>
            <w:tcW w:w="154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Finity Consulting Pty Ltd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(Dust Diseases and Workers</w:t>
            </w:r>
            <w:r w:rsidR="00C96101" w:rsidRPr="006A75A2">
              <w:rPr>
                <w:rFonts w:ascii="Calibri" w:eastAsiaTheme="minorEastAsia" w:hAnsi="Calibri" w:cs="Calibri"/>
                <w:sz w:val="18"/>
                <w:szCs w:val="22"/>
                <w:lang w:eastAsia="en-AU"/>
              </w:rPr>
              <w:t>’</w:t>
            </w:r>
            <w:r w:rsidRPr="006A75A2">
              <w:rPr>
                <w:rFonts w:ascii="Calibri" w:eastAsiaTheme="minorEastAsia" w:hAnsi="Calibri" w:cs="Calibri"/>
                <w:sz w:val="18"/>
                <w:szCs w:val="22"/>
                <w:lang w:eastAsia="en-AU"/>
              </w:rPr>
              <w:t xml:space="preserve"> Compensation) </w:t>
            </w:r>
          </w:p>
        </w:tc>
        <w:tc>
          <w:tcPr>
            <w:tcW w:w="1218"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12.2 years</w:t>
            </w:r>
          </w:p>
        </w:tc>
        <w:tc>
          <w:tcPr>
            <w:tcW w:w="2070"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5.8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4.2 per cent</w:t>
            </w:r>
          </w:p>
        </w:tc>
        <w:tc>
          <w:tcPr>
            <w:tcW w:w="2087"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5.8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4.2 per cent</w:t>
            </w:r>
          </w:p>
        </w:tc>
        <w:tc>
          <w:tcPr>
            <w:tcW w:w="1693"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29.3 per cent of the net central estimate of outstanding claims liability and claims handling expense </w:t>
            </w:r>
          </w:p>
        </w:tc>
      </w:tr>
      <w:tr w:rsidR="004E6C32" w:rsidRPr="006A75A2" w:rsidTr="00AA1ED5">
        <w:tc>
          <w:tcPr>
            <w:tcW w:w="987" w:type="dxa"/>
            <w:tcBorders>
              <w:top w:val="single" w:sz="6" w:space="0" w:color="auto"/>
              <w:left w:val="nil"/>
              <w:bottom w:val="single" w:sz="12"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Victorian Managed Insurance Authority </w:t>
            </w:r>
          </w:p>
        </w:tc>
        <w:tc>
          <w:tcPr>
            <w:tcW w:w="1540" w:type="dxa"/>
            <w:tcBorders>
              <w:top w:val="single" w:sz="6" w:space="0" w:color="auto"/>
              <w:left w:val="nil"/>
              <w:bottom w:val="single" w:sz="12"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Finity Consulting Pty Ltd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(Domestic Building Insurance) </w:t>
            </w:r>
          </w:p>
        </w:tc>
        <w:tc>
          <w:tcPr>
            <w:tcW w:w="1218" w:type="dxa"/>
            <w:tcBorders>
              <w:top w:val="single" w:sz="6" w:space="0" w:color="auto"/>
              <w:left w:val="nil"/>
              <w:bottom w:val="single" w:sz="12"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4.5 years</w:t>
            </w:r>
          </w:p>
        </w:tc>
        <w:tc>
          <w:tcPr>
            <w:tcW w:w="2070" w:type="dxa"/>
            <w:tcBorders>
              <w:top w:val="single" w:sz="6" w:space="0" w:color="auto"/>
              <w:left w:val="nil"/>
              <w:bottom w:val="single" w:sz="12"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3.8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3.2 per cent</w:t>
            </w:r>
          </w:p>
        </w:tc>
        <w:tc>
          <w:tcPr>
            <w:tcW w:w="2087" w:type="dxa"/>
            <w:tcBorders>
              <w:top w:val="single" w:sz="6" w:space="0" w:color="auto"/>
              <w:left w:val="nil"/>
              <w:bottom w:val="single" w:sz="12"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weighted average inflation rate = 3.8 per cent </w:t>
            </w: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p>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weighted average discount rate = 3.2 per cent</w:t>
            </w:r>
          </w:p>
        </w:tc>
        <w:tc>
          <w:tcPr>
            <w:tcW w:w="1693" w:type="dxa"/>
            <w:tcBorders>
              <w:top w:val="single" w:sz="6" w:space="0" w:color="auto"/>
              <w:left w:val="nil"/>
              <w:bottom w:val="single" w:sz="12"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24.1 per cent of the net central estimate of outstanding claims liability and claims handling expense </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The inflation rate assumptions are based on the anticipated rise in costs relevant to a particular entity.</w:t>
      </w:r>
    </w:p>
    <w:p w:rsidR="004E6C32" w:rsidRPr="006A75A2" w:rsidRDefault="004E6C32">
      <w:pPr>
        <w:spacing w:after="0"/>
        <w:rPr>
          <w:rFonts w:ascii="Calibri" w:hAnsi="Calibri"/>
          <w:b/>
          <w:sz w:val="25"/>
        </w:rPr>
      </w:pPr>
      <w:r w:rsidRPr="006A75A2">
        <w:br w:type="page"/>
      </w:r>
    </w:p>
    <w:p w:rsidR="004E6C32" w:rsidRPr="006A75A2" w:rsidRDefault="004E6C32" w:rsidP="004B5CB1">
      <w:pPr>
        <w:pStyle w:val="Heading2NotesContd"/>
        <w:rPr>
          <w:kern w:val="0"/>
        </w:rPr>
      </w:pPr>
      <w:r w:rsidRPr="006A75A2">
        <w:rPr>
          <w:kern w:val="0"/>
        </w:rPr>
        <w:lastRenderedPageBreak/>
        <w:t>Note 28:</w:t>
      </w:r>
      <w:r w:rsidRPr="006A75A2">
        <w:rPr>
          <w:kern w:val="0"/>
        </w:rPr>
        <w:tab/>
        <w:t>Other provisions</w:t>
      </w:r>
      <w:r w:rsidRPr="006A75A2">
        <w:rPr>
          <w:bCs/>
          <w:i/>
          <w:iCs/>
          <w:kern w:val="0"/>
        </w:rPr>
        <w:t xml:space="preserve"> (continued)</w:t>
      </w:r>
    </w:p>
    <w:p w:rsidR="004E6C32" w:rsidRPr="006A75A2" w:rsidRDefault="004E6C32" w:rsidP="004B5CB1">
      <w:pPr>
        <w:pStyle w:val="Tableheading"/>
        <w:rPr>
          <w:rFonts w:ascii="Times New Roman" w:hAnsi="Times New Roman"/>
          <w:i/>
          <w:sz w:val="20"/>
          <w:lang w:eastAsia="en-AU"/>
        </w:rPr>
      </w:pPr>
      <w:r w:rsidRPr="006A75A2">
        <w:t>2013 Assumptions</w:t>
      </w:r>
    </w:p>
    <w:tbl>
      <w:tblPr>
        <w:tblW w:w="9640" w:type="dxa"/>
        <w:tblInd w:w="28" w:type="dxa"/>
        <w:tblLayout w:type="fixed"/>
        <w:tblCellMar>
          <w:left w:w="45" w:type="dxa"/>
          <w:right w:w="45" w:type="dxa"/>
        </w:tblCellMar>
        <w:tblLook w:val="0000" w:firstRow="0" w:lastRow="0" w:firstColumn="0" w:lastColumn="0" w:noHBand="0" w:noVBand="0"/>
      </w:tblPr>
      <w:tblGrid>
        <w:gridCol w:w="1039"/>
        <w:gridCol w:w="1530"/>
        <w:gridCol w:w="1228"/>
        <w:gridCol w:w="2032"/>
        <w:gridCol w:w="2126"/>
        <w:gridCol w:w="1685"/>
      </w:tblGrid>
      <w:tr w:rsidR="004E6C32" w:rsidRPr="006A75A2" w:rsidTr="004B5CB1">
        <w:tc>
          <w:tcPr>
            <w:tcW w:w="1039"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sz w:val="18"/>
                <w:lang w:eastAsia="en-AU"/>
              </w:rPr>
            </w:pPr>
          </w:p>
          <w:p w:rsidR="004E6C32" w:rsidRPr="006A75A2" w:rsidRDefault="004E6C32" w:rsidP="004B5CB1">
            <w:pPr>
              <w:pStyle w:val="TabletextheadingLeft"/>
              <w:rPr>
                <w:rFonts w:eastAsiaTheme="minorEastAsia"/>
                <w:sz w:val="18"/>
                <w:lang w:eastAsia="en-AU"/>
              </w:rPr>
            </w:pPr>
          </w:p>
          <w:p w:rsidR="004E6C32" w:rsidRPr="006A75A2" w:rsidRDefault="004E6C32" w:rsidP="004B5CB1">
            <w:pPr>
              <w:pStyle w:val="TabletextheadingLeft"/>
              <w:rPr>
                <w:rFonts w:eastAsiaTheme="minorEastAsia"/>
                <w:sz w:val="18"/>
                <w:lang w:eastAsia="en-AU"/>
              </w:rPr>
            </w:pPr>
          </w:p>
          <w:p w:rsidR="004E6C32" w:rsidRPr="006A75A2" w:rsidRDefault="004E6C32" w:rsidP="004B5CB1">
            <w:pPr>
              <w:pStyle w:val="TabletextheadingLeft"/>
              <w:rPr>
                <w:rFonts w:eastAsiaTheme="minorEastAsia"/>
                <w:sz w:val="18"/>
                <w:lang w:eastAsia="en-AU"/>
              </w:rPr>
            </w:pPr>
            <w:r w:rsidRPr="006A75A2">
              <w:rPr>
                <w:rFonts w:eastAsiaTheme="minorEastAsia"/>
                <w:sz w:val="18"/>
                <w:lang w:eastAsia="en-AU"/>
              </w:rPr>
              <w:t>Entity</w:t>
            </w:r>
          </w:p>
        </w:tc>
        <w:tc>
          <w:tcPr>
            <w:tcW w:w="153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Left"/>
              <w:rPr>
                <w:rFonts w:eastAsiaTheme="minorEastAsia"/>
                <w:sz w:val="18"/>
                <w:lang w:eastAsia="en-AU"/>
              </w:rPr>
            </w:pPr>
          </w:p>
          <w:p w:rsidR="004E6C32" w:rsidRPr="006A75A2" w:rsidRDefault="004E6C32" w:rsidP="004B5CB1">
            <w:pPr>
              <w:pStyle w:val="TabletextheadingLeft"/>
              <w:rPr>
                <w:rFonts w:eastAsiaTheme="minorEastAsia"/>
                <w:sz w:val="18"/>
                <w:lang w:eastAsia="en-AU"/>
              </w:rPr>
            </w:pPr>
          </w:p>
          <w:p w:rsidR="004E6C32" w:rsidRPr="006A75A2" w:rsidRDefault="004E6C32" w:rsidP="004B5CB1">
            <w:pPr>
              <w:pStyle w:val="TabletextheadingLeft"/>
              <w:rPr>
                <w:rFonts w:eastAsiaTheme="minorEastAsia"/>
                <w:sz w:val="18"/>
                <w:lang w:eastAsia="en-AU"/>
              </w:rPr>
            </w:pPr>
          </w:p>
          <w:p w:rsidR="004E6C32" w:rsidRPr="006A75A2" w:rsidRDefault="004E6C32" w:rsidP="004B5CB1">
            <w:pPr>
              <w:pStyle w:val="TabletextheadingLeft"/>
              <w:rPr>
                <w:rFonts w:eastAsiaTheme="minorEastAsia"/>
                <w:sz w:val="18"/>
                <w:lang w:eastAsia="en-AU"/>
              </w:rPr>
            </w:pPr>
            <w:r w:rsidRPr="006A75A2">
              <w:rPr>
                <w:rFonts w:eastAsiaTheme="minorEastAsia"/>
                <w:sz w:val="18"/>
                <w:lang w:eastAsia="en-AU"/>
              </w:rPr>
              <w:t>Actuary</w:t>
            </w:r>
          </w:p>
        </w:tc>
        <w:tc>
          <w:tcPr>
            <w:tcW w:w="1228"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Left"/>
              <w:rPr>
                <w:rFonts w:eastAsiaTheme="minorEastAsia"/>
                <w:sz w:val="18"/>
                <w:lang w:eastAsia="en-AU"/>
              </w:rPr>
            </w:pPr>
            <w:r w:rsidRPr="006A75A2">
              <w:rPr>
                <w:rFonts w:eastAsiaTheme="minorEastAsia"/>
                <w:sz w:val="18"/>
                <w:lang w:eastAsia="en-AU"/>
              </w:rPr>
              <w:t>Weighted average expected term to settlement</w:t>
            </w:r>
          </w:p>
        </w:tc>
        <w:tc>
          <w:tcPr>
            <w:tcW w:w="2032" w:type="dxa"/>
            <w:tcBorders>
              <w:top w:val="single" w:sz="6" w:space="0" w:color="auto"/>
              <w:left w:val="nil"/>
              <w:bottom w:val="single" w:sz="6" w:space="0" w:color="auto"/>
              <w:right w:val="nil"/>
            </w:tcBorders>
            <w:shd w:val="clear" w:color="000000" w:fill="000000"/>
          </w:tcPr>
          <w:p w:rsidR="00AA1ED5" w:rsidRPr="006A75A2" w:rsidRDefault="00AA1ED5" w:rsidP="004B5CB1">
            <w:pPr>
              <w:pStyle w:val="TabletextheadingLeft"/>
              <w:rPr>
                <w:rFonts w:eastAsiaTheme="minorEastAsia"/>
                <w:sz w:val="18"/>
                <w:lang w:eastAsia="en-AU"/>
              </w:rPr>
            </w:pPr>
          </w:p>
          <w:p w:rsidR="00AA1ED5" w:rsidRPr="006A75A2" w:rsidRDefault="004E6C32" w:rsidP="004B5CB1">
            <w:pPr>
              <w:pStyle w:val="TabletextheadingLeft"/>
              <w:rPr>
                <w:rFonts w:eastAsiaTheme="minorEastAsia"/>
                <w:sz w:val="18"/>
                <w:lang w:eastAsia="en-AU"/>
              </w:rPr>
            </w:pPr>
            <w:r w:rsidRPr="006A75A2">
              <w:rPr>
                <w:rFonts w:eastAsiaTheme="minorEastAsia"/>
                <w:sz w:val="18"/>
                <w:lang w:eastAsia="en-AU"/>
              </w:rPr>
              <w:t xml:space="preserve">Financial assumptions used </w:t>
            </w:r>
          </w:p>
          <w:p w:rsidR="004E6C32" w:rsidRPr="006A75A2" w:rsidRDefault="004E6C32" w:rsidP="00AA1ED5">
            <w:pPr>
              <w:pStyle w:val="TabletextheadingLeft"/>
              <w:rPr>
                <w:rFonts w:eastAsiaTheme="minorEastAsia"/>
                <w:sz w:val="18"/>
                <w:vertAlign w:val="superscript"/>
                <w:lang w:eastAsia="en-AU"/>
              </w:rPr>
            </w:pPr>
            <w:r w:rsidRPr="006A75A2">
              <w:rPr>
                <w:rFonts w:eastAsiaTheme="minorEastAsia"/>
                <w:sz w:val="18"/>
                <w:lang w:eastAsia="en-AU"/>
              </w:rPr>
              <w:t>(not later than 1 year)</w:t>
            </w:r>
            <w:r w:rsidRPr="006A75A2">
              <w:rPr>
                <w:rFonts w:eastAsiaTheme="minorEastAsia"/>
                <w:sz w:val="18"/>
                <w:vertAlign w:val="superscript"/>
                <w:lang w:eastAsia="en-AU"/>
              </w:rPr>
              <w:t>(a)</w:t>
            </w:r>
          </w:p>
        </w:tc>
        <w:tc>
          <w:tcPr>
            <w:tcW w:w="2126" w:type="dxa"/>
            <w:tcBorders>
              <w:top w:val="single" w:sz="6" w:space="0" w:color="auto"/>
              <w:left w:val="nil"/>
              <w:bottom w:val="single" w:sz="6" w:space="0" w:color="auto"/>
              <w:right w:val="nil"/>
            </w:tcBorders>
            <w:shd w:val="clear" w:color="000000" w:fill="000000"/>
          </w:tcPr>
          <w:p w:rsidR="00AA1ED5" w:rsidRPr="006A75A2" w:rsidRDefault="00AA1ED5" w:rsidP="00AA1ED5">
            <w:pPr>
              <w:pStyle w:val="TabletextheadingLeft"/>
              <w:rPr>
                <w:rFonts w:eastAsiaTheme="minorEastAsia"/>
                <w:sz w:val="18"/>
                <w:lang w:eastAsia="en-AU"/>
              </w:rPr>
            </w:pPr>
          </w:p>
          <w:p w:rsidR="00AA1ED5" w:rsidRPr="006A75A2" w:rsidRDefault="004E6C32" w:rsidP="00AA1ED5">
            <w:pPr>
              <w:pStyle w:val="TabletextheadingLeft"/>
              <w:rPr>
                <w:rFonts w:eastAsiaTheme="minorEastAsia"/>
                <w:sz w:val="18"/>
                <w:lang w:eastAsia="en-AU"/>
              </w:rPr>
            </w:pPr>
            <w:r w:rsidRPr="006A75A2">
              <w:rPr>
                <w:rFonts w:eastAsiaTheme="minorEastAsia"/>
                <w:sz w:val="18"/>
                <w:lang w:eastAsia="en-AU"/>
              </w:rPr>
              <w:t xml:space="preserve">Financial assumptions </w:t>
            </w:r>
            <w:r w:rsidR="00AA1ED5" w:rsidRPr="006A75A2">
              <w:rPr>
                <w:rFonts w:eastAsiaTheme="minorEastAsia"/>
                <w:sz w:val="18"/>
                <w:lang w:eastAsia="en-AU"/>
              </w:rPr>
              <w:br/>
            </w:r>
            <w:r w:rsidRPr="006A75A2">
              <w:rPr>
                <w:rFonts w:eastAsiaTheme="minorEastAsia"/>
                <w:sz w:val="18"/>
                <w:lang w:eastAsia="en-AU"/>
              </w:rPr>
              <w:t xml:space="preserve">used </w:t>
            </w:r>
          </w:p>
          <w:p w:rsidR="004E6C32" w:rsidRPr="006A75A2" w:rsidRDefault="004E6C32" w:rsidP="00AA1ED5">
            <w:pPr>
              <w:pStyle w:val="TabletextheadingLeft"/>
              <w:rPr>
                <w:rFonts w:eastAsiaTheme="minorEastAsia"/>
                <w:sz w:val="18"/>
                <w:vertAlign w:val="superscript"/>
                <w:lang w:eastAsia="en-AU"/>
              </w:rPr>
            </w:pPr>
            <w:r w:rsidRPr="006A75A2">
              <w:rPr>
                <w:rFonts w:eastAsiaTheme="minorEastAsia"/>
                <w:sz w:val="18"/>
                <w:lang w:eastAsia="en-AU"/>
              </w:rPr>
              <w:t>(later than 1 year</w:t>
            </w:r>
            <w:r w:rsidR="009861EA" w:rsidRPr="006A75A2">
              <w:rPr>
                <w:rFonts w:eastAsiaTheme="minorEastAsia"/>
                <w:sz w:val="18"/>
                <w:lang w:eastAsia="en-AU"/>
              </w:rPr>
              <w:t>)</w:t>
            </w:r>
            <w:r w:rsidRPr="006A75A2">
              <w:rPr>
                <w:rFonts w:eastAsiaTheme="minorEastAsia"/>
                <w:sz w:val="18"/>
                <w:vertAlign w:val="superscript"/>
                <w:lang w:eastAsia="en-AU"/>
              </w:rPr>
              <w:t>(a)</w:t>
            </w:r>
          </w:p>
        </w:tc>
        <w:tc>
          <w:tcPr>
            <w:tcW w:w="1685"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Left"/>
              <w:rPr>
                <w:rFonts w:eastAsiaTheme="minorEastAsia"/>
                <w:sz w:val="18"/>
                <w:lang w:eastAsia="en-AU"/>
              </w:rPr>
            </w:pPr>
          </w:p>
          <w:p w:rsidR="00AA1ED5" w:rsidRPr="006A75A2" w:rsidRDefault="00AA1ED5" w:rsidP="004B5CB1">
            <w:pPr>
              <w:pStyle w:val="TabletextheadingLeft"/>
              <w:rPr>
                <w:rFonts w:eastAsiaTheme="minorEastAsia"/>
                <w:sz w:val="18"/>
                <w:lang w:eastAsia="en-AU"/>
              </w:rPr>
            </w:pPr>
          </w:p>
          <w:p w:rsidR="004E6C32" w:rsidRPr="006A75A2" w:rsidRDefault="004E6C32" w:rsidP="00AA1ED5">
            <w:pPr>
              <w:pStyle w:val="TabletextheadingLeft"/>
              <w:rPr>
                <w:rFonts w:eastAsiaTheme="minorEastAsia"/>
                <w:sz w:val="18"/>
                <w:lang w:eastAsia="en-AU"/>
              </w:rPr>
            </w:pPr>
            <w:r w:rsidRPr="006A75A2">
              <w:rPr>
                <w:rFonts w:eastAsiaTheme="minorEastAsia"/>
                <w:sz w:val="18"/>
                <w:lang w:eastAsia="en-AU"/>
              </w:rPr>
              <w:t xml:space="preserve">Prudential </w:t>
            </w:r>
            <w:r w:rsidR="00AA1ED5" w:rsidRPr="006A75A2">
              <w:rPr>
                <w:rFonts w:eastAsiaTheme="minorEastAsia"/>
                <w:sz w:val="18"/>
                <w:lang w:eastAsia="en-AU"/>
              </w:rPr>
              <w:br/>
            </w:r>
            <w:r w:rsidRPr="006A75A2">
              <w:rPr>
                <w:rFonts w:eastAsiaTheme="minorEastAsia"/>
                <w:sz w:val="18"/>
                <w:lang w:eastAsia="en-AU"/>
              </w:rPr>
              <w:t>margin</w:t>
            </w:r>
          </w:p>
        </w:tc>
      </w:tr>
      <w:tr w:rsidR="004E6C32" w:rsidRPr="006A75A2" w:rsidTr="004B5CB1">
        <w:tc>
          <w:tcPr>
            <w:tcW w:w="1039"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Victorian WorkCover Authority</w:t>
            </w:r>
          </w:p>
        </w:tc>
        <w:tc>
          <w:tcPr>
            <w:tcW w:w="153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Pricewaterhouse Coopers Actuarial Ltd</w:t>
            </w:r>
          </w:p>
        </w:tc>
        <w:tc>
          <w:tcPr>
            <w:tcW w:w="1228"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5.5 years</w:t>
            </w:r>
          </w:p>
        </w:tc>
        <w:tc>
          <w:tcPr>
            <w:tcW w:w="2032"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inflation rate</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3.75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discount rate</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2.54 per cent </w:t>
            </w:r>
          </w:p>
        </w:tc>
        <w:tc>
          <w:tcPr>
            <w:tcW w:w="2126"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inflation rate</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3.75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discount rate</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2.54–5.50 per cent  </w:t>
            </w:r>
          </w:p>
        </w:tc>
        <w:tc>
          <w:tcPr>
            <w:tcW w:w="1685"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8.0 per cent</w:t>
            </w:r>
          </w:p>
        </w:tc>
      </w:tr>
      <w:tr w:rsidR="004E6C32" w:rsidRPr="006A75A2" w:rsidTr="004B5CB1">
        <w:tc>
          <w:tcPr>
            <w:tcW w:w="1039" w:type="dxa"/>
            <w:tcBorders>
              <w:top w:val="nil"/>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Transport Accident Commission</w:t>
            </w:r>
          </w:p>
        </w:tc>
        <w:tc>
          <w:tcPr>
            <w:tcW w:w="1530" w:type="dxa"/>
            <w:tcBorders>
              <w:top w:val="nil"/>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Pricewaterhouse Coopers Actuarial Ltd</w:t>
            </w:r>
          </w:p>
        </w:tc>
        <w:tc>
          <w:tcPr>
            <w:tcW w:w="1228" w:type="dxa"/>
            <w:tcBorders>
              <w:top w:val="nil"/>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13.9 years</w:t>
            </w:r>
          </w:p>
        </w:tc>
        <w:tc>
          <w:tcPr>
            <w:tcW w:w="2032"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inflation rate</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3.75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discount rate</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2.54 per cent </w:t>
            </w:r>
          </w:p>
        </w:tc>
        <w:tc>
          <w:tcPr>
            <w:tcW w:w="2126"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inflation rate</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3.75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discount rate  </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5.50 per cent </w:t>
            </w:r>
          </w:p>
        </w:tc>
        <w:tc>
          <w:tcPr>
            <w:tcW w:w="1685" w:type="dxa"/>
            <w:tcBorders>
              <w:top w:val="nil"/>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10.0 per cent</w:t>
            </w:r>
          </w:p>
        </w:tc>
      </w:tr>
      <w:tr w:rsidR="004E6C32" w:rsidRPr="006A75A2" w:rsidTr="004B5CB1">
        <w:tc>
          <w:tcPr>
            <w:tcW w:w="1039"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Victorian Managed Insurance Authority</w:t>
            </w:r>
          </w:p>
        </w:tc>
        <w:tc>
          <w:tcPr>
            <w:tcW w:w="153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Finity Consulting Pty Ltd</w:t>
            </w:r>
          </w:p>
          <w:p w:rsidR="004E6C32" w:rsidRPr="006A75A2" w:rsidRDefault="004E6C32" w:rsidP="009861EA">
            <w:pPr>
              <w:pStyle w:val="TableTextnoindent"/>
              <w:rPr>
                <w:rFonts w:eastAsiaTheme="minorEastAsia"/>
                <w:color w:val="auto"/>
                <w:sz w:val="18"/>
              </w:rPr>
            </w:pPr>
            <w:r w:rsidRPr="006A75A2">
              <w:rPr>
                <w:rFonts w:eastAsiaTheme="minorEastAsia"/>
                <w:color w:val="auto"/>
                <w:sz w:val="18"/>
              </w:rPr>
              <w:t xml:space="preserve">(Medical Indemnity </w:t>
            </w:r>
            <w:r w:rsidR="009861EA" w:rsidRPr="006A75A2">
              <w:rPr>
                <w:rFonts w:eastAsiaTheme="minorEastAsia"/>
                <w:color w:val="auto"/>
                <w:sz w:val="18"/>
              </w:rPr>
              <w:t>–</w:t>
            </w:r>
            <w:r w:rsidRPr="006A75A2">
              <w:rPr>
                <w:rFonts w:eastAsiaTheme="minorEastAsia"/>
                <w:color w:val="auto"/>
                <w:sz w:val="18"/>
              </w:rPr>
              <w:t xml:space="preserve"> Public Healthcare Program)</w:t>
            </w:r>
          </w:p>
        </w:tc>
        <w:tc>
          <w:tcPr>
            <w:tcW w:w="1228"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6 years</w:t>
            </w:r>
          </w:p>
        </w:tc>
        <w:tc>
          <w:tcPr>
            <w:tcW w:w="2032"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7.8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3.7 per cent</w:t>
            </w:r>
          </w:p>
        </w:tc>
        <w:tc>
          <w:tcPr>
            <w:tcW w:w="2126"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7.8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3.7 per cent</w:t>
            </w:r>
          </w:p>
        </w:tc>
        <w:tc>
          <w:tcPr>
            <w:tcW w:w="1685"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18.9 per cent of the net central estimate of outstanding claims liability and claims handling expense </w:t>
            </w:r>
          </w:p>
        </w:tc>
      </w:tr>
      <w:tr w:rsidR="004E6C32" w:rsidRPr="006A75A2" w:rsidTr="004B5CB1">
        <w:tc>
          <w:tcPr>
            <w:tcW w:w="1039"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Victorian Managed Insurance Authority</w:t>
            </w:r>
          </w:p>
        </w:tc>
        <w:tc>
          <w:tcPr>
            <w:tcW w:w="153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Finity Consulting Pty Ltd</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(Liability)</w:t>
            </w:r>
          </w:p>
        </w:tc>
        <w:tc>
          <w:tcPr>
            <w:tcW w:w="1228"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3.9 years</w:t>
            </w:r>
          </w:p>
        </w:tc>
        <w:tc>
          <w:tcPr>
            <w:tcW w:w="2032"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3.8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3.2 per cent</w:t>
            </w:r>
          </w:p>
        </w:tc>
        <w:tc>
          <w:tcPr>
            <w:tcW w:w="2126"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3.8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3.2per cent</w:t>
            </w:r>
          </w:p>
        </w:tc>
        <w:tc>
          <w:tcPr>
            <w:tcW w:w="1685"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29.1 per cent of the net central estimate of outstanding claims liability and claims handling expense </w:t>
            </w:r>
          </w:p>
        </w:tc>
      </w:tr>
      <w:tr w:rsidR="004E6C32" w:rsidRPr="006A75A2" w:rsidTr="004B5CB1">
        <w:tc>
          <w:tcPr>
            <w:tcW w:w="1039"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Victorian Managed Insurance Authority</w:t>
            </w:r>
          </w:p>
        </w:tc>
        <w:tc>
          <w:tcPr>
            <w:tcW w:w="153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Finity Consulting Pty Ltd</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(Property)</w:t>
            </w:r>
          </w:p>
        </w:tc>
        <w:tc>
          <w:tcPr>
            <w:tcW w:w="1228"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1.2 years</w:t>
            </w:r>
          </w:p>
        </w:tc>
        <w:tc>
          <w:tcPr>
            <w:tcW w:w="2032"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3.8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3.2 per cent</w:t>
            </w:r>
          </w:p>
        </w:tc>
        <w:tc>
          <w:tcPr>
            <w:tcW w:w="2126"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3.8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3.2 per cent</w:t>
            </w:r>
          </w:p>
        </w:tc>
        <w:tc>
          <w:tcPr>
            <w:tcW w:w="1685"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25.8 per cent of the net central estimate of outstanding claims liability and claims handling expense </w:t>
            </w:r>
          </w:p>
        </w:tc>
      </w:tr>
      <w:tr w:rsidR="004E6C32" w:rsidRPr="006A75A2" w:rsidTr="004B5CB1">
        <w:tc>
          <w:tcPr>
            <w:tcW w:w="1039" w:type="dxa"/>
            <w:tcBorders>
              <w:top w:val="single" w:sz="6" w:space="0" w:color="auto"/>
              <w:left w:val="nil"/>
              <w:bottom w:val="nil"/>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Victorian Managed Insurance Authority</w:t>
            </w:r>
          </w:p>
        </w:tc>
        <w:tc>
          <w:tcPr>
            <w:tcW w:w="1530" w:type="dxa"/>
            <w:tcBorders>
              <w:top w:val="single" w:sz="6" w:space="0" w:color="auto"/>
              <w:left w:val="nil"/>
              <w:bottom w:val="nil"/>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Finity Consulting Pty Ltd</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(Other)</w:t>
            </w:r>
          </w:p>
        </w:tc>
        <w:tc>
          <w:tcPr>
            <w:tcW w:w="1228" w:type="dxa"/>
            <w:tcBorders>
              <w:top w:val="single" w:sz="6" w:space="0" w:color="auto"/>
              <w:left w:val="nil"/>
              <w:bottom w:val="nil"/>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3.7 years</w:t>
            </w:r>
          </w:p>
        </w:tc>
        <w:tc>
          <w:tcPr>
            <w:tcW w:w="2032" w:type="dxa"/>
            <w:tcBorders>
              <w:top w:val="single" w:sz="6" w:space="0" w:color="auto"/>
              <w:left w:val="nil"/>
              <w:bottom w:val="nil"/>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3.8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3.2 per cent</w:t>
            </w:r>
          </w:p>
        </w:tc>
        <w:tc>
          <w:tcPr>
            <w:tcW w:w="2126" w:type="dxa"/>
            <w:tcBorders>
              <w:top w:val="single" w:sz="6" w:space="0" w:color="auto"/>
              <w:left w:val="nil"/>
              <w:bottom w:val="nil"/>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3.8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3.2 per cent</w:t>
            </w:r>
          </w:p>
        </w:tc>
        <w:tc>
          <w:tcPr>
            <w:tcW w:w="1685" w:type="dxa"/>
            <w:tcBorders>
              <w:top w:val="single" w:sz="6" w:space="0" w:color="auto"/>
              <w:left w:val="nil"/>
              <w:bottom w:val="nil"/>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28.7 per cent of the net central estimate of outstanding claims liability and claims handling expense </w:t>
            </w:r>
          </w:p>
        </w:tc>
      </w:tr>
      <w:tr w:rsidR="004E6C32" w:rsidRPr="006A75A2" w:rsidTr="004B5CB1">
        <w:tc>
          <w:tcPr>
            <w:tcW w:w="1039"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Victorian Managed Insurance Authority </w:t>
            </w:r>
          </w:p>
        </w:tc>
        <w:tc>
          <w:tcPr>
            <w:tcW w:w="153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Finity Consulting Pty Ltd </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(Dust Diseases and Workers Compensation) </w:t>
            </w:r>
          </w:p>
        </w:tc>
        <w:tc>
          <w:tcPr>
            <w:tcW w:w="1228"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12.2 years</w:t>
            </w:r>
          </w:p>
        </w:tc>
        <w:tc>
          <w:tcPr>
            <w:tcW w:w="2032"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5.8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4.5 per cent</w:t>
            </w:r>
          </w:p>
        </w:tc>
        <w:tc>
          <w:tcPr>
            <w:tcW w:w="2126"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5.8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4.5 per cent</w:t>
            </w:r>
          </w:p>
        </w:tc>
        <w:tc>
          <w:tcPr>
            <w:tcW w:w="1685"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28.5 per cent of the net central estimate of outstanding claims liability and claims handling expense </w:t>
            </w:r>
          </w:p>
        </w:tc>
      </w:tr>
      <w:tr w:rsidR="004E6C32" w:rsidRPr="006A75A2" w:rsidTr="004B5CB1">
        <w:tc>
          <w:tcPr>
            <w:tcW w:w="1039"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Victorian Managed Insurance Authority </w:t>
            </w:r>
          </w:p>
        </w:tc>
        <w:tc>
          <w:tcPr>
            <w:tcW w:w="153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Finity Consulting Pty Ltd </w:t>
            </w: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(Domestic Building Insurance) </w:t>
            </w:r>
          </w:p>
        </w:tc>
        <w:tc>
          <w:tcPr>
            <w:tcW w:w="1228"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4.1 years</w:t>
            </w:r>
          </w:p>
        </w:tc>
        <w:tc>
          <w:tcPr>
            <w:tcW w:w="203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3.8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3.4 per cent</w:t>
            </w:r>
          </w:p>
        </w:tc>
        <w:tc>
          <w:tcPr>
            <w:tcW w:w="212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weighted average inflation rate = 3.8 per cent </w:t>
            </w:r>
          </w:p>
          <w:p w:rsidR="004E6C32" w:rsidRPr="006A75A2" w:rsidRDefault="004E6C32" w:rsidP="004B5CB1">
            <w:pPr>
              <w:pStyle w:val="TableTextnoindent"/>
              <w:rPr>
                <w:rFonts w:eastAsiaTheme="minorEastAsia"/>
                <w:color w:val="auto"/>
                <w:sz w:val="18"/>
              </w:rPr>
            </w:pPr>
          </w:p>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weighted average discount rate = 3.4 per cent</w:t>
            </w:r>
          </w:p>
        </w:tc>
        <w:tc>
          <w:tcPr>
            <w:tcW w:w="1685"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noindent"/>
              <w:rPr>
                <w:rFonts w:eastAsiaTheme="minorEastAsia"/>
                <w:color w:val="auto"/>
                <w:sz w:val="18"/>
              </w:rPr>
            </w:pPr>
            <w:r w:rsidRPr="006A75A2">
              <w:rPr>
                <w:rFonts w:eastAsiaTheme="minorEastAsia"/>
                <w:color w:val="auto"/>
                <w:sz w:val="18"/>
              </w:rPr>
              <w:t xml:space="preserve">23.5 per cent of the net central estimate of outstanding claims liability and claims handling expense </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The inflation rate assumptions are based on the anticipated rise in costs relevant to a particular entity.</w:t>
      </w:r>
    </w:p>
    <w:p w:rsidR="004E6C32" w:rsidRPr="006A75A2" w:rsidRDefault="004E6C32" w:rsidP="004B5CB1"/>
    <w:p w:rsidR="004E6C32" w:rsidRPr="006A75A2" w:rsidRDefault="004E6C32" w:rsidP="004B5CB1">
      <w:pPr>
        <w:pStyle w:val="Heading2Notes"/>
        <w:rPr>
          <w:kern w:val="0"/>
          <w:vertAlign w:val="superscript"/>
        </w:rPr>
      </w:pPr>
      <w:bookmarkStart w:id="59" w:name="_Toc400040276"/>
      <w:r w:rsidRPr="006A75A2">
        <w:rPr>
          <w:kern w:val="0"/>
        </w:rPr>
        <w:lastRenderedPageBreak/>
        <w:t>Note 29:</w:t>
      </w:r>
      <w:r w:rsidRPr="006A75A2">
        <w:rPr>
          <w:kern w:val="0"/>
        </w:rPr>
        <w:tab/>
        <w:t>Reserves, accumulated surplus/(deficit) and non-controlling interests</w:t>
      </w:r>
      <w:bookmarkEnd w:id="59"/>
      <w:r w:rsidRPr="006A75A2">
        <w:rPr>
          <w:kern w:val="0"/>
        </w:rPr>
        <w:t xml:space="preserve"> </w:t>
      </w:r>
    </w:p>
    <w:p w:rsidR="004E6C32" w:rsidRPr="006A75A2" w:rsidRDefault="004E6C32" w:rsidP="0067336F">
      <w:pPr>
        <w:pStyle w:val="Heading5"/>
        <w:rPr>
          <w:vertAlign w:val="superscript"/>
        </w:rPr>
      </w:pPr>
      <w:r w:rsidRPr="006A75A2">
        <w:t>(a)</w:t>
      </w:r>
      <w:r w:rsidRPr="006A75A2">
        <w:tab/>
        <w:t>Reserves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Land, buildings, infrastructure, plant and equipment revaluation surplus</w:t>
            </w:r>
            <w:r w:rsidRPr="006A75A2">
              <w:rPr>
                <w:rFonts w:eastAsiaTheme="minorEastAsia" w:cs="Calibri"/>
                <w:szCs w:val="22"/>
                <w:vertAlign w:val="superscript"/>
                <w:lang w:eastAsia="en-AU"/>
              </w:rPr>
              <w:t>(a)</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83 670.8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78 459.3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40 199.2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37 970.4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Available-for-sale investments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51.8</w:t>
            </w:r>
          </w:p>
        </w:tc>
      </w:tr>
      <w:tr w:rsidR="004E6C32" w:rsidRPr="006A75A2" w:rsidTr="004B5CB1">
        <w:tc>
          <w:tcPr>
            <w:tcW w:w="5160"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Revaluation surplus for investments in PFC and PNFC entities</w:t>
            </w:r>
            <w:r w:rsidRPr="006A75A2">
              <w:rPr>
                <w:rFonts w:eastAsiaTheme="minorEastAsia" w:cs="Calibri"/>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42 187.3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38 373.5</w:t>
            </w:r>
          </w:p>
        </w:tc>
      </w:tr>
      <w:tr w:rsidR="004E6C32" w:rsidRPr="006A75A2" w:rsidTr="004B5CB1">
        <w:tc>
          <w:tcPr>
            <w:tcW w:w="5160" w:type="dxa"/>
            <w:tcBorders>
              <w:top w:val="nil"/>
              <w:left w:val="nil"/>
              <w:bottom w:val="single" w:sz="6" w:space="0" w:color="auto"/>
              <w:right w:val="nil"/>
            </w:tcBorders>
          </w:tcPr>
          <w:p w:rsidR="004E6C32" w:rsidRPr="006A75A2" w:rsidRDefault="004E6C32" w:rsidP="009861EA">
            <w:pPr>
              <w:pStyle w:val="Tabletext"/>
              <w:rPr>
                <w:rFonts w:eastAsiaTheme="minorEastAsia"/>
                <w:vertAlign w:val="superscript"/>
                <w:lang w:eastAsia="en-AU"/>
              </w:rPr>
            </w:pPr>
            <w:r w:rsidRPr="006A75A2">
              <w:rPr>
                <w:rFonts w:eastAsiaTheme="minorEastAsia"/>
                <w:lang w:eastAsia="en-AU"/>
              </w:rPr>
              <w:t>Other reserves</w:t>
            </w:r>
            <w:r w:rsidRPr="006A75A2">
              <w:rPr>
                <w:rFonts w:eastAsiaTheme="minorEastAsia"/>
                <w:vertAlign w:val="superscript"/>
                <w:lang w:eastAsia="en-AU"/>
              </w:rPr>
              <w:t>(a)</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1 069.4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1 491.6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582.0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562.3</w:t>
            </w:r>
          </w:p>
        </w:tc>
      </w:tr>
      <w:tr w:rsidR="004E6C32" w:rsidRPr="006A75A2" w:rsidTr="004B5CB1">
        <w:tc>
          <w:tcPr>
            <w:tcW w:w="5160" w:type="dxa"/>
            <w:tcBorders>
              <w:top w:val="single" w:sz="6" w:space="0" w:color="auto"/>
              <w:left w:val="nil"/>
              <w:bottom w:val="single" w:sz="12" w:space="0" w:color="000000"/>
              <w:right w:val="nil"/>
            </w:tcBorders>
          </w:tcPr>
          <w:p w:rsidR="004E6C32" w:rsidRPr="006A75A2" w:rsidRDefault="004E6C32" w:rsidP="009861EA">
            <w:pPr>
              <w:pStyle w:val="Tabletext"/>
              <w:rPr>
                <w:rFonts w:eastAsiaTheme="minorEastAsia" w:cs="Calibri"/>
                <w:b/>
                <w:bCs/>
                <w:szCs w:val="22"/>
                <w:vertAlign w:val="superscript"/>
                <w:lang w:eastAsia="en-AU"/>
              </w:rPr>
            </w:pPr>
            <w:r w:rsidRPr="006A75A2">
              <w:rPr>
                <w:rFonts w:eastAsiaTheme="minorEastAsia"/>
                <w:b/>
                <w:bCs/>
                <w:lang w:eastAsia="en-AU"/>
              </w:rPr>
              <w:t>Total reserves</w:t>
            </w:r>
            <w:r w:rsidRPr="006A75A2">
              <w:rPr>
                <w:rFonts w:eastAsiaTheme="minorEastAsia" w:cs="Calibri"/>
                <w:b/>
                <w:bCs/>
                <w:szCs w:val="22"/>
                <w:vertAlign w:val="superscript"/>
                <w:lang w:eastAsia="en-AU"/>
              </w:rPr>
              <w:t>(a)</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84 831.3</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80 017.0</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83 026.9</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76 957.9</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Note 37.</w:t>
      </w:r>
    </w:p>
    <w:p w:rsidR="004E6C32" w:rsidRPr="006A75A2" w:rsidRDefault="004E6C32" w:rsidP="004B5CB1"/>
    <w:p w:rsidR="004E6C32" w:rsidRPr="006A75A2" w:rsidRDefault="004E6C32" w:rsidP="0067336F">
      <w:pPr>
        <w:pStyle w:val="Heading5"/>
      </w:pPr>
      <w:r w:rsidRPr="006A75A2">
        <w:t>Movements in reserves</w:t>
      </w:r>
    </w:p>
    <w:p w:rsidR="004E6C32" w:rsidRPr="006A75A2" w:rsidRDefault="004E6C32" w:rsidP="0067336F">
      <w:pPr>
        <w:pStyle w:val="Heading5a"/>
      </w:pPr>
      <w:r w:rsidRPr="006A75A2">
        <w:t>Property, plant and equipment revaluation surplus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shd w:val="solid" w:color="000000" w:fill="auto"/>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left w:val="nil"/>
              <w:right w:val="nil"/>
            </w:tcBorders>
            <w:shd w:val="solid" w:color="000000" w:fill="auto"/>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left w:val="single" w:sz="6" w:space="0" w:color="000000"/>
              <w:right w:val="nil"/>
            </w:tcBorders>
            <w:shd w:val="solid" w:color="000000"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left w:val="nil"/>
              <w:right w:val="nil"/>
            </w:tcBorders>
            <w:shd w:val="solid" w:color="000000" w:fill="auto"/>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right w:val="nil"/>
            </w:tcBorders>
            <w:shd w:val="solid" w:color="000000" w:fill="auto"/>
          </w:tcPr>
          <w:p w:rsidR="004E6C32" w:rsidRPr="006A75A2" w:rsidRDefault="004E6C32" w:rsidP="004B5CB1">
            <w:pPr>
              <w:pStyle w:val="Tabletextheading"/>
              <w:rPr>
                <w:rFonts w:eastAsiaTheme="minorEastAsia"/>
                <w:iCs/>
                <w:vertAlign w:val="superscript"/>
                <w:lang w:eastAsia="en-AU"/>
              </w:rPr>
            </w:pPr>
            <w:r w:rsidRPr="006A75A2">
              <w:rPr>
                <w:rFonts w:eastAsiaTheme="minorEastAsia"/>
                <w:iCs/>
                <w:lang w:eastAsia="en-AU"/>
              </w:rPr>
              <w:t>2013</w:t>
            </w:r>
            <w:r w:rsidRPr="006A75A2">
              <w:rPr>
                <w:rFonts w:eastAsiaTheme="minorEastAsia"/>
                <w:iCs/>
                <w:vertAlign w:val="superscript"/>
                <w:lang w:eastAsia="en-AU"/>
              </w:rPr>
              <w:t>(a)</w:t>
            </w:r>
          </w:p>
        </w:tc>
        <w:tc>
          <w:tcPr>
            <w:tcW w:w="1120" w:type="dxa"/>
            <w:tcBorders>
              <w:left w:val="nil"/>
              <w:right w:val="nil"/>
            </w:tcBorders>
            <w:shd w:val="solid" w:color="000000" w:fill="auto"/>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right w:val="nil"/>
            </w:tcBorders>
            <w:shd w:val="solid" w:color="000000" w:fill="auto"/>
          </w:tcPr>
          <w:p w:rsidR="004E6C32" w:rsidRPr="006A75A2" w:rsidRDefault="004E6C32" w:rsidP="004B5CB1">
            <w:pPr>
              <w:pStyle w:val="Tabletextheading"/>
              <w:rPr>
                <w:rFonts w:eastAsiaTheme="minorEastAsia"/>
                <w:iCs/>
                <w:vertAlign w:val="superscript"/>
                <w:lang w:eastAsia="en-AU"/>
              </w:rPr>
            </w:pPr>
            <w:r w:rsidRPr="006A75A2">
              <w:rPr>
                <w:rFonts w:eastAsiaTheme="minorEastAsia"/>
                <w:iCs/>
                <w:lang w:eastAsia="en-AU"/>
              </w:rPr>
              <w:t>2013</w:t>
            </w:r>
            <w:r w:rsidRPr="006A75A2">
              <w:rPr>
                <w:rFonts w:eastAsiaTheme="minorEastAsia"/>
                <w:iCs/>
                <w:vertAlign w:val="superscript"/>
                <w:lang w:eastAsia="en-AU"/>
              </w:rPr>
              <w:t>(a)</w:t>
            </w:r>
          </w:p>
        </w:tc>
      </w:tr>
      <w:tr w:rsidR="004E6C32" w:rsidRPr="006A75A2" w:rsidTr="004B5CB1">
        <w:tc>
          <w:tcPr>
            <w:tcW w:w="5160" w:type="dxa"/>
            <w:tcBorders>
              <w:left w:val="nil"/>
              <w:bottom w:val="nil"/>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 xml:space="preserve">Balance at beginning of reporting period </w:t>
            </w:r>
          </w:p>
        </w:tc>
        <w:tc>
          <w:tcPr>
            <w:tcW w:w="1120" w:type="dxa"/>
            <w:tcBorders>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78 459.3</w:t>
            </w:r>
          </w:p>
        </w:tc>
        <w:tc>
          <w:tcPr>
            <w:tcW w:w="1120" w:type="dxa"/>
            <w:tcBorders>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77 944.7</w:t>
            </w:r>
          </w:p>
        </w:tc>
        <w:tc>
          <w:tcPr>
            <w:tcW w:w="1120" w:type="dxa"/>
            <w:tcBorders>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37 970.4</w:t>
            </w:r>
          </w:p>
        </w:tc>
        <w:tc>
          <w:tcPr>
            <w:tcW w:w="1120" w:type="dxa"/>
            <w:tcBorders>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37 249.6</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Revaluation – associate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(174.8)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 xml:space="preserve">Revaluation – other </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5 386.4</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430.1</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2 228.8</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720.7</w:t>
            </w:r>
          </w:p>
        </w:tc>
      </w:tr>
      <w:tr w:rsidR="004E6C32" w:rsidRPr="006A75A2" w:rsidTr="004B5CB1">
        <w:tc>
          <w:tcPr>
            <w:tcW w:w="5160" w:type="dxa"/>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Balance at the end of the reporting period</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83 670.8</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78 459.3</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40 199.2</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37 970.4</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Note 37.</w:t>
      </w:r>
    </w:p>
    <w:p w:rsidR="004E6C32" w:rsidRPr="006A75A2" w:rsidRDefault="004E6C32" w:rsidP="004B5CB1"/>
    <w:p w:rsidR="004E6C32" w:rsidRPr="006A75A2" w:rsidRDefault="004E6C32" w:rsidP="0067336F">
      <w:pPr>
        <w:pStyle w:val="Heading5a"/>
      </w:pPr>
      <w:r w:rsidRPr="006A75A2">
        <w:t>Available for sale investments revaluation surplus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beginning of reporting period</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55.0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30.2</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Transferred to profit or loss for the period</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w:t>
            </w:r>
          </w:p>
        </w:tc>
      </w:tr>
      <w:tr w:rsidR="004E6C32" w:rsidRPr="006A75A2" w:rsidTr="004B5CB1">
        <w:tc>
          <w:tcPr>
            <w:tcW w:w="5160" w:type="dxa"/>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Balance at the end of the reporting period</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91.1</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66.2</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58.3</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51.8</w:t>
            </w:r>
          </w:p>
        </w:tc>
      </w:tr>
    </w:tbl>
    <w:p w:rsidR="004E6C32" w:rsidRPr="006A75A2" w:rsidRDefault="004E6C32" w:rsidP="004B5CB1"/>
    <w:p w:rsidR="004E6C32" w:rsidRPr="006A75A2" w:rsidRDefault="004E6C32" w:rsidP="0067336F">
      <w:pPr>
        <w:pStyle w:val="Heading5a"/>
      </w:pPr>
      <w:r w:rsidRPr="006A75A2">
        <w:t>Revaluation surplus for investments in PFC and PNFC</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
              <w:rPr>
                <w:rFonts w:eastAsiaTheme="minorEastAsia"/>
                <w:iCs/>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9861EA">
            <w:pPr>
              <w:pStyle w:val="Tabletextheading"/>
              <w:rPr>
                <w:rFonts w:eastAsiaTheme="minorEastAsia"/>
                <w:iCs/>
                <w:lang w:eastAsia="en-AU"/>
              </w:rPr>
            </w:pPr>
            <w:r w:rsidRPr="006A75A2">
              <w:rPr>
                <w:rFonts w:eastAsiaTheme="minorEastAsia"/>
                <w:iCs/>
                <w:lang w:eastAsia="en-AU"/>
              </w:rPr>
              <w:t>2013</w:t>
            </w:r>
            <w:r w:rsidRPr="006A75A2">
              <w:rPr>
                <w:rFonts w:eastAsiaTheme="minorEastAsia"/>
                <w:iCs/>
                <w:vertAlign w:val="superscript"/>
                <w:lang w:eastAsia="en-AU"/>
              </w:rPr>
              <w:t>(a)</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beginning of reporting period</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38 373.5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38 871.2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 – PFC entities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944.3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897.0</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 – PNFC entities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2 869.6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(1 394.8)</w:t>
            </w:r>
          </w:p>
        </w:tc>
      </w:tr>
      <w:tr w:rsidR="004E6C32" w:rsidRPr="006A75A2" w:rsidTr="004B5CB1">
        <w:tc>
          <w:tcPr>
            <w:tcW w:w="5160" w:type="dxa"/>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Balance at the end of the reporting period</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42 187.3</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38 373.5</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Note 37.</w:t>
      </w:r>
    </w:p>
    <w:p w:rsidR="004E6C32" w:rsidRPr="006A75A2" w:rsidRDefault="004E6C32">
      <w:pPr>
        <w:spacing w:after="0"/>
        <w:rPr>
          <w:rFonts w:ascii="Calibri" w:hAnsi="Calibri"/>
          <w:i/>
          <w:sz w:val="23"/>
        </w:rPr>
      </w:pPr>
      <w:r w:rsidRPr="006A75A2">
        <w:br w:type="page"/>
      </w:r>
    </w:p>
    <w:p w:rsidR="004E6C32" w:rsidRPr="006A75A2" w:rsidRDefault="004E6C32" w:rsidP="004B5CB1">
      <w:pPr>
        <w:pStyle w:val="Heading2NotesContd"/>
        <w:rPr>
          <w:i/>
          <w:kern w:val="0"/>
          <w:vertAlign w:val="superscript"/>
        </w:rPr>
      </w:pPr>
      <w:r w:rsidRPr="006A75A2">
        <w:rPr>
          <w:kern w:val="0"/>
        </w:rPr>
        <w:lastRenderedPageBreak/>
        <w:t>Note 29:</w:t>
      </w:r>
      <w:r w:rsidRPr="006A75A2">
        <w:rPr>
          <w:kern w:val="0"/>
        </w:rPr>
        <w:tab/>
        <w:t xml:space="preserve">Reserves, accumulated surplus/(deficit) and non-controlling interests </w:t>
      </w:r>
      <w:r w:rsidRPr="006A75A2">
        <w:rPr>
          <w:i/>
          <w:kern w:val="0"/>
        </w:rPr>
        <w:t>(continued)</w:t>
      </w:r>
    </w:p>
    <w:p w:rsidR="00C07A50" w:rsidRPr="006A75A2" w:rsidRDefault="00C07A50" w:rsidP="00C07A50">
      <w:pPr>
        <w:pStyle w:val="Heading5"/>
        <w:rPr>
          <w:vertAlign w:val="superscript"/>
        </w:rPr>
      </w:pPr>
      <w:r w:rsidRPr="006A75A2">
        <w:t>(a)</w:t>
      </w:r>
      <w:r w:rsidRPr="006A75A2">
        <w:tab/>
        <w:t xml:space="preserve">Reserves </w:t>
      </w:r>
      <w:r w:rsidRPr="006A75A2">
        <w:rPr>
          <w:i/>
        </w:rPr>
        <w:t>(continued)</w:t>
      </w:r>
    </w:p>
    <w:p w:rsidR="004E6C32" w:rsidRPr="006A75A2" w:rsidRDefault="004E6C32" w:rsidP="0067336F">
      <w:pPr>
        <w:pStyle w:val="Heading5a"/>
      </w:pPr>
      <w:r w:rsidRPr="006A75A2">
        <w:t>Other reserves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pPr>
          </w:p>
          <w:p w:rsidR="00AA1ED5" w:rsidRPr="006A75A2" w:rsidRDefault="00AA1ED5" w:rsidP="004B5CB1">
            <w:pPr>
              <w:pStyle w:val="TabletextheadingCentred"/>
            </w:pPr>
            <w:r w:rsidRPr="006A75A2">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pPr>
            <w:r w:rsidRPr="006A75A2">
              <w:t xml:space="preserve">General </w:t>
            </w:r>
            <w:r w:rsidRPr="006A75A2">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vertAlign w:val="superscript"/>
                <w:lang w:eastAsia="en-AU"/>
              </w:rPr>
            </w:pPr>
            <w:r w:rsidRPr="006A75A2">
              <w:rPr>
                <w:rFonts w:eastAsiaTheme="minorEastAsia"/>
                <w:iCs/>
                <w:lang w:eastAsia="en-AU"/>
              </w:rPr>
              <w:t>2013</w:t>
            </w:r>
            <w:r w:rsidRPr="006A75A2">
              <w:rPr>
                <w:rFonts w:eastAsiaTheme="minorEastAsia"/>
                <w:iCs/>
                <w:vertAlign w:val="superscript"/>
                <w:lang w:eastAsia="en-AU"/>
              </w:rPr>
              <w:t>(a)</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vertAlign w:val="superscript"/>
                <w:lang w:eastAsia="en-AU"/>
              </w:rPr>
            </w:pPr>
            <w:r w:rsidRPr="006A75A2">
              <w:rPr>
                <w:rFonts w:eastAsiaTheme="minorEastAsia"/>
                <w:iCs/>
                <w:lang w:eastAsia="en-AU"/>
              </w:rPr>
              <w:t>2013</w:t>
            </w:r>
            <w:r w:rsidRPr="006A75A2">
              <w:rPr>
                <w:rFonts w:eastAsiaTheme="minorEastAsia"/>
                <w:iCs/>
                <w:vertAlign w:val="superscript"/>
                <w:lang w:eastAsia="en-AU"/>
              </w:rPr>
              <w:t>(a)</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beginning of reporting period</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1 491.6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2 327.6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562.3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674.8</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Transfers to/(from) accumulated surplus</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(422.2)</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(836.0)</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19.8</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(112.5)</w:t>
            </w:r>
          </w:p>
        </w:tc>
      </w:tr>
      <w:tr w:rsidR="004E6C32" w:rsidRPr="006A75A2" w:rsidTr="004B5CB1">
        <w:tc>
          <w:tcPr>
            <w:tcW w:w="5160" w:type="dxa"/>
            <w:tcBorders>
              <w:top w:val="single" w:sz="6" w:space="0" w:color="auto"/>
              <w:left w:val="nil"/>
              <w:bottom w:val="single" w:sz="12" w:space="0" w:color="000000"/>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Balance at the end of the reporting period</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1 069.4</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1 491.6</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582.0</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562.3</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Note 37.</w:t>
      </w:r>
    </w:p>
    <w:p w:rsidR="004E6C32" w:rsidRPr="006A75A2" w:rsidRDefault="004E6C32" w:rsidP="004B5CB1">
      <w:pPr>
        <w:pStyle w:val="Notes"/>
      </w:pPr>
    </w:p>
    <w:p w:rsidR="004E6C32" w:rsidRPr="006A75A2" w:rsidRDefault="004E6C32" w:rsidP="004B5CB1"/>
    <w:p w:rsidR="004E6C32" w:rsidRPr="006A75A2" w:rsidRDefault="004E6C32" w:rsidP="0067336F">
      <w:pPr>
        <w:pStyle w:val="Heading5"/>
        <w:rPr>
          <w:vertAlign w:val="superscript"/>
        </w:rPr>
      </w:pPr>
      <w:r w:rsidRPr="006A75A2">
        <w:t>(b)</w:t>
      </w:r>
      <w:r w:rsidRPr="006A75A2">
        <w:tab/>
        <w:t>Accumulated surplus/(deficit)</w:t>
      </w:r>
      <w:r w:rsidRPr="006A75A2">
        <w:rPr>
          <w:vertAlign w:val="superscript"/>
        </w:rPr>
        <w:t>(a)</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000000"/>
              <w:left w:val="single" w:sz="6" w:space="0" w:color="000000"/>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000000"/>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000000"/>
              <w:left w:val="nil"/>
              <w:bottom w:val="nil"/>
              <w:right w:val="single" w:sz="6" w:space="0" w:color="000000"/>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000000"/>
              <w:bottom w:val="single" w:sz="6" w:space="0" w:color="000000"/>
              <w:right w:val="nil"/>
            </w:tcBorders>
            <w:shd w:val="clear" w:color="000000" w:fill="000000"/>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 xml:space="preserve"> </w:t>
            </w:r>
          </w:p>
        </w:tc>
        <w:tc>
          <w:tcPr>
            <w:tcW w:w="1120" w:type="dxa"/>
            <w:tcBorders>
              <w:top w:val="nil"/>
              <w:left w:val="nil"/>
              <w:bottom w:val="single" w:sz="6" w:space="0" w:color="000000"/>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000000"/>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000000"/>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000000"/>
              <w:right w:val="single" w:sz="6" w:space="0" w:color="000000"/>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000000"/>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beginning of reporting period</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43 565.1</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32 522.9</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43 174.7</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34 808.2</w:t>
            </w:r>
          </w:p>
        </w:tc>
      </w:tr>
      <w:tr w:rsidR="004E6C32" w:rsidRPr="006A75A2" w:rsidTr="004B5CB1">
        <w:tc>
          <w:tcPr>
            <w:tcW w:w="5160" w:type="dxa"/>
            <w:tcBorders>
              <w:top w:val="nil"/>
              <w:left w:val="nil"/>
              <w:bottom w:val="nil"/>
              <w:right w:val="nil"/>
            </w:tcBorders>
          </w:tcPr>
          <w:p w:rsidR="004E6C32" w:rsidRPr="006A75A2" w:rsidRDefault="004E6C32" w:rsidP="009861EA">
            <w:pPr>
              <w:pStyle w:val="Tabletext"/>
              <w:rPr>
                <w:rFonts w:eastAsiaTheme="minorEastAsia"/>
                <w:vertAlign w:val="superscript"/>
                <w:lang w:eastAsia="en-AU"/>
              </w:rPr>
            </w:pPr>
            <w:r w:rsidRPr="006A75A2">
              <w:rPr>
                <w:rFonts w:eastAsiaTheme="minorEastAsia"/>
                <w:lang w:eastAsia="en-AU"/>
              </w:rPr>
              <w:t>Net result for the period</w:t>
            </w:r>
            <w:r w:rsidRPr="006A75A2">
              <w:rPr>
                <w:rFonts w:eastAsiaTheme="minorEastAsia"/>
                <w:vertAlign w:val="superscript"/>
                <w:lang w:eastAsia="en-AU"/>
              </w:rPr>
              <w:t>(b)</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1 659.3</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1 536.0</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773.1</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(533.9)</w:t>
            </w:r>
          </w:p>
        </w:tc>
      </w:tr>
      <w:tr w:rsidR="004E6C32" w:rsidRPr="006A75A2" w:rsidTr="004B5CB1">
        <w:tc>
          <w:tcPr>
            <w:tcW w:w="5160" w:type="dxa"/>
            <w:tcBorders>
              <w:top w:val="nil"/>
              <w:left w:val="nil"/>
              <w:bottom w:val="single" w:sz="6" w:space="0" w:color="auto"/>
              <w:right w:val="nil"/>
            </w:tcBorders>
          </w:tcPr>
          <w:p w:rsidR="004E6C32" w:rsidRPr="006A75A2" w:rsidRDefault="004E6C32" w:rsidP="009861EA">
            <w:pPr>
              <w:pStyle w:val="Tabletext"/>
              <w:rPr>
                <w:rFonts w:eastAsiaTheme="minorEastAsia"/>
                <w:vertAlign w:val="superscript"/>
                <w:lang w:eastAsia="en-AU"/>
              </w:rPr>
            </w:pPr>
            <w:r w:rsidRPr="006A75A2">
              <w:rPr>
                <w:rFonts w:eastAsiaTheme="minorEastAsia"/>
                <w:lang w:eastAsia="en-AU"/>
              </w:rPr>
              <w:t>Other comprehensive income for the year</w:t>
            </w:r>
            <w:r w:rsidRPr="006A75A2">
              <w:rPr>
                <w:rFonts w:eastAsiaTheme="minorEastAsia"/>
                <w:vertAlign w:val="superscript"/>
                <w:lang w:eastAsia="en-AU"/>
              </w:rPr>
              <w:t>(b)</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987.0</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9 506.1</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462.3</w:t>
            </w:r>
          </w:p>
        </w:tc>
        <w:tc>
          <w:tcPr>
            <w:tcW w:w="1120" w:type="dxa"/>
            <w:tcBorders>
              <w:top w:val="nil"/>
              <w:left w:val="nil"/>
              <w:bottom w:val="single" w:sz="6" w:space="0" w:color="auto"/>
              <w:right w:val="nil"/>
            </w:tcBorders>
            <w:shd w:val="clear" w:color="auto" w:fill="auto"/>
          </w:tcPr>
          <w:p w:rsidR="004E6C32" w:rsidRPr="006A75A2" w:rsidRDefault="004E6C32" w:rsidP="004B5CB1">
            <w:pPr>
              <w:pStyle w:val="TableofFigures"/>
              <w:rPr>
                <w:rFonts w:eastAsiaTheme="minorEastAsia"/>
                <w:vertAlign w:val="superscript"/>
                <w:lang w:eastAsia="en-AU"/>
              </w:rPr>
            </w:pPr>
            <w:r w:rsidRPr="006A75A2">
              <w:rPr>
                <w:rFonts w:eastAsiaTheme="minorEastAsia"/>
                <w:lang w:eastAsia="en-AU"/>
              </w:rPr>
              <w:t>8 900.4</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Balance at the end of the reporting period</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46 211.3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43 565.1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44 410.0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43 174.7</w:t>
            </w:r>
          </w:p>
        </w:tc>
      </w:tr>
    </w:tbl>
    <w:p w:rsidR="004E6C32" w:rsidRPr="006A75A2" w:rsidRDefault="004E6C32" w:rsidP="004B5CB1">
      <w:pPr>
        <w:pStyle w:val="Notes"/>
        <w:rPr>
          <w:rFonts w:cs="Calibri"/>
        </w:rPr>
      </w:pPr>
      <w:r w:rsidRPr="006A75A2">
        <w:rPr>
          <w:rFonts w:cs="Calibri"/>
        </w:rPr>
        <w:t>Notes:</w:t>
      </w:r>
    </w:p>
    <w:p w:rsidR="004E6C32" w:rsidRPr="006A75A2" w:rsidRDefault="004E6C32" w:rsidP="004E6C32">
      <w:pPr>
        <w:pStyle w:val="Notes"/>
        <w:numPr>
          <w:ilvl w:val="0"/>
          <w:numId w:val="15"/>
        </w:numPr>
      </w:pPr>
      <w:r w:rsidRPr="006A75A2">
        <w:t>June 2013 comparative figures have been restated. See Note 37.</w:t>
      </w:r>
    </w:p>
    <w:p w:rsidR="004E6C32" w:rsidRPr="006A75A2" w:rsidRDefault="004E6C32" w:rsidP="004E6C32">
      <w:pPr>
        <w:pStyle w:val="Notes"/>
        <w:numPr>
          <w:ilvl w:val="0"/>
          <w:numId w:val="15"/>
        </w:numPr>
      </w:pPr>
      <w:r w:rsidRPr="006A75A2">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Pr>
        <w:pStyle w:val="Notes"/>
        <w:ind w:left="1800" w:firstLine="0"/>
      </w:pPr>
    </w:p>
    <w:p w:rsidR="004E6C32" w:rsidRPr="006A75A2" w:rsidRDefault="004E6C32" w:rsidP="004B5CB1"/>
    <w:p w:rsidR="004E6C32" w:rsidRPr="006A75A2" w:rsidRDefault="004E6C32" w:rsidP="0067336F">
      <w:pPr>
        <w:pStyle w:val="Heading5"/>
        <w:rPr>
          <w:vertAlign w:val="superscript"/>
        </w:rPr>
      </w:pPr>
      <w:r w:rsidRPr="006A75A2">
        <w:t>(c)</w:t>
      </w:r>
      <w:r w:rsidRPr="006A75A2">
        <w:tab/>
        <w:t>Non-controlling interest</w:t>
      </w:r>
      <w:r w:rsidRPr="006A75A2">
        <w:rPr>
          <w:vertAlign w:val="superscript"/>
        </w:rPr>
        <w:t>(a)</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beginning of reporting period</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 xml:space="preserve">Net contributions during the year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Balance at the end of the reporting period</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50.0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50.0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50.0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50.0</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Non-controlling interest share of contributed capital in the Australian Synchrotron Holding Company as at 30 June 2014.</w:t>
      </w:r>
    </w:p>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60" w:name="_Toc400040277"/>
      <w:r w:rsidRPr="006A75A2">
        <w:rPr>
          <w:kern w:val="0"/>
        </w:rPr>
        <w:lastRenderedPageBreak/>
        <w:t>Note 30:</w:t>
      </w:r>
      <w:r w:rsidRPr="006A75A2">
        <w:rPr>
          <w:kern w:val="0"/>
        </w:rPr>
        <w:tab/>
        <w:t>Cash flow information</w:t>
      </w:r>
      <w:bookmarkEnd w:id="60"/>
    </w:p>
    <w:p w:rsidR="004E6C32" w:rsidRPr="006A75A2" w:rsidRDefault="004E6C32" w:rsidP="0067336F">
      <w:pPr>
        <w:pStyle w:val="Heading5"/>
      </w:pPr>
      <w:r w:rsidRPr="006A75A2">
        <w:t>(a)</w:t>
      </w:r>
      <w:r w:rsidRPr="006A75A2">
        <w:tab/>
        <w:t>Reconciliation of cash and cash equivalents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1 872.0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1 822.5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1 538.3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1 381.6</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 xml:space="preserve">Deposits at call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6 328.8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4 430.4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2 962.5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2 580.4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Cash and cash equivalents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8 200.7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6 252.9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4 500.9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3 962.0</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Bank overdraft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Balances as per cash flow statement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8 199.9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6 252.9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4 500.9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3 962.0</w:t>
            </w:r>
          </w:p>
        </w:tc>
      </w:tr>
    </w:tbl>
    <w:p w:rsidR="004E6C32" w:rsidRPr="006A75A2" w:rsidRDefault="004E6C32" w:rsidP="004B5CB1">
      <w:pPr>
        <w:pStyle w:val="Notes"/>
      </w:pPr>
    </w:p>
    <w:p w:rsidR="004E6C32" w:rsidRPr="006A75A2" w:rsidRDefault="004E6C32" w:rsidP="004B5CB1"/>
    <w:p w:rsidR="004E6C32" w:rsidRPr="006A75A2" w:rsidRDefault="004E6C32" w:rsidP="0067336F">
      <w:pPr>
        <w:pStyle w:val="Heading5"/>
      </w:pPr>
      <w:r w:rsidRPr="006A75A2">
        <w:t>(b)</w:t>
      </w:r>
      <w:r w:rsidRPr="006A75A2">
        <w:tab/>
        <w:t>Reconciliation of net result to net cash flows from operating activities</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9861EA">
            <w:pPr>
              <w:pStyle w:val="Tabletext"/>
              <w:rPr>
                <w:rFonts w:eastAsiaTheme="minorEastAsia" w:cs="Calibri"/>
                <w:b/>
                <w:bCs/>
                <w:szCs w:val="22"/>
                <w:vertAlign w:val="superscript"/>
                <w:lang w:eastAsia="en-AU"/>
              </w:rPr>
            </w:pPr>
            <w:r w:rsidRPr="006A75A2">
              <w:rPr>
                <w:rFonts w:eastAsiaTheme="minorEastAsia"/>
                <w:b/>
                <w:bCs/>
                <w:lang w:eastAsia="en-AU"/>
              </w:rPr>
              <w:t>Net result</w:t>
            </w:r>
            <w:r w:rsidRPr="006A75A2">
              <w:rPr>
                <w:rFonts w:eastAsiaTheme="minorEastAsia"/>
                <w:b/>
                <w:bCs/>
                <w:vertAlign w:val="superscript"/>
                <w:lang w:eastAsia="en-AU"/>
              </w:rPr>
              <w:t>(a)</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1 659.3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1 536.0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773.1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(533.9)</w:t>
            </w:r>
          </w:p>
        </w:tc>
      </w:tr>
      <w:tr w:rsidR="00AA1ED5" w:rsidRPr="006A75A2" w:rsidTr="00AD1FBF">
        <w:tc>
          <w:tcPr>
            <w:tcW w:w="9640" w:type="dxa"/>
            <w:gridSpan w:val="5"/>
            <w:tcBorders>
              <w:top w:val="nil"/>
              <w:left w:val="nil"/>
              <w:bottom w:val="nil"/>
              <w:right w:val="nil"/>
            </w:tcBorders>
          </w:tcPr>
          <w:p w:rsidR="00AA1ED5" w:rsidRPr="006A75A2" w:rsidRDefault="00AA1ED5" w:rsidP="00AA1ED5">
            <w:pPr>
              <w:pStyle w:val="Tabletext"/>
              <w:rPr>
                <w:rFonts w:eastAsiaTheme="minorEastAsia"/>
                <w:b/>
                <w:lang w:eastAsia="en-AU"/>
              </w:rPr>
            </w:pPr>
            <w:r w:rsidRPr="006A75A2">
              <w:rPr>
                <w:rFonts w:eastAsiaTheme="minorEastAsia"/>
                <w:b/>
                <w:bCs/>
                <w:lang w:eastAsia="en-AU"/>
              </w:rPr>
              <w:t>Non-cash movements</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Depreciation and amortisation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4 304.7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4 155.4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2 363.8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2 270.0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 of investments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(1 372.4)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(1 562.9)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(47.6)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(15.8)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Assets (received)/provided free of charge</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(189.5)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(140.0)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(34.8)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11.7</w:t>
            </w:r>
          </w:p>
        </w:tc>
      </w:tr>
      <w:tr w:rsidR="004E6C32" w:rsidRPr="006A75A2" w:rsidTr="004B5CB1">
        <w:tc>
          <w:tcPr>
            <w:tcW w:w="5160"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Assets not previously/no longer recognised</w:t>
            </w:r>
            <w:r w:rsidRPr="006A75A2">
              <w:rPr>
                <w:rFonts w:eastAsiaTheme="minorEastAsia"/>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824.2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(231.9)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824.4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(230.2)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Revaluation of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126.0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113.8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Discount/premium on other financial assets/borrowings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(73.2)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(99.5)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Bad/doubtful debts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Foreign currency dealings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Unrealised (gains)/losses on borrowings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877.4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(910.4)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Discounting of assets and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AA1ED5" w:rsidRPr="006A75A2" w:rsidTr="00AD1FBF">
        <w:tc>
          <w:tcPr>
            <w:tcW w:w="9640" w:type="dxa"/>
            <w:gridSpan w:val="5"/>
            <w:tcBorders>
              <w:top w:val="nil"/>
              <w:left w:val="nil"/>
              <w:bottom w:val="nil"/>
              <w:right w:val="nil"/>
            </w:tcBorders>
          </w:tcPr>
          <w:p w:rsidR="00AA1ED5" w:rsidRPr="006A75A2" w:rsidRDefault="00AA1ED5" w:rsidP="00AA1ED5">
            <w:pPr>
              <w:pStyle w:val="Tabletext"/>
              <w:rPr>
                <w:rFonts w:eastAsiaTheme="minorEastAsia"/>
                <w:b/>
                <w:lang w:eastAsia="en-AU"/>
              </w:rPr>
            </w:pPr>
            <w:r w:rsidRPr="006A75A2">
              <w:rPr>
                <w:rFonts w:eastAsiaTheme="minorEastAsia"/>
                <w:b/>
                <w:bCs/>
                <w:lang w:eastAsia="en-AU"/>
              </w:rPr>
              <w:t>Movements included in investing and financing activities</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gain/loss from sale of investments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(751.4)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(586.5)</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(15.4)</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gain/loss from sale of plant and equipment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(21.1)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(20.8)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Realised gains/losses on borrowings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59.8</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(14.6)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AA1ED5" w:rsidRPr="006A75A2" w:rsidTr="00AD1FBF">
        <w:tc>
          <w:tcPr>
            <w:tcW w:w="9640" w:type="dxa"/>
            <w:gridSpan w:val="5"/>
            <w:tcBorders>
              <w:top w:val="nil"/>
              <w:left w:val="nil"/>
              <w:bottom w:val="nil"/>
              <w:right w:val="nil"/>
            </w:tcBorders>
          </w:tcPr>
          <w:p w:rsidR="00AA1ED5" w:rsidRPr="006A75A2" w:rsidRDefault="00AA1ED5" w:rsidP="00AA1ED5">
            <w:pPr>
              <w:pStyle w:val="Tabletext"/>
              <w:rPr>
                <w:rFonts w:eastAsiaTheme="minorEastAsia"/>
                <w:b/>
                <w:lang w:eastAsia="en-AU"/>
              </w:rPr>
            </w:pPr>
            <w:r w:rsidRPr="006A75A2">
              <w:rPr>
                <w:rFonts w:eastAsiaTheme="minorEastAsia"/>
                <w:b/>
                <w:bCs/>
                <w:lang w:eastAsia="en-AU"/>
              </w:rPr>
              <w:t>Movements in assets and liabilities</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Increase/(decrease) in provision for doubtful debts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137.2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130.7</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Increase/(decrease) in payables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1 443.2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(422.2)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773.2</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Increase/(decrease) in employee benefits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182.3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165.7</w:t>
            </w:r>
          </w:p>
        </w:tc>
      </w:tr>
      <w:tr w:rsidR="004E6C32" w:rsidRPr="006A75A2" w:rsidTr="004B5CB1">
        <w:tc>
          <w:tcPr>
            <w:tcW w:w="5160"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Increase/(decrease) in superannuation</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241.6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252.0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492.8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Increase/(decrease) in other provisions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1 112.3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(371.9)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(51.0)</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Increase/(decrease) in other 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(Increase)/decrease in receivables </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(25.6)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(1 240.4)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83.7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(1 358.7)</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(Increase)/decrease in other non-financial assets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(62.8)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(51.3)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(99.9)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(45.5)</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cash flows from operating activities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6 900.0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2 812.4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3 942.5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1 692.3</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Pr>
        <w:pStyle w:val="Notes"/>
      </w:pPr>
      <w:r w:rsidRPr="006A75A2">
        <w:t>(b)</w:t>
      </w:r>
      <w:r w:rsidRPr="006A75A2">
        <w:tab/>
        <w:t xml:space="preserve">The enactment of the </w:t>
      </w:r>
      <w:r w:rsidRPr="006A75A2">
        <w:rPr>
          <w:i w:val="0"/>
        </w:rPr>
        <w:t>Education and Training Reform Amendment (Dual Sector Universities) Act 2013</w:t>
      </w:r>
      <w:r w:rsidRPr="006A75A2">
        <w:t xml:space="preserve"> resulted in the dual sector TAFEs deconsolidation from the general government sector from 1 January 2014, causing the large movement in </w:t>
      </w:r>
      <w:r w:rsidR="00C96101" w:rsidRPr="006A75A2">
        <w:t>‘</w:t>
      </w:r>
      <w:r w:rsidRPr="006A75A2">
        <w:rPr>
          <w:rFonts w:eastAsiaTheme="minorEastAsia"/>
        </w:rPr>
        <w:t>assets not previously recognised</w:t>
      </w:r>
      <w:r w:rsidR="00C96101" w:rsidRPr="006A75A2">
        <w:rPr>
          <w:rFonts w:eastAsiaTheme="minorEastAsia"/>
        </w:rPr>
        <w:t>’</w:t>
      </w:r>
      <w:r w:rsidRPr="006A75A2">
        <w:rPr>
          <w:rFonts w:eastAsiaTheme="minorEastAsia"/>
        </w:rPr>
        <w:t>.</w:t>
      </w:r>
    </w:p>
    <w:p w:rsidR="004E6C32" w:rsidRPr="006A75A2" w:rsidRDefault="004E6C32" w:rsidP="004B5CB1">
      <w:pPr>
        <w:pStyle w:val="Heading2Notes"/>
        <w:rPr>
          <w:kern w:val="0"/>
        </w:rPr>
      </w:pPr>
      <w:bookmarkStart w:id="61" w:name="_Toc400040278"/>
      <w:r w:rsidRPr="006A75A2">
        <w:rPr>
          <w:kern w:val="0"/>
        </w:rPr>
        <w:lastRenderedPageBreak/>
        <w:t>Note 31:</w:t>
      </w:r>
      <w:r w:rsidRPr="006A75A2">
        <w:rPr>
          <w:kern w:val="0"/>
        </w:rPr>
        <w:tab/>
        <w:t>Reconciliations</w:t>
      </w:r>
      <w:bookmarkEnd w:id="61"/>
    </w:p>
    <w:p w:rsidR="004E6C32" w:rsidRPr="006A75A2" w:rsidRDefault="004E6C32" w:rsidP="0067336F">
      <w:pPr>
        <w:pStyle w:val="Heading5"/>
      </w:pPr>
      <w:r w:rsidRPr="006A75A2">
        <w:t>(a)</w:t>
      </w:r>
      <w:r w:rsidRPr="006A75A2">
        <w:tab/>
        <w:t>Reconciliation to GFS net operating balance</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4B5CB1">
            <w:pPr>
              <w:pStyle w:val="TabletextheadingCentred"/>
              <w:rPr>
                <w:rFonts w:eastAsiaTheme="minorEastAsia"/>
                <w:lang w:eastAsia="en-AU"/>
              </w:rPr>
            </w:pPr>
            <w:r w:rsidRPr="006A75A2">
              <w:rPr>
                <w:rFonts w:eastAsiaTheme="minorEastAsia"/>
                <w:lang w:eastAsia="en-AU"/>
              </w:rPr>
              <w:t>Public non-financial corporations</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9861EA">
            <w:pPr>
              <w:pStyle w:val="Tabletext"/>
              <w:rPr>
                <w:rFonts w:eastAsiaTheme="minorEastAsia" w:cs="Calibri"/>
                <w:b/>
                <w:bCs/>
                <w:szCs w:val="22"/>
                <w:vertAlign w:val="superscript"/>
                <w:lang w:eastAsia="en-AU"/>
              </w:rPr>
            </w:pPr>
            <w:r w:rsidRPr="006A75A2">
              <w:rPr>
                <w:rFonts w:eastAsiaTheme="minorEastAsia"/>
                <w:b/>
                <w:lang w:eastAsia="en-AU"/>
              </w:rPr>
              <w:t>Net result from transactions – net operating balance</w:t>
            </w:r>
            <w:r w:rsidRPr="006A75A2">
              <w:rPr>
                <w:rFonts w:eastAsiaTheme="minorEastAsia" w:cs="Calibri"/>
                <w:b/>
                <w:bCs/>
                <w:szCs w:val="22"/>
                <w:vertAlign w:val="superscript"/>
                <w:lang w:eastAsia="en-AU"/>
              </w:rPr>
              <w:t>(b)</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1 976.2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vertAlign w:val="superscript"/>
                <w:lang w:eastAsia="en-AU"/>
              </w:rPr>
            </w:pPr>
            <w:r w:rsidRPr="006A75A2">
              <w:rPr>
                <w:rFonts w:eastAsiaTheme="minorEastAsia"/>
                <w:b/>
                <w:lang w:eastAsia="en-AU"/>
              </w:rPr>
              <w:t>(316.6)</w:t>
            </w:r>
            <w:r w:rsidRPr="006A75A2">
              <w:rPr>
                <w:rFonts w:eastAsiaTheme="minorEastAsia"/>
                <w:b/>
                <w:vertAlign w:val="superscript"/>
                <w:lang w:eastAsia="en-AU"/>
              </w:rPr>
              <w:t>(a)</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51.5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Cs w:val="22"/>
                <w:vertAlign w:val="superscript"/>
                <w:lang w:eastAsia="en-AU"/>
              </w:rPr>
            </w:pPr>
            <w:r w:rsidRPr="006A75A2">
              <w:rPr>
                <w:rFonts w:eastAsiaTheme="minorEastAsia"/>
                <w:b/>
                <w:lang w:eastAsia="en-AU"/>
              </w:rPr>
              <w:t>(298.2)</w:t>
            </w:r>
          </w:p>
        </w:tc>
      </w:tr>
      <w:tr w:rsidR="004E6C32" w:rsidRPr="006A75A2" w:rsidTr="004B5CB1">
        <w:tc>
          <w:tcPr>
            <w:tcW w:w="5160" w:type="dxa"/>
            <w:tcBorders>
              <w:top w:val="nil"/>
              <w:left w:val="nil"/>
              <w:bottom w:val="nil"/>
              <w:right w:val="nil"/>
            </w:tcBorders>
          </w:tcPr>
          <w:p w:rsidR="004E6C32" w:rsidRPr="006A75A2" w:rsidRDefault="004E6C32" w:rsidP="009861EA">
            <w:pPr>
              <w:pStyle w:val="Tabletext"/>
              <w:rPr>
                <w:rFonts w:eastAsiaTheme="minorEastAsia"/>
                <w:vertAlign w:val="superscript"/>
                <w:lang w:eastAsia="en-AU"/>
              </w:rPr>
            </w:pPr>
            <w:r w:rsidRPr="006A75A2">
              <w:rPr>
                <w:rFonts w:eastAsiaTheme="minorEastAsia"/>
                <w:i/>
                <w:iCs/>
                <w:lang w:eastAsia="en-AU"/>
              </w:rPr>
              <w:t>Convergence differences</w:t>
            </w:r>
            <w:r w:rsidRPr="006A75A2">
              <w:rPr>
                <w:rFonts w:eastAsiaTheme="minorEastAsia"/>
                <w:vertAlign w:val="superscript"/>
                <w:lang w:eastAsia="en-AU"/>
              </w:rPr>
              <w:t>(c)</w:t>
            </w:r>
            <w:r w:rsidR="009861EA"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PNFC/PFC dividends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720.3</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plus total convergence difference:</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(84.0)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(720.3)</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GFS net operating balance</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1 976.2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vertAlign w:val="superscript"/>
                <w:lang w:eastAsia="en-AU"/>
              </w:rPr>
            </w:pPr>
            <w:r w:rsidRPr="006A75A2">
              <w:rPr>
                <w:rFonts w:eastAsiaTheme="minorEastAsia"/>
                <w:b/>
                <w:lang w:eastAsia="en-AU"/>
              </w:rPr>
              <w:t>(316.6)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(32.4)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(1 018.5)</w:t>
            </w:r>
          </w:p>
        </w:tc>
      </w:tr>
    </w:tbl>
    <w:p w:rsidR="004E6C32" w:rsidRPr="006A75A2" w:rsidRDefault="004E6C32" w:rsidP="004B5CB1">
      <w:pPr>
        <w:pStyle w:val="Notes"/>
      </w:pPr>
      <w:r w:rsidRPr="006A75A2">
        <w:t>Notes:</w:t>
      </w:r>
    </w:p>
    <w:p w:rsidR="004E6C32" w:rsidRPr="006A75A2" w:rsidRDefault="004E6C32" w:rsidP="004E6C32">
      <w:pPr>
        <w:pStyle w:val="Notes"/>
        <w:numPr>
          <w:ilvl w:val="0"/>
          <w:numId w:val="13"/>
        </w:numPr>
      </w:pPr>
      <w:r w:rsidRPr="006A75A2">
        <w:t>Determined in accordance with the ABS GFS manual.</w:t>
      </w:r>
    </w:p>
    <w:p w:rsidR="004E6C32" w:rsidRPr="006A75A2" w:rsidRDefault="004E6C32" w:rsidP="004E6C32">
      <w:pPr>
        <w:pStyle w:val="Notes"/>
        <w:numPr>
          <w:ilvl w:val="0"/>
          <w:numId w:val="13"/>
        </w:numPr>
      </w:pPr>
      <w:r w:rsidRPr="006A75A2">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E6C32">
      <w:pPr>
        <w:pStyle w:val="Notes"/>
        <w:numPr>
          <w:ilvl w:val="0"/>
          <w:numId w:val="13"/>
        </w:numPr>
      </w:pPr>
      <w:r w:rsidRPr="006A75A2">
        <w:t>The convergence difference arises because GFS recognised dividends paid/ payable as an expense from transactions on the operating statement whereas, under accounting standards, dividends are classified as after-profit distributions to owner.</w:t>
      </w:r>
    </w:p>
    <w:p w:rsidR="004E6C32" w:rsidRPr="006A75A2" w:rsidRDefault="004E6C32" w:rsidP="004B5CB1"/>
    <w:p w:rsidR="004E6C32" w:rsidRPr="006A75A2" w:rsidRDefault="004E6C32" w:rsidP="0067336F">
      <w:pPr>
        <w:pStyle w:val="Heading5"/>
      </w:pPr>
      <w:r w:rsidRPr="006A75A2">
        <w:t>(b)</w:t>
      </w:r>
      <w:r w:rsidRPr="006A75A2">
        <w:tab/>
        <w:t>Reconciliation to GFS total change in net worth</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225"/>
        <w:gridCol w:w="1055"/>
        <w:gridCol w:w="1120"/>
        <w:gridCol w:w="1120"/>
        <w:gridCol w:w="1120"/>
      </w:tblGrid>
      <w:tr w:rsidR="00AA1ED5" w:rsidRPr="006A75A2" w:rsidTr="00AD1FBF">
        <w:tc>
          <w:tcPr>
            <w:tcW w:w="5225"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175" w:type="dxa"/>
            <w:gridSpan w:val="2"/>
            <w:tcBorders>
              <w:top w:val="single" w:sz="6" w:space="0" w:color="auto"/>
              <w:left w:val="nil"/>
              <w:bottom w:val="nil"/>
              <w:right w:val="nil"/>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4B5CB1">
            <w:pPr>
              <w:pStyle w:val="TabletextheadingCentred"/>
              <w:rPr>
                <w:rFonts w:eastAsiaTheme="minorEastAsia"/>
                <w:lang w:eastAsia="en-AU"/>
              </w:rPr>
            </w:pPr>
            <w:r w:rsidRPr="006A75A2">
              <w:rPr>
                <w:rFonts w:eastAsiaTheme="minorEastAsia"/>
                <w:lang w:eastAsia="en-AU"/>
              </w:rPr>
              <w:t>Public non-financial corporations</w:t>
            </w:r>
          </w:p>
        </w:tc>
      </w:tr>
      <w:tr w:rsidR="004E6C32" w:rsidRPr="006A75A2" w:rsidTr="004B5CB1">
        <w:tc>
          <w:tcPr>
            <w:tcW w:w="522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05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225" w:type="dxa"/>
            <w:tcBorders>
              <w:top w:val="single" w:sz="6" w:space="0" w:color="auto"/>
              <w:left w:val="nil"/>
              <w:bottom w:val="nil"/>
              <w:right w:val="nil"/>
            </w:tcBorders>
            <w:shd w:val="solid" w:color="FFFFFF" w:fill="auto"/>
          </w:tcPr>
          <w:p w:rsidR="004E6C32" w:rsidRPr="006A75A2" w:rsidRDefault="004E6C32" w:rsidP="009861EA">
            <w:pPr>
              <w:pStyle w:val="Tabletext"/>
              <w:rPr>
                <w:rFonts w:eastAsiaTheme="minorEastAsia" w:cs="Calibri"/>
                <w:b/>
                <w:bCs/>
                <w:iCs/>
                <w:szCs w:val="22"/>
                <w:vertAlign w:val="superscript"/>
                <w:lang w:eastAsia="en-AU"/>
              </w:rPr>
            </w:pPr>
            <w:r w:rsidRPr="006A75A2">
              <w:rPr>
                <w:rFonts w:eastAsiaTheme="minorEastAsia"/>
                <w:b/>
                <w:iCs/>
                <w:lang w:eastAsia="en-AU"/>
              </w:rPr>
              <w:t>Comprehensive result – total change in net worth</w:t>
            </w:r>
            <w:r w:rsidRPr="006A75A2">
              <w:rPr>
                <w:rFonts w:eastAsiaTheme="minorEastAsia"/>
                <w:b/>
                <w:iCs/>
                <w:vertAlign w:val="superscript"/>
                <w:lang w:eastAsia="en-AU"/>
              </w:rPr>
              <w:t>(b)</w:t>
            </w:r>
          </w:p>
        </w:tc>
        <w:tc>
          <w:tcPr>
            <w:tcW w:w="1055"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7 304.5</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8 506.0</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2 954.1</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(674.5)</w:t>
            </w:r>
          </w:p>
        </w:tc>
      </w:tr>
      <w:tr w:rsidR="004E6C32" w:rsidRPr="006A75A2" w:rsidTr="004B5CB1">
        <w:tc>
          <w:tcPr>
            <w:tcW w:w="5225" w:type="dxa"/>
            <w:tcBorders>
              <w:top w:val="nil"/>
              <w:left w:val="nil"/>
              <w:bottom w:val="nil"/>
              <w:right w:val="nil"/>
            </w:tcBorders>
            <w:shd w:val="solid" w:color="FFFFFF" w:fill="auto"/>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Convergence differences:</w:t>
            </w:r>
          </w:p>
        </w:tc>
        <w:tc>
          <w:tcPr>
            <w:tcW w:w="105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5225"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Relating to net operating balance – PNFC/PFC dividends </w:t>
            </w:r>
          </w:p>
        </w:tc>
        <w:tc>
          <w:tcPr>
            <w:tcW w:w="105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720.3</w:t>
            </w:r>
          </w:p>
        </w:tc>
      </w:tr>
      <w:tr w:rsidR="004E6C32" w:rsidRPr="006A75A2" w:rsidTr="004B5CB1">
        <w:tc>
          <w:tcPr>
            <w:tcW w:w="5225" w:type="dxa"/>
            <w:tcBorders>
              <w:top w:val="nil"/>
              <w:left w:val="nil"/>
              <w:bottom w:val="nil"/>
              <w:right w:val="nil"/>
            </w:tcBorders>
            <w:shd w:val="solid" w:color="FFFFFF" w:fill="auto"/>
          </w:tcPr>
          <w:p w:rsidR="004E6C32" w:rsidRPr="006A75A2" w:rsidRDefault="004E6C32" w:rsidP="009861EA">
            <w:pPr>
              <w:pStyle w:val="Tabletext"/>
              <w:rPr>
                <w:rFonts w:eastAsiaTheme="minorEastAsia"/>
                <w:i/>
                <w:vertAlign w:val="superscript"/>
                <w:lang w:eastAsia="en-AU"/>
              </w:rPr>
            </w:pPr>
            <w:r w:rsidRPr="006A75A2">
              <w:rPr>
                <w:rFonts w:eastAsiaTheme="minorEastAsia"/>
                <w:i/>
                <w:lang w:eastAsia="en-AU"/>
              </w:rPr>
              <w:t>Relating to other economic flows</w:t>
            </w:r>
            <w:r w:rsidRPr="006A75A2">
              <w:rPr>
                <w:rFonts w:eastAsiaTheme="minorEastAsia"/>
                <w:i/>
                <w:vertAlign w:val="superscript"/>
                <w:lang w:eastAsia="en-AU"/>
              </w:rPr>
              <w:t>(c)</w:t>
            </w:r>
            <w:r w:rsidR="009861EA" w:rsidRPr="006A75A2">
              <w:rPr>
                <w:rFonts w:eastAsiaTheme="minorEastAsia"/>
                <w:i/>
                <w:lang w:eastAsia="en-AU"/>
              </w:rPr>
              <w:t>:</w:t>
            </w:r>
          </w:p>
        </w:tc>
        <w:tc>
          <w:tcPr>
            <w:tcW w:w="105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AA1ED5" w:rsidRPr="006A75A2" w:rsidTr="00AD1FBF">
        <w:tc>
          <w:tcPr>
            <w:tcW w:w="9640" w:type="dxa"/>
            <w:gridSpan w:val="5"/>
            <w:tcBorders>
              <w:top w:val="nil"/>
              <w:left w:val="nil"/>
              <w:bottom w:val="nil"/>
              <w:right w:val="nil"/>
            </w:tcBorders>
          </w:tcPr>
          <w:p w:rsidR="00AA1ED5" w:rsidRPr="006A75A2" w:rsidRDefault="00AA1ED5" w:rsidP="00AA1ED5">
            <w:pPr>
              <w:pStyle w:val="Tabletext"/>
              <w:rPr>
                <w:rFonts w:eastAsiaTheme="minorEastAsia"/>
                <w:b/>
                <w:lang w:eastAsia="en-AU"/>
              </w:rPr>
            </w:pPr>
            <w:r w:rsidRPr="006A75A2">
              <w:rPr>
                <w:rFonts w:eastAsiaTheme="minorEastAsia"/>
                <w:b/>
                <w:lang w:eastAsia="en-AU"/>
              </w:rPr>
              <w:t>Contribution by non-controlling interest</w:t>
            </w:r>
          </w:p>
        </w:tc>
      </w:tr>
      <w:tr w:rsidR="004E6C32" w:rsidRPr="006A75A2" w:rsidTr="004B5CB1">
        <w:tc>
          <w:tcPr>
            <w:tcW w:w="5225" w:type="dxa"/>
            <w:tcBorders>
              <w:top w:val="nil"/>
              <w:left w:val="nil"/>
              <w:bottom w:val="nil"/>
              <w:right w:val="nil"/>
            </w:tcBorders>
          </w:tcPr>
          <w:p w:rsidR="004E6C32" w:rsidRPr="006A75A2" w:rsidRDefault="004E6C32" w:rsidP="009861EA">
            <w:pPr>
              <w:pStyle w:val="Tabletext"/>
              <w:rPr>
                <w:rFonts w:eastAsiaTheme="minorEastAsia"/>
                <w:vertAlign w:val="superscript"/>
                <w:lang w:eastAsia="en-AU"/>
              </w:rPr>
            </w:pPr>
            <w:r w:rsidRPr="006A75A2">
              <w:rPr>
                <w:rFonts w:eastAsiaTheme="minorEastAsia"/>
                <w:lang w:eastAsia="en-AU"/>
              </w:rPr>
              <w:t>Doubtful receivables of the general government sector</w:t>
            </w:r>
            <w:r w:rsidRPr="006A75A2">
              <w:rPr>
                <w:rFonts w:eastAsiaTheme="minorEastAsia"/>
                <w:vertAlign w:val="superscript"/>
                <w:lang w:eastAsia="en-AU"/>
              </w:rPr>
              <w:t>(d)</w:t>
            </w:r>
          </w:p>
        </w:tc>
        <w:tc>
          <w:tcPr>
            <w:tcW w:w="105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131.1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22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Doubtful receivables of the PNFC/PFC sector</w:t>
            </w:r>
          </w:p>
        </w:tc>
        <w:tc>
          <w:tcPr>
            <w:tcW w:w="105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(0.6)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5.2</w:t>
            </w:r>
          </w:p>
        </w:tc>
      </w:tr>
      <w:tr w:rsidR="004E6C32" w:rsidRPr="006A75A2" w:rsidTr="004B5CB1">
        <w:tc>
          <w:tcPr>
            <w:tcW w:w="522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Future tax benefits of the PNFC/PFC sector</w:t>
            </w:r>
          </w:p>
        </w:tc>
        <w:tc>
          <w:tcPr>
            <w:tcW w:w="105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13.7</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(10.2)</w:t>
            </w:r>
          </w:p>
        </w:tc>
      </w:tr>
      <w:tr w:rsidR="004E6C32" w:rsidRPr="006A75A2" w:rsidTr="004B5CB1">
        <w:tc>
          <w:tcPr>
            <w:tcW w:w="5225"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Deferred tax liability of the PNFC/PFC sector</w:t>
            </w:r>
            <w:r w:rsidRPr="006A75A2">
              <w:rPr>
                <w:rFonts w:eastAsiaTheme="minorEastAsia"/>
                <w:vertAlign w:val="superscript"/>
                <w:lang w:eastAsia="en-AU"/>
              </w:rPr>
              <w:t>(b)</w:t>
            </w:r>
          </w:p>
        </w:tc>
        <w:tc>
          <w:tcPr>
            <w:tcW w:w="105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100.8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(248.0)</w:t>
            </w:r>
          </w:p>
        </w:tc>
      </w:tr>
      <w:tr w:rsidR="004E6C32" w:rsidRPr="006A75A2" w:rsidTr="004B5CB1">
        <w:tc>
          <w:tcPr>
            <w:tcW w:w="5225"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Net gain on equity investments in other sector entities measured at proportional share of the carrying amount of net assets/(liabilities)</w:t>
            </w:r>
            <w:r w:rsidRPr="006A75A2">
              <w:rPr>
                <w:rFonts w:eastAsiaTheme="minorEastAsia"/>
                <w:vertAlign w:val="superscript"/>
                <w:lang w:eastAsia="en-AU"/>
              </w:rPr>
              <w:t>(b)(e)(</w:t>
            </w:r>
            <w:r w:rsidRPr="006A75A2">
              <w:rPr>
                <w:rFonts w:eastAsiaTheme="minorEastAsia" w:cs="Calibri"/>
                <w:szCs w:val="22"/>
                <w:vertAlign w:val="superscript"/>
                <w:lang w:eastAsia="en-AU"/>
              </w:rPr>
              <w:t>f)</w:t>
            </w:r>
          </w:p>
        </w:tc>
        <w:tc>
          <w:tcPr>
            <w:tcW w:w="105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628.2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609.8</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p>
        </w:tc>
      </w:tr>
      <w:tr w:rsidR="004E6C32" w:rsidRPr="006A75A2" w:rsidTr="004B5CB1">
        <w:tc>
          <w:tcPr>
            <w:tcW w:w="522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Change in shares and other contributed capital</w:t>
            </w:r>
          </w:p>
        </w:tc>
        <w:tc>
          <w:tcPr>
            <w:tcW w:w="1055"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(3 152.0)</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207.2</w:t>
            </w:r>
          </w:p>
        </w:tc>
      </w:tr>
      <w:tr w:rsidR="004E6C32" w:rsidRPr="006A75A2" w:rsidTr="004B5CB1">
        <w:tc>
          <w:tcPr>
            <w:tcW w:w="5225" w:type="dxa"/>
            <w:tcBorders>
              <w:top w:val="single" w:sz="6" w:space="0" w:color="auto"/>
              <w:left w:val="nil"/>
              <w:bottom w:val="single" w:sz="6" w:space="0" w:color="auto"/>
              <w:right w:val="nil"/>
            </w:tcBorders>
          </w:tcPr>
          <w:p w:rsidR="004E6C32" w:rsidRPr="006A75A2" w:rsidRDefault="004E6C32" w:rsidP="009861EA">
            <w:pPr>
              <w:pStyle w:val="Tabletext"/>
              <w:rPr>
                <w:rFonts w:eastAsiaTheme="minorEastAsia" w:cs="Calibri"/>
                <w:iCs/>
                <w:szCs w:val="22"/>
                <w:vertAlign w:val="superscript"/>
                <w:lang w:eastAsia="en-AU"/>
              </w:rPr>
            </w:pPr>
            <w:r w:rsidRPr="006A75A2">
              <w:rPr>
                <w:rFonts w:eastAsiaTheme="minorEastAsia"/>
                <w:iCs/>
                <w:lang w:eastAsia="en-AU"/>
              </w:rPr>
              <w:t>plus total convergence differences</w:t>
            </w:r>
            <w:r w:rsidRPr="006A75A2">
              <w:rPr>
                <w:rFonts w:eastAsiaTheme="minorEastAsia" w:cs="Calibri"/>
                <w:iCs/>
                <w:szCs w:val="22"/>
                <w:vertAlign w:val="superscript"/>
                <w:lang w:eastAsia="en-AU"/>
              </w:rPr>
              <w:t>(b)</w:t>
            </w:r>
          </w:p>
        </w:tc>
        <w:tc>
          <w:tcPr>
            <w:tcW w:w="1055"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649.2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740.9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(2 954.1)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674.5</w:t>
            </w:r>
          </w:p>
        </w:tc>
      </w:tr>
      <w:tr w:rsidR="004E6C32" w:rsidRPr="006A75A2" w:rsidTr="004B5CB1">
        <w:tc>
          <w:tcPr>
            <w:tcW w:w="522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 xml:space="preserve">GFS total change in net worth </w:t>
            </w:r>
          </w:p>
        </w:tc>
        <w:tc>
          <w:tcPr>
            <w:tcW w:w="105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7 953.7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9 247.0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Determined in accordance with the ABS GFS manual.</w:t>
      </w:r>
    </w:p>
    <w:p w:rsidR="004E6C32" w:rsidRPr="006A75A2" w:rsidRDefault="004E6C32" w:rsidP="004B5CB1">
      <w:pPr>
        <w:pStyle w:val="Notes"/>
      </w:pPr>
      <w:r w:rsidRPr="006A75A2">
        <w:t>(b)</w:t>
      </w:r>
      <w:r w:rsidRPr="006A75A2">
        <w:tab/>
        <w:t xml:space="preserve">June 2013 comparative figures have been restated. See Note 37. </w:t>
      </w:r>
    </w:p>
    <w:p w:rsidR="004E6C32" w:rsidRPr="006A75A2" w:rsidRDefault="004E6C32" w:rsidP="004B5CB1">
      <w:pPr>
        <w:pStyle w:val="Notes"/>
      </w:pPr>
      <w:r w:rsidRPr="006A75A2">
        <w:t>(c)</w:t>
      </w:r>
      <w:r w:rsidRPr="006A75A2">
        <w:tab/>
        <w:t xml:space="preserve">Excludes transactions with owners as owner, therefore excluding non-controlling interest. </w:t>
      </w:r>
    </w:p>
    <w:p w:rsidR="004E6C32" w:rsidRPr="006A75A2" w:rsidRDefault="004E6C32" w:rsidP="004B5CB1">
      <w:pPr>
        <w:pStyle w:val="Notes"/>
      </w:pPr>
      <w:r w:rsidRPr="006A75A2">
        <w:t>(d)</w:t>
      </w:r>
      <w:r w:rsidRPr="006A75A2">
        <w:tab/>
        <w:t>The convergence difference arises because GFS does not recognise doubtful receivables, whereas the operating statement recognises it and classifies doubtful receivables as other economic flows.</w:t>
      </w:r>
    </w:p>
    <w:p w:rsidR="004E6C32" w:rsidRPr="006A75A2" w:rsidRDefault="004E6C32" w:rsidP="004B5CB1">
      <w:pPr>
        <w:pStyle w:val="Notes"/>
      </w:pPr>
      <w:r w:rsidRPr="006A75A2">
        <w:t>(e)</w:t>
      </w:r>
      <w:r w:rsidRPr="006A75A2">
        <w:tab/>
        <w:t>The convergence difference arises because the amount of net assets (and therefore the change in carrying amount of net assets) of other sector entities determined under GFS principles and rules differs from the carrying amount of net assets.</w:t>
      </w:r>
    </w:p>
    <w:p w:rsidR="004E6C32" w:rsidRPr="006A75A2" w:rsidRDefault="004E6C32" w:rsidP="004B5CB1">
      <w:pPr>
        <w:pStyle w:val="Notes"/>
      </w:pPr>
      <w:r w:rsidRPr="006A75A2">
        <w:t>(f)</w:t>
      </w:r>
      <w:r w:rsidRPr="006A75A2">
        <w:tab/>
        <w:t>Net gain on equity investments in other sector entities includes doubtful receivables, future tax benefits and deferred tax liability of the PNFC and PFC sectors.</w:t>
      </w:r>
    </w:p>
    <w:p w:rsidR="004E6C32" w:rsidRPr="006A75A2" w:rsidRDefault="004E6C32">
      <w:pPr>
        <w:spacing w:after="0"/>
      </w:pPr>
    </w:p>
    <w:p w:rsidR="004E6C32" w:rsidRPr="006A75A2" w:rsidRDefault="004E6C32">
      <w:pPr>
        <w:spacing w:after="0"/>
      </w:pPr>
    </w:p>
    <w:p w:rsidR="004E6C32" w:rsidRPr="006A75A2" w:rsidRDefault="004E6C32">
      <w:pPr>
        <w:spacing w:after="0"/>
      </w:pPr>
      <w:r w:rsidRPr="006A75A2">
        <w:br w:type="page"/>
      </w:r>
    </w:p>
    <w:p w:rsidR="004E6C32" w:rsidRPr="006A75A2" w:rsidRDefault="004E6C32" w:rsidP="004B5CB1">
      <w:pPr>
        <w:pStyle w:val="Heading2Notes"/>
        <w:rPr>
          <w:kern w:val="0"/>
        </w:rPr>
      </w:pPr>
    </w:p>
    <w:p w:rsidR="004E6C32" w:rsidRPr="006A75A2" w:rsidRDefault="004E6C32" w:rsidP="0067336F">
      <w:pPr>
        <w:pStyle w:val="Heading5"/>
      </w:pPr>
    </w:p>
    <w:p w:rsidR="004E6C32" w:rsidRPr="006A75A2" w:rsidRDefault="004E6C32" w:rsidP="004B5CB1">
      <w:pPr>
        <w:pStyle w:val="Notes"/>
        <w:rPr>
          <w:rFonts w:ascii="Times New Roman" w:hAnsi="Times New Roman"/>
          <w:i w:val="0"/>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606"/>
        <w:gridCol w:w="1607"/>
        <w:gridCol w:w="1607"/>
        <w:gridCol w:w="1606"/>
        <w:gridCol w:w="1607"/>
        <w:gridCol w:w="1607"/>
      </w:tblGrid>
      <w:tr w:rsidR="00AA1ED5" w:rsidRPr="006A75A2" w:rsidTr="00AD1FBF">
        <w:tc>
          <w:tcPr>
            <w:tcW w:w="3213" w:type="dxa"/>
            <w:gridSpan w:val="2"/>
            <w:tcBorders>
              <w:top w:val="single" w:sz="6" w:space="0" w:color="auto"/>
              <w:left w:val="single" w:sz="6" w:space="0" w:color="auto"/>
              <w:bottom w:val="nil"/>
              <w:right w:val="nil"/>
            </w:tcBorders>
            <w:shd w:val="clear" w:color="000000" w:fill="000000"/>
          </w:tcPr>
          <w:p w:rsidR="00AA1ED5" w:rsidRPr="006A75A2" w:rsidRDefault="00AA1ED5" w:rsidP="00AA1ED5">
            <w:pPr>
              <w:pStyle w:val="Tabletext"/>
              <w:jc w:val="center"/>
              <w:rPr>
                <w:rFonts w:eastAsiaTheme="minorEastAsia"/>
                <w:i/>
                <w:lang w:eastAsia="en-AU"/>
              </w:rPr>
            </w:pPr>
            <w:r w:rsidRPr="006A75A2">
              <w:rPr>
                <w:rFonts w:eastAsiaTheme="minorEastAsia"/>
                <w:i/>
                <w:lang w:eastAsia="en-AU"/>
              </w:rPr>
              <w:t>Public</w:t>
            </w:r>
            <w:r w:rsidRPr="006A75A2">
              <w:rPr>
                <w:rFonts w:eastAsiaTheme="minorEastAsia"/>
                <w:i/>
                <w:lang w:eastAsia="en-AU"/>
              </w:rPr>
              <w:br/>
              <w:t>financial corporations</w:t>
            </w:r>
          </w:p>
        </w:tc>
        <w:tc>
          <w:tcPr>
            <w:tcW w:w="3213"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Eliminations</w:t>
            </w:r>
          </w:p>
        </w:tc>
        <w:tc>
          <w:tcPr>
            <w:tcW w:w="3214" w:type="dxa"/>
            <w:gridSpan w:val="2"/>
            <w:tcBorders>
              <w:top w:val="single" w:sz="6" w:space="0" w:color="auto"/>
              <w:left w:val="nil"/>
              <w:bottom w:val="nil"/>
              <w:right w:val="single" w:sz="6" w:space="0" w:color="auto"/>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r>
      <w:tr w:rsidR="004E6C32" w:rsidRPr="006A75A2" w:rsidTr="004B5CB1">
        <w:tc>
          <w:tcPr>
            <w:tcW w:w="1606"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7"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szCs w:val="22"/>
                <w:lang w:eastAsia="en-AU"/>
              </w:rPr>
            </w:pPr>
            <w:r w:rsidRPr="006A75A2">
              <w:rPr>
                <w:rFonts w:eastAsiaTheme="minorEastAsia"/>
                <w:b/>
                <w:lang w:eastAsia="en-AU"/>
              </w:rPr>
              <w:t>(1 095.0)</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szCs w:val="22"/>
                <w:lang w:eastAsia="en-AU"/>
              </w:rPr>
            </w:pPr>
            <w:r w:rsidRPr="006A75A2">
              <w:rPr>
                <w:rFonts w:eastAsiaTheme="minorEastAsia"/>
                <w:b/>
                <w:lang w:eastAsia="en-AU"/>
              </w:rPr>
              <w:t>(978.5)</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szCs w:val="22"/>
                <w:lang w:eastAsia="en-AU"/>
              </w:rPr>
            </w:pPr>
            <w:r w:rsidRPr="006A75A2">
              <w:rPr>
                <w:rFonts w:eastAsiaTheme="minorEastAsia"/>
                <w:b/>
                <w:lang w:eastAsia="en-AU"/>
              </w:rPr>
              <w:t>(76.1)</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(1 526.5)</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856.6</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vertAlign w:val="superscript"/>
                <w:lang w:eastAsia="en-AU"/>
              </w:rPr>
            </w:pPr>
            <w:r w:rsidRPr="006A75A2">
              <w:rPr>
                <w:rFonts w:eastAsiaTheme="minorEastAsia"/>
                <w:b/>
                <w:lang w:eastAsia="en-AU"/>
              </w:rPr>
              <w:t>(3 119.8)</w:t>
            </w:r>
            <w:r w:rsidRPr="006A75A2">
              <w:rPr>
                <w:rFonts w:eastAsiaTheme="minorEastAsia"/>
                <w:b/>
                <w:vertAlign w:val="superscript"/>
                <w:lang w:eastAsia="en-AU"/>
              </w:rPr>
              <w:t>(a)</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 xml:space="preserve"> 136.0</w:t>
            </w:r>
          </w:p>
        </w:tc>
        <w:tc>
          <w:tcPr>
            <w:tcW w:w="1607" w:type="dxa"/>
            <w:tcBorders>
              <w:top w:val="nil"/>
              <w:left w:val="nil"/>
              <w:bottom w:val="nil"/>
              <w:right w:val="nil"/>
            </w:tcBorders>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 xml:space="preserve"> 440.7</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bCs/>
                <w:szCs w:val="22"/>
                <w:lang w:eastAsia="en-AU"/>
              </w:rPr>
            </w:pPr>
            <w:r w:rsidRPr="006A75A2">
              <w:rPr>
                <w:rFonts w:eastAsiaTheme="minorEastAsia"/>
                <w:bCs/>
                <w:lang w:eastAsia="en-AU"/>
              </w:rPr>
              <w:t>(220.0)</w:t>
            </w:r>
          </w:p>
        </w:tc>
        <w:tc>
          <w:tcPr>
            <w:tcW w:w="1606" w:type="dxa"/>
            <w:tcBorders>
              <w:top w:val="nil"/>
              <w:left w:val="nil"/>
              <w:bottom w:val="nil"/>
              <w:right w:val="nil"/>
            </w:tcBorders>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(1 160.9)</w:t>
            </w:r>
          </w:p>
        </w:tc>
        <w:tc>
          <w:tcPr>
            <w:tcW w:w="1607" w:type="dxa"/>
            <w:tcBorders>
              <w:top w:val="nil"/>
              <w:left w:val="nil"/>
              <w:bottom w:val="nil"/>
              <w:right w:val="nil"/>
            </w:tcBorders>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bCs/>
                <w:lang w:eastAsia="en-AU"/>
              </w:rPr>
            </w:pPr>
            <w:r w:rsidRPr="006A75A2">
              <w:rPr>
                <w:rFonts w:eastAsiaTheme="minorEastAsia"/>
                <w:bCs/>
                <w:lang w:eastAsia="en-AU"/>
              </w:rPr>
              <w:t>..</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(136.0)</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(440.7)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220.0</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1 160.9</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(1 231.0)</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(1 419.2)</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143.9</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(365.6)</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856.6</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(3 119.8)</w:t>
            </w:r>
          </w:p>
        </w:tc>
      </w:tr>
    </w:tbl>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 w:rsidR="004E6C32" w:rsidRPr="006A75A2" w:rsidRDefault="004E6C32" w:rsidP="0067336F">
      <w:pPr>
        <w:pStyle w:val="Heading5"/>
      </w:pPr>
    </w:p>
    <w:p w:rsidR="004E6C32" w:rsidRPr="006A75A2" w:rsidRDefault="004E6C32" w:rsidP="004B5CB1">
      <w:pPr>
        <w:pStyle w:val="million"/>
        <w:rPr>
          <w:rFonts w:ascii="Times New Roman" w:hAnsi="Times New Roman"/>
          <w:b/>
          <w:szCs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606"/>
        <w:gridCol w:w="1607"/>
        <w:gridCol w:w="1607"/>
        <w:gridCol w:w="1606"/>
        <w:gridCol w:w="1607"/>
        <w:gridCol w:w="1607"/>
      </w:tblGrid>
      <w:tr w:rsidR="00AA1ED5" w:rsidRPr="006A75A2" w:rsidTr="00AD1FBF">
        <w:tc>
          <w:tcPr>
            <w:tcW w:w="3213" w:type="dxa"/>
            <w:gridSpan w:val="2"/>
            <w:tcBorders>
              <w:top w:val="single" w:sz="6" w:space="0" w:color="auto"/>
              <w:left w:val="single" w:sz="6" w:space="0" w:color="auto"/>
              <w:bottom w:val="nil"/>
              <w:right w:val="nil"/>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Public </w:t>
            </w:r>
            <w:r w:rsidRPr="006A75A2">
              <w:rPr>
                <w:rFonts w:eastAsiaTheme="minorEastAsia"/>
                <w:lang w:eastAsia="en-AU"/>
              </w:rPr>
              <w:br/>
              <w:t>financial corporations</w:t>
            </w:r>
          </w:p>
        </w:tc>
        <w:tc>
          <w:tcPr>
            <w:tcW w:w="3213"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Eliminations</w:t>
            </w:r>
          </w:p>
        </w:tc>
        <w:tc>
          <w:tcPr>
            <w:tcW w:w="3214" w:type="dxa"/>
            <w:gridSpan w:val="2"/>
            <w:tcBorders>
              <w:top w:val="single" w:sz="6" w:space="0" w:color="auto"/>
              <w:left w:val="nil"/>
              <w:bottom w:val="nil"/>
              <w:right w:val="single" w:sz="6" w:space="0" w:color="auto"/>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r>
      <w:tr w:rsidR="004E6C32" w:rsidRPr="006A75A2" w:rsidTr="004B5CB1">
        <w:tc>
          <w:tcPr>
            <w:tcW w:w="1606"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7"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1606"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674.0</w:t>
            </w:r>
          </w:p>
        </w:tc>
        <w:tc>
          <w:tcPr>
            <w:tcW w:w="1607"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3 258.7</w:t>
            </w:r>
          </w:p>
        </w:tc>
        <w:tc>
          <w:tcPr>
            <w:tcW w:w="1607"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(3 471.8)</w:t>
            </w:r>
          </w:p>
        </w:tc>
        <w:tc>
          <w:tcPr>
            <w:tcW w:w="1606"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(315.7)</w:t>
            </w:r>
          </w:p>
        </w:tc>
        <w:tc>
          <w:tcPr>
            <w:tcW w:w="1607"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7 460.7</w:t>
            </w:r>
          </w:p>
        </w:tc>
        <w:tc>
          <w:tcPr>
            <w:tcW w:w="1607"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10 774.5</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136.0</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440.7</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(220.0)</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(1 160.9)</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21.1</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131.1</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(5.0)</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(5.6)</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602.3</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775.1</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(615.9)</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(764.9)</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(83.1)</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86.4</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(17.8)</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161.6</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r w:rsidRPr="006A75A2">
              <w:rPr>
                <w:rFonts w:eastAsiaTheme="minorEastAsia"/>
                <w:lang w:eastAsia="en-AU"/>
              </w:rPr>
              <w:br/>
            </w:r>
            <w:r w:rsidRPr="006A75A2">
              <w:rPr>
                <w:rFonts w:eastAsiaTheme="minorEastAsia"/>
                <w:lang w:eastAsia="en-AU"/>
              </w:rPr>
              <w:br/>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(628.2)</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(609.8)</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(1 324.2)</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(4 562.0)</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4 476.2</w:t>
            </w:r>
          </w:p>
        </w:tc>
        <w:tc>
          <w:tcPr>
            <w:tcW w:w="160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4 354.8</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(674.0)</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(3 258.7)</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2 994.3</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1 980.8</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15.5</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137.6</w:t>
            </w:r>
          </w:p>
        </w:tc>
      </w:tr>
      <w:tr w:rsidR="004E6C32" w:rsidRPr="006A75A2" w:rsidTr="004B5CB1">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(477.5)</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1 665.1</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7 476.2</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10 912.1</w:t>
            </w:r>
          </w:p>
        </w:tc>
      </w:tr>
    </w:tbl>
    <w:p w:rsidR="004E6C32" w:rsidRPr="006A75A2" w:rsidRDefault="004E6C32" w:rsidP="004B5CB1">
      <w:pPr>
        <w:pStyle w:val="Heading2Notes"/>
        <w:rPr>
          <w:kern w:val="0"/>
        </w:rPr>
      </w:pP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31:</w:t>
      </w:r>
      <w:r w:rsidRPr="006A75A2">
        <w:rPr>
          <w:kern w:val="0"/>
        </w:rPr>
        <w:tab/>
        <w:t xml:space="preserve">Reconciliations </w:t>
      </w:r>
      <w:r w:rsidRPr="006A75A2">
        <w:rPr>
          <w:bCs/>
          <w:i/>
          <w:iCs/>
          <w:kern w:val="0"/>
        </w:rPr>
        <w:t>(continued)</w:t>
      </w:r>
    </w:p>
    <w:p w:rsidR="004E6C32" w:rsidRPr="006A75A2" w:rsidRDefault="004E6C32" w:rsidP="0067336F">
      <w:pPr>
        <w:pStyle w:val="Heading5"/>
      </w:pPr>
      <w:r w:rsidRPr="006A75A2">
        <w:t>(c)</w:t>
      </w:r>
      <w:r w:rsidRPr="006A75A2">
        <w:tab/>
        <w:t>Reconciliation to GFS net lending/(borrowing)</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4B5CB1">
            <w:pPr>
              <w:pStyle w:val="TabletextheadingCentred"/>
              <w:rPr>
                <w:rFonts w:eastAsiaTheme="minorEastAsia"/>
                <w:lang w:eastAsia="en-AU"/>
              </w:rPr>
            </w:pPr>
            <w:r w:rsidRPr="006A75A2">
              <w:rPr>
                <w:rFonts w:eastAsiaTheme="minorEastAsia"/>
                <w:lang w:eastAsia="en-AU"/>
              </w:rPr>
              <w:t>Public non-financial corporations</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Net lending/(borrowing)</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1 259.0</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(1 832.9)</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(2 169.4)</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(7 647.2)</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9861EA">
            <w:pPr>
              <w:pStyle w:val="Tabletext"/>
              <w:rPr>
                <w:rFonts w:eastAsiaTheme="minorEastAsia"/>
                <w:vertAlign w:val="superscript"/>
                <w:lang w:eastAsia="en-AU"/>
              </w:rPr>
            </w:pPr>
            <w:r w:rsidRPr="006A75A2">
              <w:rPr>
                <w:rFonts w:eastAsiaTheme="minorEastAsia"/>
                <w:i/>
                <w:iCs/>
                <w:lang w:eastAsia="en-AU"/>
              </w:rPr>
              <w:t>Convergence differences</w:t>
            </w:r>
            <w:r w:rsidRPr="006A75A2">
              <w:rPr>
                <w:rFonts w:eastAsiaTheme="minorEastAsia"/>
                <w:vertAlign w:val="superscript"/>
                <w:lang w:eastAsia="en-AU"/>
              </w:rPr>
              <w:t>(b)</w:t>
            </w:r>
            <w:r w:rsidR="009861EA" w:rsidRPr="006A75A2">
              <w:rPr>
                <w:rFonts w:eastAsiaTheme="minorEastAsia"/>
                <w:i/>
                <w:iCs/>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Relating to net operating balance – PNFC/PFC dividends </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84.0</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720.3</w:t>
            </w:r>
          </w:p>
        </w:tc>
      </w:tr>
      <w:tr w:rsidR="004E6C32" w:rsidRPr="006A75A2" w:rsidTr="004B5CB1">
        <w:tc>
          <w:tcPr>
            <w:tcW w:w="516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plus total convergence difference:</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(84.0)</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(720.3)</w:t>
            </w:r>
          </w:p>
        </w:tc>
      </w:tr>
      <w:tr w:rsidR="004E6C32" w:rsidRPr="006A75A2" w:rsidTr="004B5CB1">
        <w:tc>
          <w:tcPr>
            <w:tcW w:w="516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GFS net lending/(borrowing)</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1 259.0</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(1 832.9)</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(2 253.4)</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(8 367.5)</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Determined in accordance with the ABS GFS manual.</w:t>
      </w:r>
    </w:p>
    <w:p w:rsidR="004E6C32" w:rsidRPr="006A75A2" w:rsidRDefault="004E6C32" w:rsidP="004B5CB1">
      <w:pPr>
        <w:pStyle w:val="Notes"/>
      </w:pPr>
      <w:r w:rsidRPr="006A75A2">
        <w:t>(b)</w:t>
      </w:r>
      <w:r w:rsidRPr="006A75A2">
        <w:tab/>
        <w:t>The convergence difference arises because GFS recognised dividends paid/ payable as an expense from transactions on the operating statement whereas, under accounting standards, dividends are classified as after-profit distributions to owner.</w:t>
      </w:r>
    </w:p>
    <w:p w:rsidR="004E6C32" w:rsidRPr="006A75A2" w:rsidRDefault="004E6C32" w:rsidP="004B5CB1"/>
    <w:p w:rsidR="004E6C32" w:rsidRPr="006A75A2" w:rsidRDefault="004E6C32" w:rsidP="0067336F">
      <w:pPr>
        <w:pStyle w:val="Heading5"/>
      </w:pPr>
      <w:r w:rsidRPr="006A75A2">
        <w:t>(d)</w:t>
      </w:r>
      <w:r w:rsidRPr="006A75A2">
        <w:tab/>
        <w:t>Reconciliation to GFS net worth</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262"/>
        <w:gridCol w:w="1018"/>
        <w:gridCol w:w="1120"/>
        <w:gridCol w:w="1120"/>
        <w:gridCol w:w="1120"/>
      </w:tblGrid>
      <w:tr w:rsidR="00AA1ED5" w:rsidRPr="006A75A2" w:rsidTr="00C07A50">
        <w:trPr>
          <w:trHeight w:val="72"/>
        </w:trPr>
        <w:tc>
          <w:tcPr>
            <w:tcW w:w="5262"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138" w:type="dxa"/>
            <w:gridSpan w:val="2"/>
            <w:tcBorders>
              <w:top w:val="single" w:sz="6" w:space="0" w:color="auto"/>
              <w:left w:val="nil"/>
              <w:bottom w:val="nil"/>
              <w:right w:val="nil"/>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4B5CB1">
            <w:pPr>
              <w:pStyle w:val="TabletextheadingCentred"/>
              <w:rPr>
                <w:rFonts w:eastAsiaTheme="minorEastAsia"/>
                <w:lang w:eastAsia="en-AU"/>
              </w:rPr>
            </w:pPr>
            <w:r w:rsidRPr="006A75A2">
              <w:rPr>
                <w:rFonts w:eastAsiaTheme="minorEastAsia"/>
                <w:lang w:eastAsia="en-AU"/>
              </w:rPr>
              <w:t>Public non-financial corporations</w:t>
            </w:r>
          </w:p>
        </w:tc>
      </w:tr>
      <w:tr w:rsidR="004E6C32" w:rsidRPr="006A75A2" w:rsidTr="00C07A50">
        <w:trPr>
          <w:trHeight w:val="87"/>
        </w:trPr>
        <w:tc>
          <w:tcPr>
            <w:tcW w:w="5262"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018"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262" w:type="dxa"/>
            <w:tcBorders>
              <w:top w:val="single" w:sz="6" w:space="0" w:color="auto"/>
              <w:left w:val="nil"/>
              <w:bottom w:val="nil"/>
              <w:right w:val="nil"/>
            </w:tcBorders>
          </w:tcPr>
          <w:p w:rsidR="004E6C32" w:rsidRPr="006A75A2" w:rsidRDefault="004E6C32" w:rsidP="009861EA">
            <w:pPr>
              <w:pStyle w:val="Tabletext"/>
              <w:rPr>
                <w:rFonts w:eastAsiaTheme="minorEastAsia" w:cs="Calibri"/>
                <w:b/>
                <w:bCs/>
                <w:szCs w:val="22"/>
                <w:vertAlign w:val="superscript"/>
                <w:lang w:eastAsia="en-AU"/>
              </w:rPr>
            </w:pPr>
            <w:r w:rsidRPr="006A75A2">
              <w:rPr>
                <w:rFonts w:eastAsiaTheme="minorEastAsia"/>
                <w:b/>
                <w:lang w:eastAsia="en-AU"/>
              </w:rPr>
              <w:t>Net worth</w:t>
            </w:r>
            <w:r w:rsidRPr="006A75A2">
              <w:rPr>
                <w:rFonts w:eastAsiaTheme="minorEastAsia"/>
                <w:b/>
                <w:vertAlign w:val="superscript"/>
                <w:lang w:eastAsia="en-AU"/>
              </w:rPr>
              <w:t>(b)</w:t>
            </w:r>
          </w:p>
        </w:tc>
        <w:tc>
          <w:tcPr>
            <w:tcW w:w="1018"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127 486.9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120 182.6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72 973.2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67 765.5</w:t>
            </w:r>
          </w:p>
        </w:tc>
      </w:tr>
      <w:tr w:rsidR="004E6C32" w:rsidRPr="006A75A2" w:rsidTr="004B5CB1">
        <w:trPr>
          <w:trHeight w:hRule="exact" w:val="120"/>
        </w:trPr>
        <w:tc>
          <w:tcPr>
            <w:tcW w:w="5262" w:type="dxa"/>
            <w:tcBorders>
              <w:top w:val="nil"/>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 xml:space="preserve"> </w:t>
            </w:r>
          </w:p>
        </w:tc>
        <w:tc>
          <w:tcPr>
            <w:tcW w:w="1018"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262" w:type="dxa"/>
            <w:tcBorders>
              <w:top w:val="nil"/>
              <w:left w:val="nil"/>
              <w:bottom w:val="nil"/>
              <w:right w:val="nil"/>
            </w:tcBorders>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Convergence differences:</w:t>
            </w:r>
          </w:p>
        </w:tc>
        <w:tc>
          <w:tcPr>
            <w:tcW w:w="10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526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Relating to net operating balance – PNFC/PFC dividends </w:t>
            </w:r>
          </w:p>
        </w:tc>
        <w:tc>
          <w:tcPr>
            <w:tcW w:w="10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720.3</w:t>
            </w:r>
          </w:p>
        </w:tc>
      </w:tr>
      <w:tr w:rsidR="004E6C32" w:rsidRPr="006A75A2" w:rsidTr="004B5CB1">
        <w:tc>
          <w:tcPr>
            <w:tcW w:w="526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Non-controlling interest</w:t>
            </w:r>
          </w:p>
        </w:tc>
        <w:tc>
          <w:tcPr>
            <w:tcW w:w="10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(50.0)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262" w:type="dxa"/>
            <w:tcBorders>
              <w:top w:val="nil"/>
              <w:left w:val="nil"/>
              <w:bottom w:val="nil"/>
              <w:right w:val="nil"/>
            </w:tcBorders>
          </w:tcPr>
          <w:p w:rsidR="004E6C32" w:rsidRPr="006A75A2" w:rsidRDefault="004E6C32" w:rsidP="009861EA">
            <w:pPr>
              <w:pStyle w:val="Tabletext"/>
              <w:rPr>
                <w:rFonts w:eastAsiaTheme="minorEastAsia"/>
                <w:vertAlign w:val="superscript"/>
                <w:lang w:eastAsia="en-AU"/>
              </w:rPr>
            </w:pPr>
            <w:r w:rsidRPr="006A75A2">
              <w:rPr>
                <w:rFonts w:eastAsiaTheme="minorEastAsia"/>
                <w:lang w:eastAsia="en-AU"/>
              </w:rPr>
              <w:t>Doubtful receivables of the general government sector</w:t>
            </w:r>
            <w:r w:rsidRPr="006A75A2">
              <w:rPr>
                <w:rFonts w:eastAsiaTheme="minorEastAsia"/>
                <w:vertAlign w:val="superscript"/>
                <w:lang w:eastAsia="en-AU"/>
              </w:rPr>
              <w:t>(c)</w:t>
            </w:r>
          </w:p>
        </w:tc>
        <w:tc>
          <w:tcPr>
            <w:tcW w:w="10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915.0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894.0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26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Doubtful receivables of the PNFC/PFC sector</w:t>
            </w:r>
          </w:p>
        </w:tc>
        <w:tc>
          <w:tcPr>
            <w:tcW w:w="10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22.1</w:t>
            </w:r>
          </w:p>
        </w:tc>
      </w:tr>
      <w:tr w:rsidR="004E6C32" w:rsidRPr="006A75A2" w:rsidTr="004B5CB1">
        <w:tc>
          <w:tcPr>
            <w:tcW w:w="5262"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Future tax benefits of the PNFC/PFC sector</w:t>
            </w:r>
            <w:r w:rsidRPr="006A75A2">
              <w:rPr>
                <w:rFonts w:eastAsiaTheme="minorEastAsia" w:cs="Calibri"/>
                <w:szCs w:val="22"/>
                <w:vertAlign w:val="superscript"/>
                <w:lang w:eastAsia="en-AU"/>
              </w:rPr>
              <w:t>(b)</w:t>
            </w:r>
          </w:p>
        </w:tc>
        <w:tc>
          <w:tcPr>
            <w:tcW w:w="10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(176.0)</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(189.6)</w:t>
            </w:r>
          </w:p>
        </w:tc>
      </w:tr>
      <w:tr w:rsidR="004E6C32" w:rsidRPr="006A75A2" w:rsidTr="004B5CB1">
        <w:tc>
          <w:tcPr>
            <w:tcW w:w="5262"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Deferred tax liability of the PNFC/PFC sector</w:t>
            </w:r>
            <w:r w:rsidRPr="006A75A2">
              <w:rPr>
                <w:rFonts w:eastAsiaTheme="minorEastAsia" w:cs="Calibri"/>
                <w:szCs w:val="22"/>
                <w:vertAlign w:val="superscript"/>
                <w:lang w:eastAsia="en-AU"/>
              </w:rPr>
              <w:t>(b)</w:t>
            </w:r>
          </w:p>
        </w:tc>
        <w:tc>
          <w:tcPr>
            <w:tcW w:w="10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7 927.5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7 826.7</w:t>
            </w:r>
          </w:p>
        </w:tc>
      </w:tr>
      <w:tr w:rsidR="004E6C32" w:rsidRPr="006A75A2" w:rsidTr="004B5CB1">
        <w:tc>
          <w:tcPr>
            <w:tcW w:w="5262" w:type="dxa"/>
            <w:tcBorders>
              <w:top w:val="nil"/>
              <w:left w:val="nil"/>
              <w:bottom w:val="nil"/>
              <w:right w:val="nil"/>
            </w:tcBorders>
          </w:tcPr>
          <w:p w:rsidR="004E6C32" w:rsidRPr="006A75A2" w:rsidRDefault="004E6C32" w:rsidP="009861EA">
            <w:pPr>
              <w:pStyle w:val="Tabletext"/>
              <w:rPr>
                <w:rFonts w:eastAsiaTheme="minorEastAsia" w:cs="Calibri"/>
                <w:szCs w:val="22"/>
                <w:vertAlign w:val="superscript"/>
                <w:lang w:eastAsia="en-AU"/>
              </w:rPr>
            </w:pPr>
            <w:r w:rsidRPr="006A75A2">
              <w:rPr>
                <w:rFonts w:eastAsiaTheme="minorEastAsia"/>
                <w:lang w:eastAsia="en-AU"/>
              </w:rPr>
              <w:t>Investments in other sector entities</w:t>
            </w:r>
            <w:r w:rsidRPr="006A75A2">
              <w:rPr>
                <w:rFonts w:eastAsiaTheme="minorEastAsia"/>
                <w:vertAlign w:val="superscript"/>
                <w:lang w:eastAsia="en-AU"/>
              </w:rPr>
              <w:t>(b)(d)(</w:t>
            </w:r>
            <w:r w:rsidRPr="006A75A2">
              <w:rPr>
                <w:rFonts w:eastAsiaTheme="minorEastAsia" w:cs="Calibri"/>
                <w:szCs w:val="22"/>
                <w:vertAlign w:val="superscript"/>
                <w:lang w:eastAsia="en-AU"/>
              </w:rPr>
              <w:t>e)</w:t>
            </w:r>
          </w:p>
        </w:tc>
        <w:tc>
          <w:tcPr>
            <w:tcW w:w="10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6 930.4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6 302.2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26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Shares and other contributed capital</w:t>
            </w:r>
          </w:p>
        </w:tc>
        <w:tc>
          <w:tcPr>
            <w:tcW w:w="1018"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(80 830.2)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(76 144.9)</w:t>
            </w:r>
          </w:p>
        </w:tc>
      </w:tr>
      <w:tr w:rsidR="004E6C32" w:rsidRPr="006A75A2" w:rsidTr="004B5CB1">
        <w:tc>
          <w:tcPr>
            <w:tcW w:w="5262" w:type="dxa"/>
            <w:tcBorders>
              <w:top w:val="single" w:sz="6" w:space="0" w:color="auto"/>
              <w:left w:val="nil"/>
              <w:bottom w:val="single" w:sz="6" w:space="0" w:color="auto"/>
              <w:right w:val="nil"/>
            </w:tcBorders>
          </w:tcPr>
          <w:p w:rsidR="004E6C32" w:rsidRPr="006A75A2" w:rsidRDefault="004E6C32" w:rsidP="009861EA">
            <w:pPr>
              <w:pStyle w:val="Tabletext"/>
              <w:rPr>
                <w:rFonts w:eastAsiaTheme="minorEastAsia" w:cs="Calibri"/>
                <w:i/>
                <w:iCs/>
                <w:szCs w:val="22"/>
                <w:vertAlign w:val="superscript"/>
                <w:lang w:eastAsia="en-AU"/>
              </w:rPr>
            </w:pPr>
            <w:r w:rsidRPr="006A75A2">
              <w:rPr>
                <w:rFonts w:eastAsiaTheme="minorEastAsia"/>
                <w:i/>
                <w:iCs/>
                <w:lang w:eastAsia="en-AU"/>
              </w:rPr>
              <w:t>plus total convergence difference</w:t>
            </w:r>
            <w:r w:rsidRPr="006A75A2">
              <w:rPr>
                <w:rFonts w:eastAsiaTheme="minorEastAsia" w:cs="Calibri"/>
                <w:i/>
                <w:iCs/>
                <w:szCs w:val="22"/>
                <w:vertAlign w:val="superscript"/>
                <w:lang w:eastAsia="en-AU"/>
              </w:rPr>
              <w:t>(b)</w:t>
            </w:r>
            <w:r w:rsidR="009861EA" w:rsidRPr="006A75A2">
              <w:rPr>
                <w:rFonts w:eastAsiaTheme="minorEastAsia" w:cs="Calibri"/>
                <w:i/>
                <w:iCs/>
                <w:szCs w:val="22"/>
                <w:lang w:eastAsia="en-AU"/>
              </w:rPr>
              <w:t>:</w:t>
            </w:r>
          </w:p>
        </w:tc>
        <w:tc>
          <w:tcPr>
            <w:tcW w:w="1018"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7 795.4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7 146.2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(72 973.2)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(67 765.5)</w:t>
            </w:r>
          </w:p>
        </w:tc>
      </w:tr>
      <w:tr w:rsidR="004E6C32" w:rsidRPr="006A75A2" w:rsidTr="004B5CB1">
        <w:tc>
          <w:tcPr>
            <w:tcW w:w="526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GFS net worth</w:t>
            </w:r>
          </w:p>
        </w:tc>
        <w:tc>
          <w:tcPr>
            <w:tcW w:w="101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135 282.3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127 328.8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Determined in accordance with the ABS GFS manual.</w:t>
      </w:r>
    </w:p>
    <w:p w:rsidR="004E6C32" w:rsidRPr="006A75A2" w:rsidRDefault="004E6C32" w:rsidP="004B5CB1">
      <w:pPr>
        <w:pStyle w:val="Notes"/>
      </w:pPr>
      <w:r w:rsidRPr="006A75A2">
        <w:t xml:space="preserve">(b) </w:t>
      </w:r>
      <w:r w:rsidRPr="006A75A2">
        <w:tab/>
        <w:t xml:space="preserve">June 2013 comparative figures have been restated due to the reclassification of deferred tax liability balances. </w:t>
      </w:r>
    </w:p>
    <w:p w:rsidR="004E6C32" w:rsidRPr="006A75A2" w:rsidRDefault="004E6C32" w:rsidP="004B5CB1">
      <w:pPr>
        <w:pStyle w:val="Notes"/>
      </w:pPr>
      <w:r w:rsidRPr="006A75A2">
        <w:t xml:space="preserve">(c) </w:t>
      </w:r>
      <w:r w:rsidRPr="006A75A2">
        <w:tab/>
        <w:t xml:space="preserve">The convergence difference in accounts receivable arises because GFS does not recognise doubtful receivables, whereas a provision for doubtful receivables is recognised in the balance sheet. </w:t>
      </w:r>
    </w:p>
    <w:p w:rsidR="004E6C32" w:rsidRPr="006A75A2" w:rsidRDefault="004E6C32" w:rsidP="004B5CB1">
      <w:pPr>
        <w:pStyle w:val="Notes"/>
        <w:tabs>
          <w:tab w:val="center" w:pos="4801"/>
        </w:tabs>
      </w:pPr>
      <w:r w:rsidRPr="006A75A2">
        <w:t xml:space="preserve">(d) </w:t>
      </w:r>
      <w:r w:rsidRPr="006A75A2">
        <w:tab/>
        <w:t>The convergence difference arises because the amount of net assets (and therefore the change in carrying amount of net assets of other sector entities determined under GFS principles and rules differs from the carrying amount of net assets.</w:t>
      </w:r>
    </w:p>
    <w:p w:rsidR="004E6C32" w:rsidRPr="006A75A2" w:rsidRDefault="004E6C32" w:rsidP="004B5CB1">
      <w:pPr>
        <w:pStyle w:val="Notes"/>
      </w:pPr>
      <w:r w:rsidRPr="006A75A2">
        <w:t xml:space="preserve">(e) </w:t>
      </w:r>
      <w:r w:rsidRPr="006A75A2">
        <w:tab/>
        <w:t>Investments in other sector entities for general government sector include doubtful receivables, future tax benefits and deferred tax liability of the PNFC and PFC sectors.</w:t>
      </w:r>
    </w:p>
    <w:p w:rsidR="004E6C32" w:rsidRPr="006A75A2" w:rsidRDefault="004E6C32" w:rsidP="004B5CB1"/>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Heading2Notes"/>
        <w:rPr>
          <w:kern w:val="0"/>
        </w:rPr>
      </w:pPr>
    </w:p>
    <w:p w:rsidR="004E6C32" w:rsidRPr="006A75A2" w:rsidRDefault="004E6C32" w:rsidP="0067336F">
      <w:pPr>
        <w:pStyle w:val="Heading5"/>
      </w:pPr>
    </w:p>
    <w:p w:rsidR="004E6C32" w:rsidRPr="006A75A2" w:rsidRDefault="004E6C32" w:rsidP="004B5CB1">
      <w:pPr>
        <w:pStyle w:val="Notes"/>
        <w:rPr>
          <w:rFonts w:ascii="Times New Roman" w:hAnsi="Times New Roman"/>
          <w:i w:val="0"/>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606"/>
        <w:gridCol w:w="1607"/>
        <w:gridCol w:w="1607"/>
        <w:gridCol w:w="1606"/>
        <w:gridCol w:w="1607"/>
        <w:gridCol w:w="1607"/>
      </w:tblGrid>
      <w:tr w:rsidR="00AA1ED5" w:rsidRPr="006A75A2" w:rsidTr="00AD1FBF">
        <w:tc>
          <w:tcPr>
            <w:tcW w:w="3213" w:type="dxa"/>
            <w:gridSpan w:val="2"/>
            <w:tcBorders>
              <w:top w:val="single" w:sz="6" w:space="0" w:color="auto"/>
              <w:left w:val="single" w:sz="6" w:space="0" w:color="auto"/>
              <w:bottom w:val="nil"/>
              <w:right w:val="nil"/>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Public </w:t>
            </w:r>
            <w:r w:rsidRPr="006A75A2">
              <w:rPr>
                <w:rFonts w:eastAsiaTheme="minorEastAsia"/>
                <w:lang w:eastAsia="en-AU"/>
              </w:rPr>
              <w:br/>
              <w:t>financial corporations</w:t>
            </w:r>
          </w:p>
        </w:tc>
        <w:tc>
          <w:tcPr>
            <w:tcW w:w="3213" w:type="dxa"/>
            <w:gridSpan w:val="2"/>
            <w:tcBorders>
              <w:top w:val="single" w:sz="6" w:space="0" w:color="auto"/>
              <w:left w:val="nil"/>
              <w:bottom w:val="nil"/>
              <w:right w:val="nil"/>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Eliminations</w:t>
            </w:r>
          </w:p>
        </w:tc>
        <w:tc>
          <w:tcPr>
            <w:tcW w:w="3214" w:type="dxa"/>
            <w:gridSpan w:val="2"/>
            <w:tcBorders>
              <w:top w:val="single" w:sz="6" w:space="0" w:color="auto"/>
              <w:left w:val="nil"/>
              <w:bottom w:val="nil"/>
              <w:right w:val="single" w:sz="6" w:space="0" w:color="auto"/>
            </w:tcBorders>
            <w:shd w:val="clear" w:color="000000" w:fill="000000"/>
          </w:tcPr>
          <w:p w:rsidR="00AA1ED5" w:rsidRPr="006A75A2" w:rsidRDefault="00AA1ED5" w:rsidP="004B5CB1">
            <w:pPr>
              <w:pStyle w:val="TabletextheadingCentred"/>
              <w:rPr>
                <w:rFonts w:eastAsiaTheme="minorEastAsia"/>
                <w:lang w:eastAsia="en-AU"/>
              </w:rPr>
            </w:pPr>
          </w:p>
          <w:p w:rsidR="00AA1ED5" w:rsidRPr="006A75A2" w:rsidRDefault="00AA1ED5" w:rsidP="004B5CB1">
            <w:pPr>
              <w:pStyle w:val="TabletextheadingCentred"/>
              <w:rPr>
                <w:rFonts w:eastAsiaTheme="minorEastAsia"/>
                <w:lang w:eastAsia="en-AU"/>
              </w:rPr>
            </w:pPr>
            <w:r w:rsidRPr="006A75A2">
              <w:rPr>
                <w:rFonts w:eastAsiaTheme="minorEastAsia"/>
                <w:lang w:eastAsia="en-AU"/>
              </w:rPr>
              <w:t>State of Victoria</w:t>
            </w:r>
          </w:p>
        </w:tc>
      </w:tr>
      <w:tr w:rsidR="004E6C32" w:rsidRPr="006A75A2" w:rsidTr="004B5CB1">
        <w:tc>
          <w:tcPr>
            <w:tcW w:w="1606"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7"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1606"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(1 070.1)</w:t>
            </w:r>
          </w:p>
        </w:tc>
        <w:tc>
          <w:tcPr>
            <w:tcW w:w="1607"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(1 </w:t>
            </w:r>
            <w:r w:rsidRPr="006A75A2">
              <w:rPr>
                <w:rFonts w:eastAsiaTheme="minorEastAsia" w:cs="Calibri"/>
                <w:b/>
                <w:bCs/>
                <w:szCs w:val="22"/>
                <w:lang w:eastAsia="en-AU"/>
              </w:rPr>
              <w:t>011.7)</w:t>
            </w:r>
          </w:p>
        </w:tc>
        <w:tc>
          <w:tcPr>
            <w:tcW w:w="1607"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(24.8)</w:t>
            </w:r>
          </w:p>
        </w:tc>
        <w:tc>
          <w:tcPr>
            <w:tcW w:w="1606"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(1 214.3)</w:t>
            </w:r>
          </w:p>
        </w:tc>
        <w:tc>
          <w:tcPr>
            <w:tcW w:w="1607"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(2 005.3)</w:t>
            </w:r>
          </w:p>
        </w:tc>
        <w:tc>
          <w:tcPr>
            <w:tcW w:w="1607"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(11 706.1)</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136.0</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440.7</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(220.0)</w:t>
            </w:r>
          </w:p>
        </w:tc>
        <w:tc>
          <w:tcPr>
            <w:tcW w:w="160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(1 160.9)</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(136.0)</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(440.7)</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220.0</w:t>
            </w:r>
          </w:p>
        </w:tc>
        <w:tc>
          <w:tcPr>
            <w:tcW w:w="160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1 160.9</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(1 206.1)</w:t>
            </w:r>
          </w:p>
        </w:tc>
        <w:tc>
          <w:tcPr>
            <w:tcW w:w="1607"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(1 452.4)</w:t>
            </w:r>
          </w:p>
        </w:tc>
        <w:tc>
          <w:tcPr>
            <w:tcW w:w="1607"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195.2</w:t>
            </w:r>
          </w:p>
        </w:tc>
        <w:tc>
          <w:tcPr>
            <w:tcW w:w="160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(53.4)</w:t>
            </w:r>
          </w:p>
        </w:tc>
        <w:tc>
          <w:tcPr>
            <w:tcW w:w="1607"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(2 005.3)</w:t>
            </w:r>
          </w:p>
        </w:tc>
        <w:tc>
          <w:tcPr>
            <w:tcW w:w="1607"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(11 706.1)</w:t>
            </w:r>
          </w:p>
        </w:tc>
      </w:tr>
    </w:tbl>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Pr>
        <w:pStyle w:val="Notes"/>
      </w:pPr>
    </w:p>
    <w:p w:rsidR="004E6C32" w:rsidRPr="006A75A2" w:rsidRDefault="004E6C32" w:rsidP="004B5CB1"/>
    <w:p w:rsidR="004E6C32" w:rsidRPr="006A75A2" w:rsidRDefault="004E6C32" w:rsidP="0067336F">
      <w:pPr>
        <w:pStyle w:val="Heading5"/>
      </w:pPr>
    </w:p>
    <w:p w:rsidR="004E6C32" w:rsidRPr="006A75A2" w:rsidRDefault="004E6C32" w:rsidP="00C07A50">
      <w:pPr>
        <w:pStyle w:val="million"/>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606"/>
        <w:gridCol w:w="1607"/>
        <w:gridCol w:w="1607"/>
        <w:gridCol w:w="1606"/>
        <w:gridCol w:w="1607"/>
        <w:gridCol w:w="1607"/>
      </w:tblGrid>
      <w:tr w:rsidR="00AA1ED5" w:rsidRPr="006A75A2" w:rsidTr="00C07A50">
        <w:trPr>
          <w:trHeight w:val="72"/>
        </w:trPr>
        <w:tc>
          <w:tcPr>
            <w:tcW w:w="3213" w:type="dxa"/>
            <w:gridSpan w:val="2"/>
            <w:tcBorders>
              <w:top w:val="single" w:sz="6" w:space="0" w:color="auto"/>
              <w:left w:val="single" w:sz="6" w:space="0" w:color="auto"/>
              <w:bottom w:val="nil"/>
              <w:right w:val="nil"/>
            </w:tcBorders>
            <w:shd w:val="clear" w:color="000000" w:fill="000000"/>
          </w:tcPr>
          <w:p w:rsidR="00AA1ED5" w:rsidRPr="006A75A2" w:rsidRDefault="00AA1ED5" w:rsidP="00C07A50">
            <w:pPr>
              <w:pStyle w:val="TabletextheadingCentred"/>
              <w:rPr>
                <w:rFonts w:eastAsiaTheme="minorEastAsia"/>
                <w:lang w:eastAsia="en-AU"/>
              </w:rPr>
            </w:pPr>
            <w:r w:rsidRPr="006A75A2">
              <w:rPr>
                <w:rFonts w:eastAsiaTheme="minorEastAsia"/>
                <w:lang w:eastAsia="en-AU"/>
              </w:rPr>
              <w:t xml:space="preserve">Public </w:t>
            </w:r>
            <w:r w:rsidR="00C07A50" w:rsidRPr="006A75A2">
              <w:rPr>
                <w:rFonts w:eastAsiaTheme="minorEastAsia"/>
                <w:lang w:eastAsia="en-AU"/>
              </w:rPr>
              <w:br/>
            </w:r>
            <w:r w:rsidRPr="006A75A2">
              <w:rPr>
                <w:rFonts w:eastAsiaTheme="minorEastAsia"/>
                <w:lang w:eastAsia="en-AU"/>
              </w:rPr>
              <w:t>financial corporations</w:t>
            </w:r>
          </w:p>
        </w:tc>
        <w:tc>
          <w:tcPr>
            <w:tcW w:w="3213" w:type="dxa"/>
            <w:gridSpan w:val="2"/>
            <w:tcBorders>
              <w:top w:val="single" w:sz="6" w:space="0" w:color="auto"/>
              <w:left w:val="nil"/>
              <w:bottom w:val="nil"/>
              <w:right w:val="nil"/>
            </w:tcBorders>
            <w:shd w:val="clear" w:color="000000" w:fill="000000"/>
          </w:tcPr>
          <w:p w:rsidR="00AA1ED5" w:rsidRPr="006A75A2" w:rsidRDefault="00C07A50" w:rsidP="004B5CB1">
            <w:pPr>
              <w:pStyle w:val="TabletextheadingCentred"/>
              <w:rPr>
                <w:rFonts w:eastAsiaTheme="minorEastAsia"/>
                <w:lang w:eastAsia="en-AU"/>
              </w:rPr>
            </w:pPr>
            <w:r w:rsidRPr="006A75A2">
              <w:rPr>
                <w:rFonts w:eastAsiaTheme="minorEastAsia"/>
                <w:lang w:eastAsia="en-AU"/>
              </w:rPr>
              <w:br/>
            </w:r>
            <w:r w:rsidR="00AA1ED5" w:rsidRPr="006A75A2">
              <w:rPr>
                <w:rFonts w:eastAsiaTheme="minorEastAsia"/>
                <w:lang w:eastAsia="en-AU"/>
              </w:rPr>
              <w:t>Eliminations</w:t>
            </w:r>
          </w:p>
        </w:tc>
        <w:tc>
          <w:tcPr>
            <w:tcW w:w="3214" w:type="dxa"/>
            <w:gridSpan w:val="2"/>
            <w:tcBorders>
              <w:top w:val="single" w:sz="6" w:space="0" w:color="auto"/>
              <w:left w:val="nil"/>
              <w:bottom w:val="nil"/>
              <w:right w:val="single" w:sz="6" w:space="0" w:color="auto"/>
            </w:tcBorders>
            <w:shd w:val="clear" w:color="000000" w:fill="000000"/>
          </w:tcPr>
          <w:p w:rsidR="00AA1ED5" w:rsidRPr="006A75A2" w:rsidRDefault="00C07A50" w:rsidP="004B5CB1">
            <w:pPr>
              <w:pStyle w:val="TabletextheadingCentred"/>
              <w:rPr>
                <w:rFonts w:eastAsiaTheme="minorEastAsia"/>
                <w:lang w:eastAsia="en-AU"/>
              </w:rPr>
            </w:pPr>
            <w:r w:rsidRPr="006A75A2">
              <w:rPr>
                <w:rFonts w:eastAsiaTheme="minorEastAsia"/>
                <w:lang w:eastAsia="en-AU"/>
              </w:rPr>
              <w:br/>
            </w:r>
            <w:r w:rsidR="00AA1ED5" w:rsidRPr="006A75A2">
              <w:rPr>
                <w:rFonts w:eastAsiaTheme="minorEastAsia"/>
                <w:lang w:eastAsia="en-AU"/>
              </w:rPr>
              <w:t>State of Victoria</w:t>
            </w:r>
          </w:p>
        </w:tc>
      </w:tr>
      <w:tr w:rsidR="004E6C32" w:rsidRPr="006A75A2" w:rsidTr="00C07A50">
        <w:trPr>
          <w:trHeight w:val="87"/>
        </w:trPr>
        <w:tc>
          <w:tcPr>
            <w:tcW w:w="1606"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7"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(312.3)</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(852.8)</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(69 055.1)</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(63 463.2)</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131 092.7</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123 632.1</w:t>
            </w:r>
          </w:p>
        </w:tc>
      </w:tr>
      <w:tr w:rsidR="004E6C32" w:rsidRPr="006A75A2" w:rsidTr="004B5CB1">
        <w:trPr>
          <w:trHeight w:hRule="exact" w:val="120"/>
        </w:trPr>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136.0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440.7</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(220.0)</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(1 160.9)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(50.0)</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(50.0)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915.0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894.0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55.4</w:t>
            </w:r>
          </w:p>
        </w:tc>
        <w:tc>
          <w:tcPr>
            <w:tcW w:w="160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77.5</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(899.6)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(1 501.9)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1 075.6</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1 691.6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(7 934.1)</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(7 916.3)</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(6 930.4)</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(6 302.2)</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1 019.0</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1 769.1</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79 811.2</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74 375.9</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312.3</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852.8</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65 802.4</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60 688.0</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937.0</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921.5</w:t>
            </w:r>
          </w:p>
        </w:tc>
      </w:tr>
      <w:tr w:rsidR="004E6C32" w:rsidRPr="006A75A2" w:rsidTr="004B5CB1">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(3 252.7)</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(2 775.2)</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132 029.6</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124 553.6</w:t>
            </w:r>
          </w:p>
        </w:tc>
      </w:tr>
    </w:tbl>
    <w:p w:rsidR="004E6C32" w:rsidRPr="006A75A2" w:rsidRDefault="004E6C32" w:rsidP="004B5CB1">
      <w:pPr>
        <w:pStyle w:val="Notes"/>
      </w:pPr>
    </w:p>
    <w:p w:rsidR="004E6C32" w:rsidRPr="006A75A2" w:rsidRDefault="004E6C32" w:rsidP="004B5CB1">
      <w:pPr>
        <w:pStyle w:val="Notes"/>
      </w:pPr>
    </w:p>
    <w:p w:rsidR="004E6C32" w:rsidRPr="006A75A2" w:rsidRDefault="004E6C32">
      <w:pPr>
        <w:spacing w:after="0"/>
      </w:pPr>
      <w:r w:rsidRPr="006A75A2">
        <w:br w:type="page"/>
      </w:r>
    </w:p>
    <w:p w:rsidR="004E6C32" w:rsidRPr="006A75A2" w:rsidRDefault="004E6C32" w:rsidP="004B5CB1">
      <w:pPr>
        <w:pStyle w:val="Heading2NotesContd"/>
        <w:rPr>
          <w:kern w:val="0"/>
        </w:rPr>
      </w:pPr>
      <w:r w:rsidRPr="006A75A2">
        <w:rPr>
          <w:kern w:val="0"/>
        </w:rPr>
        <w:lastRenderedPageBreak/>
        <w:t>Note 31:</w:t>
      </w:r>
      <w:r w:rsidRPr="006A75A2">
        <w:rPr>
          <w:kern w:val="0"/>
        </w:rPr>
        <w:tab/>
        <w:t xml:space="preserve">Reconciliations </w:t>
      </w:r>
      <w:r w:rsidRPr="006A75A2">
        <w:rPr>
          <w:i/>
          <w:kern w:val="0"/>
        </w:rPr>
        <w:t>(continued)</w:t>
      </w:r>
    </w:p>
    <w:p w:rsidR="004E6C32" w:rsidRPr="006A75A2" w:rsidRDefault="004E6C32" w:rsidP="0067336F">
      <w:pPr>
        <w:pStyle w:val="Heading5"/>
      </w:pPr>
      <w:r w:rsidRPr="006A75A2">
        <w:t>(e)</w:t>
      </w:r>
      <w:r w:rsidRPr="006A75A2">
        <w:tab/>
        <w:t>Reconciliation to GFS cash surplus/(deficit)</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A1ED5" w:rsidRPr="006A75A2" w:rsidTr="00AD1FBF">
        <w:tc>
          <w:tcPr>
            <w:tcW w:w="5160" w:type="dxa"/>
            <w:tcBorders>
              <w:top w:val="single" w:sz="6" w:space="0" w:color="auto"/>
              <w:left w:val="single" w:sz="6" w:space="0" w:color="auto"/>
              <w:bottom w:val="nil"/>
              <w:right w:val="nil"/>
            </w:tcBorders>
            <w:shd w:val="clear" w:color="000000" w:fill="000000"/>
          </w:tcPr>
          <w:p w:rsidR="00AA1ED5" w:rsidRPr="006A75A2" w:rsidRDefault="00AA1ED5"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A1ED5" w:rsidRPr="006A75A2" w:rsidRDefault="00AA1ED5" w:rsidP="00AA1ED5">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c>
          <w:tcPr>
            <w:tcW w:w="2240" w:type="dxa"/>
            <w:gridSpan w:val="2"/>
            <w:tcBorders>
              <w:top w:val="single" w:sz="6" w:space="0" w:color="auto"/>
              <w:left w:val="nil"/>
              <w:bottom w:val="nil"/>
              <w:right w:val="single" w:sz="6" w:space="0" w:color="auto"/>
            </w:tcBorders>
            <w:shd w:val="clear" w:color="000000" w:fill="000000"/>
          </w:tcPr>
          <w:p w:rsidR="00AA1ED5" w:rsidRPr="006A75A2" w:rsidRDefault="00AA1ED5" w:rsidP="004B5CB1">
            <w:pPr>
              <w:pStyle w:val="TabletextheadingCentred"/>
              <w:rPr>
                <w:rFonts w:eastAsiaTheme="minorEastAsia"/>
                <w:lang w:eastAsia="en-AU"/>
              </w:rPr>
            </w:pPr>
            <w:r w:rsidRPr="006A75A2">
              <w:rPr>
                <w:rFonts w:eastAsiaTheme="minorEastAsia"/>
                <w:lang w:eastAsia="en-AU"/>
              </w:rPr>
              <w:t>Public non-financial corporations</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shd w:val="solid" w:color="FFFFFF" w:fill="auto"/>
          </w:tcPr>
          <w:p w:rsidR="004E6C32" w:rsidRPr="006A75A2" w:rsidRDefault="004E6C32" w:rsidP="004B5CB1">
            <w:pPr>
              <w:pStyle w:val="Tabletext"/>
              <w:rPr>
                <w:rFonts w:eastAsiaTheme="minorEastAsia"/>
                <w:b/>
                <w:vertAlign w:val="superscript"/>
                <w:lang w:eastAsia="en-AU"/>
              </w:rPr>
            </w:pPr>
            <w:r w:rsidRPr="006A75A2">
              <w:rPr>
                <w:rFonts w:eastAsiaTheme="minorEastAsia"/>
                <w:b/>
                <w:lang w:eastAsia="en-AU"/>
              </w:rPr>
              <w:t>Cash surplus/(deficit)</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216.2</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(2 192.9)</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(1 208.4)</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(2 789.9)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Convergence differences: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5160"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cs="Calibri"/>
                <w:szCs w:val="22"/>
                <w:vertAlign w:val="superscript"/>
                <w:lang w:eastAsia="en-AU"/>
              </w:rPr>
            </w:pPr>
            <w:r w:rsidRPr="006A75A2">
              <w:rPr>
                <w:rFonts w:eastAsiaTheme="minorEastAsia"/>
                <w:lang w:eastAsia="en-AU"/>
              </w:rPr>
              <w:t>Less: Acquisitions under finance leases and similar arrangements</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(109.5)</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(1 064.8)</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(4 369.0)</w:t>
            </w:r>
          </w:p>
        </w:tc>
      </w:tr>
      <w:tr w:rsidR="004E6C32" w:rsidRPr="006A75A2" w:rsidTr="004B5CB1">
        <w:tc>
          <w:tcPr>
            <w:tcW w:w="516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GFS cash surplus/(deficit)</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106.6</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(3 257.7)</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(1 208.4)</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(7 158.9)</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Determined in accordance with the ABS GFS manual.</w:t>
      </w:r>
    </w:p>
    <w:p w:rsidR="004E6C32" w:rsidRPr="006A75A2" w:rsidRDefault="004E6C32" w:rsidP="004B5CB1">
      <w:pPr>
        <w:pStyle w:val="Notes"/>
      </w:pPr>
    </w:p>
    <w:p w:rsidR="004E6C32" w:rsidRPr="006A75A2" w:rsidRDefault="004E6C32">
      <w:pPr>
        <w:spacing w:after="0"/>
      </w:pPr>
    </w:p>
    <w:p w:rsidR="004E6C32" w:rsidRPr="006A75A2" w:rsidRDefault="004E6C32">
      <w:pPr>
        <w:spacing w:after="0"/>
      </w:pPr>
      <w:r w:rsidRPr="006A75A2">
        <w:br w:type="page"/>
      </w:r>
    </w:p>
    <w:p w:rsidR="004E6C32" w:rsidRPr="006A75A2" w:rsidRDefault="004E6C32" w:rsidP="004B5CB1">
      <w:pPr>
        <w:pStyle w:val="Heading2Notes"/>
        <w:rPr>
          <w:kern w:val="0"/>
        </w:rPr>
      </w:pPr>
    </w:p>
    <w:p w:rsidR="004E6C32" w:rsidRPr="006A75A2" w:rsidRDefault="004E6C32" w:rsidP="0067336F">
      <w:pPr>
        <w:pStyle w:val="Heading5"/>
      </w:pPr>
    </w:p>
    <w:p w:rsidR="004E6C32" w:rsidRPr="006A75A2" w:rsidRDefault="004E6C32" w:rsidP="004B5CB1">
      <w:pPr>
        <w:pStyle w:val="million"/>
      </w:pPr>
    </w:p>
    <w:tbl>
      <w:tblPr>
        <w:tblW w:w="9648" w:type="dxa"/>
        <w:tblInd w:w="29" w:type="dxa"/>
        <w:tblLayout w:type="fixed"/>
        <w:tblCellMar>
          <w:left w:w="43" w:type="dxa"/>
          <w:right w:w="43" w:type="dxa"/>
        </w:tblCellMar>
        <w:tblLook w:val="0000" w:firstRow="0" w:lastRow="0" w:firstColumn="0" w:lastColumn="0" w:noHBand="0" w:noVBand="0"/>
      </w:tblPr>
      <w:tblGrid>
        <w:gridCol w:w="1608"/>
        <w:gridCol w:w="1608"/>
        <w:gridCol w:w="1608"/>
        <w:gridCol w:w="1608"/>
        <w:gridCol w:w="1608"/>
        <w:gridCol w:w="1608"/>
      </w:tblGrid>
      <w:tr w:rsidR="00AA1ED5" w:rsidRPr="006A75A2" w:rsidTr="00AD1FBF">
        <w:tc>
          <w:tcPr>
            <w:tcW w:w="3216" w:type="dxa"/>
            <w:gridSpan w:val="2"/>
            <w:tcBorders>
              <w:top w:val="single" w:sz="4" w:space="0" w:color="auto"/>
              <w:left w:val="single" w:sz="4" w:space="0" w:color="auto"/>
              <w:bottom w:val="nil"/>
              <w:right w:val="nil"/>
            </w:tcBorders>
            <w:shd w:val="clear" w:color="auto" w:fill="000000"/>
          </w:tcPr>
          <w:p w:rsidR="00AA1ED5" w:rsidRPr="006A75A2" w:rsidRDefault="00AA1ED5" w:rsidP="00AA1ED5">
            <w:pPr>
              <w:pStyle w:val="Tabletextheading"/>
              <w:jc w:val="center"/>
              <w:rPr>
                <w:rFonts w:eastAsiaTheme="minorEastAsia"/>
                <w:lang w:eastAsia="en-AU"/>
              </w:rPr>
            </w:pPr>
            <w:r w:rsidRPr="006A75A2">
              <w:rPr>
                <w:rFonts w:eastAsiaTheme="minorEastAsia"/>
                <w:lang w:eastAsia="en-AU"/>
              </w:rPr>
              <w:t xml:space="preserve">Public </w:t>
            </w:r>
            <w:r w:rsidRPr="006A75A2">
              <w:rPr>
                <w:rFonts w:eastAsiaTheme="minorEastAsia"/>
                <w:lang w:eastAsia="en-AU"/>
              </w:rPr>
              <w:br/>
              <w:t>financial corporations</w:t>
            </w:r>
          </w:p>
        </w:tc>
        <w:tc>
          <w:tcPr>
            <w:tcW w:w="3216" w:type="dxa"/>
            <w:gridSpan w:val="2"/>
            <w:tcBorders>
              <w:top w:val="single" w:sz="4" w:space="0" w:color="auto"/>
              <w:left w:val="nil"/>
              <w:bottom w:val="nil"/>
              <w:right w:val="nil"/>
            </w:tcBorders>
            <w:shd w:val="clear" w:color="auto" w:fill="000000"/>
          </w:tcPr>
          <w:p w:rsidR="00AA1ED5" w:rsidRPr="006A75A2" w:rsidRDefault="00AA1ED5" w:rsidP="004B5CB1">
            <w:pPr>
              <w:pStyle w:val="Tabletextheading"/>
              <w:jc w:val="center"/>
              <w:rPr>
                <w:rFonts w:eastAsiaTheme="minorEastAsia"/>
                <w:lang w:eastAsia="en-AU"/>
              </w:rPr>
            </w:pPr>
          </w:p>
          <w:p w:rsidR="00AA1ED5" w:rsidRPr="006A75A2" w:rsidRDefault="00AA1ED5" w:rsidP="004B5CB1">
            <w:pPr>
              <w:pStyle w:val="Tabletextheading"/>
              <w:jc w:val="center"/>
              <w:rPr>
                <w:rFonts w:eastAsiaTheme="minorEastAsia"/>
                <w:lang w:eastAsia="en-AU"/>
              </w:rPr>
            </w:pPr>
            <w:r w:rsidRPr="006A75A2">
              <w:rPr>
                <w:rFonts w:eastAsiaTheme="minorEastAsia"/>
                <w:lang w:eastAsia="en-AU"/>
              </w:rPr>
              <w:t>Eliminations</w:t>
            </w:r>
          </w:p>
        </w:tc>
        <w:tc>
          <w:tcPr>
            <w:tcW w:w="3216" w:type="dxa"/>
            <w:gridSpan w:val="2"/>
            <w:tcBorders>
              <w:top w:val="single" w:sz="4" w:space="0" w:color="auto"/>
              <w:left w:val="nil"/>
              <w:bottom w:val="nil"/>
              <w:right w:val="single" w:sz="4" w:space="0" w:color="auto"/>
            </w:tcBorders>
            <w:shd w:val="clear" w:color="auto" w:fill="000000"/>
          </w:tcPr>
          <w:p w:rsidR="00AA1ED5" w:rsidRPr="006A75A2" w:rsidRDefault="00AA1ED5" w:rsidP="004B5CB1">
            <w:pPr>
              <w:pStyle w:val="Tabletextheading"/>
              <w:jc w:val="center"/>
              <w:rPr>
                <w:rFonts w:eastAsiaTheme="minorEastAsia"/>
                <w:lang w:eastAsia="en-AU"/>
              </w:rPr>
            </w:pPr>
          </w:p>
          <w:p w:rsidR="00AA1ED5" w:rsidRPr="006A75A2" w:rsidRDefault="00AA1ED5" w:rsidP="004B5CB1">
            <w:pPr>
              <w:pStyle w:val="Tabletextheading"/>
              <w:jc w:val="center"/>
              <w:rPr>
                <w:rFonts w:eastAsiaTheme="minorEastAsia"/>
                <w:lang w:eastAsia="en-AU"/>
              </w:rPr>
            </w:pPr>
            <w:r w:rsidRPr="006A75A2">
              <w:rPr>
                <w:rFonts w:eastAsiaTheme="minorEastAsia"/>
                <w:lang w:eastAsia="en-AU"/>
              </w:rPr>
              <w:t>State of Victoria</w:t>
            </w:r>
          </w:p>
        </w:tc>
      </w:tr>
      <w:tr w:rsidR="004E6C32" w:rsidRPr="006A75A2" w:rsidTr="004B5CB1">
        <w:tc>
          <w:tcPr>
            <w:tcW w:w="1608" w:type="dxa"/>
            <w:tcBorders>
              <w:top w:val="nil"/>
              <w:left w:val="single" w:sz="4" w:space="0" w:color="auto"/>
              <w:bottom w:val="single" w:sz="4" w:space="0" w:color="auto"/>
              <w:right w:val="nil"/>
            </w:tcBorders>
            <w:shd w:val="clear" w:color="auto" w:fill="000000"/>
          </w:tcPr>
          <w:p w:rsidR="004E6C32" w:rsidRPr="006A75A2" w:rsidRDefault="004E6C32" w:rsidP="004B5CB1">
            <w:pPr>
              <w:pStyle w:val="TableofFigures"/>
              <w:rPr>
                <w:rFonts w:eastAsiaTheme="minorEastAsia"/>
                <w:i/>
                <w:lang w:eastAsia="en-AU"/>
              </w:rPr>
            </w:pPr>
            <w:r w:rsidRPr="006A75A2">
              <w:rPr>
                <w:rFonts w:eastAsiaTheme="minorEastAsia"/>
                <w:i/>
                <w:lang w:eastAsia="en-AU"/>
              </w:rPr>
              <w:t>2014</w:t>
            </w:r>
          </w:p>
        </w:tc>
        <w:tc>
          <w:tcPr>
            <w:tcW w:w="1608" w:type="dxa"/>
            <w:tcBorders>
              <w:top w:val="nil"/>
              <w:left w:val="nil"/>
              <w:bottom w:val="single" w:sz="4" w:space="0" w:color="auto"/>
              <w:right w:val="nil"/>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8" w:type="dxa"/>
            <w:tcBorders>
              <w:top w:val="nil"/>
              <w:left w:val="nil"/>
              <w:bottom w:val="single" w:sz="4" w:space="0" w:color="auto"/>
              <w:right w:val="nil"/>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8" w:type="dxa"/>
            <w:tcBorders>
              <w:top w:val="nil"/>
              <w:left w:val="nil"/>
              <w:bottom w:val="single" w:sz="4" w:space="0" w:color="auto"/>
              <w:right w:val="nil"/>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608" w:type="dxa"/>
            <w:tcBorders>
              <w:top w:val="nil"/>
              <w:left w:val="nil"/>
              <w:bottom w:val="single" w:sz="4" w:space="0" w:color="auto"/>
              <w:right w:val="nil"/>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608" w:type="dxa"/>
            <w:tcBorders>
              <w:top w:val="nil"/>
              <w:left w:val="nil"/>
              <w:bottom w:val="single" w:sz="4" w:space="0" w:color="auto"/>
              <w:right w:val="single" w:sz="4" w:space="0" w:color="auto"/>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1608"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1 246.7</w:t>
            </w:r>
          </w:p>
        </w:tc>
        <w:tc>
          <w:tcPr>
            <w:tcW w:w="1608"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368.8</w:t>
            </w:r>
          </w:p>
        </w:tc>
        <w:tc>
          <w:tcPr>
            <w:tcW w:w="1608"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(164.0)</w:t>
            </w:r>
          </w:p>
        </w:tc>
        <w:tc>
          <w:tcPr>
            <w:tcW w:w="1608"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234.9</w:t>
            </w:r>
          </w:p>
        </w:tc>
        <w:tc>
          <w:tcPr>
            <w:tcW w:w="1608"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90.4</w:t>
            </w:r>
          </w:p>
        </w:tc>
        <w:tc>
          <w:tcPr>
            <w:tcW w:w="1608" w:type="dxa"/>
            <w:tcBorders>
              <w:top w:val="single" w:sz="4"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(4 379.1)</w:t>
            </w:r>
          </w:p>
        </w:tc>
      </w:tr>
      <w:tr w:rsidR="004E6C32" w:rsidRPr="006A75A2" w:rsidTr="004B5CB1">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r w:rsidRPr="006A75A2">
              <w:rPr>
                <w:rFonts w:eastAsiaTheme="minorEastAsia"/>
                <w:lang w:eastAsia="en-AU"/>
              </w:rPr>
              <w:br/>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(109.5)</w:t>
            </w:r>
          </w:p>
        </w:tc>
        <w:tc>
          <w:tcPr>
            <w:tcW w:w="16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(5 433.8)</w:t>
            </w:r>
          </w:p>
        </w:tc>
      </w:tr>
      <w:tr w:rsidR="004E6C32" w:rsidRPr="006A75A2" w:rsidTr="004B5CB1">
        <w:tc>
          <w:tcPr>
            <w:tcW w:w="1608"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1 246.7</w:t>
            </w:r>
          </w:p>
        </w:tc>
        <w:tc>
          <w:tcPr>
            <w:tcW w:w="1608"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368.8</w:t>
            </w:r>
          </w:p>
        </w:tc>
        <w:tc>
          <w:tcPr>
            <w:tcW w:w="1608"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(164.0)</w:t>
            </w:r>
          </w:p>
        </w:tc>
        <w:tc>
          <w:tcPr>
            <w:tcW w:w="1608"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234.9</w:t>
            </w:r>
          </w:p>
        </w:tc>
        <w:tc>
          <w:tcPr>
            <w:tcW w:w="1608"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(19.1)</w:t>
            </w:r>
          </w:p>
        </w:tc>
        <w:tc>
          <w:tcPr>
            <w:tcW w:w="1608"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(9 812.9)</w:t>
            </w:r>
          </w:p>
        </w:tc>
      </w:tr>
    </w:tbl>
    <w:p w:rsidR="004E6C32" w:rsidRPr="006A75A2" w:rsidRDefault="004E6C32" w:rsidP="004B5CB1">
      <w:pPr>
        <w:pStyle w:val="million"/>
      </w:pPr>
    </w:p>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Heading2Notes"/>
        <w:rPr>
          <w:kern w:val="0"/>
        </w:rPr>
      </w:pPr>
      <w:bookmarkStart w:id="62" w:name="_Toc400040279"/>
      <w:r w:rsidRPr="006A75A2">
        <w:rPr>
          <w:kern w:val="0"/>
        </w:rPr>
        <w:lastRenderedPageBreak/>
        <w:t>Note 32:</w:t>
      </w:r>
      <w:r w:rsidRPr="006A75A2">
        <w:rPr>
          <w:kern w:val="0"/>
        </w:rPr>
        <w:tab/>
        <w:t>Explanations of material variances between budget and actual outcomes</w:t>
      </w:r>
      <w:bookmarkEnd w:id="62"/>
    </w:p>
    <w:p w:rsidR="004E6C32" w:rsidRPr="006A75A2" w:rsidRDefault="004E6C32" w:rsidP="004B5CB1">
      <w:r w:rsidRPr="006A75A2">
        <w:t>The following tables and notes explain material variances between the general government sector original budget as published in Chapter 1 of 2013</w:t>
      </w:r>
      <w:r w:rsidRPr="006A75A2">
        <w:noBreakHyphen/>
        <w:t xml:space="preserve">14 Budget Paper No. 5 </w:t>
      </w:r>
      <w:r w:rsidRPr="006A75A2">
        <w:rPr>
          <w:i/>
        </w:rPr>
        <w:t xml:space="preserve">Statement of Finances </w:t>
      </w:r>
      <w:r w:rsidRPr="006A75A2">
        <w:t>and actual outcomes. The tables also include the revised budget estimates as published in Appendix B of 2014</w:t>
      </w:r>
      <w:r w:rsidRPr="006A75A2">
        <w:noBreakHyphen/>
        <w:t>15 Budget Paper No. 5</w:t>
      </w:r>
      <w:r w:rsidRPr="006A75A2">
        <w:rPr>
          <w:i/>
        </w:rPr>
        <w:t xml:space="preserve"> Statement of Finances.</w:t>
      </w:r>
    </w:p>
    <w:p w:rsidR="004E6C32" w:rsidRPr="006A75A2" w:rsidRDefault="004E6C32" w:rsidP="004B5CB1">
      <w:r w:rsidRPr="006A75A2">
        <w:t>The budget data is sourced from the estimated financial statements, which were reviewed by the Auditor</w:t>
      </w:r>
      <w:r w:rsidRPr="006A75A2">
        <w:noBreakHyphen/>
        <w:t>General, but not subject to an audit.</w:t>
      </w:r>
    </w:p>
    <w:p w:rsidR="004E6C32" w:rsidRPr="006A75A2" w:rsidRDefault="004E6C32" w:rsidP="004B5CB1">
      <w:r w:rsidRPr="006A75A2">
        <w:t>For the general government sector comprehensive operating statement, variances are considered to be material where the variance exceeds the greater of 10 per cent of the original budget estimates or $15 million. In regard to the other statements, high level explanations of major variances in the key aggregates, where material, have been provided.</w:t>
      </w:r>
    </w:p>
    <w:p w:rsidR="004E6C32" w:rsidRPr="006A75A2" w:rsidRDefault="004E6C32" w:rsidP="0067336F">
      <w:pPr>
        <w:pStyle w:val="Heading5"/>
      </w:pPr>
      <w:r w:rsidRPr="006A75A2">
        <w:t>(a)</w:t>
      </w:r>
      <w:r w:rsidRPr="006A75A2">
        <w:tab/>
        <w:t>Consolidated comprehensive operating statement for the financial year ending 30 June</w:t>
      </w:r>
    </w:p>
    <w:p w:rsidR="004E6C32" w:rsidRPr="006A75A2" w:rsidRDefault="004E6C32" w:rsidP="004B5CB1">
      <w:pPr>
        <w:pStyle w:val="million"/>
        <w:rPr>
          <w:rFonts w:ascii="Times New Roman" w:hAnsi="Times New Roman"/>
          <w:lang w:eastAsia="en-AU"/>
        </w:rPr>
      </w:pPr>
      <w:r w:rsidRPr="006A75A2">
        <w:t>($ million)</w:t>
      </w:r>
    </w:p>
    <w:tbl>
      <w:tblPr>
        <w:tblW w:w="9656" w:type="dxa"/>
        <w:tblInd w:w="28" w:type="dxa"/>
        <w:tblLayout w:type="fixed"/>
        <w:tblCellMar>
          <w:left w:w="45" w:type="dxa"/>
          <w:right w:w="45" w:type="dxa"/>
        </w:tblCellMar>
        <w:tblLook w:val="0000" w:firstRow="0" w:lastRow="0" w:firstColumn="0" w:lastColumn="0" w:noHBand="0" w:noVBand="0"/>
      </w:tblPr>
      <w:tblGrid>
        <w:gridCol w:w="2819"/>
        <w:gridCol w:w="311"/>
        <w:gridCol w:w="567"/>
        <w:gridCol w:w="991"/>
        <w:gridCol w:w="851"/>
        <w:gridCol w:w="991"/>
        <w:gridCol w:w="850"/>
        <w:gridCol w:w="714"/>
        <w:gridCol w:w="854"/>
        <w:gridCol w:w="708"/>
      </w:tblGrid>
      <w:tr w:rsidR="00AD1FBF" w:rsidRPr="006A75A2" w:rsidTr="00C07A50">
        <w:trPr>
          <w:tblHeader/>
        </w:trPr>
        <w:tc>
          <w:tcPr>
            <w:tcW w:w="3130" w:type="dxa"/>
            <w:gridSpan w:val="2"/>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sz w:val="19"/>
                <w:lang w:eastAsia="en-AU"/>
              </w:rPr>
            </w:pPr>
            <w:r w:rsidRPr="006A75A2">
              <w:rPr>
                <w:rFonts w:eastAsiaTheme="minorEastAsia"/>
                <w:sz w:val="19"/>
                <w:lang w:eastAsia="en-AU"/>
              </w:rPr>
              <w:t xml:space="preserve"> </w:t>
            </w:r>
          </w:p>
        </w:tc>
        <w:tc>
          <w:tcPr>
            <w:tcW w:w="567" w:type="dxa"/>
            <w:vMerge w:val="restart"/>
            <w:tcBorders>
              <w:top w:val="single" w:sz="6" w:space="0" w:color="auto"/>
              <w:left w:val="nil"/>
              <w:right w:val="nil"/>
            </w:tcBorders>
            <w:shd w:val="clear" w:color="000000" w:fill="000000"/>
          </w:tcPr>
          <w:p w:rsidR="00AD1FBF" w:rsidRPr="006A75A2" w:rsidRDefault="00AD1FBF" w:rsidP="004B5CB1">
            <w:pPr>
              <w:pStyle w:val="TabletextheadingCentred"/>
              <w:rPr>
                <w:rFonts w:eastAsiaTheme="minorEastAsia"/>
                <w:sz w:val="19"/>
                <w:lang w:eastAsia="en-AU"/>
              </w:rPr>
            </w:pPr>
          </w:p>
          <w:p w:rsidR="00AD1FBF" w:rsidRPr="006A75A2" w:rsidRDefault="00AD1FBF" w:rsidP="004B5CB1">
            <w:pPr>
              <w:pStyle w:val="TabletextheadingCentred"/>
              <w:rPr>
                <w:rFonts w:eastAsiaTheme="minorEastAsia"/>
                <w:sz w:val="19"/>
                <w:lang w:eastAsia="en-AU"/>
              </w:rPr>
            </w:pPr>
          </w:p>
          <w:p w:rsidR="00AD1FBF" w:rsidRPr="006A75A2" w:rsidRDefault="00AD1FBF" w:rsidP="004B5CB1">
            <w:pPr>
              <w:pStyle w:val="TabletextheadingCentred"/>
              <w:rPr>
                <w:rFonts w:eastAsiaTheme="minorEastAsia"/>
                <w:sz w:val="19"/>
                <w:lang w:eastAsia="en-AU"/>
              </w:rPr>
            </w:pPr>
            <w:r w:rsidRPr="006A75A2">
              <w:rPr>
                <w:rFonts w:eastAsiaTheme="minorEastAsia"/>
                <w:sz w:val="19"/>
                <w:lang w:eastAsia="en-AU"/>
              </w:rPr>
              <w:t>Notes</w:t>
            </w:r>
          </w:p>
        </w:tc>
        <w:tc>
          <w:tcPr>
            <w:tcW w:w="3683" w:type="dxa"/>
            <w:gridSpan w:val="4"/>
            <w:tcBorders>
              <w:top w:val="single" w:sz="6" w:space="0" w:color="auto"/>
              <w:left w:val="nil"/>
              <w:bottom w:val="nil"/>
              <w:right w:val="nil"/>
            </w:tcBorders>
            <w:shd w:val="clear" w:color="000000" w:fill="000000"/>
          </w:tcPr>
          <w:p w:rsidR="00AD1FBF" w:rsidRPr="006A75A2" w:rsidRDefault="00AD1FBF" w:rsidP="00AD1FBF">
            <w:pPr>
              <w:pStyle w:val="TabletextheadingCentred"/>
              <w:rPr>
                <w:rFonts w:eastAsiaTheme="minorEastAsia"/>
                <w:sz w:val="19"/>
                <w:lang w:eastAsia="en-AU"/>
              </w:rPr>
            </w:pPr>
            <w:r w:rsidRPr="006A75A2">
              <w:rPr>
                <w:rFonts w:eastAsiaTheme="minorEastAsia"/>
                <w:sz w:val="19"/>
                <w:lang w:eastAsia="en-AU"/>
              </w:rPr>
              <w:t>General government sector</w:t>
            </w:r>
          </w:p>
        </w:tc>
        <w:tc>
          <w:tcPr>
            <w:tcW w:w="714" w:type="dxa"/>
            <w:vMerge w:val="restart"/>
            <w:tcBorders>
              <w:top w:val="single" w:sz="6" w:space="0" w:color="auto"/>
              <w:left w:val="nil"/>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 xml:space="preserve"> </w:t>
            </w:r>
          </w:p>
          <w:p w:rsidR="00AD1FBF" w:rsidRPr="006A75A2" w:rsidRDefault="00AD1FBF" w:rsidP="004B5CB1">
            <w:pPr>
              <w:pStyle w:val="Tabletextheading"/>
              <w:rPr>
                <w:rFonts w:eastAsiaTheme="minorEastAsia"/>
                <w:sz w:val="19"/>
                <w:lang w:eastAsia="en-AU"/>
              </w:rPr>
            </w:pPr>
          </w:p>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w:t>
            </w:r>
          </w:p>
        </w:tc>
        <w:tc>
          <w:tcPr>
            <w:tcW w:w="854" w:type="dxa"/>
            <w:vMerge w:val="restart"/>
            <w:tcBorders>
              <w:top w:val="single" w:sz="6" w:space="0" w:color="auto"/>
              <w:left w:val="nil"/>
              <w:right w:val="nil"/>
            </w:tcBorders>
            <w:shd w:val="clear" w:color="000000" w:fill="000000"/>
          </w:tcPr>
          <w:p w:rsidR="00AD1FBF" w:rsidRPr="006A75A2" w:rsidRDefault="00AD1FBF" w:rsidP="00AD1FBF">
            <w:pPr>
              <w:pStyle w:val="Tabletextheading"/>
              <w:rPr>
                <w:rFonts w:eastAsiaTheme="minorEastAsia"/>
                <w:sz w:val="19"/>
                <w:lang w:eastAsia="en-AU"/>
              </w:rPr>
            </w:pPr>
            <w:r w:rsidRPr="006A75A2">
              <w:rPr>
                <w:rFonts w:eastAsiaTheme="minorEastAsia"/>
                <w:sz w:val="19"/>
                <w:lang w:eastAsia="en-AU"/>
              </w:rPr>
              <w:t>Revised budget variance</w:t>
            </w:r>
          </w:p>
        </w:tc>
        <w:tc>
          <w:tcPr>
            <w:tcW w:w="708" w:type="dxa"/>
            <w:vMerge w:val="restart"/>
            <w:tcBorders>
              <w:top w:val="single" w:sz="6" w:space="0" w:color="auto"/>
              <w:left w:val="nil"/>
              <w:right w:val="single" w:sz="6" w:space="0" w:color="auto"/>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 xml:space="preserve"> </w:t>
            </w:r>
          </w:p>
          <w:p w:rsidR="00AD1FBF" w:rsidRPr="006A75A2" w:rsidRDefault="00AD1FBF" w:rsidP="004B5CB1">
            <w:pPr>
              <w:pStyle w:val="Tabletextheading"/>
              <w:rPr>
                <w:rFonts w:eastAsiaTheme="minorEastAsia"/>
                <w:sz w:val="19"/>
                <w:lang w:eastAsia="en-AU"/>
              </w:rPr>
            </w:pPr>
          </w:p>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w:t>
            </w:r>
          </w:p>
        </w:tc>
      </w:tr>
      <w:tr w:rsidR="00AD1FBF" w:rsidRPr="006A75A2" w:rsidTr="00C07A50">
        <w:trPr>
          <w:tblHeader/>
        </w:trPr>
        <w:tc>
          <w:tcPr>
            <w:tcW w:w="3130" w:type="dxa"/>
            <w:gridSpan w:val="2"/>
            <w:tcBorders>
              <w:top w:val="nil"/>
              <w:left w:val="single" w:sz="6" w:space="0" w:color="auto"/>
              <w:bottom w:val="single" w:sz="6" w:space="0" w:color="auto"/>
              <w:right w:val="nil"/>
            </w:tcBorders>
            <w:shd w:val="clear" w:color="000000" w:fill="000000"/>
          </w:tcPr>
          <w:p w:rsidR="00AD1FBF" w:rsidRPr="006A75A2" w:rsidRDefault="00AD1FBF" w:rsidP="004B5CB1">
            <w:pPr>
              <w:pStyle w:val="Tabletext"/>
              <w:rPr>
                <w:rFonts w:eastAsiaTheme="minorEastAsia"/>
                <w:sz w:val="19"/>
                <w:lang w:eastAsia="en-AU"/>
              </w:rPr>
            </w:pPr>
            <w:r w:rsidRPr="006A75A2">
              <w:rPr>
                <w:rFonts w:eastAsiaTheme="minorEastAsia"/>
                <w:sz w:val="19"/>
                <w:lang w:eastAsia="en-AU"/>
              </w:rPr>
              <w:t xml:space="preserve"> </w:t>
            </w:r>
          </w:p>
        </w:tc>
        <w:tc>
          <w:tcPr>
            <w:tcW w:w="567" w:type="dxa"/>
            <w:vMerge/>
            <w:tcBorders>
              <w:left w:val="nil"/>
              <w:bottom w:val="single" w:sz="6" w:space="0" w:color="auto"/>
              <w:right w:val="nil"/>
            </w:tcBorders>
            <w:shd w:val="clear" w:color="000000" w:fill="000000"/>
          </w:tcPr>
          <w:p w:rsidR="00AD1FBF" w:rsidRPr="006A75A2" w:rsidRDefault="00AD1FBF" w:rsidP="004B5CB1">
            <w:pPr>
              <w:pStyle w:val="TabletextheadingCentred"/>
              <w:rPr>
                <w:rFonts w:eastAsiaTheme="minorEastAsia"/>
                <w:sz w:val="19"/>
                <w:lang w:eastAsia="en-AU"/>
              </w:rPr>
            </w:pPr>
          </w:p>
        </w:tc>
        <w:tc>
          <w:tcPr>
            <w:tcW w:w="991" w:type="dxa"/>
            <w:tcBorders>
              <w:top w:val="nil"/>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Original budget</w:t>
            </w:r>
          </w:p>
        </w:tc>
        <w:tc>
          <w:tcPr>
            <w:tcW w:w="851" w:type="dxa"/>
            <w:tcBorders>
              <w:top w:val="nil"/>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Revised budget</w:t>
            </w:r>
          </w:p>
        </w:tc>
        <w:tc>
          <w:tcPr>
            <w:tcW w:w="991" w:type="dxa"/>
            <w:tcBorders>
              <w:top w:val="nil"/>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2014  Actual</w:t>
            </w:r>
          </w:p>
        </w:tc>
        <w:tc>
          <w:tcPr>
            <w:tcW w:w="850" w:type="dxa"/>
            <w:tcBorders>
              <w:top w:val="nil"/>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Budget variance</w:t>
            </w:r>
          </w:p>
        </w:tc>
        <w:tc>
          <w:tcPr>
            <w:tcW w:w="714" w:type="dxa"/>
            <w:vMerge/>
            <w:tcBorders>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p>
        </w:tc>
        <w:tc>
          <w:tcPr>
            <w:tcW w:w="854" w:type="dxa"/>
            <w:vMerge/>
            <w:tcBorders>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p>
        </w:tc>
        <w:tc>
          <w:tcPr>
            <w:tcW w:w="708" w:type="dxa"/>
            <w:vMerge/>
            <w:tcBorders>
              <w:left w:val="nil"/>
              <w:bottom w:val="single" w:sz="6" w:space="0" w:color="auto"/>
              <w:right w:val="single" w:sz="6" w:space="0" w:color="auto"/>
            </w:tcBorders>
            <w:shd w:val="clear" w:color="000000" w:fill="000000"/>
          </w:tcPr>
          <w:p w:rsidR="00AD1FBF" w:rsidRPr="006A75A2" w:rsidRDefault="00AD1FBF" w:rsidP="004B5CB1">
            <w:pPr>
              <w:pStyle w:val="Tabletextheading"/>
              <w:rPr>
                <w:rFonts w:eastAsiaTheme="minorEastAsia"/>
                <w:sz w:val="19"/>
                <w:lang w:eastAsia="en-AU"/>
              </w:rPr>
            </w:pPr>
          </w:p>
        </w:tc>
      </w:tr>
      <w:tr w:rsidR="00AD1FBF" w:rsidRPr="006A75A2" w:rsidTr="00AD1FBF">
        <w:tc>
          <w:tcPr>
            <w:tcW w:w="9656" w:type="dxa"/>
            <w:gridSpan w:val="10"/>
            <w:tcBorders>
              <w:top w:val="single" w:sz="6" w:space="0" w:color="auto"/>
              <w:left w:val="nil"/>
              <w:bottom w:val="nil"/>
              <w:right w:val="nil"/>
            </w:tcBorders>
          </w:tcPr>
          <w:p w:rsidR="00AD1FBF" w:rsidRPr="006A75A2" w:rsidRDefault="00AD1FBF" w:rsidP="00AD1FBF">
            <w:pPr>
              <w:pStyle w:val="Tabletext"/>
              <w:rPr>
                <w:rFonts w:eastAsiaTheme="minorEastAsia"/>
                <w:b/>
                <w:sz w:val="19"/>
                <w:lang w:eastAsia="en-AU"/>
              </w:rPr>
            </w:pPr>
            <w:r w:rsidRPr="006A75A2">
              <w:rPr>
                <w:rFonts w:eastAsiaTheme="minorEastAsia"/>
                <w:b/>
                <w:bCs/>
                <w:sz w:val="19"/>
                <w:lang w:eastAsia="en-AU"/>
              </w:rPr>
              <w:t>Revenue from transactions</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Taxation revenue</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(a)</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16 454.4</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16 857.5</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16 900.9</w:t>
            </w:r>
          </w:p>
        </w:tc>
        <w:tc>
          <w:tcPr>
            <w:tcW w:w="8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446.5</w:t>
            </w:r>
          </w:p>
        </w:tc>
        <w:tc>
          <w:tcPr>
            <w:tcW w:w="71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2.7</w:t>
            </w:r>
          </w:p>
        </w:tc>
        <w:tc>
          <w:tcPr>
            <w:tcW w:w="85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43.4</w:t>
            </w:r>
          </w:p>
        </w:tc>
        <w:tc>
          <w:tcPr>
            <w:tcW w:w="708"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0.3</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Interest revenue</w:t>
            </w:r>
          </w:p>
        </w:tc>
        <w:tc>
          <w:tcPr>
            <w:tcW w:w="567" w:type="dxa"/>
            <w:tcBorders>
              <w:top w:val="nil"/>
              <w:left w:val="nil"/>
              <w:bottom w:val="nil"/>
              <w:right w:val="nil"/>
            </w:tcBorders>
          </w:tcPr>
          <w:p w:rsidR="004E6C32" w:rsidRPr="006A75A2" w:rsidRDefault="004E6C32" w:rsidP="004B5CB1">
            <w:pPr>
              <w:pStyle w:val="TableTextCentred"/>
              <w:rPr>
                <w:rFonts w:eastAsiaTheme="minorEastAsia" w:cs="Calibri"/>
                <w:sz w:val="19"/>
                <w:szCs w:val="22"/>
                <w:lang w:eastAsia="en-AU"/>
              </w:rPr>
            </w:pPr>
            <w:r w:rsidRPr="006A75A2">
              <w:rPr>
                <w:rFonts w:eastAsiaTheme="minorEastAsia"/>
                <w:sz w:val="19"/>
                <w:lang w:eastAsia="en-AU"/>
              </w:rPr>
              <w:t>(</w:t>
            </w:r>
            <w:r w:rsidRPr="006A75A2">
              <w:rPr>
                <w:rFonts w:eastAsiaTheme="minorEastAsia" w:cs="Calibri"/>
                <w:sz w:val="19"/>
                <w:szCs w:val="22"/>
                <w:lang w:eastAsia="en-AU"/>
              </w:rPr>
              <w:t>b)</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867.0</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843.7</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831.2</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(35.8)</w:t>
            </w:r>
          </w:p>
        </w:tc>
        <w:tc>
          <w:tcPr>
            <w:tcW w:w="71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(4.1)</w:t>
            </w:r>
          </w:p>
        </w:tc>
        <w:tc>
          <w:tcPr>
            <w:tcW w:w="85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(12.5)</w:t>
            </w:r>
          </w:p>
        </w:tc>
        <w:tc>
          <w:tcPr>
            <w:tcW w:w="7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(1.5)</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Dividends and income tax equivalent and rate equivalent revenue</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(c)</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671.5</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646.0</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445.9</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(225.6)</w:t>
            </w:r>
          </w:p>
        </w:tc>
        <w:tc>
          <w:tcPr>
            <w:tcW w:w="71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(33.6)</w:t>
            </w:r>
          </w:p>
        </w:tc>
        <w:tc>
          <w:tcPr>
            <w:tcW w:w="85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(200.1)</w:t>
            </w:r>
          </w:p>
        </w:tc>
        <w:tc>
          <w:tcPr>
            <w:tcW w:w="7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(31.0)</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Sales of goods and services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(d)</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6 949.5</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6 569.9</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6 724.8</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(224.7)</w:t>
            </w:r>
          </w:p>
        </w:tc>
        <w:tc>
          <w:tcPr>
            <w:tcW w:w="71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(3.2)</w:t>
            </w:r>
          </w:p>
        </w:tc>
        <w:tc>
          <w:tcPr>
            <w:tcW w:w="85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154.9</w:t>
            </w:r>
          </w:p>
        </w:tc>
        <w:tc>
          <w:tcPr>
            <w:tcW w:w="708"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Grants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(e)</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23 310.5</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24 082.3</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25 144.9</w:t>
            </w:r>
          </w:p>
        </w:tc>
        <w:tc>
          <w:tcPr>
            <w:tcW w:w="8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1 834.4</w:t>
            </w:r>
          </w:p>
        </w:tc>
        <w:tc>
          <w:tcPr>
            <w:tcW w:w="71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7.9</w:t>
            </w:r>
          </w:p>
        </w:tc>
        <w:tc>
          <w:tcPr>
            <w:tcW w:w="85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1 062.6</w:t>
            </w:r>
          </w:p>
        </w:tc>
        <w:tc>
          <w:tcPr>
            <w:tcW w:w="708"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4.4</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Other revenue</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(f)</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2 074.5</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2 094.1</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2 316.9</w:t>
            </w:r>
          </w:p>
        </w:tc>
        <w:tc>
          <w:tcPr>
            <w:tcW w:w="8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242.4</w:t>
            </w:r>
          </w:p>
        </w:tc>
        <w:tc>
          <w:tcPr>
            <w:tcW w:w="71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11.7</w:t>
            </w:r>
          </w:p>
        </w:tc>
        <w:tc>
          <w:tcPr>
            <w:tcW w:w="85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222.8</w:t>
            </w:r>
          </w:p>
        </w:tc>
        <w:tc>
          <w:tcPr>
            <w:tcW w:w="708"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10.6</w:t>
            </w:r>
          </w:p>
        </w:tc>
      </w:tr>
      <w:tr w:rsidR="004E6C32" w:rsidRPr="006A75A2" w:rsidTr="00C07A50">
        <w:tc>
          <w:tcPr>
            <w:tcW w:w="313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revenue from transactions</w:t>
            </w:r>
          </w:p>
        </w:tc>
        <w:tc>
          <w:tcPr>
            <w:tcW w:w="567" w:type="dxa"/>
            <w:tcBorders>
              <w:top w:val="single" w:sz="6" w:space="0" w:color="auto"/>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50 327.5</w:t>
            </w:r>
          </w:p>
        </w:tc>
        <w:tc>
          <w:tcPr>
            <w:tcW w:w="851"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51 093.5</w:t>
            </w:r>
          </w:p>
        </w:tc>
        <w:tc>
          <w:tcPr>
            <w:tcW w:w="991"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52 364.7</w:t>
            </w:r>
          </w:p>
        </w:tc>
        <w:tc>
          <w:tcPr>
            <w:tcW w:w="85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2 037.2</w:t>
            </w:r>
          </w:p>
        </w:tc>
        <w:tc>
          <w:tcPr>
            <w:tcW w:w="714"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4.0</w:t>
            </w:r>
          </w:p>
        </w:tc>
        <w:tc>
          <w:tcPr>
            <w:tcW w:w="854"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1 271.2</w:t>
            </w:r>
          </w:p>
        </w:tc>
        <w:tc>
          <w:tcPr>
            <w:tcW w:w="708"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2.5</w:t>
            </w:r>
          </w:p>
        </w:tc>
      </w:tr>
      <w:tr w:rsidR="00AD1FBF" w:rsidRPr="006A75A2" w:rsidTr="00AD1FBF">
        <w:tc>
          <w:tcPr>
            <w:tcW w:w="9656" w:type="dxa"/>
            <w:gridSpan w:val="10"/>
            <w:tcBorders>
              <w:top w:val="nil"/>
              <w:left w:val="nil"/>
              <w:bottom w:val="nil"/>
              <w:right w:val="nil"/>
            </w:tcBorders>
          </w:tcPr>
          <w:p w:rsidR="00AD1FBF" w:rsidRPr="006A75A2" w:rsidRDefault="00AD1FBF" w:rsidP="00AD1FBF">
            <w:pPr>
              <w:pStyle w:val="Tabletext"/>
              <w:rPr>
                <w:rFonts w:eastAsiaTheme="minorEastAsia"/>
                <w:b/>
                <w:sz w:val="19"/>
                <w:lang w:eastAsia="en-AU"/>
              </w:rPr>
            </w:pPr>
            <w:r w:rsidRPr="006A75A2">
              <w:rPr>
                <w:rFonts w:eastAsiaTheme="minorEastAsia"/>
                <w:b/>
                <w:bCs/>
                <w:sz w:val="19"/>
                <w:lang w:eastAsia="en-AU"/>
              </w:rPr>
              <w:t>Expenses from transactions</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Employee expenses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(g)</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17 947.1</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18 106.5</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18 012.0</w:t>
            </w:r>
          </w:p>
        </w:tc>
        <w:tc>
          <w:tcPr>
            <w:tcW w:w="8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64.9</w:t>
            </w:r>
          </w:p>
        </w:tc>
        <w:tc>
          <w:tcPr>
            <w:tcW w:w="71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0.4</w:t>
            </w:r>
          </w:p>
        </w:tc>
        <w:tc>
          <w:tcPr>
            <w:tcW w:w="85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(94.5)</w:t>
            </w:r>
          </w:p>
        </w:tc>
        <w:tc>
          <w:tcPr>
            <w:tcW w:w="7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(0.5)</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Superannuation interest expense</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(h)</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1 129.2</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1 052.1</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1 052.1</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(77.1)</w:t>
            </w:r>
          </w:p>
        </w:tc>
        <w:tc>
          <w:tcPr>
            <w:tcW w:w="71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(6.8)</w:t>
            </w:r>
          </w:p>
        </w:tc>
        <w:tc>
          <w:tcPr>
            <w:tcW w:w="85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708"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Other superannuation</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(h)</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1 901.8</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1 823.4</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1 876.4</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(25.4)</w:t>
            </w:r>
          </w:p>
        </w:tc>
        <w:tc>
          <w:tcPr>
            <w:tcW w:w="71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(1.3)</w:t>
            </w:r>
          </w:p>
        </w:tc>
        <w:tc>
          <w:tcPr>
            <w:tcW w:w="85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53.0</w:t>
            </w:r>
          </w:p>
        </w:tc>
        <w:tc>
          <w:tcPr>
            <w:tcW w:w="708"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2.9</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Depreciation</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(i)</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2 377.7</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2 418.1</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2 363.8</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(13.9)</w:t>
            </w:r>
          </w:p>
        </w:tc>
        <w:tc>
          <w:tcPr>
            <w:tcW w:w="71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(0.6)</w:t>
            </w:r>
          </w:p>
        </w:tc>
        <w:tc>
          <w:tcPr>
            <w:tcW w:w="85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(54.4)</w:t>
            </w:r>
          </w:p>
        </w:tc>
        <w:tc>
          <w:tcPr>
            <w:tcW w:w="7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(2.2)</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Interest expense</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(j)</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2 176.9</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2 171.5</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2 138.5</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(38.4)</w:t>
            </w:r>
          </w:p>
        </w:tc>
        <w:tc>
          <w:tcPr>
            <w:tcW w:w="71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(1.8)</w:t>
            </w:r>
          </w:p>
        </w:tc>
        <w:tc>
          <w:tcPr>
            <w:tcW w:w="85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(33.0)</w:t>
            </w:r>
          </w:p>
        </w:tc>
        <w:tc>
          <w:tcPr>
            <w:tcW w:w="7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(1.5)</w:t>
            </w:r>
          </w:p>
        </w:tc>
      </w:tr>
      <w:tr w:rsidR="004E6C32" w:rsidRPr="006A75A2" w:rsidTr="00C07A50">
        <w:tc>
          <w:tcPr>
            <w:tcW w:w="313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Other operating expenses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(k)</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16 573.0</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16 687.8</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17 360.1</w:t>
            </w:r>
          </w:p>
        </w:tc>
        <w:tc>
          <w:tcPr>
            <w:tcW w:w="8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787.1</w:t>
            </w:r>
          </w:p>
        </w:tc>
        <w:tc>
          <w:tcPr>
            <w:tcW w:w="71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4.7</w:t>
            </w:r>
          </w:p>
        </w:tc>
        <w:tc>
          <w:tcPr>
            <w:tcW w:w="85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672.4</w:t>
            </w:r>
          </w:p>
        </w:tc>
        <w:tc>
          <w:tcPr>
            <w:tcW w:w="708"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4.0</w:t>
            </w:r>
          </w:p>
        </w:tc>
      </w:tr>
      <w:tr w:rsidR="004E6C32" w:rsidRPr="006A75A2" w:rsidTr="00C07A50">
        <w:tc>
          <w:tcPr>
            <w:tcW w:w="3130" w:type="dxa"/>
            <w:gridSpan w:val="2"/>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sz w:val="19"/>
                <w:lang w:eastAsia="en-AU"/>
              </w:rPr>
              <w:t>Grants and ot</w:t>
            </w:r>
            <w:r w:rsidRPr="006A75A2">
              <w:rPr>
                <w:rFonts w:eastAsiaTheme="minorEastAsia"/>
                <w:sz w:val="19"/>
                <w:szCs w:val="19"/>
                <w:lang w:eastAsia="en-AU"/>
              </w:rPr>
              <w:t xml:space="preserve">her </w:t>
            </w:r>
            <w:r w:rsidRPr="006A75A2">
              <w:rPr>
                <w:rFonts w:eastAsiaTheme="minorEastAsia" w:cs="Calibri"/>
                <w:sz w:val="19"/>
                <w:szCs w:val="19"/>
                <w:lang w:eastAsia="en-AU"/>
              </w:rPr>
              <w:t>transfers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(l)</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7 997.4</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7 899.5</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7 585.6</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(411.7)</w:t>
            </w:r>
          </w:p>
        </w:tc>
        <w:tc>
          <w:tcPr>
            <w:tcW w:w="71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(5.1)</w:t>
            </w:r>
          </w:p>
        </w:tc>
        <w:tc>
          <w:tcPr>
            <w:tcW w:w="85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(313.8)</w:t>
            </w:r>
          </w:p>
        </w:tc>
        <w:tc>
          <w:tcPr>
            <w:tcW w:w="7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(4.0)</w:t>
            </w:r>
          </w:p>
        </w:tc>
      </w:tr>
      <w:tr w:rsidR="004E6C32" w:rsidRPr="006A75A2" w:rsidTr="00C07A50">
        <w:tc>
          <w:tcPr>
            <w:tcW w:w="2819"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expenses from transactions</w:t>
            </w:r>
          </w:p>
        </w:tc>
        <w:tc>
          <w:tcPr>
            <w:tcW w:w="878" w:type="dxa"/>
            <w:gridSpan w:val="2"/>
            <w:tcBorders>
              <w:top w:val="single" w:sz="6" w:space="0" w:color="auto"/>
              <w:left w:val="nil"/>
              <w:bottom w:val="nil"/>
              <w:right w:val="nil"/>
            </w:tcBorders>
          </w:tcPr>
          <w:p w:rsidR="004E6C32" w:rsidRPr="006A75A2" w:rsidRDefault="004E6C32" w:rsidP="004B5CB1">
            <w:pPr>
              <w:pStyle w:val="TableTextCentred"/>
              <w:rPr>
                <w:rFonts w:eastAsiaTheme="minorEastAsia"/>
                <w:sz w:val="19"/>
                <w:lang w:eastAsia="en-AU"/>
              </w:rPr>
            </w:pPr>
          </w:p>
        </w:tc>
        <w:tc>
          <w:tcPr>
            <w:tcW w:w="99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50 103.0</w:t>
            </w:r>
          </w:p>
        </w:tc>
        <w:tc>
          <w:tcPr>
            <w:tcW w:w="85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50 158.8</w:t>
            </w:r>
          </w:p>
        </w:tc>
        <w:tc>
          <w:tcPr>
            <w:tcW w:w="99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50 388.5</w:t>
            </w:r>
          </w:p>
        </w:tc>
        <w:tc>
          <w:tcPr>
            <w:tcW w:w="85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285.4</w:t>
            </w:r>
          </w:p>
        </w:tc>
        <w:tc>
          <w:tcPr>
            <w:tcW w:w="71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0.6</w:t>
            </w:r>
          </w:p>
        </w:tc>
        <w:tc>
          <w:tcPr>
            <w:tcW w:w="85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229.6</w:t>
            </w:r>
          </w:p>
        </w:tc>
        <w:tc>
          <w:tcPr>
            <w:tcW w:w="70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0.5</w:t>
            </w:r>
          </w:p>
        </w:tc>
      </w:tr>
      <w:tr w:rsidR="004E6C32" w:rsidRPr="006A75A2" w:rsidTr="00C07A50">
        <w:tc>
          <w:tcPr>
            <w:tcW w:w="3130" w:type="dxa"/>
            <w:gridSpan w:val="2"/>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Net result from transactions – net operating balance</w:t>
            </w:r>
          </w:p>
        </w:tc>
        <w:tc>
          <w:tcPr>
            <w:tcW w:w="567" w:type="dxa"/>
            <w:tcBorders>
              <w:top w:val="single" w:sz="6" w:space="0" w:color="auto"/>
              <w:left w:val="nil"/>
              <w:bottom w:val="single" w:sz="12" w:space="0" w:color="auto"/>
              <w:right w:val="nil"/>
            </w:tcBorders>
          </w:tcPr>
          <w:p w:rsidR="004E6C32" w:rsidRPr="006A75A2" w:rsidRDefault="004E6C32" w:rsidP="004B5CB1">
            <w:pPr>
              <w:pStyle w:val="TableTextCentred"/>
              <w:rPr>
                <w:rFonts w:eastAsiaTheme="minorEastAsia"/>
                <w:sz w:val="19"/>
                <w:lang w:eastAsia="en-AU"/>
              </w:rPr>
            </w:pPr>
          </w:p>
        </w:tc>
        <w:tc>
          <w:tcPr>
            <w:tcW w:w="991"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224.5</w:t>
            </w:r>
          </w:p>
        </w:tc>
        <w:tc>
          <w:tcPr>
            <w:tcW w:w="851"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934.7</w:t>
            </w:r>
          </w:p>
        </w:tc>
        <w:tc>
          <w:tcPr>
            <w:tcW w:w="991"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1 976.2</w:t>
            </w:r>
          </w:p>
        </w:tc>
        <w:tc>
          <w:tcPr>
            <w:tcW w:w="85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1 751.7</w:t>
            </w:r>
          </w:p>
        </w:tc>
        <w:tc>
          <w:tcPr>
            <w:tcW w:w="71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780.4</w:t>
            </w:r>
          </w:p>
        </w:tc>
        <w:tc>
          <w:tcPr>
            <w:tcW w:w="85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19"/>
                <w:szCs w:val="22"/>
                <w:lang w:eastAsia="en-AU"/>
              </w:rPr>
            </w:pPr>
            <w:r w:rsidRPr="006A75A2">
              <w:rPr>
                <w:rFonts w:eastAsiaTheme="minorEastAsia"/>
                <w:b/>
                <w:bCs/>
                <w:sz w:val="19"/>
                <w:lang w:eastAsia="en-AU"/>
              </w:rPr>
              <w:t>1 041.5</w:t>
            </w:r>
          </w:p>
        </w:tc>
        <w:tc>
          <w:tcPr>
            <w:tcW w:w="70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111.4</w:t>
            </w:r>
          </w:p>
        </w:tc>
      </w:tr>
      <w:tr w:rsidR="00AD1FBF" w:rsidRPr="006A75A2" w:rsidTr="00AD1FBF">
        <w:tc>
          <w:tcPr>
            <w:tcW w:w="9656" w:type="dxa"/>
            <w:gridSpan w:val="10"/>
            <w:tcBorders>
              <w:top w:val="nil"/>
              <w:left w:val="nil"/>
              <w:bottom w:val="nil"/>
              <w:right w:val="nil"/>
            </w:tcBorders>
          </w:tcPr>
          <w:p w:rsidR="00AD1FBF" w:rsidRPr="006A75A2" w:rsidRDefault="00AD1FBF" w:rsidP="00AD1FBF">
            <w:pPr>
              <w:pStyle w:val="Tabletext"/>
              <w:ind w:left="181" w:hanging="181"/>
              <w:rPr>
                <w:rFonts w:eastAsiaTheme="minorEastAsia"/>
                <w:b/>
                <w:sz w:val="19"/>
                <w:lang w:eastAsia="en-AU"/>
              </w:rPr>
            </w:pPr>
            <w:r w:rsidRPr="006A75A2">
              <w:rPr>
                <w:rFonts w:eastAsiaTheme="minorEastAsia"/>
                <w:b/>
                <w:bCs/>
                <w:sz w:val="19"/>
                <w:lang w:eastAsia="en-AU"/>
              </w:rPr>
              <w:t>Other economic flows included in net result</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Net gain/(loss) on disposal of non-financial assets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111.3</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102.1</w:t>
            </w:r>
          </w:p>
        </w:tc>
        <w:tc>
          <w:tcPr>
            <w:tcW w:w="99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(25.0)</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(136.3)</w:t>
            </w:r>
          </w:p>
        </w:tc>
        <w:tc>
          <w:tcPr>
            <w:tcW w:w="71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c>
          <w:tcPr>
            <w:tcW w:w="85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(127.1)</w:t>
            </w:r>
          </w:p>
        </w:tc>
        <w:tc>
          <w:tcPr>
            <w:tcW w:w="7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Net gain/(loss) on financial assets or liabilities at fair value</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(0.4)</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25.7</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52.6</w:t>
            </w:r>
          </w:p>
        </w:tc>
        <w:tc>
          <w:tcPr>
            <w:tcW w:w="8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53.0</w:t>
            </w:r>
          </w:p>
        </w:tc>
        <w:tc>
          <w:tcPr>
            <w:tcW w:w="71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c>
          <w:tcPr>
            <w:tcW w:w="85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26.9</w:t>
            </w:r>
          </w:p>
        </w:tc>
        <w:tc>
          <w:tcPr>
            <w:tcW w:w="7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r>
      <w:tr w:rsidR="004E6C32" w:rsidRPr="006A75A2" w:rsidTr="00C07A50">
        <w:tc>
          <w:tcPr>
            <w:tcW w:w="313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Other gains/(losses) from other economic flows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(374.8)</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(1 169.4)</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(1 230.7)</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(855.9)</w:t>
            </w:r>
          </w:p>
        </w:tc>
        <w:tc>
          <w:tcPr>
            <w:tcW w:w="71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c>
          <w:tcPr>
            <w:tcW w:w="85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(61.3)</w:t>
            </w:r>
          </w:p>
        </w:tc>
        <w:tc>
          <w:tcPr>
            <w:tcW w:w="7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r>
      <w:tr w:rsidR="004E6C32" w:rsidRPr="006A75A2" w:rsidTr="00C07A50">
        <w:tc>
          <w:tcPr>
            <w:tcW w:w="3130" w:type="dxa"/>
            <w:gridSpan w:val="2"/>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other economic flows included in net result</w:t>
            </w:r>
          </w:p>
        </w:tc>
        <w:tc>
          <w:tcPr>
            <w:tcW w:w="567" w:type="dxa"/>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19"/>
                <w:lang w:eastAsia="en-AU"/>
              </w:rPr>
              <w:t>(264.0)</w:t>
            </w:r>
          </w:p>
        </w:tc>
        <w:tc>
          <w:tcPr>
            <w:tcW w:w="85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(1 041.6)</w:t>
            </w:r>
          </w:p>
        </w:tc>
        <w:tc>
          <w:tcPr>
            <w:tcW w:w="99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(1 203.1)</w:t>
            </w:r>
          </w:p>
        </w:tc>
        <w:tc>
          <w:tcPr>
            <w:tcW w:w="85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19"/>
                <w:lang w:eastAsia="en-AU"/>
              </w:rPr>
              <w:t>(939.1)</w:t>
            </w:r>
          </w:p>
        </w:tc>
        <w:tc>
          <w:tcPr>
            <w:tcW w:w="71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n.a.</w:t>
            </w:r>
          </w:p>
        </w:tc>
        <w:tc>
          <w:tcPr>
            <w:tcW w:w="85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19"/>
                <w:lang w:eastAsia="en-AU"/>
              </w:rPr>
              <w:t>(161.5)</w:t>
            </w:r>
          </w:p>
        </w:tc>
        <w:tc>
          <w:tcPr>
            <w:tcW w:w="70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n.a.</w:t>
            </w:r>
          </w:p>
        </w:tc>
      </w:tr>
      <w:tr w:rsidR="004E6C32" w:rsidRPr="006A75A2" w:rsidTr="00C07A50">
        <w:tc>
          <w:tcPr>
            <w:tcW w:w="3130" w:type="dxa"/>
            <w:gridSpan w:val="2"/>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Net result</w:t>
            </w:r>
          </w:p>
        </w:tc>
        <w:tc>
          <w:tcPr>
            <w:tcW w:w="567" w:type="dxa"/>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19"/>
                <w:lang w:eastAsia="en-AU"/>
              </w:rPr>
              <w:t>(39.6)</w:t>
            </w:r>
          </w:p>
        </w:tc>
        <w:tc>
          <w:tcPr>
            <w:tcW w:w="85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19"/>
                <w:lang w:eastAsia="en-AU"/>
              </w:rPr>
              <w:t>(106.9)</w:t>
            </w:r>
          </w:p>
        </w:tc>
        <w:tc>
          <w:tcPr>
            <w:tcW w:w="99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773.1</w:t>
            </w:r>
          </w:p>
        </w:tc>
        <w:tc>
          <w:tcPr>
            <w:tcW w:w="85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812.6</w:t>
            </w:r>
          </w:p>
        </w:tc>
        <w:tc>
          <w:tcPr>
            <w:tcW w:w="71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n.a.</w:t>
            </w:r>
          </w:p>
        </w:tc>
        <w:tc>
          <w:tcPr>
            <w:tcW w:w="85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880.0</w:t>
            </w:r>
          </w:p>
        </w:tc>
        <w:tc>
          <w:tcPr>
            <w:tcW w:w="70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n.a.</w:t>
            </w:r>
          </w:p>
        </w:tc>
      </w:tr>
    </w:tbl>
    <w:p w:rsidR="00C07A50" w:rsidRPr="006A75A2" w:rsidRDefault="00C07A50"/>
    <w:p w:rsidR="00C07A50" w:rsidRPr="006A75A2" w:rsidRDefault="00C07A50">
      <w:pPr>
        <w:spacing w:after="0"/>
        <w:rPr>
          <w:rFonts w:ascii="Calibri" w:hAnsi="Calibri"/>
          <w:b/>
          <w:sz w:val="28"/>
          <w:szCs w:val="22"/>
        </w:rPr>
      </w:pPr>
      <w:r w:rsidRPr="006A75A2">
        <w:br w:type="page"/>
      </w:r>
    </w:p>
    <w:p w:rsidR="00C07A50" w:rsidRPr="006A75A2" w:rsidRDefault="00C07A50" w:rsidP="002C0C34">
      <w:pPr>
        <w:pStyle w:val="Heading2NotesContd"/>
        <w:rPr>
          <w:i/>
          <w:kern w:val="0"/>
        </w:rPr>
      </w:pPr>
      <w:r w:rsidRPr="006A75A2">
        <w:rPr>
          <w:kern w:val="0"/>
        </w:rPr>
        <w:lastRenderedPageBreak/>
        <w:t>Note 32:</w:t>
      </w:r>
      <w:r w:rsidRPr="006A75A2">
        <w:rPr>
          <w:kern w:val="0"/>
        </w:rPr>
        <w:tab/>
        <w:t xml:space="preserve">Explanations of material variances between budget and actual outcomes </w:t>
      </w:r>
      <w:r w:rsidRPr="006A75A2">
        <w:rPr>
          <w:i/>
          <w:kern w:val="0"/>
        </w:rPr>
        <w:t>(continued)</w:t>
      </w:r>
    </w:p>
    <w:p w:rsidR="002E2762" w:rsidRPr="006A75A2" w:rsidRDefault="002E2762" w:rsidP="002E2762">
      <w:pPr>
        <w:pStyle w:val="Heading5"/>
      </w:pPr>
      <w:r w:rsidRPr="006A75A2">
        <w:t>(a)</w:t>
      </w:r>
      <w:r w:rsidRPr="006A75A2">
        <w:tab/>
        <w:t xml:space="preserve">Consolidated comprehensive operating statement for the financial year ending 30 June </w:t>
      </w:r>
      <w:r w:rsidRPr="006A75A2">
        <w:rPr>
          <w:i/>
        </w:rPr>
        <w:t>(continued)</w:t>
      </w:r>
    </w:p>
    <w:p w:rsidR="00C07A50" w:rsidRPr="006A75A2" w:rsidRDefault="00C07A50" w:rsidP="00C07A50">
      <w:pPr>
        <w:pStyle w:val="million"/>
      </w:pPr>
      <w:r w:rsidRPr="006A75A2">
        <w:t>($ million)</w:t>
      </w:r>
    </w:p>
    <w:tbl>
      <w:tblPr>
        <w:tblW w:w="9656" w:type="dxa"/>
        <w:tblInd w:w="28" w:type="dxa"/>
        <w:tblLayout w:type="fixed"/>
        <w:tblCellMar>
          <w:left w:w="45" w:type="dxa"/>
          <w:right w:w="45" w:type="dxa"/>
        </w:tblCellMar>
        <w:tblLook w:val="0000" w:firstRow="0" w:lastRow="0" w:firstColumn="0" w:lastColumn="0" w:noHBand="0" w:noVBand="0"/>
      </w:tblPr>
      <w:tblGrid>
        <w:gridCol w:w="3130"/>
        <w:gridCol w:w="567"/>
        <w:gridCol w:w="991"/>
        <w:gridCol w:w="851"/>
        <w:gridCol w:w="991"/>
        <w:gridCol w:w="850"/>
        <w:gridCol w:w="714"/>
        <w:gridCol w:w="854"/>
        <w:gridCol w:w="708"/>
      </w:tblGrid>
      <w:tr w:rsidR="00C07A50" w:rsidRPr="006A75A2" w:rsidTr="00C07A50">
        <w:trPr>
          <w:tblHeader/>
        </w:trPr>
        <w:tc>
          <w:tcPr>
            <w:tcW w:w="3130" w:type="dxa"/>
            <w:tcBorders>
              <w:top w:val="single" w:sz="6" w:space="0" w:color="auto"/>
              <w:left w:val="single" w:sz="6" w:space="0" w:color="auto"/>
              <w:bottom w:val="nil"/>
              <w:right w:val="nil"/>
            </w:tcBorders>
            <w:shd w:val="clear" w:color="000000" w:fill="000000"/>
          </w:tcPr>
          <w:p w:rsidR="00C07A50" w:rsidRPr="006A75A2" w:rsidRDefault="00C07A50" w:rsidP="00C07A50">
            <w:pPr>
              <w:pStyle w:val="Tabletext"/>
              <w:rPr>
                <w:rFonts w:eastAsiaTheme="minorEastAsia"/>
                <w:sz w:val="19"/>
                <w:lang w:eastAsia="en-AU"/>
              </w:rPr>
            </w:pPr>
            <w:r w:rsidRPr="006A75A2">
              <w:rPr>
                <w:rFonts w:eastAsiaTheme="minorEastAsia"/>
                <w:sz w:val="19"/>
                <w:lang w:eastAsia="en-AU"/>
              </w:rPr>
              <w:t xml:space="preserve"> </w:t>
            </w:r>
          </w:p>
        </w:tc>
        <w:tc>
          <w:tcPr>
            <w:tcW w:w="567" w:type="dxa"/>
            <w:vMerge w:val="restart"/>
            <w:tcBorders>
              <w:top w:val="single" w:sz="6" w:space="0" w:color="auto"/>
              <w:left w:val="nil"/>
              <w:right w:val="nil"/>
            </w:tcBorders>
            <w:shd w:val="clear" w:color="000000" w:fill="000000"/>
          </w:tcPr>
          <w:p w:rsidR="00C07A50" w:rsidRPr="006A75A2" w:rsidRDefault="00C07A50" w:rsidP="00C07A50">
            <w:pPr>
              <w:pStyle w:val="TabletextheadingCentred"/>
              <w:rPr>
                <w:rFonts w:eastAsiaTheme="minorEastAsia"/>
                <w:sz w:val="19"/>
                <w:lang w:eastAsia="en-AU"/>
              </w:rPr>
            </w:pPr>
          </w:p>
          <w:p w:rsidR="00C07A50" w:rsidRPr="006A75A2" w:rsidRDefault="00C07A50" w:rsidP="00C07A50">
            <w:pPr>
              <w:pStyle w:val="TabletextheadingCentred"/>
              <w:rPr>
                <w:rFonts w:eastAsiaTheme="minorEastAsia"/>
                <w:sz w:val="19"/>
                <w:lang w:eastAsia="en-AU"/>
              </w:rPr>
            </w:pPr>
          </w:p>
          <w:p w:rsidR="00C07A50" w:rsidRPr="006A75A2" w:rsidRDefault="00C07A50" w:rsidP="00C07A50">
            <w:pPr>
              <w:pStyle w:val="TabletextheadingCentred"/>
              <w:rPr>
                <w:rFonts w:eastAsiaTheme="minorEastAsia"/>
                <w:sz w:val="19"/>
                <w:lang w:eastAsia="en-AU"/>
              </w:rPr>
            </w:pPr>
            <w:r w:rsidRPr="006A75A2">
              <w:rPr>
                <w:rFonts w:eastAsiaTheme="minorEastAsia"/>
                <w:sz w:val="19"/>
                <w:lang w:eastAsia="en-AU"/>
              </w:rPr>
              <w:t>Notes</w:t>
            </w:r>
          </w:p>
        </w:tc>
        <w:tc>
          <w:tcPr>
            <w:tcW w:w="3683" w:type="dxa"/>
            <w:gridSpan w:val="4"/>
            <w:tcBorders>
              <w:top w:val="single" w:sz="6" w:space="0" w:color="auto"/>
              <w:left w:val="nil"/>
              <w:bottom w:val="nil"/>
              <w:right w:val="nil"/>
            </w:tcBorders>
            <w:shd w:val="clear" w:color="000000" w:fill="000000"/>
          </w:tcPr>
          <w:p w:rsidR="00C07A50" w:rsidRPr="006A75A2" w:rsidRDefault="00C07A50" w:rsidP="00C07A50">
            <w:pPr>
              <w:pStyle w:val="TabletextheadingCentred"/>
              <w:rPr>
                <w:rFonts w:eastAsiaTheme="minorEastAsia"/>
                <w:sz w:val="19"/>
                <w:lang w:eastAsia="en-AU"/>
              </w:rPr>
            </w:pPr>
            <w:r w:rsidRPr="006A75A2">
              <w:rPr>
                <w:rFonts w:eastAsiaTheme="minorEastAsia"/>
                <w:sz w:val="19"/>
                <w:lang w:eastAsia="en-AU"/>
              </w:rPr>
              <w:t>General government sector</w:t>
            </w:r>
          </w:p>
        </w:tc>
        <w:tc>
          <w:tcPr>
            <w:tcW w:w="714" w:type="dxa"/>
            <w:vMerge w:val="restart"/>
            <w:tcBorders>
              <w:top w:val="single" w:sz="6" w:space="0" w:color="auto"/>
              <w:left w:val="nil"/>
              <w:right w:val="nil"/>
            </w:tcBorders>
            <w:shd w:val="clear" w:color="000000" w:fill="000000"/>
          </w:tcPr>
          <w:p w:rsidR="00C07A50" w:rsidRPr="006A75A2" w:rsidRDefault="00C07A50" w:rsidP="00C07A50">
            <w:pPr>
              <w:pStyle w:val="Tabletextheading"/>
              <w:rPr>
                <w:rFonts w:eastAsiaTheme="minorEastAsia"/>
                <w:sz w:val="19"/>
                <w:lang w:eastAsia="en-AU"/>
              </w:rPr>
            </w:pPr>
            <w:r w:rsidRPr="006A75A2">
              <w:rPr>
                <w:rFonts w:eastAsiaTheme="minorEastAsia"/>
                <w:sz w:val="19"/>
                <w:lang w:eastAsia="en-AU"/>
              </w:rPr>
              <w:t xml:space="preserve"> </w:t>
            </w:r>
          </w:p>
          <w:p w:rsidR="00C07A50" w:rsidRPr="006A75A2" w:rsidRDefault="00C07A50" w:rsidP="00C07A50">
            <w:pPr>
              <w:pStyle w:val="Tabletextheading"/>
              <w:rPr>
                <w:rFonts w:eastAsiaTheme="minorEastAsia"/>
                <w:sz w:val="19"/>
                <w:lang w:eastAsia="en-AU"/>
              </w:rPr>
            </w:pPr>
          </w:p>
          <w:p w:rsidR="00C07A50" w:rsidRPr="006A75A2" w:rsidRDefault="00C07A50" w:rsidP="00C07A50">
            <w:pPr>
              <w:pStyle w:val="Tabletextheading"/>
              <w:rPr>
                <w:rFonts w:eastAsiaTheme="minorEastAsia"/>
                <w:sz w:val="19"/>
                <w:lang w:eastAsia="en-AU"/>
              </w:rPr>
            </w:pPr>
            <w:r w:rsidRPr="006A75A2">
              <w:rPr>
                <w:rFonts w:eastAsiaTheme="minorEastAsia"/>
                <w:sz w:val="19"/>
                <w:lang w:eastAsia="en-AU"/>
              </w:rPr>
              <w:t>%</w:t>
            </w:r>
          </w:p>
        </w:tc>
        <w:tc>
          <w:tcPr>
            <w:tcW w:w="854" w:type="dxa"/>
            <w:vMerge w:val="restart"/>
            <w:tcBorders>
              <w:top w:val="single" w:sz="6" w:space="0" w:color="auto"/>
              <w:left w:val="nil"/>
              <w:right w:val="nil"/>
            </w:tcBorders>
            <w:shd w:val="clear" w:color="000000" w:fill="000000"/>
          </w:tcPr>
          <w:p w:rsidR="00C07A50" w:rsidRPr="006A75A2" w:rsidRDefault="00C07A50" w:rsidP="00C07A50">
            <w:pPr>
              <w:pStyle w:val="Tabletextheading"/>
              <w:rPr>
                <w:rFonts w:eastAsiaTheme="minorEastAsia"/>
                <w:sz w:val="19"/>
                <w:lang w:eastAsia="en-AU"/>
              </w:rPr>
            </w:pPr>
            <w:r w:rsidRPr="006A75A2">
              <w:rPr>
                <w:rFonts w:eastAsiaTheme="minorEastAsia"/>
                <w:sz w:val="19"/>
                <w:lang w:eastAsia="en-AU"/>
              </w:rPr>
              <w:t>Revised budget variance</w:t>
            </w:r>
          </w:p>
        </w:tc>
        <w:tc>
          <w:tcPr>
            <w:tcW w:w="708" w:type="dxa"/>
            <w:vMerge w:val="restart"/>
            <w:tcBorders>
              <w:top w:val="single" w:sz="6" w:space="0" w:color="auto"/>
              <w:left w:val="nil"/>
              <w:right w:val="single" w:sz="6" w:space="0" w:color="auto"/>
            </w:tcBorders>
            <w:shd w:val="clear" w:color="000000" w:fill="000000"/>
          </w:tcPr>
          <w:p w:rsidR="00C07A50" w:rsidRPr="006A75A2" w:rsidRDefault="00C07A50" w:rsidP="00C07A50">
            <w:pPr>
              <w:pStyle w:val="Tabletextheading"/>
              <w:rPr>
                <w:rFonts w:eastAsiaTheme="minorEastAsia"/>
                <w:sz w:val="19"/>
                <w:lang w:eastAsia="en-AU"/>
              </w:rPr>
            </w:pPr>
            <w:r w:rsidRPr="006A75A2">
              <w:rPr>
                <w:rFonts w:eastAsiaTheme="minorEastAsia"/>
                <w:sz w:val="19"/>
                <w:lang w:eastAsia="en-AU"/>
              </w:rPr>
              <w:t xml:space="preserve"> </w:t>
            </w:r>
          </w:p>
          <w:p w:rsidR="00C07A50" w:rsidRPr="006A75A2" w:rsidRDefault="00C07A50" w:rsidP="00C07A50">
            <w:pPr>
              <w:pStyle w:val="Tabletextheading"/>
              <w:rPr>
                <w:rFonts w:eastAsiaTheme="minorEastAsia"/>
                <w:sz w:val="19"/>
                <w:lang w:eastAsia="en-AU"/>
              </w:rPr>
            </w:pPr>
          </w:p>
          <w:p w:rsidR="00C07A50" w:rsidRPr="006A75A2" w:rsidRDefault="00C07A50" w:rsidP="00C07A50">
            <w:pPr>
              <w:pStyle w:val="Tabletextheading"/>
              <w:rPr>
                <w:rFonts w:eastAsiaTheme="minorEastAsia"/>
                <w:sz w:val="19"/>
                <w:lang w:eastAsia="en-AU"/>
              </w:rPr>
            </w:pPr>
            <w:r w:rsidRPr="006A75A2">
              <w:rPr>
                <w:rFonts w:eastAsiaTheme="minorEastAsia"/>
                <w:sz w:val="19"/>
                <w:lang w:eastAsia="en-AU"/>
              </w:rPr>
              <w:t>%</w:t>
            </w:r>
          </w:p>
        </w:tc>
      </w:tr>
      <w:tr w:rsidR="00C07A50" w:rsidRPr="006A75A2" w:rsidTr="00C07A50">
        <w:trPr>
          <w:tblHeader/>
        </w:trPr>
        <w:tc>
          <w:tcPr>
            <w:tcW w:w="3130" w:type="dxa"/>
            <w:tcBorders>
              <w:top w:val="nil"/>
              <w:left w:val="single" w:sz="6" w:space="0" w:color="auto"/>
              <w:bottom w:val="single" w:sz="6" w:space="0" w:color="auto"/>
              <w:right w:val="nil"/>
            </w:tcBorders>
            <w:shd w:val="clear" w:color="000000" w:fill="000000"/>
          </w:tcPr>
          <w:p w:rsidR="00C07A50" w:rsidRPr="006A75A2" w:rsidRDefault="00C07A50" w:rsidP="00C07A50">
            <w:pPr>
              <w:pStyle w:val="Tabletext"/>
              <w:rPr>
                <w:rFonts w:eastAsiaTheme="minorEastAsia"/>
                <w:sz w:val="19"/>
                <w:lang w:eastAsia="en-AU"/>
              </w:rPr>
            </w:pPr>
            <w:r w:rsidRPr="006A75A2">
              <w:rPr>
                <w:rFonts w:eastAsiaTheme="minorEastAsia"/>
                <w:sz w:val="19"/>
                <w:lang w:eastAsia="en-AU"/>
              </w:rPr>
              <w:t xml:space="preserve"> </w:t>
            </w:r>
          </w:p>
        </w:tc>
        <w:tc>
          <w:tcPr>
            <w:tcW w:w="567" w:type="dxa"/>
            <w:vMerge/>
            <w:tcBorders>
              <w:left w:val="nil"/>
              <w:bottom w:val="single" w:sz="6" w:space="0" w:color="auto"/>
              <w:right w:val="nil"/>
            </w:tcBorders>
            <w:shd w:val="clear" w:color="000000" w:fill="000000"/>
          </w:tcPr>
          <w:p w:rsidR="00C07A50" w:rsidRPr="006A75A2" w:rsidRDefault="00C07A50" w:rsidP="00C07A50">
            <w:pPr>
              <w:pStyle w:val="TabletextheadingCentred"/>
              <w:rPr>
                <w:rFonts w:eastAsiaTheme="minorEastAsia"/>
                <w:sz w:val="19"/>
                <w:lang w:eastAsia="en-AU"/>
              </w:rPr>
            </w:pPr>
          </w:p>
        </w:tc>
        <w:tc>
          <w:tcPr>
            <w:tcW w:w="991" w:type="dxa"/>
            <w:tcBorders>
              <w:top w:val="nil"/>
              <w:left w:val="nil"/>
              <w:bottom w:val="single" w:sz="6" w:space="0" w:color="auto"/>
              <w:right w:val="nil"/>
            </w:tcBorders>
            <w:shd w:val="clear" w:color="000000" w:fill="000000"/>
          </w:tcPr>
          <w:p w:rsidR="00C07A50" w:rsidRPr="006A75A2" w:rsidRDefault="00C07A50" w:rsidP="00C07A50">
            <w:pPr>
              <w:pStyle w:val="Tabletextheading"/>
              <w:rPr>
                <w:rFonts w:eastAsiaTheme="minorEastAsia"/>
                <w:sz w:val="19"/>
                <w:lang w:eastAsia="en-AU"/>
              </w:rPr>
            </w:pPr>
            <w:r w:rsidRPr="006A75A2">
              <w:rPr>
                <w:rFonts w:eastAsiaTheme="minorEastAsia"/>
                <w:sz w:val="19"/>
                <w:lang w:eastAsia="en-AU"/>
              </w:rPr>
              <w:t>Original budget</w:t>
            </w:r>
          </w:p>
        </w:tc>
        <w:tc>
          <w:tcPr>
            <w:tcW w:w="851" w:type="dxa"/>
            <w:tcBorders>
              <w:top w:val="nil"/>
              <w:left w:val="nil"/>
              <w:bottom w:val="single" w:sz="6" w:space="0" w:color="auto"/>
              <w:right w:val="nil"/>
            </w:tcBorders>
            <w:shd w:val="clear" w:color="000000" w:fill="000000"/>
          </w:tcPr>
          <w:p w:rsidR="00C07A50" w:rsidRPr="006A75A2" w:rsidRDefault="00C07A50" w:rsidP="00C07A50">
            <w:pPr>
              <w:pStyle w:val="Tabletextheading"/>
              <w:rPr>
                <w:rFonts w:eastAsiaTheme="minorEastAsia"/>
                <w:sz w:val="19"/>
                <w:lang w:eastAsia="en-AU"/>
              </w:rPr>
            </w:pPr>
            <w:r w:rsidRPr="006A75A2">
              <w:rPr>
                <w:rFonts w:eastAsiaTheme="minorEastAsia"/>
                <w:sz w:val="19"/>
                <w:lang w:eastAsia="en-AU"/>
              </w:rPr>
              <w:t>Revised budget</w:t>
            </w:r>
          </w:p>
        </w:tc>
        <w:tc>
          <w:tcPr>
            <w:tcW w:w="991" w:type="dxa"/>
            <w:tcBorders>
              <w:top w:val="nil"/>
              <w:left w:val="nil"/>
              <w:bottom w:val="single" w:sz="6" w:space="0" w:color="auto"/>
              <w:right w:val="nil"/>
            </w:tcBorders>
            <w:shd w:val="clear" w:color="000000" w:fill="000000"/>
          </w:tcPr>
          <w:p w:rsidR="00C07A50" w:rsidRPr="006A75A2" w:rsidRDefault="00C07A50" w:rsidP="00C07A50">
            <w:pPr>
              <w:pStyle w:val="Tabletextheading"/>
              <w:rPr>
                <w:rFonts w:eastAsiaTheme="minorEastAsia"/>
                <w:sz w:val="19"/>
                <w:lang w:eastAsia="en-AU"/>
              </w:rPr>
            </w:pPr>
            <w:r w:rsidRPr="006A75A2">
              <w:rPr>
                <w:rFonts w:eastAsiaTheme="minorEastAsia"/>
                <w:sz w:val="19"/>
                <w:lang w:eastAsia="en-AU"/>
              </w:rPr>
              <w:t>2014  Actual</w:t>
            </w:r>
          </w:p>
        </w:tc>
        <w:tc>
          <w:tcPr>
            <w:tcW w:w="850" w:type="dxa"/>
            <w:tcBorders>
              <w:top w:val="nil"/>
              <w:left w:val="nil"/>
              <w:bottom w:val="single" w:sz="6" w:space="0" w:color="auto"/>
              <w:right w:val="nil"/>
            </w:tcBorders>
            <w:shd w:val="clear" w:color="000000" w:fill="000000"/>
          </w:tcPr>
          <w:p w:rsidR="00C07A50" w:rsidRPr="006A75A2" w:rsidRDefault="00C07A50" w:rsidP="00C07A50">
            <w:pPr>
              <w:pStyle w:val="Tabletextheading"/>
              <w:rPr>
                <w:rFonts w:eastAsiaTheme="minorEastAsia"/>
                <w:sz w:val="19"/>
                <w:lang w:eastAsia="en-AU"/>
              </w:rPr>
            </w:pPr>
            <w:r w:rsidRPr="006A75A2">
              <w:rPr>
                <w:rFonts w:eastAsiaTheme="minorEastAsia"/>
                <w:sz w:val="19"/>
                <w:lang w:eastAsia="en-AU"/>
              </w:rPr>
              <w:t>Budget variance</w:t>
            </w:r>
          </w:p>
        </w:tc>
        <w:tc>
          <w:tcPr>
            <w:tcW w:w="714" w:type="dxa"/>
            <w:vMerge/>
            <w:tcBorders>
              <w:left w:val="nil"/>
              <w:bottom w:val="single" w:sz="6" w:space="0" w:color="auto"/>
              <w:right w:val="nil"/>
            </w:tcBorders>
            <w:shd w:val="clear" w:color="000000" w:fill="000000"/>
          </w:tcPr>
          <w:p w:rsidR="00C07A50" w:rsidRPr="006A75A2" w:rsidRDefault="00C07A50" w:rsidP="00C07A50">
            <w:pPr>
              <w:pStyle w:val="Tabletextheading"/>
              <w:rPr>
                <w:rFonts w:eastAsiaTheme="minorEastAsia"/>
                <w:sz w:val="19"/>
                <w:lang w:eastAsia="en-AU"/>
              </w:rPr>
            </w:pPr>
          </w:p>
        </w:tc>
        <w:tc>
          <w:tcPr>
            <w:tcW w:w="854" w:type="dxa"/>
            <w:vMerge/>
            <w:tcBorders>
              <w:left w:val="nil"/>
              <w:bottom w:val="single" w:sz="6" w:space="0" w:color="auto"/>
              <w:right w:val="nil"/>
            </w:tcBorders>
            <w:shd w:val="clear" w:color="000000" w:fill="000000"/>
          </w:tcPr>
          <w:p w:rsidR="00C07A50" w:rsidRPr="006A75A2" w:rsidRDefault="00C07A50" w:rsidP="00C07A50">
            <w:pPr>
              <w:pStyle w:val="Tabletextheading"/>
              <w:rPr>
                <w:rFonts w:eastAsiaTheme="minorEastAsia"/>
                <w:sz w:val="19"/>
                <w:lang w:eastAsia="en-AU"/>
              </w:rPr>
            </w:pPr>
          </w:p>
        </w:tc>
        <w:tc>
          <w:tcPr>
            <w:tcW w:w="708" w:type="dxa"/>
            <w:vMerge/>
            <w:tcBorders>
              <w:left w:val="nil"/>
              <w:bottom w:val="single" w:sz="6" w:space="0" w:color="auto"/>
              <w:right w:val="single" w:sz="6" w:space="0" w:color="auto"/>
            </w:tcBorders>
            <w:shd w:val="clear" w:color="000000" w:fill="000000"/>
          </w:tcPr>
          <w:p w:rsidR="00C07A50" w:rsidRPr="006A75A2" w:rsidRDefault="00C07A50" w:rsidP="00C07A50">
            <w:pPr>
              <w:pStyle w:val="Tabletextheading"/>
              <w:rPr>
                <w:rFonts w:eastAsiaTheme="minorEastAsia"/>
                <w:sz w:val="19"/>
                <w:lang w:eastAsia="en-AU"/>
              </w:rPr>
            </w:pPr>
          </w:p>
        </w:tc>
      </w:tr>
      <w:tr w:rsidR="00AD1FBF" w:rsidRPr="006A75A2" w:rsidTr="00AD1FBF">
        <w:tc>
          <w:tcPr>
            <w:tcW w:w="9656" w:type="dxa"/>
            <w:gridSpan w:val="9"/>
            <w:tcBorders>
              <w:top w:val="nil"/>
              <w:left w:val="nil"/>
              <w:bottom w:val="nil"/>
              <w:right w:val="nil"/>
            </w:tcBorders>
          </w:tcPr>
          <w:p w:rsidR="00AD1FBF" w:rsidRPr="006A75A2" w:rsidRDefault="00AD1FBF" w:rsidP="00C07A50">
            <w:pPr>
              <w:pStyle w:val="Tabletext"/>
              <w:keepNext/>
              <w:ind w:left="187" w:hanging="187"/>
              <w:rPr>
                <w:rFonts w:eastAsiaTheme="minorEastAsia"/>
                <w:b/>
                <w:sz w:val="19"/>
                <w:lang w:eastAsia="en-AU"/>
              </w:rPr>
            </w:pPr>
            <w:r w:rsidRPr="006A75A2">
              <w:rPr>
                <w:rFonts w:eastAsiaTheme="minorEastAsia"/>
                <w:b/>
                <w:bCs/>
                <w:sz w:val="19"/>
                <w:lang w:eastAsia="en-AU"/>
              </w:rPr>
              <w:t>Other economic flows – other comprehensive income</w:t>
            </w:r>
          </w:p>
        </w:tc>
      </w:tr>
      <w:tr w:rsidR="00AD1FBF" w:rsidRPr="006A75A2" w:rsidTr="00AD1FBF">
        <w:tc>
          <w:tcPr>
            <w:tcW w:w="9656" w:type="dxa"/>
            <w:gridSpan w:val="9"/>
            <w:tcBorders>
              <w:top w:val="nil"/>
              <w:left w:val="nil"/>
              <w:bottom w:val="nil"/>
              <w:right w:val="nil"/>
            </w:tcBorders>
          </w:tcPr>
          <w:p w:rsidR="00AD1FBF" w:rsidRPr="006A75A2" w:rsidRDefault="00AD1FBF" w:rsidP="00AD1FBF">
            <w:pPr>
              <w:pStyle w:val="Tabletext"/>
              <w:ind w:left="181" w:hanging="181"/>
              <w:rPr>
                <w:rFonts w:eastAsiaTheme="minorEastAsia"/>
                <w:b/>
                <w:sz w:val="19"/>
                <w:lang w:eastAsia="en-AU"/>
              </w:rPr>
            </w:pPr>
            <w:r w:rsidRPr="006A75A2">
              <w:rPr>
                <w:rFonts w:eastAsiaTheme="minorEastAsia"/>
                <w:b/>
                <w:bCs/>
                <w:sz w:val="19"/>
                <w:lang w:eastAsia="en-AU"/>
              </w:rPr>
              <w:t>Items that will not be reclassified to net result</w:t>
            </w:r>
          </w:p>
        </w:tc>
      </w:tr>
      <w:tr w:rsidR="004E6C32" w:rsidRPr="006A75A2" w:rsidTr="00C07A50">
        <w:tc>
          <w:tcPr>
            <w:tcW w:w="313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Changes in non-financial assets revaluation surplus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3 918.0</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138.4</w:t>
            </w:r>
          </w:p>
        </w:tc>
        <w:tc>
          <w:tcPr>
            <w:tcW w:w="991" w:type="dxa"/>
            <w:tcBorders>
              <w:top w:val="nil"/>
              <w:left w:val="nil"/>
              <w:bottom w:val="nil"/>
              <w:right w:val="nil"/>
            </w:tcBorders>
          </w:tcPr>
          <w:p w:rsidR="004E6C32" w:rsidRPr="006A75A2" w:rsidRDefault="004E6C32" w:rsidP="004B5CB1">
            <w:pPr>
              <w:pStyle w:val="TableofFigures"/>
              <w:rPr>
                <w:rFonts w:eastAsiaTheme="minorEastAsia" w:cs="Calibri"/>
                <w:sz w:val="19"/>
                <w:szCs w:val="22"/>
                <w:lang w:eastAsia="en-AU"/>
              </w:rPr>
            </w:pPr>
            <w:r w:rsidRPr="006A75A2">
              <w:rPr>
                <w:rFonts w:eastAsiaTheme="minorEastAsia"/>
                <w:sz w:val="19"/>
                <w:lang w:eastAsia="en-AU"/>
              </w:rPr>
              <w:t>2 228.8</w:t>
            </w:r>
          </w:p>
        </w:tc>
        <w:tc>
          <w:tcPr>
            <w:tcW w:w="8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(1 689.1)</w:t>
            </w:r>
          </w:p>
        </w:tc>
        <w:tc>
          <w:tcPr>
            <w:tcW w:w="71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c>
          <w:tcPr>
            <w:tcW w:w="85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2 090.4</w:t>
            </w:r>
          </w:p>
        </w:tc>
        <w:tc>
          <w:tcPr>
            <w:tcW w:w="7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r>
      <w:tr w:rsidR="004E6C32" w:rsidRPr="006A75A2" w:rsidTr="00C07A50">
        <w:tc>
          <w:tcPr>
            <w:tcW w:w="313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Remeasurement of superannuation defined benefit plans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593.2</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2 142.3</w:t>
            </w:r>
          </w:p>
        </w:tc>
        <w:tc>
          <w:tcPr>
            <w:tcW w:w="99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(286.2)</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(879.4)</w:t>
            </w:r>
          </w:p>
        </w:tc>
        <w:tc>
          <w:tcPr>
            <w:tcW w:w="71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c>
          <w:tcPr>
            <w:tcW w:w="85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(2 428.5)</w:t>
            </w:r>
          </w:p>
        </w:tc>
        <w:tc>
          <w:tcPr>
            <w:tcW w:w="7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r>
      <w:tr w:rsidR="004E6C32" w:rsidRPr="006A75A2" w:rsidTr="00C07A50">
        <w:tc>
          <w:tcPr>
            <w:tcW w:w="313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Net gain/(loss) on equity investments in other sector entities at proportional share of the carrying amount of net assets</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1 559.2</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2 394.2</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3 813.8</w:t>
            </w:r>
          </w:p>
        </w:tc>
        <w:tc>
          <w:tcPr>
            <w:tcW w:w="8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2 254.7</w:t>
            </w:r>
          </w:p>
        </w:tc>
        <w:tc>
          <w:tcPr>
            <w:tcW w:w="71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c>
          <w:tcPr>
            <w:tcW w:w="85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1 419.7</w:t>
            </w:r>
          </w:p>
        </w:tc>
        <w:tc>
          <w:tcPr>
            <w:tcW w:w="7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r>
      <w:tr w:rsidR="004E6C32" w:rsidRPr="006A75A2" w:rsidTr="00C07A50">
        <w:tc>
          <w:tcPr>
            <w:tcW w:w="313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Other movements in equity</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2.3</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622.5</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780.1</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 w:val="19"/>
                <w:szCs w:val="19"/>
                <w:lang w:eastAsia="en-AU"/>
              </w:rPr>
            </w:pPr>
            <w:r w:rsidRPr="006A75A2">
              <w:rPr>
                <w:rFonts w:eastAsiaTheme="minorEastAsia"/>
                <w:sz w:val="19"/>
                <w:szCs w:val="19"/>
                <w:lang w:eastAsia="en-AU"/>
              </w:rPr>
              <w:t xml:space="preserve"> </w:t>
            </w:r>
            <w:r w:rsidRPr="006A75A2">
              <w:rPr>
                <w:rFonts w:eastAsiaTheme="minorEastAsia" w:cs="Calibri"/>
                <w:sz w:val="19"/>
                <w:szCs w:val="19"/>
                <w:lang w:eastAsia="en-AU"/>
              </w:rPr>
              <w:t>777.8</w:t>
            </w:r>
          </w:p>
        </w:tc>
        <w:tc>
          <w:tcPr>
            <w:tcW w:w="71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 w:val="19"/>
                <w:szCs w:val="19"/>
                <w:lang w:eastAsia="en-AU"/>
              </w:rPr>
              <w:t>n</w:t>
            </w:r>
            <w:r w:rsidRPr="006A75A2">
              <w:rPr>
                <w:rFonts w:eastAsiaTheme="minorEastAsia" w:cs="Calibri"/>
                <w:szCs w:val="22"/>
                <w:lang w:eastAsia="en-AU"/>
              </w:rPr>
              <w:t>.a.</w:t>
            </w:r>
          </w:p>
        </w:tc>
        <w:tc>
          <w:tcPr>
            <w:tcW w:w="85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157.6</w:t>
            </w:r>
          </w:p>
        </w:tc>
        <w:tc>
          <w:tcPr>
            <w:tcW w:w="7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 w:val="19"/>
                <w:szCs w:val="19"/>
                <w:lang w:eastAsia="en-AU"/>
              </w:rPr>
              <w:t>n</w:t>
            </w:r>
            <w:r w:rsidRPr="006A75A2">
              <w:rPr>
                <w:rFonts w:eastAsiaTheme="minorEastAsia" w:cs="Calibri"/>
                <w:szCs w:val="22"/>
                <w:lang w:eastAsia="en-AU"/>
              </w:rPr>
              <w:t>.a.</w:t>
            </w:r>
          </w:p>
        </w:tc>
      </w:tr>
      <w:tr w:rsidR="00AD1FBF" w:rsidRPr="006A75A2" w:rsidTr="00AD1FBF">
        <w:tc>
          <w:tcPr>
            <w:tcW w:w="9656" w:type="dxa"/>
            <w:gridSpan w:val="9"/>
            <w:tcBorders>
              <w:top w:val="nil"/>
              <w:left w:val="nil"/>
              <w:bottom w:val="nil"/>
              <w:right w:val="nil"/>
            </w:tcBorders>
          </w:tcPr>
          <w:p w:rsidR="00AD1FBF" w:rsidRPr="006A75A2" w:rsidRDefault="00AD1FBF" w:rsidP="00AD1FBF">
            <w:pPr>
              <w:pStyle w:val="Tabletext"/>
              <w:rPr>
                <w:rFonts w:eastAsiaTheme="minorEastAsia"/>
                <w:b/>
                <w:sz w:val="19"/>
                <w:lang w:eastAsia="en-AU"/>
              </w:rPr>
            </w:pPr>
            <w:r w:rsidRPr="006A75A2">
              <w:rPr>
                <w:rFonts w:eastAsiaTheme="minorEastAsia"/>
                <w:b/>
                <w:bCs/>
                <w:sz w:val="19"/>
                <w:lang w:eastAsia="en-AU"/>
              </w:rPr>
              <w:t>Items that may be reclassified subsequently to net result</w:t>
            </w:r>
          </w:p>
        </w:tc>
      </w:tr>
      <w:tr w:rsidR="004E6C32" w:rsidRPr="006A75A2" w:rsidTr="00C07A50">
        <w:tc>
          <w:tcPr>
            <w:tcW w:w="313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Net gain/(loss) on financial assets at fair value</w:t>
            </w:r>
          </w:p>
        </w:tc>
        <w:tc>
          <w:tcPr>
            <w:tcW w:w="567" w:type="dxa"/>
            <w:tcBorders>
              <w:top w:val="nil"/>
              <w:left w:val="nil"/>
              <w:bottom w:val="nil"/>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w:t>
            </w:r>
          </w:p>
        </w:tc>
        <w:tc>
          <w:tcPr>
            <w:tcW w:w="99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(5.2)</w:t>
            </w:r>
          </w:p>
        </w:tc>
        <w:tc>
          <w:tcPr>
            <w:tcW w:w="85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(6.1)</w:t>
            </w:r>
          </w:p>
        </w:tc>
        <w:tc>
          <w:tcPr>
            <w:tcW w:w="71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c>
          <w:tcPr>
            <w:tcW w:w="854"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(6.1)</w:t>
            </w:r>
          </w:p>
        </w:tc>
        <w:tc>
          <w:tcPr>
            <w:tcW w:w="70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n.a.</w:t>
            </w:r>
          </w:p>
        </w:tc>
      </w:tr>
      <w:tr w:rsidR="004E6C32" w:rsidRPr="006A75A2" w:rsidTr="00C07A50">
        <w:tc>
          <w:tcPr>
            <w:tcW w:w="313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other economic flows – other comprehensive income</w:t>
            </w:r>
          </w:p>
        </w:tc>
        <w:tc>
          <w:tcPr>
            <w:tcW w:w="567" w:type="dxa"/>
            <w:tcBorders>
              <w:top w:val="single" w:sz="6" w:space="0" w:color="auto"/>
              <w:left w:val="nil"/>
              <w:bottom w:val="single" w:sz="6" w:space="0" w:color="auto"/>
              <w:right w:val="nil"/>
            </w:tcBorders>
          </w:tcPr>
          <w:p w:rsidR="004E6C32" w:rsidRPr="006A75A2" w:rsidRDefault="004E6C32" w:rsidP="004B5CB1">
            <w:pPr>
              <w:pStyle w:val="TableTextCentred"/>
              <w:rPr>
                <w:rFonts w:eastAsiaTheme="minorEastAsia"/>
                <w:sz w:val="19"/>
                <w:lang w:eastAsia="en-AU"/>
              </w:rPr>
            </w:pPr>
            <w:r w:rsidRPr="006A75A2">
              <w:rPr>
                <w:rFonts w:eastAsiaTheme="minorEastAsia"/>
                <w:sz w:val="19"/>
                <w:lang w:eastAsia="en-AU"/>
              </w:rPr>
              <w:t xml:space="preserve"> </w:t>
            </w:r>
          </w:p>
        </w:tc>
        <w:tc>
          <w:tcPr>
            <w:tcW w:w="99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6 073.5</w:t>
            </w:r>
          </w:p>
        </w:tc>
        <w:tc>
          <w:tcPr>
            <w:tcW w:w="85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5 298.4</w:t>
            </w:r>
          </w:p>
        </w:tc>
        <w:tc>
          <w:tcPr>
            <w:tcW w:w="99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6 531.4</w:t>
            </w:r>
          </w:p>
        </w:tc>
        <w:tc>
          <w:tcPr>
            <w:tcW w:w="85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457.9</w:t>
            </w:r>
          </w:p>
        </w:tc>
        <w:tc>
          <w:tcPr>
            <w:tcW w:w="71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n.a.</w:t>
            </w:r>
          </w:p>
        </w:tc>
        <w:tc>
          <w:tcPr>
            <w:tcW w:w="85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 w:val="19"/>
                <w:szCs w:val="22"/>
                <w:lang w:eastAsia="en-AU"/>
              </w:rPr>
            </w:pPr>
            <w:r w:rsidRPr="006A75A2">
              <w:rPr>
                <w:rFonts w:eastAsiaTheme="minorEastAsia"/>
                <w:b/>
                <w:bCs/>
                <w:sz w:val="19"/>
                <w:lang w:eastAsia="en-AU"/>
              </w:rPr>
              <w:t>1 233.0</w:t>
            </w:r>
          </w:p>
        </w:tc>
        <w:tc>
          <w:tcPr>
            <w:tcW w:w="70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n.a.</w:t>
            </w:r>
          </w:p>
        </w:tc>
      </w:tr>
      <w:tr w:rsidR="004E6C32" w:rsidRPr="006A75A2" w:rsidTr="00C07A50">
        <w:tc>
          <w:tcPr>
            <w:tcW w:w="313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Comprehensive result – total change in net worth</w:t>
            </w:r>
          </w:p>
        </w:tc>
        <w:tc>
          <w:tcPr>
            <w:tcW w:w="56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Centred"/>
              <w:rPr>
                <w:rFonts w:eastAsiaTheme="minorEastAsia"/>
                <w:sz w:val="19"/>
                <w:lang w:eastAsia="en-AU"/>
              </w:rPr>
            </w:pPr>
          </w:p>
        </w:tc>
        <w:tc>
          <w:tcPr>
            <w:tcW w:w="99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6 033.9</w:t>
            </w:r>
          </w:p>
        </w:tc>
        <w:tc>
          <w:tcPr>
            <w:tcW w:w="85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5 191.5</w:t>
            </w:r>
          </w:p>
        </w:tc>
        <w:tc>
          <w:tcPr>
            <w:tcW w:w="99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7 304.5</w:t>
            </w:r>
          </w:p>
        </w:tc>
        <w:tc>
          <w:tcPr>
            <w:tcW w:w="85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19"/>
                <w:szCs w:val="22"/>
                <w:lang w:eastAsia="en-AU"/>
              </w:rPr>
            </w:pPr>
            <w:r w:rsidRPr="006A75A2">
              <w:rPr>
                <w:rFonts w:eastAsiaTheme="minorEastAsia"/>
                <w:b/>
                <w:bCs/>
                <w:sz w:val="19"/>
                <w:lang w:eastAsia="en-AU"/>
              </w:rPr>
              <w:t>1 270.5</w:t>
            </w:r>
          </w:p>
        </w:tc>
        <w:tc>
          <w:tcPr>
            <w:tcW w:w="71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n.a.</w:t>
            </w:r>
          </w:p>
        </w:tc>
        <w:tc>
          <w:tcPr>
            <w:tcW w:w="85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2 113.0</w:t>
            </w:r>
          </w:p>
        </w:tc>
        <w:tc>
          <w:tcPr>
            <w:tcW w:w="70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n.a.</w:t>
            </w:r>
          </w:p>
        </w:tc>
      </w:tr>
    </w:tbl>
    <w:p w:rsidR="004E6C32" w:rsidRPr="006A75A2" w:rsidRDefault="004E6C32" w:rsidP="004B5CB1"/>
    <w:p w:rsidR="00C07A50" w:rsidRPr="006A75A2" w:rsidRDefault="00C07A50" w:rsidP="00C07A50"/>
    <w:p w:rsidR="004E6C32" w:rsidRPr="006A75A2" w:rsidRDefault="004E6C32" w:rsidP="004B5CB1">
      <w:pPr>
        <w:pStyle w:val="Tableheading"/>
        <w:spacing w:before="40"/>
      </w:pPr>
      <w:r w:rsidRPr="006A75A2">
        <w:t>Revenue from transactions</w:t>
      </w:r>
    </w:p>
    <w:p w:rsidR="004E6C32" w:rsidRPr="006A75A2" w:rsidRDefault="004E6C32" w:rsidP="004B5CB1">
      <w:r w:rsidRPr="006A75A2">
        <w:t>Revenue from transactions was $52.4 billion for the year to 30 June 2014. This was 4.0 per cent higher than estimated in the original budget. The movements in revenue items are discussed below.</w:t>
      </w:r>
    </w:p>
    <w:p w:rsidR="004E6C32" w:rsidRPr="006A75A2" w:rsidRDefault="004E6C32" w:rsidP="004B5CB1">
      <w:pPr>
        <w:ind w:left="357" w:hanging="357"/>
      </w:pPr>
      <w:r w:rsidRPr="006A75A2">
        <w:t xml:space="preserve">(a) </w:t>
      </w:r>
      <w:r w:rsidRPr="006A75A2">
        <w:tab/>
        <w:t>Taxation revenue was $447 million higher than the original published estimate, largely driven by the following:</w:t>
      </w:r>
    </w:p>
    <w:p w:rsidR="004E6C32" w:rsidRPr="006A75A2" w:rsidRDefault="004E6C32" w:rsidP="004B5CB1">
      <w:pPr>
        <w:pStyle w:val="DashText"/>
      </w:pPr>
      <w:r w:rsidRPr="006A75A2">
        <w:t xml:space="preserve">higher land transfer duty revenue of $708 million due to an improved property market compared to the </w:t>
      </w:r>
      <w:r w:rsidRPr="006A75A2">
        <w:rPr>
          <w:i/>
        </w:rPr>
        <w:t xml:space="preserve">2013-14 Budget </w:t>
      </w:r>
      <w:r w:rsidRPr="006A75A2">
        <w:t>estimates; and</w:t>
      </w:r>
    </w:p>
    <w:p w:rsidR="004E6C32" w:rsidRPr="006A75A2" w:rsidRDefault="004E6C32" w:rsidP="004B5CB1">
      <w:pPr>
        <w:pStyle w:val="DashText"/>
      </w:pPr>
      <w:r w:rsidRPr="006A75A2">
        <w:t>higher land tax revenue of $94 million driven by higher than expected assessments from the State Revenue Office.</w:t>
      </w:r>
    </w:p>
    <w:p w:rsidR="004E6C32" w:rsidRPr="006A75A2" w:rsidRDefault="004E6C32" w:rsidP="004B5CB1">
      <w:pPr>
        <w:pStyle w:val="NormalIndent"/>
      </w:pPr>
      <w:r w:rsidRPr="006A75A2">
        <w:t>These higher than expected outcomes were partially offset by:</w:t>
      </w:r>
    </w:p>
    <w:p w:rsidR="004E6C32" w:rsidRPr="006A75A2" w:rsidRDefault="004E6C32" w:rsidP="004B5CB1">
      <w:pPr>
        <w:pStyle w:val="DashText"/>
      </w:pPr>
      <w:r w:rsidRPr="006A75A2">
        <w:t>lower taxes on electronic gaming machines of $187 million, due to player loss as a share of consumption declining more quickly than expected; and</w:t>
      </w:r>
    </w:p>
    <w:p w:rsidR="004E6C32" w:rsidRPr="006A75A2" w:rsidRDefault="004E6C32" w:rsidP="004B5CB1">
      <w:pPr>
        <w:pStyle w:val="DashText"/>
      </w:pPr>
      <w:r w:rsidRPr="006A75A2">
        <w:t>lower payroll taxes of $162 million as growth in taxable wages has not been as strong as forecasted, with employment growth skewed towards part-time jobs and industries typically exempt from payroll tax.</w:t>
      </w:r>
    </w:p>
    <w:p w:rsidR="004E6C32" w:rsidRPr="006A75A2" w:rsidRDefault="004E6C32" w:rsidP="004B5CB1">
      <w:pPr>
        <w:ind w:left="357" w:hanging="357"/>
      </w:pPr>
      <w:r w:rsidRPr="006A75A2">
        <w:t>(b)</w:t>
      </w:r>
      <w:r w:rsidRPr="006A75A2">
        <w:tab/>
        <w:t>Interest revenue was $36 million lower than the published budget, mainly reflecting lower than expected returns for funds held.</w:t>
      </w:r>
    </w:p>
    <w:p w:rsidR="004E6C32" w:rsidRPr="006A75A2" w:rsidRDefault="004E6C32" w:rsidP="004B5CB1">
      <w:pPr>
        <w:ind w:left="357" w:hanging="357"/>
      </w:pPr>
      <w:r w:rsidRPr="006A75A2">
        <w:t>(c)</w:t>
      </w:r>
      <w:r w:rsidRPr="006A75A2">
        <w:tab/>
        <w:t>Dividends, income tax and rate equivalent revenue was $226 million (33.6 per cent) lower than budgeted. This largely reflected the timing of dividend payments, with interim dividends from the water sector to now be paid in 2014-15.</w:t>
      </w:r>
    </w:p>
    <w:p w:rsidR="004E6C32" w:rsidRPr="006A75A2" w:rsidRDefault="004E6C32" w:rsidP="004B5CB1">
      <w:pPr>
        <w:pStyle w:val="Heading2NotesContd"/>
        <w:rPr>
          <w:kern w:val="0"/>
        </w:rPr>
      </w:pPr>
      <w:r w:rsidRPr="006A75A2">
        <w:rPr>
          <w:kern w:val="0"/>
        </w:rPr>
        <w:lastRenderedPageBreak/>
        <w:t>Note 32:</w:t>
      </w:r>
      <w:r w:rsidRPr="006A75A2">
        <w:rPr>
          <w:kern w:val="0"/>
        </w:rPr>
        <w:tab/>
        <w:t xml:space="preserve">Explanations of material variances between budget and actual outcomes </w:t>
      </w:r>
      <w:r w:rsidRPr="006A75A2">
        <w:rPr>
          <w:i/>
          <w:kern w:val="0"/>
        </w:rPr>
        <w:t>(continued)</w:t>
      </w:r>
    </w:p>
    <w:p w:rsidR="00C07A50" w:rsidRPr="006A75A2" w:rsidRDefault="00C07A50" w:rsidP="004B5CB1">
      <w:pPr>
        <w:ind w:left="357" w:hanging="357"/>
      </w:pPr>
      <w:r w:rsidRPr="006A75A2">
        <w:t>(d)</w:t>
      </w:r>
      <w:r w:rsidRPr="006A75A2">
        <w:tab/>
        <w:t>Revenue from the sales of goods and services was $225 million lower than the original budget. The decrease was primarily due to reduced public transport fare revenue as part of changes in revenue sharing arrangement with Metro trains and Yarra trams and the deconsolidation of four dual sector TAFE divisions of universities. These TAFE divisions are now controlled by the relevant universities.</w:t>
      </w:r>
    </w:p>
    <w:p w:rsidR="004E6C32" w:rsidRPr="006A75A2" w:rsidRDefault="004E6C32" w:rsidP="004B5CB1">
      <w:pPr>
        <w:ind w:left="357" w:hanging="357"/>
      </w:pPr>
      <w:r w:rsidRPr="006A75A2">
        <w:t>(e)</w:t>
      </w:r>
      <w:r w:rsidRPr="006A75A2">
        <w:tab/>
        <w:t xml:space="preserve">Grants revenue was $1.8 billion higher than originally budgeted. This was primarily due to an increase in specific purpose grants for road and rail investments including East West Link and Regional Rail Link, and higher than expected goods and services tax revenue. </w:t>
      </w:r>
    </w:p>
    <w:p w:rsidR="004E6C32" w:rsidRPr="006A75A2" w:rsidRDefault="004E6C32" w:rsidP="004B5CB1">
      <w:pPr>
        <w:ind w:left="357" w:hanging="357"/>
        <w:rPr>
          <w:rFonts w:ascii="Calibri" w:hAnsi="Calibri"/>
          <w:b/>
          <w:sz w:val="25"/>
        </w:rPr>
      </w:pPr>
      <w:r w:rsidRPr="006A75A2">
        <w:rPr>
          <w:rStyle w:val="DashTextChar"/>
        </w:rPr>
        <w:t>(f)</w:t>
      </w:r>
      <w:r w:rsidRPr="006A75A2">
        <w:rPr>
          <w:rStyle w:val="DashTextChar"/>
        </w:rPr>
        <w:tab/>
        <w:t xml:space="preserve">Other revenue was $242 million higher than the original budget. This was mainly </w:t>
      </w:r>
      <w:r w:rsidRPr="006A75A2">
        <w:t xml:space="preserve">due to the recognition of resources received free of charge by Public Transport Victoria for its use of the </w:t>
      </w:r>
      <w:r w:rsidRPr="006A75A2">
        <w:rPr>
          <w:i/>
        </w:rPr>
        <w:t>myki</w:t>
      </w:r>
      <w:r w:rsidRPr="006A75A2">
        <w:t xml:space="preserve"> assets held by Victorian Rail Track</w:t>
      </w:r>
      <w:r w:rsidRPr="006A75A2">
        <w:rPr>
          <w:rStyle w:val="DashTextChar"/>
        </w:rPr>
        <w:t xml:space="preserve"> and higher than expected other revenue from retail activities in hospitals.</w:t>
      </w:r>
    </w:p>
    <w:p w:rsidR="004E6C32" w:rsidRPr="006A75A2" w:rsidRDefault="004E6C32" w:rsidP="004B5CB1">
      <w:pPr>
        <w:pStyle w:val="Tableheading"/>
      </w:pPr>
      <w:r w:rsidRPr="006A75A2">
        <w:t>Expenses from transactions</w:t>
      </w:r>
    </w:p>
    <w:p w:rsidR="004E6C32" w:rsidRPr="006A75A2" w:rsidRDefault="004E6C32" w:rsidP="004B5CB1">
      <w:r w:rsidRPr="006A75A2">
        <w:t>Expenses from transactions were $285 million (0.6 per cent) higher than the original budget. The main movements are outlined below.</w:t>
      </w:r>
    </w:p>
    <w:p w:rsidR="004E6C32" w:rsidRPr="006A75A2" w:rsidRDefault="004E6C32" w:rsidP="004B5CB1">
      <w:pPr>
        <w:ind w:left="360" w:hanging="360"/>
      </w:pPr>
      <w:r w:rsidRPr="006A75A2">
        <w:t>(g)</w:t>
      </w:r>
      <w:r w:rsidRPr="006A75A2">
        <w:tab/>
        <w:t>Employee expenses were $65 million (0.4 per cent) higher than originally estimated. This was largely due to the actual salaries in health agencies being higher than expected in the published budget.</w:t>
      </w:r>
    </w:p>
    <w:p w:rsidR="004E6C32" w:rsidRPr="006A75A2" w:rsidRDefault="004E6C32" w:rsidP="004B5CB1">
      <w:pPr>
        <w:ind w:left="360" w:hanging="360"/>
      </w:pPr>
      <w:r w:rsidRPr="006A75A2">
        <w:t>(h)</w:t>
      </w:r>
      <w:r w:rsidRPr="006A75A2">
        <w:tab/>
        <w:t>The fall in the superannuation interest expense of $77 million was primarily due to the net impact of increases in the bond yields that underlie the key superannuation valuation assumptions between 31 March 2013 (the date at which the budget estimates were prepared) and 30 June 2013 (the date at which this expense is determined).</w:t>
      </w:r>
    </w:p>
    <w:p w:rsidR="004E6C32" w:rsidRPr="006A75A2" w:rsidRDefault="004E6C32" w:rsidP="004B5CB1">
      <w:pPr>
        <w:ind w:left="360"/>
      </w:pPr>
      <w:r w:rsidRPr="006A75A2">
        <w:t xml:space="preserve">The reduction in other superannuation expenses of $25 million was primarily attributable to a reduction in defined benefit service costs, due to higher bond yields, partially offset by an increase in employer contributions to defined contribution funds. </w:t>
      </w:r>
    </w:p>
    <w:p w:rsidR="004E6C32" w:rsidRPr="006A75A2" w:rsidRDefault="004E6C32" w:rsidP="004B5CB1">
      <w:pPr>
        <w:ind w:left="360" w:hanging="360"/>
      </w:pPr>
      <w:r w:rsidRPr="006A75A2">
        <w:t>(i)</w:t>
      </w:r>
      <w:r w:rsidRPr="006A75A2">
        <w:tab/>
        <w:t xml:space="preserve">The decrease in the depreciation expense of $13.9 million compared to the original budget was mainly driven by a lower than original budgeted depreciation expense for hospital buildings. </w:t>
      </w:r>
    </w:p>
    <w:p w:rsidR="004E6C32" w:rsidRPr="006A75A2" w:rsidRDefault="004E6C32" w:rsidP="004B5CB1">
      <w:pPr>
        <w:ind w:left="360" w:hanging="360"/>
      </w:pPr>
      <w:r w:rsidRPr="006A75A2">
        <w:t>(j)</w:t>
      </w:r>
      <w:r w:rsidRPr="006A75A2">
        <w:tab/>
        <w:t xml:space="preserve">Interest expense was $38 million lower than the original budget, mainly associated with a reduction in borrowings due to a higher than expected operating cash surplus. </w:t>
      </w:r>
    </w:p>
    <w:p w:rsidR="004E6C32" w:rsidRPr="006A75A2" w:rsidRDefault="004E6C32" w:rsidP="004B5CB1">
      <w:pPr>
        <w:ind w:left="360" w:hanging="360"/>
      </w:pPr>
      <w:r w:rsidRPr="006A75A2">
        <w:t>(k)</w:t>
      </w:r>
      <w:r w:rsidRPr="006A75A2">
        <w:tab/>
        <w:t>Other operating expenses were $787 million higher than the original budget mainly reflecting the payment to Tatts Group of $540 million in satisfaction of a Supreme Court judgement.</w:t>
      </w:r>
    </w:p>
    <w:p w:rsidR="004E6C32" w:rsidRPr="006A75A2" w:rsidRDefault="004E6C32" w:rsidP="004B5CB1">
      <w:pPr>
        <w:ind w:left="360" w:hanging="360"/>
      </w:pPr>
      <w:r w:rsidRPr="006A75A2">
        <w:t>(l)</w:t>
      </w:r>
      <w:r w:rsidRPr="006A75A2">
        <w:tab/>
        <w:t xml:space="preserve">Grants and other transfers were $412 million lower than expected in the </w:t>
      </w:r>
      <w:r w:rsidRPr="006A75A2">
        <w:rPr>
          <w:i/>
        </w:rPr>
        <w:t>2013-14 Budget</w:t>
      </w:r>
      <w:r w:rsidRPr="006A75A2">
        <w:t>, mainly driven by lower than expected Commonwealth grants to local government. The reduction in Commonwealth grants on-passed to local government was due to the advance payment of 2013-14 grants in the 2012-13 year in line with timing of Commonwealth payments to the State.</w:t>
      </w:r>
    </w:p>
    <w:p w:rsidR="004E6C32" w:rsidRPr="006A75A2" w:rsidRDefault="004E6C32" w:rsidP="004B5CB1">
      <w:pPr>
        <w:pStyle w:val="Tableheading"/>
      </w:pPr>
      <w:r w:rsidRPr="006A75A2">
        <w:t>Other economic flows included in net result</w:t>
      </w:r>
    </w:p>
    <w:p w:rsidR="004E6C32" w:rsidRPr="006A75A2" w:rsidRDefault="004E6C32" w:rsidP="004B5CB1">
      <w:r w:rsidRPr="006A75A2">
        <w:t xml:space="preserve">Total other economic flows included in the net result have decreased by $939 million compared to estimates in the original budget. The decrease was primarily due to the accounting effect of the deconsolidation of the four dual sector TAFE divisions of universities from 1 January 2014. </w:t>
      </w:r>
    </w:p>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32:</w:t>
      </w:r>
      <w:r w:rsidRPr="006A75A2">
        <w:rPr>
          <w:kern w:val="0"/>
        </w:rPr>
        <w:tab/>
        <w:t xml:space="preserve">Explanations of material variances between budget and actual outcomes </w:t>
      </w:r>
      <w:r w:rsidRPr="006A75A2">
        <w:rPr>
          <w:i/>
          <w:kern w:val="0"/>
        </w:rPr>
        <w:t>(continued)</w:t>
      </w:r>
    </w:p>
    <w:p w:rsidR="004E6C32" w:rsidRPr="006A75A2" w:rsidRDefault="004E6C32" w:rsidP="0067336F">
      <w:pPr>
        <w:pStyle w:val="Heading5"/>
      </w:pPr>
      <w:r w:rsidRPr="006A75A2">
        <w:t>(b)</w:t>
      </w:r>
      <w:r w:rsidRPr="006A75A2">
        <w:tab/>
        <w:t>Consolidated balance sheet as at 30 June</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3278"/>
        <w:gridCol w:w="1275"/>
        <w:gridCol w:w="993"/>
        <w:gridCol w:w="992"/>
        <w:gridCol w:w="856"/>
        <w:gridCol w:w="703"/>
        <w:gridCol w:w="851"/>
        <w:gridCol w:w="692"/>
      </w:tblGrid>
      <w:tr w:rsidR="00AD1FBF" w:rsidRPr="006A75A2" w:rsidTr="00AD1FBF">
        <w:tc>
          <w:tcPr>
            <w:tcW w:w="3278"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sz w:val="19"/>
                <w:lang w:eastAsia="en-AU"/>
              </w:rPr>
            </w:pPr>
            <w:r w:rsidRPr="006A75A2">
              <w:rPr>
                <w:rFonts w:eastAsiaTheme="minorEastAsia"/>
                <w:sz w:val="19"/>
                <w:lang w:eastAsia="en-AU"/>
              </w:rPr>
              <w:t xml:space="preserve"> </w:t>
            </w:r>
          </w:p>
        </w:tc>
        <w:tc>
          <w:tcPr>
            <w:tcW w:w="4116" w:type="dxa"/>
            <w:gridSpan w:val="4"/>
            <w:tcBorders>
              <w:top w:val="single" w:sz="6" w:space="0" w:color="auto"/>
              <w:left w:val="nil"/>
              <w:bottom w:val="nil"/>
              <w:right w:val="nil"/>
            </w:tcBorders>
            <w:shd w:val="clear" w:color="000000" w:fill="000000"/>
          </w:tcPr>
          <w:p w:rsidR="00AD1FBF" w:rsidRPr="006A75A2" w:rsidRDefault="00AD1FBF" w:rsidP="00AD1FBF">
            <w:pPr>
              <w:pStyle w:val="TabletextheadingCentred"/>
              <w:rPr>
                <w:rFonts w:eastAsiaTheme="minorEastAsia"/>
                <w:sz w:val="19"/>
                <w:lang w:eastAsia="en-AU"/>
              </w:rPr>
            </w:pPr>
            <w:r w:rsidRPr="006A75A2">
              <w:rPr>
                <w:rFonts w:eastAsiaTheme="minorEastAsia"/>
                <w:sz w:val="19"/>
                <w:lang w:eastAsia="en-AU"/>
              </w:rPr>
              <w:t>General government sector</w:t>
            </w:r>
          </w:p>
        </w:tc>
        <w:tc>
          <w:tcPr>
            <w:tcW w:w="703" w:type="dxa"/>
            <w:vMerge w:val="restart"/>
            <w:tcBorders>
              <w:top w:val="single" w:sz="6" w:space="0" w:color="auto"/>
              <w:left w:val="nil"/>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 xml:space="preserve"> </w:t>
            </w:r>
          </w:p>
          <w:p w:rsidR="00AD1FBF" w:rsidRPr="006A75A2" w:rsidRDefault="00AD1FBF" w:rsidP="004B5CB1">
            <w:pPr>
              <w:pStyle w:val="Tabletextheading"/>
              <w:rPr>
                <w:rFonts w:eastAsiaTheme="minorEastAsia"/>
                <w:sz w:val="19"/>
                <w:lang w:eastAsia="en-AU"/>
              </w:rPr>
            </w:pPr>
          </w:p>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w:t>
            </w:r>
          </w:p>
        </w:tc>
        <w:tc>
          <w:tcPr>
            <w:tcW w:w="851" w:type="dxa"/>
            <w:vMerge w:val="restart"/>
            <w:tcBorders>
              <w:top w:val="single" w:sz="6" w:space="0" w:color="auto"/>
              <w:left w:val="nil"/>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Revised</w:t>
            </w:r>
          </w:p>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budget variance</w:t>
            </w:r>
          </w:p>
        </w:tc>
        <w:tc>
          <w:tcPr>
            <w:tcW w:w="692" w:type="dxa"/>
            <w:vMerge w:val="restart"/>
            <w:tcBorders>
              <w:top w:val="single" w:sz="6" w:space="0" w:color="auto"/>
              <w:left w:val="nil"/>
              <w:right w:val="single" w:sz="6" w:space="0" w:color="auto"/>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 xml:space="preserve"> </w:t>
            </w:r>
          </w:p>
          <w:p w:rsidR="00AD1FBF" w:rsidRPr="006A75A2" w:rsidRDefault="00AD1FBF" w:rsidP="004B5CB1">
            <w:pPr>
              <w:pStyle w:val="Tabletextheading"/>
              <w:rPr>
                <w:rFonts w:eastAsiaTheme="minorEastAsia"/>
                <w:sz w:val="19"/>
                <w:lang w:eastAsia="en-AU"/>
              </w:rPr>
            </w:pPr>
          </w:p>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w:t>
            </w:r>
          </w:p>
        </w:tc>
      </w:tr>
      <w:tr w:rsidR="00AD1FBF" w:rsidRPr="006A75A2" w:rsidTr="00AD1FBF">
        <w:tc>
          <w:tcPr>
            <w:tcW w:w="3278" w:type="dxa"/>
            <w:tcBorders>
              <w:top w:val="nil"/>
              <w:left w:val="single" w:sz="6" w:space="0" w:color="auto"/>
              <w:bottom w:val="single" w:sz="6" w:space="0" w:color="auto"/>
              <w:right w:val="nil"/>
            </w:tcBorders>
            <w:shd w:val="clear" w:color="000000" w:fill="000000"/>
          </w:tcPr>
          <w:p w:rsidR="00AD1FBF" w:rsidRPr="006A75A2" w:rsidRDefault="00AD1FBF" w:rsidP="004B5CB1">
            <w:pPr>
              <w:pStyle w:val="Tabletext"/>
              <w:rPr>
                <w:rFonts w:eastAsiaTheme="minorEastAsia"/>
                <w:sz w:val="19"/>
                <w:lang w:eastAsia="en-AU"/>
              </w:rPr>
            </w:pPr>
            <w:r w:rsidRPr="006A75A2">
              <w:rPr>
                <w:rFonts w:eastAsiaTheme="minorEastAsia"/>
                <w:sz w:val="19"/>
                <w:lang w:eastAsia="en-AU"/>
              </w:rPr>
              <w:t xml:space="preserve"> </w:t>
            </w:r>
          </w:p>
        </w:tc>
        <w:tc>
          <w:tcPr>
            <w:tcW w:w="1275" w:type="dxa"/>
            <w:tcBorders>
              <w:top w:val="nil"/>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Original budget</w:t>
            </w:r>
          </w:p>
        </w:tc>
        <w:tc>
          <w:tcPr>
            <w:tcW w:w="993" w:type="dxa"/>
            <w:tcBorders>
              <w:top w:val="nil"/>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Revised budget</w:t>
            </w:r>
          </w:p>
        </w:tc>
        <w:tc>
          <w:tcPr>
            <w:tcW w:w="992" w:type="dxa"/>
            <w:tcBorders>
              <w:top w:val="nil"/>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2014 Actual</w:t>
            </w:r>
          </w:p>
        </w:tc>
        <w:tc>
          <w:tcPr>
            <w:tcW w:w="856" w:type="dxa"/>
            <w:tcBorders>
              <w:top w:val="nil"/>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r w:rsidRPr="006A75A2">
              <w:rPr>
                <w:rFonts w:eastAsiaTheme="minorEastAsia"/>
                <w:sz w:val="19"/>
                <w:lang w:eastAsia="en-AU"/>
              </w:rPr>
              <w:t>Budget variance</w:t>
            </w:r>
          </w:p>
        </w:tc>
        <w:tc>
          <w:tcPr>
            <w:tcW w:w="703" w:type="dxa"/>
            <w:vMerge/>
            <w:tcBorders>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p>
        </w:tc>
        <w:tc>
          <w:tcPr>
            <w:tcW w:w="851" w:type="dxa"/>
            <w:vMerge/>
            <w:tcBorders>
              <w:left w:val="nil"/>
              <w:bottom w:val="single" w:sz="6" w:space="0" w:color="auto"/>
              <w:right w:val="nil"/>
            </w:tcBorders>
            <w:shd w:val="clear" w:color="000000" w:fill="000000"/>
          </w:tcPr>
          <w:p w:rsidR="00AD1FBF" w:rsidRPr="006A75A2" w:rsidRDefault="00AD1FBF" w:rsidP="004B5CB1">
            <w:pPr>
              <w:pStyle w:val="Tabletextheading"/>
              <w:rPr>
                <w:rFonts w:eastAsiaTheme="minorEastAsia"/>
                <w:sz w:val="19"/>
                <w:lang w:eastAsia="en-AU"/>
              </w:rPr>
            </w:pPr>
          </w:p>
        </w:tc>
        <w:tc>
          <w:tcPr>
            <w:tcW w:w="692" w:type="dxa"/>
            <w:vMerge/>
            <w:tcBorders>
              <w:left w:val="nil"/>
              <w:bottom w:val="single" w:sz="6" w:space="0" w:color="auto"/>
              <w:right w:val="single" w:sz="6" w:space="0" w:color="auto"/>
            </w:tcBorders>
            <w:shd w:val="clear" w:color="000000" w:fill="000000"/>
          </w:tcPr>
          <w:p w:rsidR="00AD1FBF" w:rsidRPr="006A75A2" w:rsidRDefault="00AD1FBF" w:rsidP="004B5CB1">
            <w:pPr>
              <w:pStyle w:val="Tabletextheading"/>
              <w:rPr>
                <w:rFonts w:eastAsiaTheme="minorEastAsia"/>
                <w:sz w:val="19"/>
                <w:lang w:eastAsia="en-AU"/>
              </w:rPr>
            </w:pPr>
          </w:p>
        </w:tc>
      </w:tr>
      <w:tr w:rsidR="004E6C32" w:rsidRPr="006A75A2" w:rsidTr="00AD1FBF">
        <w:tc>
          <w:tcPr>
            <w:tcW w:w="3278"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Assets</w:t>
            </w:r>
          </w:p>
        </w:tc>
        <w:tc>
          <w:tcPr>
            <w:tcW w:w="1275"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93"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92"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856"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703"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851"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692"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Financial assets</w:t>
            </w:r>
          </w:p>
        </w:tc>
        <w:tc>
          <w:tcPr>
            <w:tcW w:w="1275"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93"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92"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85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703"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851"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692"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AD1FBF">
        <w:tc>
          <w:tcPr>
            <w:tcW w:w="3278"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Cash and deposits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4 897.5</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4 100.8</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4 500.9</w:t>
            </w:r>
          </w:p>
        </w:tc>
        <w:tc>
          <w:tcPr>
            <w:tcW w:w="85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(396.6)</w:t>
            </w:r>
          </w:p>
        </w:tc>
        <w:tc>
          <w:tcPr>
            <w:tcW w:w="70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(8.1)</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400.1</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9.8</w:t>
            </w:r>
          </w:p>
        </w:tc>
      </w:tr>
      <w:tr w:rsidR="004E6C32" w:rsidRPr="006A75A2" w:rsidTr="00AD1FBF">
        <w:tc>
          <w:tcPr>
            <w:tcW w:w="3278"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Advances paid</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4 592.1</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4 590.9</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4 586.9</w:t>
            </w:r>
          </w:p>
        </w:tc>
        <w:tc>
          <w:tcPr>
            <w:tcW w:w="85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(5.2)</w:t>
            </w:r>
          </w:p>
        </w:tc>
        <w:tc>
          <w:tcPr>
            <w:tcW w:w="70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(0.1)</w:t>
            </w:r>
          </w:p>
        </w:tc>
        <w:tc>
          <w:tcPr>
            <w:tcW w:w="85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(4.0)</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(0.1)</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Receivables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3 902.6</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4 884.6</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4 940.6</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1 038.0</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26.6</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56.0</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Investments, loans and placements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2 729.0</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3 354.5</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3 117.6</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388.6</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14.2</w:t>
            </w:r>
          </w:p>
        </w:tc>
        <w:tc>
          <w:tcPr>
            <w:tcW w:w="85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(236.9)</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(7.1)</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Investments accounted for using the equity method</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47.1</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49.4</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44.1</w:t>
            </w:r>
          </w:p>
        </w:tc>
        <w:tc>
          <w:tcPr>
            <w:tcW w:w="85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(3.0)</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(6.3)</w:t>
            </w:r>
          </w:p>
        </w:tc>
        <w:tc>
          <w:tcPr>
            <w:tcW w:w="85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(5.3)</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(10.7)</w:t>
            </w:r>
          </w:p>
        </w:tc>
      </w:tr>
      <w:tr w:rsidR="004E6C32" w:rsidRPr="006A75A2" w:rsidTr="00AD1FBF">
        <w:tc>
          <w:tcPr>
            <w:tcW w:w="3278"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Investments in other sector entities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73 591.5</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74 093.3</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75 869.2</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2 277.8</w:t>
            </w:r>
          </w:p>
        </w:tc>
        <w:tc>
          <w:tcPr>
            <w:tcW w:w="703"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3.1</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1 775.9</w:t>
            </w:r>
          </w:p>
        </w:tc>
        <w:tc>
          <w:tcPr>
            <w:tcW w:w="692"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financial assets</w:t>
            </w:r>
          </w:p>
        </w:tc>
        <w:tc>
          <w:tcPr>
            <w:tcW w:w="1275"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89 759.9</w:t>
            </w:r>
          </w:p>
        </w:tc>
        <w:tc>
          <w:tcPr>
            <w:tcW w:w="99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91 073.5</w:t>
            </w:r>
          </w:p>
        </w:tc>
        <w:tc>
          <w:tcPr>
            <w:tcW w:w="992"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93 059.4</w:t>
            </w:r>
          </w:p>
        </w:tc>
        <w:tc>
          <w:tcPr>
            <w:tcW w:w="856"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19"/>
                <w:lang w:eastAsia="en-AU"/>
              </w:rPr>
              <w:t>3 299.5</w:t>
            </w:r>
          </w:p>
        </w:tc>
        <w:tc>
          <w:tcPr>
            <w:tcW w:w="703"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3.7</w:t>
            </w:r>
          </w:p>
        </w:tc>
        <w:tc>
          <w:tcPr>
            <w:tcW w:w="851"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1 985.9</w:t>
            </w:r>
          </w:p>
        </w:tc>
        <w:tc>
          <w:tcPr>
            <w:tcW w:w="692"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2.2</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Non-financial assets</w:t>
            </w:r>
          </w:p>
        </w:tc>
        <w:tc>
          <w:tcPr>
            <w:tcW w:w="1275"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993"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992"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85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703"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851"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692"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Inventories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235.9</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176.4</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176.6</w:t>
            </w:r>
          </w:p>
        </w:tc>
        <w:tc>
          <w:tcPr>
            <w:tcW w:w="85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(59.3)</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(25.1)</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0.2</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0.1</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Non-financial assets held-for-sale</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136.0</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108.3</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142.5</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6.5</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4.8</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34.1</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31.5</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Land, buildings, infrastructure, plant and equipment</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105 139.7</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101 488.0</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103 644.2</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(1 495.6)</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(1.4)</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2 156.1</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2.1</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Other non-financial assets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778.5</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946.0</w:t>
            </w:r>
          </w:p>
        </w:tc>
        <w:tc>
          <w:tcPr>
            <w:tcW w:w="99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1 204.8</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426.3</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54.8</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258.8</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27.4</w:t>
            </w:r>
          </w:p>
        </w:tc>
      </w:tr>
      <w:tr w:rsidR="004E6C32" w:rsidRPr="006A75A2" w:rsidTr="00AD1FBF">
        <w:tc>
          <w:tcPr>
            <w:tcW w:w="3278"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non-financial assets</w:t>
            </w:r>
          </w:p>
        </w:tc>
        <w:tc>
          <w:tcPr>
            <w:tcW w:w="1275"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106 290.1</w:t>
            </w:r>
          </w:p>
        </w:tc>
        <w:tc>
          <w:tcPr>
            <w:tcW w:w="99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102 718.8</w:t>
            </w:r>
          </w:p>
        </w:tc>
        <w:tc>
          <w:tcPr>
            <w:tcW w:w="99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105 168.0</w:t>
            </w:r>
          </w:p>
        </w:tc>
        <w:tc>
          <w:tcPr>
            <w:tcW w:w="85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(1 122.0)</w:t>
            </w:r>
          </w:p>
        </w:tc>
        <w:tc>
          <w:tcPr>
            <w:tcW w:w="70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(1.1)</w:t>
            </w:r>
          </w:p>
        </w:tc>
        <w:tc>
          <w:tcPr>
            <w:tcW w:w="85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2 449.3</w:t>
            </w:r>
          </w:p>
        </w:tc>
        <w:tc>
          <w:tcPr>
            <w:tcW w:w="69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2.4</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assets</w:t>
            </w:r>
          </w:p>
        </w:tc>
        <w:tc>
          <w:tcPr>
            <w:tcW w:w="1275"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196 049.9</w:t>
            </w:r>
          </w:p>
        </w:tc>
        <w:tc>
          <w:tcPr>
            <w:tcW w:w="993"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193 792.2</w:t>
            </w:r>
          </w:p>
        </w:tc>
        <w:tc>
          <w:tcPr>
            <w:tcW w:w="992"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198 227.4</w:t>
            </w:r>
          </w:p>
        </w:tc>
        <w:tc>
          <w:tcPr>
            <w:tcW w:w="85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2 177.5</w:t>
            </w:r>
          </w:p>
        </w:tc>
        <w:tc>
          <w:tcPr>
            <w:tcW w:w="703"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1.1</w:t>
            </w:r>
          </w:p>
        </w:tc>
        <w:tc>
          <w:tcPr>
            <w:tcW w:w="851"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4 435.2</w:t>
            </w:r>
          </w:p>
        </w:tc>
        <w:tc>
          <w:tcPr>
            <w:tcW w:w="692"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2.3</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Liabilities</w:t>
            </w:r>
          </w:p>
        </w:tc>
        <w:tc>
          <w:tcPr>
            <w:tcW w:w="1275"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993"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992"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85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703"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851"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692"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AD1FBF">
        <w:tc>
          <w:tcPr>
            <w:tcW w:w="3278"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Deposits held and advances received</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377.2</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429.1</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426.5</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49.3</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13.1</w:t>
            </w:r>
          </w:p>
        </w:tc>
        <w:tc>
          <w:tcPr>
            <w:tcW w:w="85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(2.6)</w:t>
            </w:r>
          </w:p>
        </w:tc>
        <w:tc>
          <w:tcPr>
            <w:tcW w:w="69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(0.6)</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Payables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5 158.6</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5 644.1</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5 746.5</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587.9</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11.4</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102.4</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1.8</w:t>
            </w:r>
          </w:p>
        </w:tc>
      </w:tr>
      <w:tr w:rsidR="004E6C32" w:rsidRPr="006A75A2" w:rsidTr="00AD1FBF">
        <w:tc>
          <w:tcPr>
            <w:tcW w:w="3278"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Borrowings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34 824.6</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33 132.1</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32 953.6</w:t>
            </w:r>
          </w:p>
        </w:tc>
        <w:tc>
          <w:tcPr>
            <w:tcW w:w="85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(1 871.0</w:t>
            </w:r>
            <w:r w:rsidRPr="006A75A2">
              <w:rPr>
                <w:rFonts w:eastAsiaTheme="minorEastAsia" w:cs="Calibri"/>
                <w:szCs w:val="22"/>
                <w:lang w:eastAsia="en-AU"/>
              </w:rPr>
              <w:t>)</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(5.4)</w:t>
            </w:r>
          </w:p>
        </w:tc>
        <w:tc>
          <w:tcPr>
            <w:tcW w:w="85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(178.5)</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(0.5)</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Employee benefits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5 412.7</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5 374.4</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5 302.7</w:t>
            </w:r>
          </w:p>
        </w:tc>
        <w:tc>
          <w:tcPr>
            <w:tcW w:w="85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(109.9)</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(2.0)</w:t>
            </w:r>
          </w:p>
        </w:tc>
        <w:tc>
          <w:tcPr>
            <w:tcW w:w="85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(71.7)</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(1.3)</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Superannuation</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28 657.5</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23 227.4</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25 680.7</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(2 976.8)</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(10.4)</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2 453.3</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10.6</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Other provisions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606.3</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625.8</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630.6</w:t>
            </w:r>
          </w:p>
        </w:tc>
        <w:tc>
          <w:tcPr>
            <w:tcW w:w="856"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24.3</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4.0</w:t>
            </w:r>
          </w:p>
        </w:tc>
        <w:tc>
          <w:tcPr>
            <w:tcW w:w="851"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4.7</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0.8</w:t>
            </w:r>
          </w:p>
        </w:tc>
      </w:tr>
      <w:tr w:rsidR="004E6C32" w:rsidRPr="006A75A2" w:rsidTr="00AD1FBF">
        <w:tc>
          <w:tcPr>
            <w:tcW w:w="3278"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liabilities</w:t>
            </w:r>
          </w:p>
        </w:tc>
        <w:tc>
          <w:tcPr>
            <w:tcW w:w="1275"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75 036.8</w:t>
            </w:r>
          </w:p>
        </w:tc>
        <w:tc>
          <w:tcPr>
            <w:tcW w:w="99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68 432.9</w:t>
            </w:r>
          </w:p>
        </w:tc>
        <w:tc>
          <w:tcPr>
            <w:tcW w:w="99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70 740.6</w:t>
            </w:r>
          </w:p>
        </w:tc>
        <w:tc>
          <w:tcPr>
            <w:tcW w:w="85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(4 296.3)</w:t>
            </w:r>
          </w:p>
        </w:tc>
        <w:tc>
          <w:tcPr>
            <w:tcW w:w="70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(5.7)</w:t>
            </w:r>
          </w:p>
        </w:tc>
        <w:tc>
          <w:tcPr>
            <w:tcW w:w="851"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2 307.7</w:t>
            </w:r>
          </w:p>
        </w:tc>
        <w:tc>
          <w:tcPr>
            <w:tcW w:w="69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3.4</w:t>
            </w:r>
          </w:p>
        </w:tc>
      </w:tr>
      <w:tr w:rsidR="004E6C32" w:rsidRPr="006A75A2" w:rsidTr="00AD1FBF">
        <w:tc>
          <w:tcPr>
            <w:tcW w:w="3278"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Net assets</w:t>
            </w:r>
          </w:p>
        </w:tc>
        <w:tc>
          <w:tcPr>
            <w:tcW w:w="1275"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121 013.1</w:t>
            </w:r>
          </w:p>
        </w:tc>
        <w:tc>
          <w:tcPr>
            <w:tcW w:w="99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125 359.4</w:t>
            </w:r>
          </w:p>
        </w:tc>
        <w:tc>
          <w:tcPr>
            <w:tcW w:w="99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127 486.9</w:t>
            </w:r>
          </w:p>
        </w:tc>
        <w:tc>
          <w:tcPr>
            <w:tcW w:w="85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6 473.8</w:t>
            </w:r>
          </w:p>
        </w:tc>
        <w:tc>
          <w:tcPr>
            <w:tcW w:w="70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5.3</w:t>
            </w:r>
          </w:p>
        </w:tc>
        <w:tc>
          <w:tcPr>
            <w:tcW w:w="85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2 127.5</w:t>
            </w:r>
          </w:p>
        </w:tc>
        <w:tc>
          <w:tcPr>
            <w:tcW w:w="69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1.7</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Accumulated surplus/(deficit)</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38 465.8</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45 631.8</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44 410.0</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5 944.2</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szCs w:val="19"/>
                <w:lang w:eastAsia="en-AU"/>
              </w:rPr>
            </w:pPr>
            <w:r w:rsidRPr="006A75A2">
              <w:rPr>
                <w:rFonts w:eastAsiaTheme="minorEastAsia"/>
                <w:sz w:val="19"/>
                <w:szCs w:val="19"/>
                <w:lang w:eastAsia="en-AU"/>
              </w:rPr>
              <w:t xml:space="preserve"> 15.5</w:t>
            </w:r>
          </w:p>
        </w:tc>
        <w:tc>
          <w:tcPr>
            <w:tcW w:w="851" w:type="dxa"/>
            <w:tcBorders>
              <w:top w:val="nil"/>
              <w:left w:val="nil"/>
              <w:bottom w:val="nil"/>
              <w:right w:val="nil"/>
            </w:tcBorders>
          </w:tcPr>
          <w:p w:rsidR="004E6C32" w:rsidRPr="006A75A2" w:rsidRDefault="004E6C32" w:rsidP="004B5CB1">
            <w:pPr>
              <w:pStyle w:val="TableofFigures"/>
              <w:rPr>
                <w:rFonts w:eastAsiaTheme="minorEastAsia" w:cs="Calibri"/>
                <w:sz w:val="19"/>
                <w:szCs w:val="19"/>
                <w:lang w:eastAsia="en-AU"/>
              </w:rPr>
            </w:pPr>
            <w:r w:rsidRPr="006A75A2">
              <w:rPr>
                <w:rFonts w:eastAsiaTheme="minorEastAsia"/>
                <w:sz w:val="19"/>
                <w:szCs w:val="19"/>
                <w:lang w:eastAsia="en-AU"/>
              </w:rPr>
              <w:t xml:space="preserve">(1 </w:t>
            </w:r>
            <w:r w:rsidRPr="006A75A2">
              <w:rPr>
                <w:rFonts w:eastAsiaTheme="minorEastAsia" w:cs="Calibri"/>
                <w:sz w:val="19"/>
                <w:szCs w:val="19"/>
                <w:lang w:eastAsia="en-AU"/>
              </w:rPr>
              <w:t>221.8)</w:t>
            </w:r>
          </w:p>
        </w:tc>
        <w:tc>
          <w:tcPr>
            <w:tcW w:w="692" w:type="dxa"/>
            <w:tcBorders>
              <w:top w:val="nil"/>
              <w:left w:val="nil"/>
              <w:bottom w:val="nil"/>
              <w:right w:val="nil"/>
            </w:tcBorders>
          </w:tcPr>
          <w:p w:rsidR="004E6C32" w:rsidRPr="006A75A2" w:rsidRDefault="004E6C32" w:rsidP="004B5CB1">
            <w:pPr>
              <w:pStyle w:val="TableofFigures"/>
              <w:rPr>
                <w:rFonts w:eastAsiaTheme="minorEastAsia" w:cs="Calibri"/>
                <w:sz w:val="19"/>
                <w:szCs w:val="19"/>
                <w:lang w:eastAsia="en-AU"/>
              </w:rPr>
            </w:pPr>
            <w:r w:rsidRPr="006A75A2">
              <w:rPr>
                <w:rFonts w:eastAsiaTheme="minorEastAsia"/>
                <w:sz w:val="19"/>
                <w:szCs w:val="19"/>
                <w:lang w:eastAsia="en-AU"/>
              </w:rPr>
              <w:t>(2.7)</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Reserves</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82 497.3</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79 677.5</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83 026.9</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529.5</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0.6</w:t>
            </w:r>
          </w:p>
        </w:tc>
        <w:tc>
          <w:tcPr>
            <w:tcW w:w="85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3 349.3</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4.2</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Non-controlling interest</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50.0</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50.0</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50.0</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851"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6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AD1FBF">
        <w:tc>
          <w:tcPr>
            <w:tcW w:w="3278"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Net worth</w:t>
            </w:r>
          </w:p>
        </w:tc>
        <w:tc>
          <w:tcPr>
            <w:tcW w:w="1275"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121 013.1</w:t>
            </w:r>
          </w:p>
        </w:tc>
        <w:tc>
          <w:tcPr>
            <w:tcW w:w="99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125 359.4</w:t>
            </w:r>
          </w:p>
        </w:tc>
        <w:tc>
          <w:tcPr>
            <w:tcW w:w="992"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127 486.9</w:t>
            </w:r>
          </w:p>
        </w:tc>
        <w:tc>
          <w:tcPr>
            <w:tcW w:w="856"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6 473.8</w:t>
            </w:r>
          </w:p>
        </w:tc>
        <w:tc>
          <w:tcPr>
            <w:tcW w:w="70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5.3</w:t>
            </w:r>
          </w:p>
        </w:tc>
        <w:tc>
          <w:tcPr>
            <w:tcW w:w="851"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2 127.5</w:t>
            </w:r>
          </w:p>
        </w:tc>
        <w:tc>
          <w:tcPr>
            <w:tcW w:w="692"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1.7</w:t>
            </w:r>
          </w:p>
        </w:tc>
      </w:tr>
      <w:tr w:rsidR="004E6C32" w:rsidRPr="006A75A2" w:rsidTr="00AD1FBF">
        <w:trPr>
          <w:trHeight w:hRule="exact" w:val="120"/>
        </w:trPr>
        <w:tc>
          <w:tcPr>
            <w:tcW w:w="3278"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75"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993"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992"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85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p>
        </w:tc>
        <w:tc>
          <w:tcPr>
            <w:tcW w:w="703"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851"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p>
        </w:tc>
        <w:tc>
          <w:tcPr>
            <w:tcW w:w="692"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FISCAL AGGREGATES</w:t>
            </w:r>
          </w:p>
        </w:tc>
        <w:tc>
          <w:tcPr>
            <w:tcW w:w="1275"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993"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992"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85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703"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851"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p>
        </w:tc>
        <w:tc>
          <w:tcPr>
            <w:tcW w:w="692"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AD1FBF">
        <w:tc>
          <w:tcPr>
            <w:tcW w:w="3278"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Net financial worth </w:t>
            </w:r>
          </w:p>
        </w:tc>
        <w:tc>
          <w:tcPr>
            <w:tcW w:w="1275"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14 723.0</w:t>
            </w:r>
          </w:p>
        </w:tc>
        <w:tc>
          <w:tcPr>
            <w:tcW w:w="99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22 640.6</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22 318.8</w:t>
            </w:r>
          </w:p>
        </w:tc>
        <w:tc>
          <w:tcPr>
            <w:tcW w:w="85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7 595.8</w:t>
            </w:r>
          </w:p>
        </w:tc>
        <w:tc>
          <w:tcPr>
            <w:tcW w:w="703"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51.6</w:t>
            </w:r>
          </w:p>
        </w:tc>
        <w:tc>
          <w:tcPr>
            <w:tcW w:w="85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(321.8)</w:t>
            </w:r>
          </w:p>
        </w:tc>
        <w:tc>
          <w:tcPr>
            <w:tcW w:w="69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(1.4)</w:t>
            </w:r>
          </w:p>
        </w:tc>
      </w:tr>
      <w:tr w:rsidR="004E6C32" w:rsidRPr="006A75A2" w:rsidTr="00AD1FBF">
        <w:tc>
          <w:tcPr>
            <w:tcW w:w="3278" w:type="dxa"/>
            <w:tcBorders>
              <w:top w:val="nil"/>
              <w:left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Net financial liabilities</w:t>
            </w:r>
          </w:p>
        </w:tc>
        <w:tc>
          <w:tcPr>
            <w:tcW w:w="1275" w:type="dxa"/>
            <w:tcBorders>
              <w:top w:val="nil"/>
              <w:left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58 868.5</w:t>
            </w:r>
          </w:p>
        </w:tc>
        <w:tc>
          <w:tcPr>
            <w:tcW w:w="993" w:type="dxa"/>
            <w:tcBorders>
              <w:top w:val="nil"/>
              <w:left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51 452.7</w:t>
            </w:r>
          </w:p>
        </w:tc>
        <w:tc>
          <w:tcPr>
            <w:tcW w:w="992" w:type="dxa"/>
            <w:tcBorders>
              <w:top w:val="nil"/>
              <w:left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53 550.4</w:t>
            </w:r>
          </w:p>
        </w:tc>
        <w:tc>
          <w:tcPr>
            <w:tcW w:w="856" w:type="dxa"/>
            <w:tcBorders>
              <w:top w:val="nil"/>
              <w:left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(5 318.0)</w:t>
            </w:r>
          </w:p>
        </w:tc>
        <w:tc>
          <w:tcPr>
            <w:tcW w:w="703" w:type="dxa"/>
            <w:tcBorders>
              <w:top w:val="nil"/>
              <w:left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(9.0)</w:t>
            </w:r>
          </w:p>
        </w:tc>
        <w:tc>
          <w:tcPr>
            <w:tcW w:w="851" w:type="dxa"/>
            <w:tcBorders>
              <w:top w:val="nil"/>
              <w:left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2 097.7</w:t>
            </w:r>
          </w:p>
        </w:tc>
        <w:tc>
          <w:tcPr>
            <w:tcW w:w="692" w:type="dxa"/>
            <w:tcBorders>
              <w:top w:val="nil"/>
              <w:left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4.1</w:t>
            </w:r>
          </w:p>
        </w:tc>
      </w:tr>
      <w:tr w:rsidR="004E6C32" w:rsidRPr="006A75A2" w:rsidTr="00AD1FBF">
        <w:tc>
          <w:tcPr>
            <w:tcW w:w="3278"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Net debt</w:t>
            </w:r>
          </w:p>
        </w:tc>
        <w:tc>
          <w:tcPr>
            <w:tcW w:w="1275"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22 983.1</w:t>
            </w:r>
          </w:p>
        </w:tc>
        <w:tc>
          <w:tcPr>
            <w:tcW w:w="993"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21 515.0</w:t>
            </w:r>
          </w:p>
        </w:tc>
        <w:tc>
          <w:tcPr>
            <w:tcW w:w="992"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21 174.6</w:t>
            </w:r>
          </w:p>
        </w:tc>
        <w:tc>
          <w:tcPr>
            <w:tcW w:w="856"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(1 808.5</w:t>
            </w:r>
            <w:r w:rsidRPr="006A75A2">
              <w:rPr>
                <w:rFonts w:eastAsiaTheme="minorEastAsia" w:cs="Calibri"/>
                <w:szCs w:val="22"/>
                <w:lang w:eastAsia="en-AU"/>
              </w:rPr>
              <w:t>)</w:t>
            </w:r>
          </w:p>
        </w:tc>
        <w:tc>
          <w:tcPr>
            <w:tcW w:w="703"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(7.9)</w:t>
            </w:r>
          </w:p>
        </w:tc>
        <w:tc>
          <w:tcPr>
            <w:tcW w:w="851"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(340.4)</w:t>
            </w:r>
          </w:p>
        </w:tc>
        <w:tc>
          <w:tcPr>
            <w:tcW w:w="692"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sz w:val="19"/>
                <w:lang w:eastAsia="en-AU"/>
              </w:rPr>
              <w:t>(1.6)</w:t>
            </w:r>
          </w:p>
        </w:tc>
      </w:tr>
    </w:tbl>
    <w:p w:rsidR="004E6C32" w:rsidRPr="006A75A2" w:rsidRDefault="004E6C32" w:rsidP="004B5CB1"/>
    <w:p w:rsidR="004E6C32" w:rsidRPr="006A75A2" w:rsidRDefault="004E6C32">
      <w:pPr>
        <w:spacing w:after="0"/>
        <w:rPr>
          <w:rFonts w:ascii="Calibri" w:hAnsi="Calibri"/>
          <w:b/>
          <w:sz w:val="25"/>
        </w:rPr>
      </w:pPr>
      <w:r w:rsidRPr="006A75A2">
        <w:br w:type="page"/>
      </w:r>
    </w:p>
    <w:p w:rsidR="004E6C32" w:rsidRPr="006A75A2" w:rsidRDefault="004E6C32" w:rsidP="004B5CB1">
      <w:pPr>
        <w:pStyle w:val="Heading2NotesContd"/>
        <w:rPr>
          <w:kern w:val="0"/>
        </w:rPr>
      </w:pPr>
      <w:r w:rsidRPr="006A75A2">
        <w:rPr>
          <w:kern w:val="0"/>
        </w:rPr>
        <w:lastRenderedPageBreak/>
        <w:t>Note 32:</w:t>
      </w:r>
      <w:r w:rsidRPr="006A75A2">
        <w:rPr>
          <w:kern w:val="0"/>
        </w:rPr>
        <w:tab/>
        <w:t xml:space="preserve">Explanations of material variances between budget and actual outcomes </w:t>
      </w:r>
      <w:r w:rsidRPr="006A75A2">
        <w:rPr>
          <w:i/>
          <w:kern w:val="0"/>
        </w:rPr>
        <w:t>(continued)</w:t>
      </w:r>
    </w:p>
    <w:p w:rsidR="004E6C32" w:rsidRPr="006A75A2" w:rsidRDefault="004E6C32" w:rsidP="004B5CB1">
      <w:pPr>
        <w:pStyle w:val="Tableheading"/>
      </w:pPr>
      <w:r w:rsidRPr="006A75A2">
        <w:t>Net financial worth</w:t>
      </w:r>
    </w:p>
    <w:p w:rsidR="004E6C32" w:rsidRPr="006A75A2" w:rsidRDefault="004E6C32" w:rsidP="004B5CB1">
      <w:r w:rsidRPr="006A75A2">
        <w:t xml:space="preserve">Net financial worth is total financial assets less total liabilities. Net financial worth was $7.6 billion higher than the original budget. This was primarily driven by lower liabilities of $4.3 billion and higher financial assets of $3.3 billion. </w:t>
      </w:r>
    </w:p>
    <w:p w:rsidR="004E6C32" w:rsidRPr="006A75A2" w:rsidRDefault="004E6C32" w:rsidP="004B5CB1">
      <w:r w:rsidRPr="006A75A2">
        <w:t>The decrease in total liabilities was largely attributable to a lower superannuation liability as a result of favourable bond yield movements and better than expected investment returns on superannuation assets. Borrowings were also lower than expected in the original budget due to a higher than expected operating cash surplus.</w:t>
      </w:r>
    </w:p>
    <w:p w:rsidR="004E6C32" w:rsidRPr="006A75A2" w:rsidRDefault="004E6C32" w:rsidP="004B5CB1">
      <w:r w:rsidRPr="006A75A2">
        <w:t>The increase in total financial assets was driven by high investments in other sectors due to the revaluation gains on housing assets from the public non</w:t>
      </w:r>
      <w:r w:rsidRPr="006A75A2">
        <w:noBreakHyphen/>
        <w:t xml:space="preserve">financial corporation sector and an improved net asset position associated with strong investment returns from the public financial corporation sector. Receivables were also higher than expected in the original budget due to a lower than expected provision for doubtful debts and collection of taxes. </w:t>
      </w:r>
    </w:p>
    <w:p w:rsidR="004E6C32" w:rsidRPr="006A75A2" w:rsidRDefault="004E6C32" w:rsidP="004B5CB1">
      <w:pPr>
        <w:pStyle w:val="Tableheading"/>
      </w:pPr>
      <w:r w:rsidRPr="006A75A2">
        <w:t>Net financial liabilities</w:t>
      </w:r>
    </w:p>
    <w:p w:rsidR="004E6C32" w:rsidRPr="006A75A2" w:rsidRDefault="004E6C32" w:rsidP="004B5CB1">
      <w:r w:rsidRPr="006A75A2">
        <w:t>Net financial liabilities are total liabilities less all financial assets (excluding investments in other sectors). Net financial liabilities were $5.3 billion lower than the original budget. This decrease was explained previously in net financial worth.</w:t>
      </w:r>
    </w:p>
    <w:p w:rsidR="004E6C32" w:rsidRPr="006A75A2" w:rsidRDefault="004E6C32" w:rsidP="004B5CB1">
      <w:pPr>
        <w:pStyle w:val="Tableheading"/>
      </w:pPr>
      <w:r w:rsidRPr="006A75A2">
        <w:t>Net debt</w:t>
      </w:r>
    </w:p>
    <w:p w:rsidR="004E6C32" w:rsidRPr="006A75A2" w:rsidRDefault="004E6C32" w:rsidP="004B5CB1">
      <w:r w:rsidRPr="006A75A2">
        <w:t>Net debt equals sum of deposits held, advances received, government securities, loans and other borrowing less the sum of cash and deposits, advances paid and investments, loans and placements. Net debt is $1.8 billion lower when compared to the original budget estimate. The actual cash operating surplus of $3.9 billion was $1.2 billion higher than originally budgeted, which reduced the underlying bor</w:t>
      </w:r>
      <w:r w:rsidR="00C07A50" w:rsidRPr="006A75A2">
        <w:t>rowing requirement for 2013-14.</w:t>
      </w:r>
    </w:p>
    <w:p w:rsidR="004E6C32" w:rsidRPr="006A75A2" w:rsidRDefault="004E6C32" w:rsidP="0067336F">
      <w:pPr>
        <w:pStyle w:val="Heading5"/>
      </w:pPr>
      <w:r w:rsidRPr="006A75A2">
        <w:t>(c)</w:t>
      </w:r>
      <w:r w:rsidRPr="006A75A2">
        <w:tab/>
        <w:t>Consolidated cash flow statement for the year ended 30 June</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3278"/>
        <w:gridCol w:w="1206"/>
        <w:gridCol w:w="10"/>
        <w:gridCol w:w="934"/>
        <w:gridCol w:w="24"/>
        <w:gridCol w:w="910"/>
        <w:gridCol w:w="58"/>
        <w:gridCol w:w="968"/>
        <w:gridCol w:w="709"/>
        <w:gridCol w:w="851"/>
        <w:gridCol w:w="692"/>
      </w:tblGrid>
      <w:tr w:rsidR="00AD1FBF" w:rsidRPr="006A75A2" w:rsidTr="00AD1FBF">
        <w:trPr>
          <w:tblHeader/>
        </w:trPr>
        <w:tc>
          <w:tcPr>
            <w:tcW w:w="3278" w:type="dxa"/>
            <w:tcBorders>
              <w:top w:val="single" w:sz="6" w:space="0" w:color="000000"/>
              <w:left w:val="single" w:sz="6" w:space="0" w:color="000000"/>
              <w:bottom w:val="nil"/>
              <w:right w:val="nil"/>
            </w:tcBorders>
            <w:shd w:val="clear" w:color="000000" w:fill="000000"/>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110" w:type="dxa"/>
            <w:gridSpan w:val="7"/>
            <w:tcBorders>
              <w:top w:val="single" w:sz="6" w:space="0" w:color="000000"/>
              <w:left w:val="nil"/>
              <w:bottom w:val="nil"/>
              <w:right w:val="nil"/>
            </w:tcBorders>
            <w:shd w:val="clear" w:color="000000" w:fill="000000"/>
          </w:tcPr>
          <w:p w:rsidR="00AD1FBF" w:rsidRPr="006A75A2" w:rsidRDefault="00AD1FBF" w:rsidP="00AD1FBF">
            <w:pPr>
              <w:pStyle w:val="Tabletextheading"/>
              <w:jc w:val="center"/>
              <w:rPr>
                <w:rFonts w:eastAsiaTheme="minorEastAsia"/>
                <w:sz w:val="20"/>
                <w:szCs w:val="20"/>
                <w:lang w:eastAsia="en-AU"/>
              </w:rPr>
            </w:pPr>
            <w:r w:rsidRPr="006A75A2">
              <w:rPr>
                <w:rFonts w:eastAsiaTheme="minorEastAsia"/>
                <w:sz w:val="20"/>
                <w:szCs w:val="20"/>
                <w:lang w:eastAsia="en-AU"/>
              </w:rPr>
              <w:t>General government sector</w:t>
            </w:r>
          </w:p>
        </w:tc>
        <w:tc>
          <w:tcPr>
            <w:tcW w:w="709" w:type="dxa"/>
            <w:vMerge w:val="restart"/>
            <w:tcBorders>
              <w:top w:val="single" w:sz="6" w:space="0" w:color="000000"/>
              <w:left w:val="nil"/>
              <w:right w:val="nil"/>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 xml:space="preserve"> </w:t>
            </w:r>
          </w:p>
          <w:p w:rsidR="00AD1FBF" w:rsidRPr="006A75A2" w:rsidRDefault="00AD1FBF" w:rsidP="004B5CB1">
            <w:pPr>
              <w:pStyle w:val="Tabletextheading"/>
              <w:rPr>
                <w:rFonts w:eastAsiaTheme="minorEastAsia"/>
                <w:sz w:val="20"/>
                <w:szCs w:val="20"/>
                <w:lang w:eastAsia="en-AU"/>
              </w:rPr>
            </w:pPr>
          </w:p>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w:t>
            </w:r>
          </w:p>
        </w:tc>
        <w:tc>
          <w:tcPr>
            <w:tcW w:w="851" w:type="dxa"/>
            <w:vMerge w:val="restart"/>
            <w:tcBorders>
              <w:top w:val="single" w:sz="6" w:space="0" w:color="000000"/>
              <w:left w:val="nil"/>
              <w:right w:val="nil"/>
            </w:tcBorders>
            <w:shd w:val="clear" w:color="000000" w:fill="000000"/>
          </w:tcPr>
          <w:p w:rsidR="00AD1FBF" w:rsidRPr="006A75A2" w:rsidRDefault="00AD1FBF" w:rsidP="00AD1FBF">
            <w:pPr>
              <w:pStyle w:val="Tabletextheading"/>
              <w:rPr>
                <w:rFonts w:eastAsiaTheme="minorEastAsia"/>
                <w:sz w:val="20"/>
                <w:szCs w:val="20"/>
                <w:lang w:eastAsia="en-AU"/>
              </w:rPr>
            </w:pPr>
            <w:r w:rsidRPr="006A75A2">
              <w:rPr>
                <w:rFonts w:eastAsiaTheme="minorEastAsia"/>
                <w:sz w:val="20"/>
                <w:szCs w:val="20"/>
                <w:lang w:eastAsia="en-AU"/>
              </w:rPr>
              <w:t>Revised budget variance</w:t>
            </w:r>
          </w:p>
        </w:tc>
        <w:tc>
          <w:tcPr>
            <w:tcW w:w="692" w:type="dxa"/>
            <w:vMerge w:val="restart"/>
            <w:tcBorders>
              <w:top w:val="single" w:sz="6" w:space="0" w:color="000000"/>
              <w:left w:val="nil"/>
              <w:right w:val="single" w:sz="6" w:space="0" w:color="000000"/>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 xml:space="preserve"> </w:t>
            </w:r>
          </w:p>
          <w:p w:rsidR="00AD1FBF" w:rsidRPr="006A75A2" w:rsidRDefault="00AD1FBF" w:rsidP="004B5CB1">
            <w:pPr>
              <w:pStyle w:val="Tabletextheading"/>
              <w:rPr>
                <w:rFonts w:eastAsiaTheme="minorEastAsia"/>
                <w:sz w:val="20"/>
                <w:szCs w:val="20"/>
                <w:lang w:eastAsia="en-AU"/>
              </w:rPr>
            </w:pPr>
          </w:p>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w:t>
            </w:r>
          </w:p>
        </w:tc>
      </w:tr>
      <w:tr w:rsidR="00AD1FBF" w:rsidRPr="006A75A2" w:rsidTr="00AD1FBF">
        <w:trPr>
          <w:tblHeader/>
        </w:trPr>
        <w:tc>
          <w:tcPr>
            <w:tcW w:w="3278" w:type="dxa"/>
            <w:tcBorders>
              <w:top w:val="nil"/>
              <w:left w:val="single" w:sz="6" w:space="0" w:color="000000"/>
              <w:bottom w:val="single" w:sz="6" w:space="0" w:color="000000"/>
              <w:right w:val="nil"/>
            </w:tcBorders>
            <w:shd w:val="clear" w:color="000000" w:fill="000000"/>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216" w:type="dxa"/>
            <w:gridSpan w:val="2"/>
            <w:tcBorders>
              <w:top w:val="nil"/>
              <w:left w:val="nil"/>
              <w:bottom w:val="single" w:sz="6" w:space="0" w:color="000000"/>
              <w:right w:val="nil"/>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Original budget</w:t>
            </w:r>
          </w:p>
        </w:tc>
        <w:tc>
          <w:tcPr>
            <w:tcW w:w="934" w:type="dxa"/>
            <w:tcBorders>
              <w:top w:val="nil"/>
              <w:left w:val="nil"/>
              <w:bottom w:val="single" w:sz="6" w:space="0" w:color="000000"/>
              <w:right w:val="nil"/>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Revised budget</w:t>
            </w:r>
          </w:p>
        </w:tc>
        <w:tc>
          <w:tcPr>
            <w:tcW w:w="934" w:type="dxa"/>
            <w:gridSpan w:val="2"/>
            <w:tcBorders>
              <w:top w:val="nil"/>
              <w:left w:val="nil"/>
              <w:bottom w:val="single" w:sz="6" w:space="0" w:color="000000"/>
              <w:right w:val="nil"/>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2014  Actual</w:t>
            </w:r>
          </w:p>
        </w:tc>
        <w:tc>
          <w:tcPr>
            <w:tcW w:w="1026" w:type="dxa"/>
            <w:gridSpan w:val="2"/>
            <w:tcBorders>
              <w:top w:val="nil"/>
              <w:left w:val="nil"/>
              <w:bottom w:val="single" w:sz="6" w:space="0" w:color="000000"/>
              <w:right w:val="nil"/>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Budget variance</w:t>
            </w:r>
          </w:p>
        </w:tc>
        <w:tc>
          <w:tcPr>
            <w:tcW w:w="709" w:type="dxa"/>
            <w:vMerge/>
            <w:tcBorders>
              <w:left w:val="nil"/>
              <w:bottom w:val="single" w:sz="6" w:space="0" w:color="000000"/>
              <w:right w:val="nil"/>
            </w:tcBorders>
            <w:shd w:val="clear" w:color="000000" w:fill="000000"/>
          </w:tcPr>
          <w:p w:rsidR="00AD1FBF" w:rsidRPr="006A75A2" w:rsidRDefault="00AD1FBF" w:rsidP="004B5CB1">
            <w:pPr>
              <w:pStyle w:val="Tabletextheading"/>
              <w:rPr>
                <w:rFonts w:eastAsiaTheme="minorEastAsia"/>
                <w:sz w:val="20"/>
                <w:szCs w:val="20"/>
                <w:lang w:eastAsia="en-AU"/>
              </w:rPr>
            </w:pPr>
          </w:p>
        </w:tc>
        <w:tc>
          <w:tcPr>
            <w:tcW w:w="851" w:type="dxa"/>
            <w:vMerge/>
            <w:tcBorders>
              <w:left w:val="nil"/>
              <w:bottom w:val="single" w:sz="6" w:space="0" w:color="000000"/>
              <w:right w:val="nil"/>
            </w:tcBorders>
            <w:shd w:val="clear" w:color="000000" w:fill="000000"/>
          </w:tcPr>
          <w:p w:rsidR="00AD1FBF" w:rsidRPr="006A75A2" w:rsidRDefault="00AD1FBF" w:rsidP="004B5CB1">
            <w:pPr>
              <w:pStyle w:val="Tabletextheading"/>
              <w:rPr>
                <w:rFonts w:eastAsiaTheme="minorEastAsia"/>
                <w:sz w:val="20"/>
                <w:szCs w:val="20"/>
                <w:lang w:eastAsia="en-AU"/>
              </w:rPr>
            </w:pPr>
          </w:p>
        </w:tc>
        <w:tc>
          <w:tcPr>
            <w:tcW w:w="692" w:type="dxa"/>
            <w:vMerge/>
            <w:tcBorders>
              <w:left w:val="nil"/>
              <w:bottom w:val="single" w:sz="6" w:space="0" w:color="000000"/>
              <w:right w:val="single" w:sz="6" w:space="0" w:color="000000"/>
            </w:tcBorders>
            <w:shd w:val="clear" w:color="000000" w:fill="000000"/>
          </w:tcPr>
          <w:p w:rsidR="00AD1FBF" w:rsidRPr="006A75A2" w:rsidRDefault="00AD1FBF" w:rsidP="004B5CB1">
            <w:pPr>
              <w:pStyle w:val="Tabletextheading"/>
              <w:rPr>
                <w:rFonts w:eastAsiaTheme="minorEastAsia"/>
                <w:sz w:val="20"/>
                <w:szCs w:val="20"/>
                <w:lang w:eastAsia="en-AU"/>
              </w:rPr>
            </w:pPr>
          </w:p>
        </w:tc>
      </w:tr>
      <w:tr w:rsidR="00AD1FBF" w:rsidRPr="006A75A2" w:rsidTr="00AD1FBF">
        <w:tc>
          <w:tcPr>
            <w:tcW w:w="9640" w:type="dxa"/>
            <w:gridSpan w:val="11"/>
            <w:tcBorders>
              <w:top w:val="single" w:sz="6" w:space="0" w:color="000000"/>
              <w:left w:val="nil"/>
              <w:bottom w:val="nil"/>
              <w:right w:val="nil"/>
            </w:tcBorders>
          </w:tcPr>
          <w:p w:rsidR="00AD1FBF" w:rsidRPr="006A75A2" w:rsidRDefault="00AD1FBF" w:rsidP="00AD1FBF">
            <w:pPr>
              <w:pStyle w:val="Tabletext"/>
              <w:rPr>
                <w:rFonts w:eastAsiaTheme="minorEastAsia"/>
                <w:b/>
                <w:sz w:val="20"/>
                <w:szCs w:val="20"/>
                <w:lang w:eastAsia="en-AU"/>
              </w:rPr>
            </w:pPr>
            <w:r w:rsidRPr="006A75A2">
              <w:rPr>
                <w:rFonts w:eastAsiaTheme="minorEastAsia"/>
                <w:b/>
                <w:bCs/>
                <w:sz w:val="20"/>
                <w:szCs w:val="20"/>
                <w:lang w:eastAsia="en-AU"/>
              </w:rPr>
              <w:t>Cash flows from operating activities</w:t>
            </w:r>
            <w:r w:rsidRPr="006A75A2">
              <w:rPr>
                <w:rFonts w:eastAsiaTheme="minorEastAsia"/>
                <w:b/>
                <w:sz w:val="20"/>
                <w:szCs w:val="20"/>
                <w:lang w:eastAsia="en-AU"/>
              </w:rPr>
              <w:t xml:space="preserve"> </w:t>
            </w:r>
          </w:p>
        </w:tc>
      </w:tr>
      <w:tr w:rsidR="00AD1FBF" w:rsidRPr="006A75A2" w:rsidTr="00AD1FBF">
        <w:tc>
          <w:tcPr>
            <w:tcW w:w="9640" w:type="dxa"/>
            <w:gridSpan w:val="11"/>
            <w:tcBorders>
              <w:top w:val="nil"/>
              <w:left w:val="nil"/>
              <w:bottom w:val="nil"/>
              <w:right w:val="nil"/>
            </w:tcBorders>
          </w:tcPr>
          <w:p w:rsidR="00AD1FBF" w:rsidRPr="006A75A2" w:rsidRDefault="00AD1FBF" w:rsidP="00AD1FBF">
            <w:pPr>
              <w:pStyle w:val="Tabletext"/>
              <w:rPr>
                <w:rFonts w:eastAsiaTheme="minorEastAsia"/>
                <w:b/>
                <w:sz w:val="20"/>
                <w:szCs w:val="20"/>
                <w:lang w:eastAsia="en-AU"/>
              </w:rPr>
            </w:pPr>
            <w:r w:rsidRPr="006A75A2">
              <w:rPr>
                <w:rFonts w:eastAsiaTheme="minorEastAsia"/>
                <w:b/>
                <w:bCs/>
                <w:sz w:val="20"/>
                <w:szCs w:val="20"/>
                <w:lang w:eastAsia="en-AU"/>
              </w:rPr>
              <w:t>Receipts</w:t>
            </w:r>
            <w:r w:rsidRPr="006A75A2">
              <w:rPr>
                <w:rFonts w:eastAsiaTheme="minorEastAsia"/>
                <w:b/>
                <w:sz w:val="20"/>
                <w:szCs w:val="20"/>
                <w:lang w:eastAsia="en-AU"/>
              </w:rPr>
              <w:t xml:space="preserve"> </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Taxes received</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16 450.9</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16 867.5</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16 719.4</w:t>
            </w:r>
          </w:p>
        </w:tc>
        <w:tc>
          <w:tcPr>
            <w:tcW w:w="968"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268.5</w:t>
            </w:r>
          </w:p>
        </w:tc>
        <w:tc>
          <w:tcPr>
            <w:tcW w:w="709"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1.6</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(148.1)</w:t>
            </w:r>
          </w:p>
        </w:tc>
        <w:tc>
          <w:tcPr>
            <w:tcW w:w="692"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(0.9)</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Grants</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23 310.5</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24 028.7</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25 140.4</w:t>
            </w:r>
          </w:p>
        </w:tc>
        <w:tc>
          <w:tcPr>
            <w:tcW w:w="968"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1 829.8</w:t>
            </w:r>
          </w:p>
        </w:tc>
        <w:tc>
          <w:tcPr>
            <w:tcW w:w="709"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7.8</w:t>
            </w:r>
          </w:p>
        </w:tc>
        <w:tc>
          <w:tcPr>
            <w:tcW w:w="851"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1 111.6</w:t>
            </w:r>
          </w:p>
        </w:tc>
        <w:tc>
          <w:tcPr>
            <w:tcW w:w="692"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4.6</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Sales of goods and services</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7 631.3</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7 216.2</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7 381.1</w:t>
            </w:r>
          </w:p>
        </w:tc>
        <w:tc>
          <w:tcPr>
            <w:tcW w:w="968"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(250.2)</w:t>
            </w:r>
          </w:p>
        </w:tc>
        <w:tc>
          <w:tcPr>
            <w:tcW w:w="709"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(3.3)</w:t>
            </w:r>
          </w:p>
        </w:tc>
        <w:tc>
          <w:tcPr>
            <w:tcW w:w="851"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164.9</w:t>
            </w:r>
          </w:p>
        </w:tc>
        <w:tc>
          <w:tcPr>
            <w:tcW w:w="692"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2.3</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Interest received</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844.9</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820.8</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807.8</w:t>
            </w:r>
          </w:p>
        </w:tc>
        <w:tc>
          <w:tcPr>
            <w:tcW w:w="968"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(37.2)</w:t>
            </w:r>
          </w:p>
        </w:tc>
        <w:tc>
          <w:tcPr>
            <w:tcW w:w="709"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(4.4)</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(13.0)</w:t>
            </w:r>
          </w:p>
        </w:tc>
        <w:tc>
          <w:tcPr>
            <w:tcW w:w="692"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(1.6)</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Dividends and income tax equivalent and rate equivalent receipts</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650.4</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788.4</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591.8</w:t>
            </w:r>
          </w:p>
        </w:tc>
        <w:tc>
          <w:tcPr>
            <w:tcW w:w="968"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(58.6)</w:t>
            </w:r>
          </w:p>
        </w:tc>
        <w:tc>
          <w:tcPr>
            <w:tcW w:w="709"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(9.0)</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(196.6)</w:t>
            </w:r>
          </w:p>
        </w:tc>
        <w:tc>
          <w:tcPr>
            <w:tcW w:w="692"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(24.9)</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Other receipts</w:t>
            </w:r>
          </w:p>
        </w:tc>
        <w:tc>
          <w:tcPr>
            <w:tcW w:w="1206"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1 784.9</w:t>
            </w:r>
          </w:p>
        </w:tc>
        <w:tc>
          <w:tcPr>
            <w:tcW w:w="968" w:type="dxa"/>
            <w:gridSpan w:val="3"/>
            <w:tcBorders>
              <w:top w:val="nil"/>
              <w:left w:val="nil"/>
              <w:bottom w:val="single" w:sz="6" w:space="0" w:color="auto"/>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1 734.4</w:t>
            </w:r>
          </w:p>
        </w:tc>
        <w:tc>
          <w:tcPr>
            <w:tcW w:w="968" w:type="dxa"/>
            <w:gridSpan w:val="2"/>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1 803.8</w:t>
            </w:r>
          </w:p>
        </w:tc>
        <w:tc>
          <w:tcPr>
            <w:tcW w:w="968"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18.9</w:t>
            </w:r>
          </w:p>
        </w:tc>
        <w:tc>
          <w:tcPr>
            <w:tcW w:w="709"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1.1</w:t>
            </w:r>
          </w:p>
        </w:tc>
        <w:tc>
          <w:tcPr>
            <w:tcW w:w="851"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69.4</w:t>
            </w:r>
          </w:p>
        </w:tc>
        <w:tc>
          <w:tcPr>
            <w:tcW w:w="692"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4.0</w:t>
            </w:r>
          </w:p>
        </w:tc>
      </w:tr>
      <w:tr w:rsidR="00AD1FBF" w:rsidRPr="006A75A2" w:rsidTr="00AD1FBF">
        <w:tc>
          <w:tcPr>
            <w:tcW w:w="3278" w:type="dxa"/>
            <w:tcBorders>
              <w:top w:val="single" w:sz="6" w:space="0" w:color="auto"/>
              <w:left w:val="nil"/>
              <w:bottom w:val="nil"/>
              <w:right w:val="nil"/>
            </w:tcBorders>
          </w:tcPr>
          <w:p w:rsidR="00AD1FBF" w:rsidRPr="006A75A2" w:rsidRDefault="00AD1FBF" w:rsidP="004B5CB1">
            <w:pPr>
              <w:pStyle w:val="Tabletext"/>
              <w:rPr>
                <w:rFonts w:eastAsiaTheme="minorEastAsia"/>
                <w:b/>
                <w:bCs/>
                <w:sz w:val="20"/>
                <w:szCs w:val="20"/>
                <w:lang w:eastAsia="en-AU"/>
              </w:rPr>
            </w:pPr>
            <w:r w:rsidRPr="006A75A2">
              <w:rPr>
                <w:rFonts w:eastAsiaTheme="minorEastAsia"/>
                <w:b/>
                <w:bCs/>
                <w:sz w:val="20"/>
                <w:szCs w:val="20"/>
                <w:lang w:eastAsia="en-AU"/>
              </w:rPr>
              <w:t>Total receipts</w:t>
            </w:r>
          </w:p>
        </w:tc>
        <w:tc>
          <w:tcPr>
            <w:tcW w:w="1206"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50 672.9</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51 455.9</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52 444.2</w:t>
            </w:r>
          </w:p>
        </w:tc>
        <w:tc>
          <w:tcPr>
            <w:tcW w:w="968"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1 771.3</w:t>
            </w:r>
          </w:p>
        </w:tc>
        <w:tc>
          <w:tcPr>
            <w:tcW w:w="709"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3.5</w:t>
            </w:r>
          </w:p>
        </w:tc>
        <w:tc>
          <w:tcPr>
            <w:tcW w:w="851"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988.3</w:t>
            </w:r>
          </w:p>
        </w:tc>
        <w:tc>
          <w:tcPr>
            <w:tcW w:w="692"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1.9</w:t>
            </w:r>
          </w:p>
        </w:tc>
      </w:tr>
      <w:tr w:rsidR="00AD1FBF" w:rsidRPr="006A75A2" w:rsidTr="00AD1FBF">
        <w:tc>
          <w:tcPr>
            <w:tcW w:w="9640" w:type="dxa"/>
            <w:gridSpan w:val="11"/>
            <w:tcBorders>
              <w:top w:val="nil"/>
              <w:left w:val="nil"/>
              <w:bottom w:val="nil"/>
              <w:right w:val="nil"/>
            </w:tcBorders>
          </w:tcPr>
          <w:p w:rsidR="00AD1FBF" w:rsidRPr="006A75A2" w:rsidRDefault="00AD1FBF" w:rsidP="00AD1FBF">
            <w:pPr>
              <w:pStyle w:val="Tabletext"/>
              <w:rPr>
                <w:rFonts w:eastAsiaTheme="minorEastAsia"/>
                <w:b/>
                <w:sz w:val="20"/>
                <w:szCs w:val="20"/>
                <w:lang w:eastAsia="en-AU"/>
              </w:rPr>
            </w:pPr>
            <w:r w:rsidRPr="006A75A2">
              <w:rPr>
                <w:rFonts w:eastAsiaTheme="minorEastAsia"/>
                <w:b/>
                <w:bCs/>
                <w:sz w:val="20"/>
                <w:szCs w:val="20"/>
                <w:lang w:eastAsia="en-AU"/>
              </w:rPr>
              <w:t>Payments</w:t>
            </w:r>
            <w:r w:rsidRPr="006A75A2">
              <w:rPr>
                <w:rFonts w:eastAsiaTheme="minorEastAsia"/>
                <w:b/>
                <w:sz w:val="20"/>
                <w:szCs w:val="20"/>
                <w:lang w:eastAsia="en-AU"/>
              </w:rPr>
              <w:t xml:space="preserve">  </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Payments for employees</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(17 757.4)</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(17 943.3)</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(17 926.6)</w:t>
            </w:r>
          </w:p>
        </w:tc>
        <w:tc>
          <w:tcPr>
            <w:tcW w:w="968"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(169.3)</w:t>
            </w:r>
          </w:p>
        </w:tc>
        <w:tc>
          <w:tcPr>
            <w:tcW w:w="709"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1.0</w:t>
            </w:r>
          </w:p>
        </w:tc>
        <w:tc>
          <w:tcPr>
            <w:tcW w:w="851"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16.6</w:t>
            </w:r>
          </w:p>
        </w:tc>
        <w:tc>
          <w:tcPr>
            <w:tcW w:w="692"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(0.1)</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Superannuation</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(2 647.9)</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(2 648.3)</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(2 676.5)</w:t>
            </w:r>
          </w:p>
        </w:tc>
        <w:tc>
          <w:tcPr>
            <w:tcW w:w="968"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(28.6)</w:t>
            </w:r>
          </w:p>
        </w:tc>
        <w:tc>
          <w:tcPr>
            <w:tcW w:w="709"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1.1</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(28.2)</w:t>
            </w:r>
          </w:p>
        </w:tc>
        <w:tc>
          <w:tcPr>
            <w:tcW w:w="692"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1.1</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Interest paid</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(2 133.0)</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(2 128.6)</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(2 081.6)</w:t>
            </w:r>
          </w:p>
        </w:tc>
        <w:tc>
          <w:tcPr>
            <w:tcW w:w="968"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51.4</w:t>
            </w:r>
          </w:p>
        </w:tc>
        <w:tc>
          <w:tcPr>
            <w:tcW w:w="709"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(2.4)</w:t>
            </w:r>
          </w:p>
        </w:tc>
        <w:tc>
          <w:tcPr>
            <w:tcW w:w="851"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47.0</w:t>
            </w:r>
          </w:p>
        </w:tc>
        <w:tc>
          <w:tcPr>
            <w:tcW w:w="692"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(2.2)</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Grants and subsidies</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(8 118.3)</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(8 021.5)</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(7 647.0)</w:t>
            </w:r>
          </w:p>
        </w:tc>
        <w:tc>
          <w:tcPr>
            <w:tcW w:w="968"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471.3</w:t>
            </w:r>
          </w:p>
        </w:tc>
        <w:tc>
          <w:tcPr>
            <w:tcW w:w="709"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(5.8)</w:t>
            </w:r>
          </w:p>
        </w:tc>
        <w:tc>
          <w:tcPr>
            <w:tcW w:w="851"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374.4</w:t>
            </w:r>
          </w:p>
        </w:tc>
        <w:tc>
          <w:tcPr>
            <w:tcW w:w="692"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(4.7)</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Goods and services</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(16 662.0)</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(16 808.8)</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(16 949.3)</w:t>
            </w:r>
          </w:p>
        </w:tc>
        <w:tc>
          <w:tcPr>
            <w:tcW w:w="968"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(287.4)</w:t>
            </w:r>
          </w:p>
        </w:tc>
        <w:tc>
          <w:tcPr>
            <w:tcW w:w="709"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1.7</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(140.5)</w:t>
            </w:r>
          </w:p>
        </w:tc>
        <w:tc>
          <w:tcPr>
            <w:tcW w:w="692"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0.8</w:t>
            </w:r>
          </w:p>
        </w:tc>
      </w:tr>
      <w:tr w:rsidR="00AD1FBF" w:rsidRPr="006A75A2" w:rsidTr="00AD1FBF">
        <w:tc>
          <w:tcPr>
            <w:tcW w:w="3278" w:type="dxa"/>
            <w:tcBorders>
              <w:top w:val="nil"/>
              <w:left w:val="nil"/>
              <w:bottom w:val="single" w:sz="6" w:space="0" w:color="auto"/>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Other payments</w:t>
            </w:r>
          </w:p>
        </w:tc>
        <w:tc>
          <w:tcPr>
            <w:tcW w:w="1206"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(622.8)</w:t>
            </w:r>
          </w:p>
        </w:tc>
        <w:tc>
          <w:tcPr>
            <w:tcW w:w="968" w:type="dxa"/>
            <w:gridSpan w:val="3"/>
            <w:tcBorders>
              <w:top w:val="nil"/>
              <w:left w:val="nil"/>
              <w:bottom w:val="single" w:sz="6" w:space="0" w:color="auto"/>
              <w:right w:val="nil"/>
            </w:tcBorders>
            <w:shd w:val="solid" w:color="FFFFFF" w:fill="auto"/>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(622.8)</w:t>
            </w:r>
          </w:p>
        </w:tc>
        <w:tc>
          <w:tcPr>
            <w:tcW w:w="968" w:type="dxa"/>
            <w:gridSpan w:val="2"/>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(1 220.6)</w:t>
            </w:r>
          </w:p>
        </w:tc>
        <w:tc>
          <w:tcPr>
            <w:tcW w:w="968"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(597.8)</w:t>
            </w:r>
          </w:p>
        </w:tc>
        <w:tc>
          <w:tcPr>
            <w:tcW w:w="709"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96.0</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(597.8)</w:t>
            </w:r>
          </w:p>
        </w:tc>
        <w:tc>
          <w:tcPr>
            <w:tcW w:w="692"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96.0</w:t>
            </w:r>
          </w:p>
        </w:tc>
      </w:tr>
      <w:tr w:rsidR="00AD1FBF" w:rsidRPr="006A75A2" w:rsidTr="00AD1FBF">
        <w:tc>
          <w:tcPr>
            <w:tcW w:w="3278" w:type="dxa"/>
            <w:tcBorders>
              <w:top w:val="nil"/>
              <w:left w:val="nil"/>
              <w:bottom w:val="single" w:sz="6" w:space="0" w:color="auto"/>
              <w:right w:val="nil"/>
            </w:tcBorders>
          </w:tcPr>
          <w:p w:rsidR="00AD1FBF" w:rsidRPr="006A75A2" w:rsidRDefault="00AD1FBF" w:rsidP="004B5CB1">
            <w:pPr>
              <w:pStyle w:val="TableofFigures"/>
              <w:jc w:val="left"/>
              <w:rPr>
                <w:rFonts w:eastAsiaTheme="minorEastAsia"/>
                <w:b/>
                <w:bCs/>
                <w:sz w:val="20"/>
                <w:szCs w:val="20"/>
                <w:lang w:eastAsia="en-AU"/>
              </w:rPr>
            </w:pPr>
            <w:r w:rsidRPr="006A75A2">
              <w:rPr>
                <w:rFonts w:eastAsiaTheme="minorEastAsia"/>
                <w:b/>
                <w:bCs/>
                <w:sz w:val="20"/>
                <w:szCs w:val="20"/>
                <w:lang w:eastAsia="en-AU"/>
              </w:rPr>
              <w:t>Total payments</w:t>
            </w:r>
          </w:p>
        </w:tc>
        <w:tc>
          <w:tcPr>
            <w:tcW w:w="1206"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(47 941.3)</w:t>
            </w:r>
          </w:p>
        </w:tc>
        <w:tc>
          <w:tcPr>
            <w:tcW w:w="968" w:type="dxa"/>
            <w:gridSpan w:val="3"/>
            <w:tcBorders>
              <w:top w:val="single" w:sz="6" w:space="0" w:color="auto"/>
              <w:left w:val="nil"/>
              <w:bottom w:val="single" w:sz="4" w:space="0" w:color="auto"/>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(48 173.2)</w:t>
            </w:r>
          </w:p>
        </w:tc>
        <w:tc>
          <w:tcPr>
            <w:tcW w:w="968" w:type="dxa"/>
            <w:gridSpan w:val="2"/>
            <w:tcBorders>
              <w:top w:val="single" w:sz="6" w:space="0" w:color="auto"/>
              <w:left w:val="nil"/>
              <w:bottom w:val="single" w:sz="4" w:space="0" w:color="auto"/>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(48 501.7)</w:t>
            </w:r>
          </w:p>
        </w:tc>
        <w:tc>
          <w:tcPr>
            <w:tcW w:w="968"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(560.4)</w:t>
            </w:r>
          </w:p>
        </w:tc>
        <w:tc>
          <w:tcPr>
            <w:tcW w:w="709"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1.2</w:t>
            </w:r>
          </w:p>
        </w:tc>
        <w:tc>
          <w:tcPr>
            <w:tcW w:w="851"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(328.5)</w:t>
            </w:r>
          </w:p>
        </w:tc>
        <w:tc>
          <w:tcPr>
            <w:tcW w:w="692"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0.7</w:t>
            </w:r>
          </w:p>
        </w:tc>
      </w:tr>
    </w:tbl>
    <w:p w:rsidR="00C07A50" w:rsidRPr="006A75A2" w:rsidRDefault="00C07A50"/>
    <w:p w:rsidR="002A6119" w:rsidRPr="006A75A2" w:rsidRDefault="002A6119" w:rsidP="002A6119">
      <w:pPr>
        <w:pStyle w:val="Heading2NotesContd"/>
        <w:rPr>
          <w:kern w:val="0"/>
        </w:rPr>
      </w:pPr>
      <w:r w:rsidRPr="006A75A2">
        <w:rPr>
          <w:kern w:val="0"/>
        </w:rPr>
        <w:lastRenderedPageBreak/>
        <w:t>Note 32:</w:t>
      </w:r>
      <w:r w:rsidRPr="006A75A2">
        <w:rPr>
          <w:kern w:val="0"/>
        </w:rPr>
        <w:tab/>
        <w:t xml:space="preserve">Explanations of material variances between budget and actual outcomes </w:t>
      </w:r>
      <w:r w:rsidRPr="006A75A2">
        <w:rPr>
          <w:i/>
          <w:kern w:val="0"/>
        </w:rPr>
        <w:t>(continued)</w:t>
      </w:r>
    </w:p>
    <w:p w:rsidR="00C07A50" w:rsidRPr="006A75A2" w:rsidRDefault="00C07A50" w:rsidP="00C07A50">
      <w:pPr>
        <w:pStyle w:val="Heading5"/>
      </w:pPr>
      <w:r w:rsidRPr="006A75A2">
        <w:t>(c)</w:t>
      </w:r>
      <w:r w:rsidRPr="006A75A2">
        <w:tab/>
        <w:t xml:space="preserve">Consolidated cash flow statement for the year ended 30 June </w:t>
      </w:r>
      <w:r w:rsidRPr="006A75A2">
        <w:rPr>
          <w:i/>
        </w:rPr>
        <w:t>(continued)</w:t>
      </w:r>
    </w:p>
    <w:p w:rsidR="00C07A50" w:rsidRPr="006A75A2" w:rsidRDefault="00C07A50" w:rsidP="00C07A50">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3278"/>
        <w:gridCol w:w="1206"/>
        <w:gridCol w:w="10"/>
        <w:gridCol w:w="934"/>
        <w:gridCol w:w="24"/>
        <w:gridCol w:w="910"/>
        <w:gridCol w:w="58"/>
        <w:gridCol w:w="968"/>
        <w:gridCol w:w="709"/>
        <w:gridCol w:w="851"/>
        <w:gridCol w:w="692"/>
      </w:tblGrid>
      <w:tr w:rsidR="00C07A50" w:rsidRPr="006A75A2" w:rsidTr="00C07A50">
        <w:trPr>
          <w:tblHeader/>
        </w:trPr>
        <w:tc>
          <w:tcPr>
            <w:tcW w:w="3278" w:type="dxa"/>
            <w:tcBorders>
              <w:top w:val="single" w:sz="6" w:space="0" w:color="000000"/>
              <w:left w:val="single" w:sz="6" w:space="0" w:color="000000"/>
              <w:bottom w:val="nil"/>
              <w:right w:val="nil"/>
            </w:tcBorders>
            <w:shd w:val="clear" w:color="000000" w:fill="000000"/>
          </w:tcPr>
          <w:p w:rsidR="00C07A50" w:rsidRPr="006A75A2" w:rsidRDefault="00C07A50" w:rsidP="00C07A50">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4110" w:type="dxa"/>
            <w:gridSpan w:val="7"/>
            <w:tcBorders>
              <w:top w:val="single" w:sz="6" w:space="0" w:color="000000"/>
              <w:left w:val="nil"/>
              <w:bottom w:val="nil"/>
              <w:right w:val="nil"/>
            </w:tcBorders>
            <w:shd w:val="clear" w:color="000000" w:fill="000000"/>
          </w:tcPr>
          <w:p w:rsidR="00C07A50" w:rsidRPr="006A75A2" w:rsidRDefault="00C07A50" w:rsidP="00C07A50">
            <w:pPr>
              <w:pStyle w:val="Tabletextheading"/>
              <w:jc w:val="center"/>
              <w:rPr>
                <w:rFonts w:eastAsiaTheme="minorEastAsia"/>
                <w:sz w:val="20"/>
                <w:szCs w:val="20"/>
                <w:lang w:eastAsia="en-AU"/>
              </w:rPr>
            </w:pPr>
            <w:r w:rsidRPr="006A75A2">
              <w:rPr>
                <w:rFonts w:eastAsiaTheme="minorEastAsia"/>
                <w:sz w:val="20"/>
                <w:szCs w:val="20"/>
                <w:lang w:eastAsia="en-AU"/>
              </w:rPr>
              <w:t>General government sector</w:t>
            </w:r>
          </w:p>
        </w:tc>
        <w:tc>
          <w:tcPr>
            <w:tcW w:w="709" w:type="dxa"/>
            <w:vMerge w:val="restart"/>
            <w:tcBorders>
              <w:top w:val="single" w:sz="6" w:space="0" w:color="000000"/>
              <w:left w:val="nil"/>
              <w:right w:val="nil"/>
            </w:tcBorders>
            <w:shd w:val="clear" w:color="000000" w:fill="000000"/>
          </w:tcPr>
          <w:p w:rsidR="00C07A50" w:rsidRPr="006A75A2" w:rsidRDefault="00C07A50" w:rsidP="00C07A50">
            <w:pPr>
              <w:pStyle w:val="Tabletextheading"/>
              <w:rPr>
                <w:rFonts w:eastAsiaTheme="minorEastAsia"/>
                <w:sz w:val="20"/>
                <w:szCs w:val="20"/>
                <w:lang w:eastAsia="en-AU"/>
              </w:rPr>
            </w:pPr>
            <w:r w:rsidRPr="006A75A2">
              <w:rPr>
                <w:rFonts w:eastAsiaTheme="minorEastAsia"/>
                <w:sz w:val="20"/>
                <w:szCs w:val="20"/>
                <w:lang w:eastAsia="en-AU"/>
              </w:rPr>
              <w:t xml:space="preserve"> </w:t>
            </w:r>
          </w:p>
          <w:p w:rsidR="00C07A50" w:rsidRPr="006A75A2" w:rsidRDefault="00C07A50" w:rsidP="00C07A50">
            <w:pPr>
              <w:pStyle w:val="Tabletextheading"/>
              <w:rPr>
                <w:rFonts w:eastAsiaTheme="minorEastAsia"/>
                <w:sz w:val="20"/>
                <w:szCs w:val="20"/>
                <w:lang w:eastAsia="en-AU"/>
              </w:rPr>
            </w:pPr>
          </w:p>
          <w:p w:rsidR="00C07A50" w:rsidRPr="006A75A2" w:rsidRDefault="00C07A50" w:rsidP="00C07A50">
            <w:pPr>
              <w:pStyle w:val="Tabletextheading"/>
              <w:rPr>
                <w:rFonts w:eastAsiaTheme="minorEastAsia"/>
                <w:sz w:val="20"/>
                <w:szCs w:val="20"/>
                <w:lang w:eastAsia="en-AU"/>
              </w:rPr>
            </w:pPr>
            <w:r w:rsidRPr="006A75A2">
              <w:rPr>
                <w:rFonts w:eastAsiaTheme="minorEastAsia"/>
                <w:sz w:val="20"/>
                <w:szCs w:val="20"/>
                <w:lang w:eastAsia="en-AU"/>
              </w:rPr>
              <w:t>%</w:t>
            </w:r>
          </w:p>
        </w:tc>
        <w:tc>
          <w:tcPr>
            <w:tcW w:w="851" w:type="dxa"/>
            <w:vMerge w:val="restart"/>
            <w:tcBorders>
              <w:top w:val="single" w:sz="6" w:space="0" w:color="000000"/>
              <w:left w:val="nil"/>
              <w:right w:val="nil"/>
            </w:tcBorders>
            <w:shd w:val="clear" w:color="000000" w:fill="000000"/>
          </w:tcPr>
          <w:p w:rsidR="00C07A50" w:rsidRPr="006A75A2" w:rsidRDefault="00C07A50" w:rsidP="00C07A50">
            <w:pPr>
              <w:pStyle w:val="Tabletextheading"/>
              <w:rPr>
                <w:rFonts w:eastAsiaTheme="minorEastAsia"/>
                <w:sz w:val="20"/>
                <w:szCs w:val="20"/>
                <w:lang w:eastAsia="en-AU"/>
              </w:rPr>
            </w:pPr>
            <w:r w:rsidRPr="006A75A2">
              <w:rPr>
                <w:rFonts w:eastAsiaTheme="minorEastAsia"/>
                <w:sz w:val="20"/>
                <w:szCs w:val="20"/>
                <w:lang w:eastAsia="en-AU"/>
              </w:rPr>
              <w:t>Revised budget variance</w:t>
            </w:r>
          </w:p>
        </w:tc>
        <w:tc>
          <w:tcPr>
            <w:tcW w:w="692" w:type="dxa"/>
            <w:vMerge w:val="restart"/>
            <w:tcBorders>
              <w:top w:val="single" w:sz="6" w:space="0" w:color="000000"/>
              <w:left w:val="nil"/>
              <w:right w:val="single" w:sz="6" w:space="0" w:color="000000"/>
            </w:tcBorders>
            <w:shd w:val="clear" w:color="000000" w:fill="000000"/>
          </w:tcPr>
          <w:p w:rsidR="00C07A50" w:rsidRPr="006A75A2" w:rsidRDefault="00C07A50" w:rsidP="00C07A50">
            <w:pPr>
              <w:pStyle w:val="Tabletextheading"/>
              <w:rPr>
                <w:rFonts w:eastAsiaTheme="minorEastAsia"/>
                <w:sz w:val="20"/>
                <w:szCs w:val="20"/>
                <w:lang w:eastAsia="en-AU"/>
              </w:rPr>
            </w:pPr>
            <w:r w:rsidRPr="006A75A2">
              <w:rPr>
                <w:rFonts w:eastAsiaTheme="minorEastAsia"/>
                <w:sz w:val="20"/>
                <w:szCs w:val="20"/>
                <w:lang w:eastAsia="en-AU"/>
              </w:rPr>
              <w:t xml:space="preserve"> </w:t>
            </w:r>
          </w:p>
          <w:p w:rsidR="00C07A50" w:rsidRPr="006A75A2" w:rsidRDefault="00C07A50" w:rsidP="00C07A50">
            <w:pPr>
              <w:pStyle w:val="Tabletextheading"/>
              <w:rPr>
                <w:rFonts w:eastAsiaTheme="minorEastAsia"/>
                <w:sz w:val="20"/>
                <w:szCs w:val="20"/>
                <w:lang w:eastAsia="en-AU"/>
              </w:rPr>
            </w:pPr>
          </w:p>
          <w:p w:rsidR="00C07A50" w:rsidRPr="006A75A2" w:rsidRDefault="00C07A50" w:rsidP="00C07A50">
            <w:pPr>
              <w:pStyle w:val="Tabletextheading"/>
              <w:rPr>
                <w:rFonts w:eastAsiaTheme="minorEastAsia"/>
                <w:sz w:val="20"/>
                <w:szCs w:val="20"/>
                <w:lang w:eastAsia="en-AU"/>
              </w:rPr>
            </w:pPr>
            <w:r w:rsidRPr="006A75A2">
              <w:rPr>
                <w:rFonts w:eastAsiaTheme="minorEastAsia"/>
                <w:sz w:val="20"/>
                <w:szCs w:val="20"/>
                <w:lang w:eastAsia="en-AU"/>
              </w:rPr>
              <w:t>%</w:t>
            </w:r>
          </w:p>
        </w:tc>
      </w:tr>
      <w:tr w:rsidR="00C07A50" w:rsidRPr="006A75A2" w:rsidTr="00C07A50">
        <w:trPr>
          <w:tblHeader/>
        </w:trPr>
        <w:tc>
          <w:tcPr>
            <w:tcW w:w="3278" w:type="dxa"/>
            <w:tcBorders>
              <w:top w:val="nil"/>
              <w:left w:val="single" w:sz="6" w:space="0" w:color="000000"/>
              <w:bottom w:val="single" w:sz="6" w:space="0" w:color="000000"/>
              <w:right w:val="nil"/>
            </w:tcBorders>
            <w:shd w:val="clear" w:color="000000" w:fill="000000"/>
          </w:tcPr>
          <w:p w:rsidR="00C07A50" w:rsidRPr="006A75A2" w:rsidRDefault="00C07A50" w:rsidP="00C07A50">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216" w:type="dxa"/>
            <w:gridSpan w:val="2"/>
            <w:tcBorders>
              <w:top w:val="nil"/>
              <w:left w:val="nil"/>
              <w:bottom w:val="single" w:sz="6" w:space="0" w:color="000000"/>
              <w:right w:val="nil"/>
            </w:tcBorders>
            <w:shd w:val="clear" w:color="000000" w:fill="000000"/>
          </w:tcPr>
          <w:p w:rsidR="00C07A50" w:rsidRPr="006A75A2" w:rsidRDefault="00C07A50" w:rsidP="00C07A50">
            <w:pPr>
              <w:pStyle w:val="Tabletextheading"/>
              <w:rPr>
                <w:rFonts w:eastAsiaTheme="minorEastAsia"/>
                <w:sz w:val="20"/>
                <w:szCs w:val="20"/>
                <w:lang w:eastAsia="en-AU"/>
              </w:rPr>
            </w:pPr>
            <w:r w:rsidRPr="006A75A2">
              <w:rPr>
                <w:rFonts w:eastAsiaTheme="minorEastAsia"/>
                <w:sz w:val="20"/>
                <w:szCs w:val="20"/>
                <w:lang w:eastAsia="en-AU"/>
              </w:rPr>
              <w:t>Original budget</w:t>
            </w:r>
          </w:p>
        </w:tc>
        <w:tc>
          <w:tcPr>
            <w:tcW w:w="934" w:type="dxa"/>
            <w:tcBorders>
              <w:top w:val="nil"/>
              <w:left w:val="nil"/>
              <w:bottom w:val="single" w:sz="6" w:space="0" w:color="000000"/>
              <w:right w:val="nil"/>
            </w:tcBorders>
            <w:shd w:val="clear" w:color="000000" w:fill="000000"/>
          </w:tcPr>
          <w:p w:rsidR="00C07A50" w:rsidRPr="006A75A2" w:rsidRDefault="00C07A50" w:rsidP="00C07A50">
            <w:pPr>
              <w:pStyle w:val="Tabletextheading"/>
              <w:rPr>
                <w:rFonts w:eastAsiaTheme="minorEastAsia"/>
                <w:sz w:val="20"/>
                <w:szCs w:val="20"/>
                <w:lang w:eastAsia="en-AU"/>
              </w:rPr>
            </w:pPr>
            <w:r w:rsidRPr="006A75A2">
              <w:rPr>
                <w:rFonts w:eastAsiaTheme="minorEastAsia"/>
                <w:sz w:val="20"/>
                <w:szCs w:val="20"/>
                <w:lang w:eastAsia="en-AU"/>
              </w:rPr>
              <w:t>Revised budget</w:t>
            </w:r>
          </w:p>
        </w:tc>
        <w:tc>
          <w:tcPr>
            <w:tcW w:w="934" w:type="dxa"/>
            <w:gridSpan w:val="2"/>
            <w:tcBorders>
              <w:top w:val="nil"/>
              <w:left w:val="nil"/>
              <w:bottom w:val="single" w:sz="6" w:space="0" w:color="000000"/>
              <w:right w:val="nil"/>
            </w:tcBorders>
            <w:shd w:val="clear" w:color="000000" w:fill="000000"/>
          </w:tcPr>
          <w:p w:rsidR="00C07A50" w:rsidRPr="006A75A2" w:rsidRDefault="00C07A50" w:rsidP="00C07A50">
            <w:pPr>
              <w:pStyle w:val="Tabletextheading"/>
              <w:rPr>
                <w:rFonts w:eastAsiaTheme="minorEastAsia"/>
                <w:sz w:val="20"/>
                <w:szCs w:val="20"/>
                <w:lang w:eastAsia="en-AU"/>
              </w:rPr>
            </w:pPr>
            <w:r w:rsidRPr="006A75A2">
              <w:rPr>
                <w:rFonts w:eastAsiaTheme="minorEastAsia"/>
                <w:sz w:val="20"/>
                <w:szCs w:val="20"/>
                <w:lang w:eastAsia="en-AU"/>
              </w:rPr>
              <w:t>2014  Actual</w:t>
            </w:r>
          </w:p>
        </w:tc>
        <w:tc>
          <w:tcPr>
            <w:tcW w:w="1026" w:type="dxa"/>
            <w:gridSpan w:val="2"/>
            <w:tcBorders>
              <w:top w:val="nil"/>
              <w:left w:val="nil"/>
              <w:bottom w:val="single" w:sz="6" w:space="0" w:color="000000"/>
              <w:right w:val="nil"/>
            </w:tcBorders>
            <w:shd w:val="clear" w:color="000000" w:fill="000000"/>
          </w:tcPr>
          <w:p w:rsidR="00C07A50" w:rsidRPr="006A75A2" w:rsidRDefault="00C07A50" w:rsidP="00C07A50">
            <w:pPr>
              <w:pStyle w:val="Tabletextheading"/>
              <w:rPr>
                <w:rFonts w:eastAsiaTheme="minorEastAsia"/>
                <w:sz w:val="20"/>
                <w:szCs w:val="20"/>
                <w:lang w:eastAsia="en-AU"/>
              </w:rPr>
            </w:pPr>
            <w:r w:rsidRPr="006A75A2">
              <w:rPr>
                <w:rFonts w:eastAsiaTheme="minorEastAsia"/>
                <w:sz w:val="20"/>
                <w:szCs w:val="20"/>
                <w:lang w:eastAsia="en-AU"/>
              </w:rPr>
              <w:t>Budget variance</w:t>
            </w:r>
          </w:p>
        </w:tc>
        <w:tc>
          <w:tcPr>
            <w:tcW w:w="709" w:type="dxa"/>
            <w:vMerge/>
            <w:tcBorders>
              <w:left w:val="nil"/>
              <w:bottom w:val="single" w:sz="6" w:space="0" w:color="000000"/>
              <w:right w:val="nil"/>
            </w:tcBorders>
            <w:shd w:val="clear" w:color="000000" w:fill="000000"/>
          </w:tcPr>
          <w:p w:rsidR="00C07A50" w:rsidRPr="006A75A2" w:rsidRDefault="00C07A50" w:rsidP="00C07A50">
            <w:pPr>
              <w:pStyle w:val="Tabletextheading"/>
              <w:rPr>
                <w:rFonts w:eastAsiaTheme="minorEastAsia"/>
                <w:sz w:val="20"/>
                <w:szCs w:val="20"/>
                <w:lang w:eastAsia="en-AU"/>
              </w:rPr>
            </w:pPr>
          </w:p>
        </w:tc>
        <w:tc>
          <w:tcPr>
            <w:tcW w:w="851" w:type="dxa"/>
            <w:vMerge/>
            <w:tcBorders>
              <w:left w:val="nil"/>
              <w:bottom w:val="single" w:sz="6" w:space="0" w:color="000000"/>
              <w:right w:val="nil"/>
            </w:tcBorders>
            <w:shd w:val="clear" w:color="000000" w:fill="000000"/>
          </w:tcPr>
          <w:p w:rsidR="00C07A50" w:rsidRPr="006A75A2" w:rsidRDefault="00C07A50" w:rsidP="00C07A50">
            <w:pPr>
              <w:pStyle w:val="Tabletextheading"/>
              <w:rPr>
                <w:rFonts w:eastAsiaTheme="minorEastAsia"/>
                <w:sz w:val="20"/>
                <w:szCs w:val="20"/>
                <w:lang w:eastAsia="en-AU"/>
              </w:rPr>
            </w:pPr>
          </w:p>
        </w:tc>
        <w:tc>
          <w:tcPr>
            <w:tcW w:w="692" w:type="dxa"/>
            <w:vMerge/>
            <w:tcBorders>
              <w:left w:val="nil"/>
              <w:bottom w:val="single" w:sz="6" w:space="0" w:color="000000"/>
              <w:right w:val="single" w:sz="6" w:space="0" w:color="000000"/>
            </w:tcBorders>
            <w:shd w:val="clear" w:color="000000" w:fill="000000"/>
          </w:tcPr>
          <w:p w:rsidR="00C07A50" w:rsidRPr="006A75A2" w:rsidRDefault="00C07A50" w:rsidP="00C07A50">
            <w:pPr>
              <w:pStyle w:val="Tabletextheading"/>
              <w:rPr>
                <w:rFonts w:eastAsiaTheme="minorEastAsia"/>
                <w:sz w:val="20"/>
                <w:szCs w:val="20"/>
                <w:lang w:eastAsia="en-AU"/>
              </w:rPr>
            </w:pPr>
          </w:p>
        </w:tc>
      </w:tr>
      <w:tr w:rsidR="00AD1FBF" w:rsidRPr="006A75A2" w:rsidTr="00AD1FBF">
        <w:tc>
          <w:tcPr>
            <w:tcW w:w="3278" w:type="dxa"/>
            <w:tcBorders>
              <w:top w:val="single" w:sz="6" w:space="0" w:color="auto"/>
              <w:left w:val="nil"/>
              <w:bottom w:val="nil"/>
              <w:right w:val="nil"/>
            </w:tcBorders>
          </w:tcPr>
          <w:p w:rsidR="00AD1FBF" w:rsidRPr="006A75A2" w:rsidRDefault="00AD1FBF" w:rsidP="00C07A50">
            <w:pPr>
              <w:pStyle w:val="Tabletext"/>
              <w:ind w:left="181" w:hanging="181"/>
              <w:rPr>
                <w:rFonts w:eastAsiaTheme="minorEastAsia"/>
                <w:b/>
                <w:bCs/>
                <w:sz w:val="20"/>
                <w:szCs w:val="20"/>
                <w:lang w:eastAsia="en-AU"/>
              </w:rPr>
            </w:pPr>
            <w:r w:rsidRPr="006A75A2">
              <w:rPr>
                <w:rFonts w:eastAsiaTheme="minorEastAsia"/>
                <w:b/>
                <w:bCs/>
                <w:sz w:val="20"/>
                <w:szCs w:val="20"/>
                <w:lang w:eastAsia="en-AU"/>
              </w:rPr>
              <w:t>Net cash flows from operating activities</w:t>
            </w:r>
          </w:p>
        </w:tc>
        <w:tc>
          <w:tcPr>
            <w:tcW w:w="1206"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2 731.6</w:t>
            </w:r>
          </w:p>
        </w:tc>
        <w:tc>
          <w:tcPr>
            <w:tcW w:w="968" w:type="dxa"/>
            <w:gridSpan w:val="3"/>
            <w:tcBorders>
              <w:top w:val="single" w:sz="4" w:space="0" w:color="auto"/>
              <w:left w:val="nil"/>
              <w:bottom w:val="nil"/>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3 282.7</w:t>
            </w:r>
          </w:p>
        </w:tc>
        <w:tc>
          <w:tcPr>
            <w:tcW w:w="968" w:type="dxa"/>
            <w:gridSpan w:val="2"/>
            <w:tcBorders>
              <w:top w:val="single" w:sz="4" w:space="0" w:color="auto"/>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3 942.5</w:t>
            </w:r>
          </w:p>
        </w:tc>
        <w:tc>
          <w:tcPr>
            <w:tcW w:w="968"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1 210.9</w:t>
            </w:r>
          </w:p>
        </w:tc>
        <w:tc>
          <w:tcPr>
            <w:tcW w:w="709"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44.3</w:t>
            </w:r>
          </w:p>
        </w:tc>
        <w:tc>
          <w:tcPr>
            <w:tcW w:w="851"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659.8</w:t>
            </w:r>
          </w:p>
        </w:tc>
        <w:tc>
          <w:tcPr>
            <w:tcW w:w="692"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20.1</w:t>
            </w:r>
          </w:p>
        </w:tc>
      </w:tr>
      <w:tr w:rsidR="00AD1FBF" w:rsidRPr="006A75A2" w:rsidTr="00AD1FBF">
        <w:tc>
          <w:tcPr>
            <w:tcW w:w="9640" w:type="dxa"/>
            <w:gridSpan w:val="11"/>
            <w:tcBorders>
              <w:top w:val="nil"/>
              <w:left w:val="nil"/>
              <w:bottom w:val="nil"/>
              <w:right w:val="nil"/>
            </w:tcBorders>
          </w:tcPr>
          <w:p w:rsidR="00AD1FBF" w:rsidRPr="006A75A2" w:rsidRDefault="00AD1FBF" w:rsidP="00AD1FBF">
            <w:pPr>
              <w:pStyle w:val="Tabletext"/>
              <w:rPr>
                <w:rFonts w:eastAsiaTheme="minorEastAsia"/>
                <w:b/>
                <w:sz w:val="20"/>
                <w:szCs w:val="20"/>
                <w:lang w:eastAsia="en-AU"/>
              </w:rPr>
            </w:pPr>
            <w:r w:rsidRPr="006A75A2">
              <w:rPr>
                <w:rFonts w:eastAsiaTheme="minorEastAsia"/>
                <w:b/>
                <w:bCs/>
                <w:sz w:val="20"/>
                <w:szCs w:val="20"/>
                <w:lang w:eastAsia="en-AU"/>
              </w:rPr>
              <w:t>Cash flows from investing activities</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Purchases of non-financial assets</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(4 868.9)</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(3 964.0)</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(3 997.3)</w:t>
            </w:r>
          </w:p>
        </w:tc>
        <w:tc>
          <w:tcPr>
            <w:tcW w:w="968"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871.6</w:t>
            </w:r>
          </w:p>
        </w:tc>
        <w:tc>
          <w:tcPr>
            <w:tcW w:w="709"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(17.9)</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(33.3)</w:t>
            </w:r>
          </w:p>
        </w:tc>
        <w:tc>
          <w:tcPr>
            <w:tcW w:w="692"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0.8</w:t>
            </w:r>
          </w:p>
        </w:tc>
      </w:tr>
      <w:tr w:rsidR="00AD1FBF" w:rsidRPr="006A75A2" w:rsidTr="00AD1FBF">
        <w:tc>
          <w:tcPr>
            <w:tcW w:w="3278" w:type="dxa"/>
            <w:tcBorders>
              <w:top w:val="nil"/>
              <w:left w:val="nil"/>
              <w:bottom w:val="single" w:sz="6" w:space="0" w:color="auto"/>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Sales of non-financial assets</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420.2</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304.2</w:t>
            </w:r>
          </w:p>
        </w:tc>
        <w:tc>
          <w:tcPr>
            <w:tcW w:w="968" w:type="dxa"/>
            <w:gridSpan w:val="2"/>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270.9</w:t>
            </w:r>
          </w:p>
        </w:tc>
        <w:tc>
          <w:tcPr>
            <w:tcW w:w="968" w:type="dxa"/>
            <w:tcBorders>
              <w:top w:val="nil"/>
              <w:left w:val="nil"/>
              <w:bottom w:val="single" w:sz="6" w:space="0" w:color="auto"/>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(149.3)</w:t>
            </w:r>
          </w:p>
        </w:tc>
        <w:tc>
          <w:tcPr>
            <w:tcW w:w="709" w:type="dxa"/>
            <w:tcBorders>
              <w:top w:val="nil"/>
              <w:left w:val="nil"/>
              <w:bottom w:val="single" w:sz="6" w:space="0" w:color="auto"/>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(35.5)</w:t>
            </w:r>
          </w:p>
        </w:tc>
        <w:tc>
          <w:tcPr>
            <w:tcW w:w="851" w:type="dxa"/>
            <w:tcBorders>
              <w:top w:val="nil"/>
              <w:left w:val="nil"/>
              <w:bottom w:val="single" w:sz="6" w:space="0" w:color="auto"/>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(33.2)</w:t>
            </w:r>
          </w:p>
        </w:tc>
        <w:tc>
          <w:tcPr>
            <w:tcW w:w="692" w:type="dxa"/>
            <w:tcBorders>
              <w:top w:val="nil"/>
              <w:left w:val="nil"/>
              <w:bottom w:val="single" w:sz="6" w:space="0" w:color="auto"/>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(10.9)</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Net Cash flows from investments in non-financial assets</w:t>
            </w:r>
          </w:p>
        </w:tc>
        <w:tc>
          <w:tcPr>
            <w:tcW w:w="1206" w:type="dxa"/>
            <w:tcBorders>
              <w:top w:val="single" w:sz="6" w:space="0" w:color="auto"/>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(4 448.7)</w:t>
            </w:r>
          </w:p>
        </w:tc>
        <w:tc>
          <w:tcPr>
            <w:tcW w:w="968" w:type="dxa"/>
            <w:gridSpan w:val="3"/>
            <w:tcBorders>
              <w:top w:val="single" w:sz="6" w:space="0" w:color="auto"/>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(3 659.9)</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(3 726.4)</w:t>
            </w:r>
          </w:p>
        </w:tc>
        <w:tc>
          <w:tcPr>
            <w:tcW w:w="968"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722.4</w:t>
            </w:r>
          </w:p>
        </w:tc>
        <w:tc>
          <w:tcPr>
            <w:tcW w:w="709"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(16.2)</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(66.5)</w:t>
            </w:r>
          </w:p>
        </w:tc>
        <w:tc>
          <w:tcPr>
            <w:tcW w:w="692"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1.8</w:t>
            </w:r>
          </w:p>
        </w:tc>
      </w:tr>
      <w:tr w:rsidR="00AD1FBF" w:rsidRPr="006A75A2" w:rsidTr="00AD1FBF">
        <w:tc>
          <w:tcPr>
            <w:tcW w:w="3278" w:type="dxa"/>
            <w:tcBorders>
              <w:top w:val="nil"/>
              <w:left w:val="nil"/>
              <w:bottom w:val="single" w:sz="6" w:space="0" w:color="auto"/>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Net cash flows from investments in financial assets for policy purposes</w:t>
            </w:r>
          </w:p>
        </w:tc>
        <w:tc>
          <w:tcPr>
            <w:tcW w:w="1206"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(1 377.3)</w:t>
            </w:r>
          </w:p>
        </w:tc>
        <w:tc>
          <w:tcPr>
            <w:tcW w:w="968" w:type="dxa"/>
            <w:gridSpan w:val="3"/>
            <w:tcBorders>
              <w:top w:val="nil"/>
              <w:left w:val="nil"/>
              <w:bottom w:val="single" w:sz="6" w:space="0" w:color="auto"/>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(1 188.8)</w:t>
            </w:r>
          </w:p>
        </w:tc>
        <w:tc>
          <w:tcPr>
            <w:tcW w:w="968" w:type="dxa"/>
            <w:gridSpan w:val="2"/>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(1 478.3)</w:t>
            </w:r>
          </w:p>
        </w:tc>
        <w:tc>
          <w:tcPr>
            <w:tcW w:w="968" w:type="dxa"/>
            <w:tcBorders>
              <w:top w:val="nil"/>
              <w:left w:val="nil"/>
              <w:bottom w:val="single" w:sz="6" w:space="0" w:color="auto"/>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(101.0)</w:t>
            </w:r>
          </w:p>
        </w:tc>
        <w:tc>
          <w:tcPr>
            <w:tcW w:w="709"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7.3</w:t>
            </w:r>
          </w:p>
        </w:tc>
        <w:tc>
          <w:tcPr>
            <w:tcW w:w="851" w:type="dxa"/>
            <w:tcBorders>
              <w:top w:val="nil"/>
              <w:left w:val="nil"/>
              <w:bottom w:val="single" w:sz="6" w:space="0" w:color="auto"/>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(289.5)</w:t>
            </w:r>
          </w:p>
        </w:tc>
        <w:tc>
          <w:tcPr>
            <w:tcW w:w="692"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24.4</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b/>
                <w:bCs/>
                <w:sz w:val="20"/>
                <w:szCs w:val="20"/>
                <w:lang w:eastAsia="en-AU"/>
              </w:rPr>
            </w:pPr>
            <w:r w:rsidRPr="006A75A2">
              <w:rPr>
                <w:rFonts w:eastAsiaTheme="minorEastAsia"/>
                <w:b/>
                <w:bCs/>
                <w:sz w:val="20"/>
                <w:szCs w:val="20"/>
                <w:lang w:eastAsia="en-AU"/>
              </w:rPr>
              <w:t>Sub-total</w:t>
            </w:r>
          </w:p>
        </w:tc>
        <w:tc>
          <w:tcPr>
            <w:tcW w:w="1206"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(5 826.0)</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(4 848.6)</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(5 204.7)</w:t>
            </w:r>
          </w:p>
        </w:tc>
        <w:tc>
          <w:tcPr>
            <w:tcW w:w="968"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621.4</w:t>
            </w:r>
          </w:p>
        </w:tc>
        <w:tc>
          <w:tcPr>
            <w:tcW w:w="709" w:type="dxa"/>
            <w:tcBorders>
              <w:top w:val="single" w:sz="6" w:space="0" w:color="auto"/>
              <w:left w:val="nil"/>
              <w:bottom w:val="nil"/>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(10.7)</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(356.0)</w:t>
            </w:r>
          </w:p>
        </w:tc>
        <w:tc>
          <w:tcPr>
            <w:tcW w:w="692" w:type="dxa"/>
            <w:tcBorders>
              <w:top w:val="single" w:sz="6" w:space="0" w:color="auto"/>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7.3</w:t>
            </w:r>
          </w:p>
        </w:tc>
      </w:tr>
      <w:tr w:rsidR="00AD1FBF" w:rsidRPr="006A75A2" w:rsidTr="00AD1FBF">
        <w:tc>
          <w:tcPr>
            <w:tcW w:w="3278" w:type="dxa"/>
            <w:tcBorders>
              <w:top w:val="nil"/>
              <w:left w:val="nil"/>
              <w:bottom w:val="single" w:sz="6" w:space="0" w:color="auto"/>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Net cash flows from investments in financial assets for liquidity management purposes</w:t>
            </w:r>
          </w:p>
        </w:tc>
        <w:tc>
          <w:tcPr>
            <w:tcW w:w="1206"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(83.1)</w:t>
            </w:r>
          </w:p>
        </w:tc>
        <w:tc>
          <w:tcPr>
            <w:tcW w:w="968" w:type="dxa"/>
            <w:gridSpan w:val="3"/>
            <w:tcBorders>
              <w:top w:val="nil"/>
              <w:left w:val="nil"/>
              <w:bottom w:val="single" w:sz="6" w:space="0" w:color="auto"/>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56.6</w:t>
            </w:r>
          </w:p>
        </w:tc>
        <w:tc>
          <w:tcPr>
            <w:tcW w:w="968" w:type="dxa"/>
            <w:gridSpan w:val="2"/>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331.8</w:t>
            </w:r>
          </w:p>
        </w:tc>
        <w:tc>
          <w:tcPr>
            <w:tcW w:w="968"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414.9</w:t>
            </w:r>
          </w:p>
        </w:tc>
        <w:tc>
          <w:tcPr>
            <w:tcW w:w="709"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n.a.</w:t>
            </w:r>
          </w:p>
        </w:tc>
        <w:tc>
          <w:tcPr>
            <w:tcW w:w="851"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 xml:space="preserve"> 275.2</w:t>
            </w:r>
          </w:p>
        </w:tc>
        <w:tc>
          <w:tcPr>
            <w:tcW w:w="692"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n.a.</w:t>
            </w:r>
          </w:p>
        </w:tc>
      </w:tr>
      <w:tr w:rsidR="00AD1FBF" w:rsidRPr="006A75A2" w:rsidTr="00AD1FBF">
        <w:tc>
          <w:tcPr>
            <w:tcW w:w="3278" w:type="dxa"/>
            <w:tcBorders>
              <w:top w:val="single" w:sz="6" w:space="0" w:color="auto"/>
              <w:left w:val="nil"/>
              <w:bottom w:val="nil"/>
              <w:right w:val="nil"/>
            </w:tcBorders>
          </w:tcPr>
          <w:p w:rsidR="00AD1FBF" w:rsidRPr="006A75A2" w:rsidRDefault="00AD1FBF" w:rsidP="004B5CB1">
            <w:pPr>
              <w:pStyle w:val="Tabletext"/>
              <w:rPr>
                <w:rFonts w:eastAsiaTheme="minorEastAsia"/>
                <w:b/>
                <w:bCs/>
                <w:sz w:val="20"/>
                <w:szCs w:val="20"/>
                <w:lang w:eastAsia="en-AU"/>
              </w:rPr>
            </w:pPr>
            <w:r w:rsidRPr="006A75A2">
              <w:rPr>
                <w:rFonts w:eastAsiaTheme="minorEastAsia"/>
                <w:b/>
                <w:bCs/>
                <w:sz w:val="20"/>
                <w:szCs w:val="20"/>
                <w:lang w:eastAsia="en-AU"/>
              </w:rPr>
              <w:t>Net cash flows from investing activities</w:t>
            </w:r>
          </w:p>
        </w:tc>
        <w:tc>
          <w:tcPr>
            <w:tcW w:w="1206" w:type="dxa"/>
            <w:tcBorders>
              <w:top w:val="single" w:sz="6" w:space="0" w:color="auto"/>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(5 909.1)</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(4 792.0)</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(4 872.8)</w:t>
            </w:r>
          </w:p>
        </w:tc>
        <w:tc>
          <w:tcPr>
            <w:tcW w:w="968"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1 036.3</w:t>
            </w:r>
          </w:p>
        </w:tc>
        <w:tc>
          <w:tcPr>
            <w:tcW w:w="709" w:type="dxa"/>
            <w:tcBorders>
              <w:top w:val="nil"/>
              <w:left w:val="nil"/>
              <w:bottom w:val="nil"/>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(17.5)</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(80.8)</w:t>
            </w:r>
          </w:p>
        </w:tc>
        <w:tc>
          <w:tcPr>
            <w:tcW w:w="692"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1.7</w:t>
            </w:r>
          </w:p>
        </w:tc>
      </w:tr>
      <w:tr w:rsidR="00AD1FBF" w:rsidRPr="006A75A2" w:rsidTr="00AD1FBF">
        <w:tc>
          <w:tcPr>
            <w:tcW w:w="9640" w:type="dxa"/>
            <w:gridSpan w:val="11"/>
            <w:tcBorders>
              <w:top w:val="nil"/>
              <w:left w:val="nil"/>
              <w:bottom w:val="nil"/>
              <w:right w:val="nil"/>
            </w:tcBorders>
          </w:tcPr>
          <w:p w:rsidR="00AD1FBF" w:rsidRPr="006A75A2" w:rsidRDefault="00AD1FBF" w:rsidP="00AD1FBF">
            <w:pPr>
              <w:pStyle w:val="Tabletext"/>
              <w:rPr>
                <w:rFonts w:eastAsiaTheme="minorEastAsia"/>
                <w:b/>
                <w:sz w:val="20"/>
                <w:szCs w:val="20"/>
                <w:lang w:eastAsia="en-AU"/>
              </w:rPr>
            </w:pPr>
            <w:r w:rsidRPr="006A75A2">
              <w:rPr>
                <w:rFonts w:eastAsiaTheme="minorEastAsia"/>
                <w:b/>
                <w:bCs/>
                <w:sz w:val="20"/>
                <w:szCs w:val="20"/>
                <w:lang w:eastAsia="en-AU"/>
              </w:rPr>
              <w:t>Cash flows from financing activities</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Net borrowings</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3 359.0</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1 668.2</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1 491.8</w:t>
            </w:r>
          </w:p>
        </w:tc>
        <w:tc>
          <w:tcPr>
            <w:tcW w:w="968"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(1 867.1)</w:t>
            </w:r>
          </w:p>
        </w:tc>
        <w:tc>
          <w:tcPr>
            <w:tcW w:w="709"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(55.6)</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(176.4)</w:t>
            </w:r>
          </w:p>
        </w:tc>
        <w:tc>
          <w:tcPr>
            <w:tcW w:w="692"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(10.6)</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Deposits received (net)</w:t>
            </w:r>
          </w:p>
        </w:tc>
        <w:tc>
          <w:tcPr>
            <w:tcW w:w="1206"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6.8</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(20.0)</w:t>
            </w:r>
          </w:p>
        </w:tc>
        <w:tc>
          <w:tcPr>
            <w:tcW w:w="968" w:type="dxa"/>
            <w:gridSpan w:val="2"/>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(22.7)</w:t>
            </w:r>
          </w:p>
        </w:tc>
        <w:tc>
          <w:tcPr>
            <w:tcW w:w="968"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(29.4)</w:t>
            </w:r>
          </w:p>
        </w:tc>
        <w:tc>
          <w:tcPr>
            <w:tcW w:w="709"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n.a.</w:t>
            </w:r>
          </w:p>
        </w:tc>
        <w:tc>
          <w:tcPr>
            <w:tcW w:w="851" w:type="dxa"/>
            <w:tcBorders>
              <w:top w:val="nil"/>
              <w:left w:val="nil"/>
              <w:bottom w:val="nil"/>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(2.6)</w:t>
            </w:r>
          </w:p>
        </w:tc>
        <w:tc>
          <w:tcPr>
            <w:tcW w:w="692" w:type="dxa"/>
            <w:tcBorders>
              <w:top w:val="nil"/>
              <w:left w:val="nil"/>
              <w:bottom w:val="nil"/>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n.a.</w:t>
            </w:r>
          </w:p>
        </w:tc>
      </w:tr>
      <w:tr w:rsidR="00AD1FBF" w:rsidRPr="006A75A2" w:rsidTr="00AD1FBF">
        <w:tc>
          <w:tcPr>
            <w:tcW w:w="3278" w:type="dxa"/>
            <w:tcBorders>
              <w:top w:val="single" w:sz="6" w:space="0" w:color="auto"/>
              <w:left w:val="nil"/>
              <w:bottom w:val="single" w:sz="6" w:space="0" w:color="auto"/>
              <w:right w:val="nil"/>
            </w:tcBorders>
          </w:tcPr>
          <w:p w:rsidR="00AD1FBF" w:rsidRPr="006A75A2" w:rsidRDefault="00AD1FBF" w:rsidP="004B5CB1">
            <w:pPr>
              <w:pStyle w:val="Tabletext"/>
              <w:rPr>
                <w:rFonts w:eastAsiaTheme="minorEastAsia"/>
                <w:b/>
                <w:bCs/>
                <w:sz w:val="20"/>
                <w:szCs w:val="20"/>
                <w:lang w:eastAsia="en-AU"/>
              </w:rPr>
            </w:pPr>
            <w:r w:rsidRPr="006A75A2">
              <w:rPr>
                <w:rFonts w:eastAsiaTheme="minorEastAsia"/>
                <w:b/>
                <w:bCs/>
                <w:sz w:val="20"/>
                <w:szCs w:val="20"/>
                <w:lang w:eastAsia="en-AU"/>
              </w:rPr>
              <w:t>Net cash flows from financing activities</w:t>
            </w:r>
          </w:p>
        </w:tc>
        <w:tc>
          <w:tcPr>
            <w:tcW w:w="1206"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3 365.7</w:t>
            </w:r>
          </w:p>
        </w:tc>
        <w:tc>
          <w:tcPr>
            <w:tcW w:w="968" w:type="dxa"/>
            <w:gridSpan w:val="3"/>
            <w:tcBorders>
              <w:top w:val="single" w:sz="6" w:space="0" w:color="auto"/>
              <w:left w:val="nil"/>
              <w:bottom w:val="single" w:sz="6" w:space="0" w:color="auto"/>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1 648.2</w:t>
            </w:r>
          </w:p>
        </w:tc>
        <w:tc>
          <w:tcPr>
            <w:tcW w:w="968" w:type="dxa"/>
            <w:gridSpan w:val="2"/>
            <w:tcBorders>
              <w:top w:val="single" w:sz="6" w:space="0" w:color="auto"/>
              <w:left w:val="nil"/>
              <w:bottom w:val="single" w:sz="6" w:space="0" w:color="auto"/>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1 469.2</w:t>
            </w:r>
          </w:p>
        </w:tc>
        <w:tc>
          <w:tcPr>
            <w:tcW w:w="968"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(1 896.6)</w:t>
            </w:r>
          </w:p>
        </w:tc>
        <w:tc>
          <w:tcPr>
            <w:tcW w:w="709"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(56.3)</w:t>
            </w:r>
          </w:p>
        </w:tc>
        <w:tc>
          <w:tcPr>
            <w:tcW w:w="851"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(179.0)</w:t>
            </w:r>
          </w:p>
        </w:tc>
        <w:tc>
          <w:tcPr>
            <w:tcW w:w="692" w:type="dxa"/>
            <w:tcBorders>
              <w:top w:val="single" w:sz="6" w:space="0" w:color="auto"/>
              <w:left w:val="nil"/>
              <w:bottom w:val="single" w:sz="6" w:space="0" w:color="auto"/>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(10.9)</w:t>
            </w:r>
          </w:p>
        </w:tc>
      </w:tr>
      <w:tr w:rsidR="00AD1FBF" w:rsidRPr="006A75A2" w:rsidTr="00AD1FBF">
        <w:tc>
          <w:tcPr>
            <w:tcW w:w="3278" w:type="dxa"/>
            <w:tcBorders>
              <w:top w:val="nil"/>
              <w:left w:val="nil"/>
              <w:bottom w:val="nil"/>
              <w:right w:val="nil"/>
            </w:tcBorders>
          </w:tcPr>
          <w:p w:rsidR="00AD1FBF" w:rsidRPr="006A75A2" w:rsidRDefault="00AD1FBF" w:rsidP="004B5CB1">
            <w:pPr>
              <w:pStyle w:val="Tabletext"/>
              <w:rPr>
                <w:rFonts w:eastAsiaTheme="minorEastAsia"/>
                <w:b/>
                <w:bCs/>
                <w:sz w:val="20"/>
                <w:szCs w:val="20"/>
                <w:lang w:eastAsia="en-AU"/>
              </w:rPr>
            </w:pPr>
            <w:r w:rsidRPr="006A75A2">
              <w:rPr>
                <w:rFonts w:eastAsiaTheme="minorEastAsia"/>
                <w:b/>
                <w:bCs/>
                <w:sz w:val="20"/>
                <w:szCs w:val="20"/>
                <w:lang w:eastAsia="en-AU"/>
              </w:rPr>
              <w:t>Net increase/(decrease) in cash and cash equivalents</w:t>
            </w:r>
          </w:p>
        </w:tc>
        <w:tc>
          <w:tcPr>
            <w:tcW w:w="1206"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188.2</w:t>
            </w:r>
          </w:p>
        </w:tc>
        <w:tc>
          <w:tcPr>
            <w:tcW w:w="968" w:type="dxa"/>
            <w:gridSpan w:val="3"/>
            <w:tcBorders>
              <w:top w:val="nil"/>
              <w:left w:val="nil"/>
              <w:bottom w:val="nil"/>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138.8</w:t>
            </w:r>
          </w:p>
        </w:tc>
        <w:tc>
          <w:tcPr>
            <w:tcW w:w="968" w:type="dxa"/>
            <w:gridSpan w:val="2"/>
            <w:tcBorders>
              <w:top w:val="nil"/>
              <w:left w:val="nil"/>
              <w:bottom w:val="nil"/>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538.9</w:t>
            </w:r>
          </w:p>
        </w:tc>
        <w:tc>
          <w:tcPr>
            <w:tcW w:w="968"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350.6</w:t>
            </w:r>
          </w:p>
        </w:tc>
        <w:tc>
          <w:tcPr>
            <w:tcW w:w="709"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n.a.</w:t>
            </w:r>
          </w:p>
        </w:tc>
        <w:tc>
          <w:tcPr>
            <w:tcW w:w="851"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400.1</w:t>
            </w:r>
          </w:p>
        </w:tc>
        <w:tc>
          <w:tcPr>
            <w:tcW w:w="692" w:type="dxa"/>
            <w:tcBorders>
              <w:top w:val="nil"/>
              <w:left w:val="nil"/>
              <w:bottom w:val="nil"/>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n.a.</w:t>
            </w:r>
          </w:p>
        </w:tc>
      </w:tr>
      <w:tr w:rsidR="00AD1FBF" w:rsidRPr="006A75A2" w:rsidTr="00AD1FBF">
        <w:tc>
          <w:tcPr>
            <w:tcW w:w="3278" w:type="dxa"/>
            <w:tcBorders>
              <w:top w:val="nil"/>
              <w:left w:val="nil"/>
              <w:bottom w:val="single" w:sz="6" w:space="0" w:color="auto"/>
              <w:right w:val="nil"/>
            </w:tcBorders>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Cash and cash equivalents at beginning of the financial year</w:t>
            </w:r>
          </w:p>
        </w:tc>
        <w:tc>
          <w:tcPr>
            <w:tcW w:w="1206"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4 709.3</w:t>
            </w:r>
          </w:p>
        </w:tc>
        <w:tc>
          <w:tcPr>
            <w:tcW w:w="968" w:type="dxa"/>
            <w:gridSpan w:val="3"/>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3 962.0</w:t>
            </w:r>
          </w:p>
        </w:tc>
        <w:tc>
          <w:tcPr>
            <w:tcW w:w="968" w:type="dxa"/>
            <w:gridSpan w:val="2"/>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3 962.0</w:t>
            </w:r>
          </w:p>
        </w:tc>
        <w:tc>
          <w:tcPr>
            <w:tcW w:w="968" w:type="dxa"/>
            <w:tcBorders>
              <w:top w:val="nil"/>
              <w:left w:val="nil"/>
              <w:bottom w:val="single" w:sz="6" w:space="0" w:color="auto"/>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(747.3)</w:t>
            </w:r>
          </w:p>
        </w:tc>
        <w:tc>
          <w:tcPr>
            <w:tcW w:w="709" w:type="dxa"/>
            <w:tcBorders>
              <w:top w:val="nil"/>
              <w:left w:val="nil"/>
              <w:bottom w:val="single" w:sz="6" w:space="0" w:color="auto"/>
              <w:right w:val="nil"/>
            </w:tcBorders>
          </w:tcPr>
          <w:p w:rsidR="00AD1FBF" w:rsidRPr="006A75A2" w:rsidRDefault="00AD1FBF" w:rsidP="004B5CB1">
            <w:pPr>
              <w:pStyle w:val="TableofFigures"/>
              <w:rPr>
                <w:rFonts w:eastAsiaTheme="minorEastAsia" w:cs="Calibri"/>
                <w:szCs w:val="22"/>
                <w:lang w:eastAsia="en-AU"/>
              </w:rPr>
            </w:pPr>
            <w:r w:rsidRPr="006A75A2">
              <w:rPr>
                <w:rFonts w:eastAsiaTheme="minorEastAsia"/>
                <w:sz w:val="20"/>
                <w:szCs w:val="20"/>
                <w:lang w:eastAsia="en-AU"/>
              </w:rPr>
              <w:t>(15.9)</w:t>
            </w:r>
          </w:p>
        </w:tc>
        <w:tc>
          <w:tcPr>
            <w:tcW w:w="851"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692" w:type="dxa"/>
            <w:tcBorders>
              <w:top w:val="nil"/>
              <w:left w:val="nil"/>
              <w:bottom w:val="single" w:sz="6" w:space="0" w:color="auto"/>
              <w:right w:val="nil"/>
            </w:tcBorders>
          </w:tcPr>
          <w:p w:rsidR="00AD1FBF" w:rsidRPr="006A75A2" w:rsidRDefault="00AD1FBF"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AD1FBF" w:rsidRPr="006A75A2" w:rsidTr="00AD1FBF">
        <w:tc>
          <w:tcPr>
            <w:tcW w:w="3278" w:type="dxa"/>
            <w:tcBorders>
              <w:top w:val="single" w:sz="6" w:space="0" w:color="auto"/>
              <w:left w:val="nil"/>
              <w:bottom w:val="single" w:sz="12" w:space="0" w:color="000000"/>
              <w:right w:val="nil"/>
            </w:tcBorders>
          </w:tcPr>
          <w:p w:rsidR="00AD1FBF" w:rsidRPr="006A75A2" w:rsidRDefault="00AD1FBF" w:rsidP="004B5CB1">
            <w:pPr>
              <w:pStyle w:val="Tabletext"/>
              <w:rPr>
                <w:rFonts w:eastAsiaTheme="minorEastAsia"/>
                <w:b/>
                <w:bCs/>
                <w:sz w:val="20"/>
                <w:szCs w:val="20"/>
                <w:lang w:eastAsia="en-AU"/>
              </w:rPr>
            </w:pPr>
            <w:r w:rsidRPr="006A75A2">
              <w:rPr>
                <w:rFonts w:eastAsiaTheme="minorEastAsia"/>
                <w:b/>
                <w:bCs/>
                <w:sz w:val="20"/>
                <w:szCs w:val="20"/>
                <w:lang w:eastAsia="en-AU"/>
              </w:rPr>
              <w:t>Cash and cash equivalents at end of the financial year</w:t>
            </w:r>
          </w:p>
        </w:tc>
        <w:tc>
          <w:tcPr>
            <w:tcW w:w="1206" w:type="dxa"/>
            <w:tcBorders>
              <w:top w:val="single" w:sz="6" w:space="0" w:color="auto"/>
              <w:left w:val="nil"/>
              <w:bottom w:val="single" w:sz="12" w:space="0" w:color="000000"/>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4 897.5</w:t>
            </w:r>
          </w:p>
        </w:tc>
        <w:tc>
          <w:tcPr>
            <w:tcW w:w="968" w:type="dxa"/>
            <w:gridSpan w:val="3"/>
            <w:tcBorders>
              <w:top w:val="single" w:sz="6" w:space="0" w:color="auto"/>
              <w:left w:val="nil"/>
              <w:bottom w:val="single" w:sz="12" w:space="0" w:color="000000"/>
              <w:right w:val="nil"/>
            </w:tcBorders>
            <w:shd w:val="solid" w:color="FFFFFF" w:fill="auto"/>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4 100.8</w:t>
            </w:r>
          </w:p>
        </w:tc>
        <w:tc>
          <w:tcPr>
            <w:tcW w:w="968" w:type="dxa"/>
            <w:gridSpan w:val="2"/>
            <w:tcBorders>
              <w:top w:val="single" w:sz="6" w:space="0" w:color="auto"/>
              <w:left w:val="nil"/>
              <w:bottom w:val="single" w:sz="12" w:space="0" w:color="000000"/>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4 500.9</w:t>
            </w:r>
          </w:p>
        </w:tc>
        <w:tc>
          <w:tcPr>
            <w:tcW w:w="968" w:type="dxa"/>
            <w:tcBorders>
              <w:top w:val="single" w:sz="6" w:space="0" w:color="auto"/>
              <w:left w:val="nil"/>
              <w:bottom w:val="single" w:sz="12" w:space="0" w:color="000000"/>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(396.6)</w:t>
            </w:r>
          </w:p>
        </w:tc>
        <w:tc>
          <w:tcPr>
            <w:tcW w:w="709" w:type="dxa"/>
            <w:tcBorders>
              <w:top w:val="single" w:sz="6" w:space="0" w:color="auto"/>
              <w:left w:val="nil"/>
              <w:bottom w:val="single" w:sz="12" w:space="0" w:color="000000"/>
              <w:right w:val="nil"/>
            </w:tcBorders>
          </w:tcPr>
          <w:p w:rsidR="00AD1FBF" w:rsidRPr="006A75A2" w:rsidRDefault="00AD1FBF" w:rsidP="004B5CB1">
            <w:pPr>
              <w:pStyle w:val="TableofFigures"/>
              <w:rPr>
                <w:rFonts w:eastAsiaTheme="minorEastAsia" w:cs="Calibri"/>
                <w:b/>
                <w:bCs/>
                <w:szCs w:val="22"/>
                <w:lang w:eastAsia="en-AU"/>
              </w:rPr>
            </w:pPr>
            <w:r w:rsidRPr="006A75A2">
              <w:rPr>
                <w:rFonts w:eastAsiaTheme="minorEastAsia"/>
                <w:b/>
                <w:bCs/>
                <w:sz w:val="20"/>
                <w:szCs w:val="20"/>
                <w:lang w:eastAsia="en-AU"/>
              </w:rPr>
              <w:t>(8.1)</w:t>
            </w:r>
          </w:p>
        </w:tc>
        <w:tc>
          <w:tcPr>
            <w:tcW w:w="851" w:type="dxa"/>
            <w:tcBorders>
              <w:top w:val="single" w:sz="6" w:space="0" w:color="auto"/>
              <w:left w:val="nil"/>
              <w:bottom w:val="single" w:sz="12" w:space="0" w:color="000000"/>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400.1</w:t>
            </w:r>
          </w:p>
        </w:tc>
        <w:tc>
          <w:tcPr>
            <w:tcW w:w="692" w:type="dxa"/>
            <w:tcBorders>
              <w:top w:val="single" w:sz="6" w:space="0" w:color="auto"/>
              <w:left w:val="nil"/>
              <w:bottom w:val="single" w:sz="12" w:space="0" w:color="000000"/>
              <w:right w:val="nil"/>
            </w:tcBorders>
          </w:tcPr>
          <w:p w:rsidR="00AD1FBF" w:rsidRPr="006A75A2" w:rsidRDefault="00AD1FBF"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9.8</w:t>
            </w:r>
          </w:p>
        </w:tc>
      </w:tr>
    </w:tbl>
    <w:p w:rsidR="004E6C32" w:rsidRPr="006A75A2" w:rsidRDefault="004E6C32" w:rsidP="004B5CB1">
      <w:pPr>
        <w:pStyle w:val="million"/>
      </w:pPr>
    </w:p>
    <w:p w:rsidR="004E6C32" w:rsidRPr="006A75A2" w:rsidRDefault="004E6C32" w:rsidP="004B5CB1"/>
    <w:p w:rsidR="004E6C32" w:rsidRPr="006A75A2" w:rsidRDefault="004E6C32" w:rsidP="0067336F">
      <w:pPr>
        <w:pStyle w:val="Heading5"/>
      </w:pPr>
      <w:r w:rsidRPr="006A75A2">
        <w:t>Net cash flows from operating activities</w:t>
      </w:r>
    </w:p>
    <w:p w:rsidR="004E6C32" w:rsidRPr="006A75A2" w:rsidRDefault="004E6C32" w:rsidP="004B5CB1">
      <w:r w:rsidRPr="006A75A2">
        <w:t>The major variations between the actual outcomes and the original published budget for net cash flows from operations are largely consistent with the drivers of the movements in the operating statement. A reconciliation of the net result to net cash from operating activities is provided at Note 30(b).</w:t>
      </w:r>
    </w:p>
    <w:p w:rsidR="004E6C32" w:rsidRPr="006A75A2" w:rsidRDefault="004E6C32" w:rsidP="004B5CB1">
      <w:pPr>
        <w:rPr>
          <w:rFonts w:ascii="Calibri" w:hAnsi="Calibri"/>
          <w:b/>
        </w:rPr>
      </w:pPr>
      <w:r w:rsidRPr="006A75A2">
        <w:t>In summary, cash flows from operating activities were $1.2 billion higher than the original published budget. This was driven by higher than total budgeted receipts of $1.8 billion primarily reflecting an increase in specific purpose grants for road and rail investments. This was partially offset by an increase in total payments of $560 million, largely relating to the payment to Tatts Group of $540 million in satisfaction of a Supreme Court judgement.</w:t>
      </w:r>
    </w:p>
    <w:p w:rsidR="004E6C32" w:rsidRPr="006A75A2" w:rsidRDefault="004E6C32" w:rsidP="0067336F">
      <w:pPr>
        <w:pStyle w:val="Heading5"/>
      </w:pPr>
      <w:r w:rsidRPr="006A75A2">
        <w:t>Net cash flows from investing activities</w:t>
      </w:r>
    </w:p>
    <w:p w:rsidR="002A6119" w:rsidRPr="006A75A2" w:rsidRDefault="004E6C32">
      <w:pPr>
        <w:spacing w:after="0"/>
      </w:pPr>
      <w:r w:rsidRPr="006A75A2">
        <w:t>Net cash flows from investing activities, which includes net cash flows from investments in non</w:t>
      </w:r>
      <w:r w:rsidRPr="006A75A2">
        <w:noBreakHyphen/>
        <w:t>financial assets and net cash flows from investments in financial assets for policy purposes, was $621 million lower than the original budget. This primarily reflects the re-phasing of capital expenditure in public transport infrastructure.</w:t>
      </w:r>
    </w:p>
    <w:p w:rsidR="004E6C32" w:rsidRPr="006A75A2" w:rsidRDefault="004E6C32" w:rsidP="002A6119">
      <w:pPr>
        <w:rPr>
          <w:rFonts w:ascii="Calibri" w:hAnsi="Calibri"/>
        </w:rPr>
      </w:pPr>
      <w:r w:rsidRPr="006A75A2">
        <w:br w:type="page"/>
      </w:r>
    </w:p>
    <w:p w:rsidR="004E6C32" w:rsidRPr="006A75A2" w:rsidRDefault="004E6C32" w:rsidP="004B5CB1">
      <w:pPr>
        <w:pStyle w:val="Heading2NotesContd"/>
        <w:rPr>
          <w:kern w:val="0"/>
        </w:rPr>
      </w:pPr>
      <w:r w:rsidRPr="006A75A2">
        <w:rPr>
          <w:kern w:val="0"/>
        </w:rPr>
        <w:lastRenderedPageBreak/>
        <w:t>Note 32:</w:t>
      </w:r>
      <w:r w:rsidRPr="006A75A2">
        <w:rPr>
          <w:kern w:val="0"/>
        </w:rPr>
        <w:tab/>
        <w:t xml:space="preserve">Explanations of material variances between budget and actual outcomes </w:t>
      </w:r>
      <w:r w:rsidRPr="006A75A2">
        <w:rPr>
          <w:i/>
          <w:kern w:val="0"/>
        </w:rPr>
        <w:t>(continued)</w:t>
      </w:r>
    </w:p>
    <w:p w:rsidR="004E6C32" w:rsidRPr="006A75A2" w:rsidRDefault="004E6C32" w:rsidP="0067336F">
      <w:pPr>
        <w:pStyle w:val="Heading5"/>
      </w:pPr>
      <w:r w:rsidRPr="006A75A2">
        <w:t>(d)</w:t>
      </w:r>
      <w:r w:rsidRPr="006A75A2">
        <w:tab/>
        <w:t>Consolidated statement of changes in equity</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388"/>
        <w:gridCol w:w="2252"/>
      </w:tblGrid>
      <w:tr w:rsidR="004E6C32" w:rsidRPr="006A75A2" w:rsidTr="004B5CB1">
        <w:tc>
          <w:tcPr>
            <w:tcW w:w="7388"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p>
          <w:p w:rsidR="004E6C32" w:rsidRPr="006A75A2" w:rsidRDefault="004E6C32" w:rsidP="004B5CB1">
            <w:pPr>
              <w:pStyle w:val="TabletextheadingLeft"/>
              <w:rPr>
                <w:rFonts w:eastAsiaTheme="minorEastAsia"/>
                <w:lang w:eastAsia="en-AU"/>
              </w:rPr>
            </w:pPr>
          </w:p>
          <w:p w:rsidR="004E6C32" w:rsidRPr="006A75A2" w:rsidRDefault="004E6C32" w:rsidP="004B5CB1">
            <w:pPr>
              <w:pStyle w:val="TabletextheadingLeft"/>
              <w:rPr>
                <w:rFonts w:eastAsiaTheme="minorEastAsia"/>
                <w:lang w:eastAsia="en-AU"/>
              </w:rPr>
            </w:pPr>
            <w:r w:rsidRPr="006A75A2">
              <w:rPr>
                <w:rFonts w:eastAsiaTheme="minorEastAsia"/>
                <w:lang w:eastAsia="en-AU"/>
              </w:rPr>
              <w:t>General government sector</w:t>
            </w:r>
          </w:p>
        </w:tc>
        <w:tc>
          <w:tcPr>
            <w:tcW w:w="2252"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Accumulated surplus/(deficit)</w:t>
            </w:r>
          </w:p>
        </w:tc>
      </w:tr>
      <w:tr w:rsidR="004E6C32" w:rsidRPr="006A75A2" w:rsidTr="004B5CB1">
        <w:tc>
          <w:tcPr>
            <w:tcW w:w="7388"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2013-14 Original Budget</w:t>
            </w:r>
          </w:p>
        </w:tc>
        <w:tc>
          <w:tcPr>
            <w:tcW w:w="2252"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225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37 920.9</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w:t>
            </w:r>
          </w:p>
        </w:tc>
        <w:tc>
          <w:tcPr>
            <w:tcW w:w="225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(39.6)</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225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584.4</w:t>
            </w:r>
          </w:p>
        </w:tc>
      </w:tr>
      <w:tr w:rsidR="004E6C32" w:rsidRPr="006A75A2" w:rsidTr="004B5CB1">
        <w:tc>
          <w:tcPr>
            <w:tcW w:w="7388"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at end of period</w:t>
            </w:r>
          </w:p>
        </w:tc>
        <w:tc>
          <w:tcPr>
            <w:tcW w:w="2252"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38 465.8</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2013-14 Revised Budget</w:t>
            </w:r>
          </w:p>
        </w:tc>
        <w:tc>
          <w:tcPr>
            <w:tcW w:w="2252"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225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43 290.6</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w:t>
            </w:r>
          </w:p>
        </w:tc>
        <w:tc>
          <w:tcPr>
            <w:tcW w:w="225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(106.9)</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225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2 448.2</w:t>
            </w:r>
          </w:p>
        </w:tc>
      </w:tr>
      <w:tr w:rsidR="004E6C32" w:rsidRPr="006A75A2" w:rsidTr="004B5CB1">
        <w:tc>
          <w:tcPr>
            <w:tcW w:w="7388"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at end of period</w:t>
            </w:r>
          </w:p>
        </w:tc>
        <w:tc>
          <w:tcPr>
            <w:tcW w:w="2252"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45 631.8</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2013-14 Actual</w:t>
            </w:r>
          </w:p>
        </w:tc>
        <w:tc>
          <w:tcPr>
            <w:tcW w:w="225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7388"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225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43 174.7</w:t>
            </w:r>
          </w:p>
        </w:tc>
      </w:tr>
      <w:tr w:rsidR="004E6C32" w:rsidRPr="006A75A2" w:rsidTr="004B5CB1">
        <w:tc>
          <w:tcPr>
            <w:tcW w:w="7388"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225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773.1</w:t>
            </w:r>
          </w:p>
        </w:tc>
      </w:tr>
      <w:tr w:rsidR="004E6C32" w:rsidRPr="006A75A2" w:rsidTr="004B5CB1">
        <w:tc>
          <w:tcPr>
            <w:tcW w:w="7388"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2252"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462.3</w:t>
            </w:r>
          </w:p>
        </w:tc>
      </w:tr>
      <w:tr w:rsidR="004E6C32" w:rsidRPr="006A75A2" w:rsidTr="004B5CB1">
        <w:tc>
          <w:tcPr>
            <w:tcW w:w="7388"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2014</w:t>
            </w:r>
          </w:p>
        </w:tc>
        <w:tc>
          <w:tcPr>
            <w:tcW w:w="2252"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44 410.0</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Variance to original budget</w:t>
            </w:r>
          </w:p>
        </w:tc>
        <w:tc>
          <w:tcPr>
            <w:tcW w:w="225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7388"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2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5 253.8</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2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812.6</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225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(122.1)</w:t>
            </w:r>
          </w:p>
        </w:tc>
      </w:tr>
      <w:tr w:rsidR="004E6C32" w:rsidRPr="006A75A2" w:rsidTr="004B5CB1">
        <w:tc>
          <w:tcPr>
            <w:tcW w:w="7388"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at end of the year</w:t>
            </w:r>
          </w:p>
        </w:tc>
        <w:tc>
          <w:tcPr>
            <w:tcW w:w="2252"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5 944.3</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Variance to revised budget</w:t>
            </w:r>
          </w:p>
        </w:tc>
        <w:tc>
          <w:tcPr>
            <w:tcW w:w="225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7388"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225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(115.9)</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225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880.0</w:t>
            </w:r>
          </w:p>
        </w:tc>
      </w:tr>
      <w:tr w:rsidR="004E6C32" w:rsidRPr="006A75A2" w:rsidTr="004B5CB1">
        <w:tc>
          <w:tcPr>
            <w:tcW w:w="738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225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(1 985.9</w:t>
            </w:r>
            <w:r w:rsidRPr="006A75A2">
              <w:rPr>
                <w:rFonts w:eastAsiaTheme="minorEastAsia" w:cs="Calibri"/>
                <w:szCs w:val="22"/>
                <w:lang w:eastAsia="en-AU"/>
              </w:rPr>
              <w:t>)</w:t>
            </w:r>
          </w:p>
        </w:tc>
      </w:tr>
      <w:tr w:rsidR="004E6C32" w:rsidRPr="006A75A2" w:rsidTr="004B5CB1">
        <w:tc>
          <w:tcPr>
            <w:tcW w:w="738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at end of the year</w:t>
            </w:r>
          </w:p>
        </w:tc>
        <w:tc>
          <w:tcPr>
            <w:tcW w:w="225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(1 221.8</w:t>
            </w:r>
            <w:r w:rsidRPr="006A75A2">
              <w:rPr>
                <w:rFonts w:eastAsiaTheme="minorEastAsia" w:cs="Calibri"/>
                <w:b/>
                <w:bCs/>
                <w:szCs w:val="22"/>
                <w:lang w:eastAsia="en-AU"/>
              </w:rPr>
              <w:t>)</w:t>
            </w:r>
          </w:p>
        </w:tc>
      </w:tr>
    </w:tbl>
    <w:p w:rsidR="004E6C32" w:rsidRPr="006A75A2" w:rsidRDefault="004E6C32" w:rsidP="004B5CB1"/>
    <w:p w:rsidR="004E6C32" w:rsidRPr="006A75A2" w:rsidRDefault="004E6C32">
      <w:pPr>
        <w:spacing w:after="0"/>
      </w:pPr>
      <w:r w:rsidRPr="006A75A2">
        <w:t>Total major variations between actual outcomes and the original published budget for the statement changes in equity are largely addressed in the explanations provided previously.</w:t>
      </w:r>
    </w:p>
    <w:p w:rsidR="004E6C32" w:rsidRPr="006A75A2" w:rsidRDefault="004E6C32">
      <w:pPr>
        <w:spacing w:after="0"/>
      </w:pPr>
      <w:r w:rsidRPr="006A75A2">
        <w:br w:type="page"/>
      </w:r>
    </w:p>
    <w:p w:rsidR="004E6C32" w:rsidRPr="006A75A2" w:rsidRDefault="004E6C32" w:rsidP="002A6119">
      <w:pPr>
        <w:pStyle w:val="Heading2NotesContd"/>
        <w:rPr>
          <w:kern w:val="0"/>
        </w:rPr>
      </w:pPr>
      <w:r w:rsidRPr="006A75A2">
        <w:rPr>
          <w:kern w:val="0"/>
        </w:rPr>
        <w:lastRenderedPageBreak/>
        <w:br/>
      </w:r>
    </w:p>
    <w:p w:rsidR="004E6C32" w:rsidRPr="006A75A2" w:rsidRDefault="004E6C32" w:rsidP="002A6119">
      <w:pPr>
        <w:pStyle w:val="Heading5"/>
      </w:pPr>
    </w:p>
    <w:p w:rsidR="004E6C32" w:rsidRPr="006A75A2" w:rsidRDefault="004E6C32" w:rsidP="002A6119">
      <w:pPr>
        <w:pStyle w:val="million"/>
      </w:pPr>
    </w:p>
    <w:tbl>
      <w:tblPr>
        <w:tblW w:w="9640" w:type="dxa"/>
        <w:tblInd w:w="28" w:type="dxa"/>
        <w:tblLayout w:type="fixed"/>
        <w:tblCellMar>
          <w:left w:w="45" w:type="dxa"/>
          <w:right w:w="45" w:type="dxa"/>
        </w:tblCellMar>
        <w:tblLook w:val="0000" w:firstRow="0" w:lastRow="0" w:firstColumn="0" w:lastColumn="0" w:noHBand="0" w:noVBand="0"/>
      </w:tblPr>
      <w:tblGrid>
        <w:gridCol w:w="1928"/>
        <w:gridCol w:w="2058"/>
        <w:gridCol w:w="2268"/>
        <w:gridCol w:w="1843"/>
        <w:gridCol w:w="1543"/>
      </w:tblGrid>
      <w:tr w:rsidR="004E6C32" w:rsidRPr="006A75A2" w:rsidTr="004B5CB1">
        <w:tc>
          <w:tcPr>
            <w:tcW w:w="1928"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Non-controlling Interest</w:t>
            </w:r>
          </w:p>
        </w:tc>
        <w:tc>
          <w:tcPr>
            <w:tcW w:w="2058"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Property, plant </w:t>
            </w: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and equipment </w:t>
            </w:r>
          </w:p>
          <w:p w:rsidR="004E6C32" w:rsidRPr="006A75A2" w:rsidRDefault="004E6C32" w:rsidP="004B5CB1">
            <w:pPr>
              <w:pStyle w:val="Tabletextheading"/>
              <w:rPr>
                <w:rFonts w:eastAsiaTheme="minorEastAsia"/>
                <w:lang w:eastAsia="en-AU"/>
              </w:rPr>
            </w:pPr>
            <w:r w:rsidRPr="006A75A2">
              <w:rPr>
                <w:rFonts w:eastAsiaTheme="minorEastAsia"/>
                <w:lang w:eastAsia="en-AU"/>
              </w:rPr>
              <w:t>revaluation surplus</w:t>
            </w:r>
          </w:p>
        </w:tc>
        <w:tc>
          <w:tcPr>
            <w:tcW w:w="2268"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Investment in other </w:t>
            </w: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sector entities </w:t>
            </w:r>
          </w:p>
          <w:p w:rsidR="004E6C32" w:rsidRPr="006A75A2" w:rsidRDefault="004E6C32" w:rsidP="004B5CB1">
            <w:pPr>
              <w:pStyle w:val="Tabletextheading"/>
              <w:rPr>
                <w:rFonts w:eastAsiaTheme="minorEastAsia"/>
                <w:lang w:eastAsia="en-AU"/>
              </w:rPr>
            </w:pPr>
            <w:r w:rsidRPr="006A75A2">
              <w:rPr>
                <w:rFonts w:eastAsiaTheme="minorEastAsia"/>
                <w:lang w:eastAsia="en-AU"/>
              </w:rPr>
              <w:t>revaluation surplus</w:t>
            </w:r>
          </w:p>
        </w:tc>
        <w:tc>
          <w:tcPr>
            <w:tcW w:w="1843"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Other reserves</w:t>
            </w:r>
          </w:p>
        </w:tc>
        <w:tc>
          <w:tcPr>
            <w:tcW w:w="1543"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Total</w:t>
            </w:r>
          </w:p>
        </w:tc>
      </w:tr>
      <w:tr w:rsidR="004E6C32" w:rsidRPr="006A75A2" w:rsidTr="004B5CB1">
        <w:tc>
          <w:tcPr>
            <w:tcW w:w="1928"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058"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268"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843"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543"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92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205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37 250.8</w:t>
            </w:r>
          </w:p>
        </w:tc>
        <w:tc>
          <w:tcPr>
            <w:tcW w:w="226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38 762.6</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994.8</w:t>
            </w:r>
          </w:p>
        </w:tc>
        <w:tc>
          <w:tcPr>
            <w:tcW w:w="15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114 979.1</w:t>
            </w:r>
          </w:p>
        </w:tc>
      </w:tr>
      <w:tr w:rsidR="004E6C32" w:rsidRPr="006A75A2" w:rsidTr="004B5CB1">
        <w:tc>
          <w:tcPr>
            <w:tcW w:w="192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26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(39.6)</w:t>
            </w:r>
          </w:p>
        </w:tc>
      </w:tr>
      <w:tr w:rsidR="004E6C32" w:rsidRPr="006A75A2" w:rsidTr="004B5CB1">
        <w:tc>
          <w:tcPr>
            <w:tcW w:w="192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3 918.0</w:t>
            </w:r>
          </w:p>
        </w:tc>
        <w:tc>
          <w:tcPr>
            <w:tcW w:w="226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1 559.2</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11.9</w:t>
            </w:r>
          </w:p>
        </w:tc>
        <w:tc>
          <w:tcPr>
            <w:tcW w:w="15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6 073.5</w:t>
            </w:r>
          </w:p>
        </w:tc>
      </w:tr>
      <w:tr w:rsidR="004E6C32" w:rsidRPr="006A75A2" w:rsidTr="004B5CB1">
        <w:tc>
          <w:tcPr>
            <w:tcW w:w="192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c>
          <w:tcPr>
            <w:tcW w:w="205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41 168.8</w:t>
            </w:r>
          </w:p>
        </w:tc>
        <w:tc>
          <w:tcPr>
            <w:tcW w:w="226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40 321.8</w:t>
            </w:r>
          </w:p>
        </w:tc>
        <w:tc>
          <w:tcPr>
            <w:tcW w:w="18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1 006.7</w:t>
            </w:r>
          </w:p>
        </w:tc>
        <w:tc>
          <w:tcPr>
            <w:tcW w:w="15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121 013.1</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05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22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5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92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205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37 546.9</w:t>
            </w:r>
          </w:p>
        </w:tc>
        <w:tc>
          <w:tcPr>
            <w:tcW w:w="226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38 359.0</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921.3</w:t>
            </w:r>
          </w:p>
        </w:tc>
        <w:tc>
          <w:tcPr>
            <w:tcW w:w="15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120 167.9</w:t>
            </w:r>
          </w:p>
        </w:tc>
      </w:tr>
      <w:tr w:rsidR="004E6C32" w:rsidRPr="006A75A2" w:rsidTr="004B5CB1">
        <w:tc>
          <w:tcPr>
            <w:tcW w:w="192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26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(106.9)</w:t>
            </w:r>
          </w:p>
        </w:tc>
      </w:tr>
      <w:tr w:rsidR="004E6C32" w:rsidRPr="006A75A2" w:rsidTr="004B5CB1">
        <w:tc>
          <w:tcPr>
            <w:tcW w:w="192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423.4</w:t>
            </w:r>
          </w:p>
        </w:tc>
        <w:tc>
          <w:tcPr>
            <w:tcW w:w="226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2 394.2</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32.7</w:t>
            </w:r>
          </w:p>
        </w:tc>
        <w:tc>
          <w:tcPr>
            <w:tcW w:w="15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5 298.4</w:t>
            </w:r>
          </w:p>
        </w:tc>
      </w:tr>
      <w:tr w:rsidR="004E6C32" w:rsidRPr="006A75A2" w:rsidTr="004B5CB1">
        <w:tc>
          <w:tcPr>
            <w:tcW w:w="192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c>
          <w:tcPr>
            <w:tcW w:w="205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37 970.3</w:t>
            </w:r>
          </w:p>
        </w:tc>
        <w:tc>
          <w:tcPr>
            <w:tcW w:w="226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40 753.2</w:t>
            </w:r>
          </w:p>
        </w:tc>
        <w:tc>
          <w:tcPr>
            <w:tcW w:w="18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954.0</w:t>
            </w:r>
          </w:p>
        </w:tc>
        <w:tc>
          <w:tcPr>
            <w:tcW w:w="15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125 359.4</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05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26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8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5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192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205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37 970.4</w:t>
            </w:r>
          </w:p>
        </w:tc>
        <w:tc>
          <w:tcPr>
            <w:tcW w:w="226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38 373.5</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614.0</w:t>
            </w:r>
          </w:p>
        </w:tc>
        <w:tc>
          <w:tcPr>
            <w:tcW w:w="15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120 182.6</w:t>
            </w:r>
          </w:p>
        </w:tc>
      </w:tr>
      <w:tr w:rsidR="004E6C32" w:rsidRPr="006A75A2" w:rsidTr="004B5CB1">
        <w:tc>
          <w:tcPr>
            <w:tcW w:w="192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26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773.1</w:t>
            </w:r>
          </w:p>
        </w:tc>
      </w:tr>
      <w:tr w:rsidR="004E6C32" w:rsidRPr="006A75A2" w:rsidTr="004B5CB1">
        <w:tc>
          <w:tcPr>
            <w:tcW w:w="192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2 228.8</w:t>
            </w:r>
          </w:p>
        </w:tc>
        <w:tc>
          <w:tcPr>
            <w:tcW w:w="226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3 813.8</w:t>
            </w:r>
          </w:p>
        </w:tc>
        <w:tc>
          <w:tcPr>
            <w:tcW w:w="18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26.4</w:t>
            </w:r>
          </w:p>
        </w:tc>
        <w:tc>
          <w:tcPr>
            <w:tcW w:w="1543"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6 531.3</w:t>
            </w:r>
          </w:p>
        </w:tc>
      </w:tr>
      <w:tr w:rsidR="004E6C32" w:rsidRPr="006A75A2" w:rsidTr="004B5CB1">
        <w:tc>
          <w:tcPr>
            <w:tcW w:w="192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c>
          <w:tcPr>
            <w:tcW w:w="205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40 199.2</w:t>
            </w:r>
          </w:p>
        </w:tc>
        <w:tc>
          <w:tcPr>
            <w:tcW w:w="226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42 187.3</w:t>
            </w:r>
          </w:p>
        </w:tc>
        <w:tc>
          <w:tcPr>
            <w:tcW w:w="18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640.3</w:t>
            </w:r>
          </w:p>
        </w:tc>
        <w:tc>
          <w:tcPr>
            <w:tcW w:w="15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127 486.9</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05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26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8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5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719.5</w:t>
            </w:r>
          </w:p>
        </w:tc>
        <w:tc>
          <w:tcPr>
            <w:tcW w:w="226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(389.1)</w:t>
            </w:r>
          </w:p>
        </w:tc>
        <w:tc>
          <w:tcPr>
            <w:tcW w:w="184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(380.8)</w:t>
            </w:r>
          </w:p>
        </w:tc>
        <w:tc>
          <w:tcPr>
            <w:tcW w:w="15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5 203.4</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2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812.6</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(1 </w:t>
            </w:r>
            <w:r w:rsidRPr="006A75A2">
              <w:rPr>
                <w:rFonts w:eastAsiaTheme="minorEastAsia" w:cs="Calibri"/>
                <w:szCs w:val="22"/>
                <w:lang w:eastAsia="en-AU"/>
              </w:rPr>
              <w:t>689.1)</w:t>
            </w:r>
          </w:p>
        </w:tc>
        <w:tc>
          <w:tcPr>
            <w:tcW w:w="22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2 254.7</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14.4</w:t>
            </w:r>
          </w:p>
        </w:tc>
        <w:tc>
          <w:tcPr>
            <w:tcW w:w="15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457.8</w:t>
            </w:r>
          </w:p>
        </w:tc>
      </w:tr>
      <w:tr w:rsidR="004E6C32" w:rsidRPr="006A75A2" w:rsidTr="004B5CB1">
        <w:tc>
          <w:tcPr>
            <w:tcW w:w="192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205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(969.6)</w:t>
            </w:r>
          </w:p>
        </w:tc>
        <w:tc>
          <w:tcPr>
            <w:tcW w:w="226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1 865.6</w:t>
            </w:r>
          </w:p>
        </w:tc>
        <w:tc>
          <w:tcPr>
            <w:tcW w:w="18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(366.4)</w:t>
            </w:r>
          </w:p>
        </w:tc>
        <w:tc>
          <w:tcPr>
            <w:tcW w:w="15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6 473.8</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05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26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8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5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423.5</w:t>
            </w:r>
          </w:p>
        </w:tc>
        <w:tc>
          <w:tcPr>
            <w:tcW w:w="22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14.4</w:t>
            </w:r>
          </w:p>
        </w:tc>
        <w:tc>
          <w:tcPr>
            <w:tcW w:w="184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(307.3)</w:t>
            </w:r>
          </w:p>
        </w:tc>
        <w:tc>
          <w:tcPr>
            <w:tcW w:w="15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14.7</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2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8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880.0</w:t>
            </w:r>
          </w:p>
        </w:tc>
      </w:tr>
      <w:tr w:rsidR="004E6C32" w:rsidRPr="006A75A2" w:rsidTr="004B5CB1">
        <w:tc>
          <w:tcPr>
            <w:tcW w:w="192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05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1 805.5</w:t>
            </w:r>
          </w:p>
        </w:tc>
        <w:tc>
          <w:tcPr>
            <w:tcW w:w="226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1 419.7</w:t>
            </w:r>
          </w:p>
        </w:tc>
        <w:tc>
          <w:tcPr>
            <w:tcW w:w="184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(6.3)</w:t>
            </w:r>
          </w:p>
        </w:tc>
        <w:tc>
          <w:tcPr>
            <w:tcW w:w="15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1 232.9</w:t>
            </w:r>
          </w:p>
        </w:tc>
      </w:tr>
      <w:tr w:rsidR="004E6C32" w:rsidRPr="006A75A2" w:rsidTr="004B5CB1">
        <w:tc>
          <w:tcPr>
            <w:tcW w:w="192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205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2 228.9</w:t>
            </w:r>
          </w:p>
        </w:tc>
        <w:tc>
          <w:tcPr>
            <w:tcW w:w="226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1 434.1</w:t>
            </w:r>
          </w:p>
        </w:tc>
        <w:tc>
          <w:tcPr>
            <w:tcW w:w="184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(313.7)</w:t>
            </w:r>
          </w:p>
        </w:tc>
        <w:tc>
          <w:tcPr>
            <w:tcW w:w="154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2 127.5</w:t>
            </w:r>
          </w:p>
        </w:tc>
      </w:tr>
    </w:tbl>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Heading2Notes"/>
        <w:rPr>
          <w:kern w:val="0"/>
        </w:rPr>
      </w:pPr>
      <w:bookmarkStart w:id="63" w:name="_Toc396487706"/>
      <w:bookmarkStart w:id="64" w:name="_Toc400040280"/>
      <w:r w:rsidRPr="006A75A2">
        <w:rPr>
          <w:kern w:val="0"/>
        </w:rPr>
        <w:lastRenderedPageBreak/>
        <w:t>Note 33:</w:t>
      </w:r>
      <w:r w:rsidRPr="006A75A2">
        <w:rPr>
          <w:kern w:val="0"/>
        </w:rPr>
        <w:tab/>
        <w:t>Financial instruments</w:t>
      </w:r>
      <w:bookmarkEnd w:id="63"/>
      <w:bookmarkEnd w:id="64"/>
    </w:p>
    <w:p w:rsidR="004E6C32" w:rsidRPr="006A75A2" w:rsidRDefault="004E6C32" w:rsidP="004B5CB1">
      <w:pPr>
        <w:pStyle w:val="Heading1Continued"/>
      </w:pPr>
      <w:r w:rsidRPr="006A75A2">
        <w:t>Financial risk management objectives and policies</w:t>
      </w:r>
    </w:p>
    <w:p w:rsidR="004E6C32" w:rsidRPr="006A75A2" w:rsidRDefault="004E6C32" w:rsidP="004B5CB1">
      <w:r w:rsidRPr="006A75A2">
        <w:t>The State</w:t>
      </w:r>
      <w:r w:rsidR="00C96101" w:rsidRPr="006A75A2">
        <w:t>’</w:t>
      </w:r>
      <w:r w:rsidRPr="006A75A2">
        <w:t>s principal financial instruments comprise of:</w:t>
      </w:r>
    </w:p>
    <w:p w:rsidR="004E6C32" w:rsidRPr="006A75A2" w:rsidRDefault="004E6C32" w:rsidP="004B5CB1">
      <w:pPr>
        <w:pStyle w:val="BulletText"/>
      </w:pPr>
      <w:r w:rsidRPr="006A75A2">
        <w:t>cash and deposits;</w:t>
      </w:r>
    </w:p>
    <w:p w:rsidR="004E6C32" w:rsidRPr="006A75A2" w:rsidRDefault="004E6C32" w:rsidP="004B5CB1">
      <w:pPr>
        <w:pStyle w:val="BulletText"/>
      </w:pPr>
      <w:r w:rsidRPr="006A75A2">
        <w:t>receivables (excluding statutory and other receivables);</w:t>
      </w:r>
    </w:p>
    <w:p w:rsidR="004E6C32" w:rsidRPr="006A75A2" w:rsidRDefault="004E6C32" w:rsidP="004B5CB1">
      <w:pPr>
        <w:pStyle w:val="BulletText"/>
      </w:pPr>
      <w:r w:rsidRPr="006A75A2">
        <w:t>advances paid and term deposits;</w:t>
      </w:r>
    </w:p>
    <w:p w:rsidR="004E6C32" w:rsidRPr="006A75A2" w:rsidRDefault="004E6C32" w:rsidP="004B5CB1">
      <w:pPr>
        <w:pStyle w:val="BulletText"/>
      </w:pPr>
      <w:r w:rsidRPr="006A75A2">
        <w:t>derivative financial instruments;</w:t>
      </w:r>
    </w:p>
    <w:p w:rsidR="004E6C32" w:rsidRPr="006A75A2" w:rsidRDefault="004E6C32" w:rsidP="004B5CB1">
      <w:pPr>
        <w:pStyle w:val="BulletText"/>
      </w:pPr>
      <w:r w:rsidRPr="006A75A2">
        <w:t>investments in equities and managed investment schemes;</w:t>
      </w:r>
    </w:p>
    <w:p w:rsidR="004E6C32" w:rsidRPr="006A75A2" w:rsidRDefault="004E6C32" w:rsidP="004B5CB1">
      <w:pPr>
        <w:pStyle w:val="BulletText"/>
      </w:pPr>
      <w:r w:rsidRPr="006A75A2">
        <w:t>debt securities;</w:t>
      </w:r>
    </w:p>
    <w:p w:rsidR="004E6C32" w:rsidRPr="006A75A2" w:rsidRDefault="004E6C32" w:rsidP="004B5CB1">
      <w:pPr>
        <w:pStyle w:val="BulletText"/>
      </w:pPr>
      <w:r w:rsidRPr="006A75A2">
        <w:t>deposits held and advances received;</w:t>
      </w:r>
    </w:p>
    <w:p w:rsidR="004E6C32" w:rsidRPr="006A75A2" w:rsidRDefault="004E6C32" w:rsidP="004B5CB1">
      <w:pPr>
        <w:pStyle w:val="BulletText"/>
      </w:pPr>
      <w:r w:rsidRPr="006A75A2">
        <w:t>payables (excluding statutory payables, unearned income and advance premiums); and</w:t>
      </w:r>
    </w:p>
    <w:p w:rsidR="004E6C32" w:rsidRPr="006A75A2" w:rsidRDefault="004E6C32" w:rsidP="004B5CB1">
      <w:pPr>
        <w:pStyle w:val="BulletText"/>
      </w:pPr>
      <w:r w:rsidRPr="006A75A2">
        <w:t>borrowings (including finance lease liabilities).</w:t>
      </w:r>
    </w:p>
    <w:p w:rsidR="004E6C32" w:rsidRPr="006A75A2" w:rsidRDefault="004E6C32" w:rsidP="004B5CB1">
      <w:r w:rsidRPr="006A75A2">
        <w:t>The main purposes for the State to hold financial instruments are:</w:t>
      </w:r>
    </w:p>
    <w:p w:rsidR="004E6C32" w:rsidRPr="006A75A2" w:rsidRDefault="004E6C32" w:rsidP="004B5CB1">
      <w:pPr>
        <w:pStyle w:val="BulletText"/>
      </w:pPr>
      <w:r w:rsidRPr="006A75A2">
        <w:t>to fund the State</w:t>
      </w:r>
      <w:r w:rsidR="00C96101" w:rsidRPr="006A75A2">
        <w:t>’</w:t>
      </w:r>
      <w:r w:rsidRPr="006A75A2">
        <w:t>s capital expenditure program;</w:t>
      </w:r>
    </w:p>
    <w:p w:rsidR="004E6C32" w:rsidRPr="006A75A2" w:rsidRDefault="004E6C32" w:rsidP="004B5CB1">
      <w:pPr>
        <w:pStyle w:val="BulletText"/>
      </w:pPr>
      <w:r w:rsidRPr="006A75A2">
        <w:t>to meet long</w:t>
      </w:r>
      <w:r w:rsidRPr="006A75A2">
        <w:noBreakHyphen/>
        <w:t>term insurance and superannuation liabilities;</w:t>
      </w:r>
    </w:p>
    <w:p w:rsidR="004E6C32" w:rsidRPr="006A75A2" w:rsidRDefault="004E6C32" w:rsidP="004B5CB1">
      <w:pPr>
        <w:pStyle w:val="BulletText"/>
      </w:pPr>
      <w:r w:rsidRPr="006A75A2">
        <w:t>to manage financial risk; and</w:t>
      </w:r>
    </w:p>
    <w:p w:rsidR="004E6C32" w:rsidRPr="006A75A2" w:rsidRDefault="004E6C32" w:rsidP="004B5CB1">
      <w:pPr>
        <w:pStyle w:val="BulletText"/>
      </w:pPr>
      <w:r w:rsidRPr="006A75A2">
        <w:t xml:space="preserve">for liquidity management purposes. </w:t>
      </w:r>
    </w:p>
    <w:p w:rsidR="004E6C32" w:rsidRPr="006A75A2" w:rsidRDefault="004E6C32" w:rsidP="004B5CB1">
      <w:pPr>
        <w:pStyle w:val="BulletText"/>
        <w:numPr>
          <w:ilvl w:val="0"/>
          <w:numId w:val="0"/>
        </w:numPr>
        <w:ind w:left="360" w:hanging="360"/>
      </w:pPr>
    </w:p>
    <w:p w:rsidR="004E6C32" w:rsidRPr="006A75A2" w:rsidRDefault="004E6C32" w:rsidP="0067336F">
      <w:pPr>
        <w:pStyle w:val="Heading5"/>
      </w:pPr>
      <w:r w:rsidRPr="006A75A2">
        <w:t>(a)</w:t>
      </w:r>
      <w:r w:rsidRPr="006A75A2">
        <w:tab/>
        <w:t>Carrying amounts of financial instruments by category</w:t>
      </w:r>
    </w:p>
    <w:p w:rsidR="004E6C32" w:rsidRPr="006A75A2" w:rsidRDefault="004E6C32" w:rsidP="004B5CB1">
      <w:pPr>
        <w:pStyle w:val="million"/>
        <w:rPr>
          <w:rFonts w:ascii="Times New Roman" w:hAnsi="Times New Roman"/>
          <w:lang w:eastAsia="en-AU"/>
        </w:rPr>
      </w:pPr>
      <w:r w:rsidRPr="006A75A2">
        <w:t>($ million)</w:t>
      </w:r>
    </w:p>
    <w:tbl>
      <w:tblPr>
        <w:tblW w:w="9656" w:type="dxa"/>
        <w:tblInd w:w="28" w:type="dxa"/>
        <w:tblLayout w:type="fixed"/>
        <w:tblCellMar>
          <w:left w:w="45" w:type="dxa"/>
          <w:right w:w="45" w:type="dxa"/>
        </w:tblCellMar>
        <w:tblLook w:val="0000" w:firstRow="0" w:lastRow="0" w:firstColumn="0" w:lastColumn="0" w:noHBand="0" w:noVBand="0"/>
      </w:tblPr>
      <w:tblGrid>
        <w:gridCol w:w="5337"/>
        <w:gridCol w:w="943"/>
        <w:gridCol w:w="1108"/>
        <w:gridCol w:w="12"/>
        <w:gridCol w:w="1120"/>
        <w:gridCol w:w="1136"/>
      </w:tblGrid>
      <w:tr w:rsidR="00AD1FBF" w:rsidRPr="006A75A2" w:rsidTr="00AD1FBF">
        <w:tc>
          <w:tcPr>
            <w:tcW w:w="5337" w:type="dxa"/>
            <w:tcBorders>
              <w:bottom w:val="nil"/>
              <w:right w:val="nil"/>
            </w:tcBorders>
            <w:shd w:val="clear" w:color="000000" w:fill="000000"/>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051" w:type="dxa"/>
            <w:gridSpan w:val="2"/>
            <w:tcBorders>
              <w:left w:val="nil"/>
              <w:bottom w:val="nil"/>
              <w:right w:val="nil"/>
            </w:tcBorders>
            <w:shd w:val="clear" w:color="000000" w:fill="000000"/>
          </w:tcPr>
          <w:p w:rsidR="00AD1FBF" w:rsidRPr="006A75A2" w:rsidRDefault="00AD1FBF" w:rsidP="004B5CB1">
            <w:pPr>
              <w:pStyle w:val="TabletextheadingCentred"/>
              <w:rPr>
                <w:rFonts w:eastAsiaTheme="minorEastAsia"/>
                <w:sz w:val="20"/>
                <w:szCs w:val="20"/>
                <w:lang w:eastAsia="en-AU"/>
              </w:rPr>
            </w:pPr>
          </w:p>
          <w:p w:rsidR="00AD1FBF" w:rsidRPr="006A75A2" w:rsidRDefault="00AD1FB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68" w:type="dxa"/>
            <w:gridSpan w:val="3"/>
            <w:tcBorders>
              <w:left w:val="nil"/>
              <w:bottom w:val="nil"/>
            </w:tcBorders>
            <w:shd w:val="clear" w:color="000000" w:fill="000000"/>
          </w:tcPr>
          <w:p w:rsidR="00AD1FBF" w:rsidRPr="006A75A2" w:rsidRDefault="00AD1FBF" w:rsidP="00AD1FB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AD1FBF">
        <w:tc>
          <w:tcPr>
            <w:tcW w:w="5337" w:type="dxa"/>
            <w:tcBorders>
              <w:top w:val="nil"/>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943" w:type="dxa"/>
            <w:tcBorders>
              <w:top w:val="nil"/>
              <w:left w:val="nil"/>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2014</w:t>
            </w:r>
          </w:p>
        </w:tc>
        <w:tc>
          <w:tcPr>
            <w:tcW w:w="1120" w:type="dxa"/>
            <w:gridSpan w:val="2"/>
            <w:tcBorders>
              <w:top w:val="nil"/>
              <w:left w:val="nil"/>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2013</w:t>
            </w:r>
          </w:p>
        </w:tc>
        <w:tc>
          <w:tcPr>
            <w:tcW w:w="1120" w:type="dxa"/>
            <w:tcBorders>
              <w:top w:val="nil"/>
              <w:left w:val="nil"/>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2014</w:t>
            </w:r>
          </w:p>
        </w:tc>
        <w:tc>
          <w:tcPr>
            <w:tcW w:w="1136" w:type="dxa"/>
            <w:tcBorders>
              <w:top w:val="nil"/>
              <w:lef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2013</w:t>
            </w:r>
          </w:p>
        </w:tc>
      </w:tr>
      <w:tr w:rsidR="00AD1FBF" w:rsidRPr="006A75A2" w:rsidTr="00AD1FBF">
        <w:tc>
          <w:tcPr>
            <w:tcW w:w="9656" w:type="dxa"/>
            <w:gridSpan w:val="6"/>
            <w:tcBorders>
              <w:left w:val="nil"/>
              <w:bottom w:val="nil"/>
              <w:right w:val="nil"/>
            </w:tcBorders>
          </w:tcPr>
          <w:p w:rsidR="00AD1FBF" w:rsidRPr="006A75A2" w:rsidRDefault="00AD1FBF" w:rsidP="00AD1FBF">
            <w:pPr>
              <w:pStyle w:val="Tabletext"/>
              <w:rPr>
                <w:rFonts w:eastAsiaTheme="minorEastAsia"/>
                <w:b/>
                <w:i/>
                <w:iCs/>
                <w:sz w:val="20"/>
                <w:szCs w:val="20"/>
                <w:lang w:eastAsia="en-AU"/>
              </w:rPr>
            </w:pPr>
            <w:r w:rsidRPr="006A75A2">
              <w:rPr>
                <w:rFonts w:eastAsiaTheme="minorEastAsia"/>
                <w:b/>
                <w:sz w:val="20"/>
                <w:szCs w:val="20"/>
                <w:lang w:eastAsia="en-AU"/>
              </w:rPr>
              <w:t>Financial assets</w:t>
            </w:r>
          </w:p>
        </w:tc>
      </w:tr>
      <w:tr w:rsidR="004E6C32" w:rsidRPr="006A75A2" w:rsidTr="00AD1FBF">
        <w:tc>
          <w:tcPr>
            <w:tcW w:w="5337" w:type="dxa"/>
            <w:tcBorders>
              <w:top w:val="nil"/>
              <w:left w:val="nil"/>
              <w:bottom w:val="nil"/>
              <w:right w:val="nil"/>
            </w:tcBorders>
            <w:shd w:val="solid" w:color="FFFFFF" w:fill="auto"/>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Cash and deposits</w:t>
            </w:r>
          </w:p>
        </w:tc>
        <w:tc>
          <w:tcPr>
            <w:tcW w:w="9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8 200.7</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6 252.9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4 500.9</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3 962.0</w:t>
            </w:r>
          </w:p>
        </w:tc>
      </w:tr>
      <w:tr w:rsidR="004E6C32" w:rsidRPr="006A75A2" w:rsidTr="00AD1FBF">
        <w:tc>
          <w:tcPr>
            <w:tcW w:w="5337" w:type="dxa"/>
            <w:tcBorders>
              <w:top w:val="nil"/>
              <w:left w:val="nil"/>
              <w:bottom w:val="nil"/>
              <w:right w:val="nil"/>
            </w:tcBorders>
          </w:tcPr>
          <w:p w:rsidR="004E6C32" w:rsidRPr="006A75A2" w:rsidRDefault="004E6C32" w:rsidP="009861EA">
            <w:pPr>
              <w:pStyle w:val="Tabletext"/>
              <w:rPr>
                <w:rFonts w:eastAsiaTheme="minorEastAsia"/>
                <w:sz w:val="20"/>
                <w:szCs w:val="20"/>
                <w:vertAlign w:val="superscript"/>
                <w:lang w:eastAsia="en-AU"/>
              </w:rPr>
            </w:pPr>
            <w:r w:rsidRPr="006A75A2">
              <w:rPr>
                <w:rFonts w:eastAsiaTheme="minorEastAsia"/>
                <w:sz w:val="20"/>
                <w:szCs w:val="20"/>
                <w:lang w:eastAsia="en-AU"/>
              </w:rPr>
              <w:t>Designated at fair value through the operating statement</w:t>
            </w:r>
            <w:r w:rsidRPr="006A75A2">
              <w:rPr>
                <w:rFonts w:eastAsiaTheme="minorEastAsia"/>
                <w:sz w:val="20"/>
                <w:szCs w:val="20"/>
                <w:vertAlign w:val="superscript"/>
                <w:lang w:eastAsia="en-AU"/>
              </w:rPr>
              <w:t>(a)</w:t>
            </w:r>
          </w:p>
        </w:tc>
        <w:tc>
          <w:tcPr>
            <w:tcW w:w="9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27 758.1</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23 826.9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791.2</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609.8</w:t>
            </w:r>
          </w:p>
        </w:tc>
      </w:tr>
      <w:tr w:rsidR="004E6C32" w:rsidRPr="006A75A2" w:rsidTr="00AD1FBF">
        <w:tc>
          <w:tcPr>
            <w:tcW w:w="5337" w:type="dxa"/>
            <w:tcBorders>
              <w:top w:val="nil"/>
              <w:left w:val="nil"/>
              <w:bottom w:val="nil"/>
              <w:right w:val="nil"/>
            </w:tcBorders>
          </w:tcPr>
          <w:p w:rsidR="004E6C32" w:rsidRPr="006A75A2" w:rsidRDefault="004E6C32" w:rsidP="009861EA">
            <w:pPr>
              <w:pStyle w:val="Tabletext"/>
              <w:rPr>
                <w:rFonts w:eastAsiaTheme="minorEastAsia"/>
                <w:sz w:val="20"/>
                <w:szCs w:val="20"/>
                <w:vertAlign w:val="superscript"/>
                <w:lang w:eastAsia="en-AU"/>
              </w:rPr>
            </w:pPr>
            <w:r w:rsidRPr="006A75A2">
              <w:rPr>
                <w:rFonts w:eastAsiaTheme="minorEastAsia"/>
                <w:sz w:val="20"/>
                <w:szCs w:val="20"/>
                <w:lang w:eastAsia="en-AU"/>
              </w:rPr>
              <w:t>Held-for-trading at fair value through the operating statement</w:t>
            </w:r>
            <w:r w:rsidRPr="006A75A2">
              <w:rPr>
                <w:rFonts w:eastAsiaTheme="minorEastAsia"/>
                <w:sz w:val="20"/>
                <w:szCs w:val="20"/>
                <w:vertAlign w:val="superscript"/>
                <w:lang w:eastAsia="en-AU"/>
              </w:rPr>
              <w:t>(a)</w:t>
            </w:r>
          </w:p>
        </w:tc>
        <w:tc>
          <w:tcPr>
            <w:tcW w:w="9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409.1</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711.5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AD1FBF">
        <w:tc>
          <w:tcPr>
            <w:tcW w:w="5337" w:type="dxa"/>
            <w:tcBorders>
              <w:top w:val="nil"/>
              <w:left w:val="nil"/>
              <w:bottom w:val="nil"/>
              <w:right w:val="nil"/>
            </w:tcBorders>
          </w:tcPr>
          <w:p w:rsidR="004E6C32" w:rsidRPr="006A75A2" w:rsidRDefault="004E6C32" w:rsidP="004B5CB1">
            <w:pPr>
              <w:pStyle w:val="Tabletext"/>
              <w:rPr>
                <w:rFonts w:eastAsiaTheme="minorEastAsia"/>
                <w:sz w:val="20"/>
                <w:szCs w:val="20"/>
                <w:vertAlign w:val="superscript"/>
                <w:lang w:eastAsia="en-AU"/>
              </w:rPr>
            </w:pPr>
            <w:r w:rsidRPr="006A75A2">
              <w:rPr>
                <w:rFonts w:eastAsiaTheme="minorEastAsia"/>
                <w:sz w:val="20"/>
                <w:szCs w:val="20"/>
                <w:lang w:eastAsia="en-AU"/>
              </w:rPr>
              <w:t xml:space="preserve">Loans and receivables </w:t>
            </w:r>
          </w:p>
        </w:tc>
        <w:tc>
          <w:tcPr>
            <w:tcW w:w="9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4 204.9</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5 517.0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7 212.1</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8 123.6</w:t>
            </w:r>
          </w:p>
        </w:tc>
      </w:tr>
      <w:tr w:rsidR="004E6C32" w:rsidRPr="006A75A2" w:rsidTr="00AD1FBF">
        <w:tc>
          <w:tcPr>
            <w:tcW w:w="5337"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Available-for-sale</w:t>
            </w:r>
          </w:p>
        </w:tc>
        <w:tc>
          <w:tcPr>
            <w:tcW w:w="9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557.4</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315.4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194.5</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93.8</w:t>
            </w:r>
          </w:p>
        </w:tc>
      </w:tr>
      <w:tr w:rsidR="004E6C32" w:rsidRPr="006A75A2" w:rsidTr="00AD1FBF">
        <w:tc>
          <w:tcPr>
            <w:tcW w:w="5337"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Held-to-maturity</w:t>
            </w:r>
          </w:p>
        </w:tc>
        <w:tc>
          <w:tcPr>
            <w:tcW w:w="9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757.9</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761.1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1 202.3</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1 111.9</w:t>
            </w:r>
          </w:p>
        </w:tc>
      </w:tr>
      <w:tr w:rsidR="004E6C32" w:rsidRPr="006A75A2" w:rsidTr="00AD1FBF">
        <w:tc>
          <w:tcPr>
            <w:tcW w:w="5337" w:type="dxa"/>
            <w:tcBorders>
              <w:top w:val="single" w:sz="6" w:space="0" w:color="auto"/>
              <w:left w:val="nil"/>
              <w:bottom w:val="single" w:sz="6" w:space="0" w:color="auto"/>
              <w:right w:val="nil"/>
            </w:tcBorders>
          </w:tcPr>
          <w:p w:rsidR="004E6C32" w:rsidRPr="006A75A2" w:rsidRDefault="004E6C32" w:rsidP="009861EA">
            <w:pPr>
              <w:pStyle w:val="Tabletext"/>
              <w:rPr>
                <w:rFonts w:eastAsiaTheme="minorEastAsia"/>
                <w:b/>
                <w:sz w:val="20"/>
                <w:szCs w:val="20"/>
                <w:vertAlign w:val="superscript"/>
                <w:lang w:eastAsia="en-AU"/>
              </w:rPr>
            </w:pPr>
            <w:r w:rsidRPr="006A75A2">
              <w:rPr>
                <w:rFonts w:eastAsiaTheme="minorEastAsia"/>
                <w:b/>
                <w:sz w:val="20"/>
                <w:szCs w:val="20"/>
                <w:lang w:eastAsia="en-AU"/>
              </w:rPr>
              <w:t>Total financial assets</w:t>
            </w:r>
            <w:r w:rsidRPr="006A75A2">
              <w:rPr>
                <w:rFonts w:eastAsiaTheme="minorEastAsia"/>
                <w:b/>
                <w:sz w:val="20"/>
                <w:szCs w:val="20"/>
                <w:vertAlign w:val="superscript"/>
                <w:lang w:eastAsia="en-AU"/>
              </w:rPr>
              <w:t>(b)</w:t>
            </w:r>
          </w:p>
        </w:tc>
        <w:tc>
          <w:tcPr>
            <w:tcW w:w="94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41 888.2</w:t>
            </w:r>
          </w:p>
        </w:tc>
        <w:tc>
          <w:tcPr>
            <w:tcW w:w="1120"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37 384.7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13 901.0</w:t>
            </w:r>
          </w:p>
        </w:tc>
        <w:tc>
          <w:tcPr>
            <w:tcW w:w="113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13 901.0</w:t>
            </w:r>
          </w:p>
        </w:tc>
      </w:tr>
      <w:tr w:rsidR="00AD1FBF" w:rsidRPr="006A75A2" w:rsidTr="00AD1FBF">
        <w:tc>
          <w:tcPr>
            <w:tcW w:w="9656" w:type="dxa"/>
            <w:gridSpan w:val="6"/>
            <w:tcBorders>
              <w:top w:val="nil"/>
              <w:left w:val="nil"/>
              <w:bottom w:val="nil"/>
              <w:right w:val="nil"/>
            </w:tcBorders>
          </w:tcPr>
          <w:p w:rsidR="00AD1FBF" w:rsidRPr="006A75A2" w:rsidRDefault="00AD1FBF" w:rsidP="00AD1FBF">
            <w:pPr>
              <w:pStyle w:val="Tabletext"/>
              <w:rPr>
                <w:rFonts w:eastAsiaTheme="minorEastAsia"/>
                <w:b/>
                <w:sz w:val="20"/>
                <w:szCs w:val="20"/>
                <w:lang w:eastAsia="en-AU"/>
              </w:rPr>
            </w:pPr>
            <w:r w:rsidRPr="006A75A2">
              <w:rPr>
                <w:rFonts w:eastAsiaTheme="minorEastAsia"/>
                <w:b/>
                <w:sz w:val="20"/>
                <w:szCs w:val="20"/>
                <w:lang w:eastAsia="en-AU"/>
              </w:rPr>
              <w:t>Financial liabilities</w:t>
            </w:r>
          </w:p>
        </w:tc>
      </w:tr>
      <w:tr w:rsidR="004E6C32" w:rsidRPr="006A75A2" w:rsidTr="00AD1FBF">
        <w:tc>
          <w:tcPr>
            <w:tcW w:w="5337" w:type="dxa"/>
            <w:tcBorders>
              <w:top w:val="nil"/>
              <w:left w:val="nil"/>
              <w:bottom w:val="nil"/>
              <w:right w:val="nil"/>
            </w:tcBorders>
          </w:tcPr>
          <w:p w:rsidR="004E6C32" w:rsidRPr="006A75A2" w:rsidRDefault="004E6C32" w:rsidP="009861EA">
            <w:pPr>
              <w:pStyle w:val="Tabletext"/>
              <w:rPr>
                <w:rFonts w:eastAsiaTheme="minorEastAsia"/>
                <w:sz w:val="20"/>
                <w:szCs w:val="20"/>
                <w:vertAlign w:val="superscript"/>
                <w:lang w:eastAsia="en-AU"/>
              </w:rPr>
            </w:pPr>
            <w:r w:rsidRPr="006A75A2">
              <w:rPr>
                <w:rFonts w:eastAsiaTheme="minorEastAsia"/>
                <w:sz w:val="20"/>
                <w:szCs w:val="20"/>
                <w:lang w:eastAsia="en-AU"/>
              </w:rPr>
              <w:t>Designated at fair value through the operating statement</w:t>
            </w:r>
            <w:r w:rsidRPr="006A75A2">
              <w:rPr>
                <w:rFonts w:eastAsiaTheme="minorEastAsia"/>
                <w:sz w:val="20"/>
                <w:szCs w:val="20"/>
                <w:vertAlign w:val="superscript"/>
                <w:lang w:eastAsia="en-AU"/>
              </w:rPr>
              <w:t>(a)</w:t>
            </w:r>
          </w:p>
        </w:tc>
        <w:tc>
          <w:tcPr>
            <w:tcW w:w="9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43 417.2</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39 238.7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404.8</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549.4</w:t>
            </w:r>
          </w:p>
        </w:tc>
      </w:tr>
      <w:tr w:rsidR="004E6C32" w:rsidRPr="006A75A2" w:rsidTr="00AD1FBF">
        <w:tc>
          <w:tcPr>
            <w:tcW w:w="5337" w:type="dxa"/>
            <w:tcBorders>
              <w:top w:val="nil"/>
              <w:left w:val="nil"/>
              <w:bottom w:val="nil"/>
              <w:right w:val="nil"/>
            </w:tcBorders>
          </w:tcPr>
          <w:p w:rsidR="004E6C32" w:rsidRPr="006A75A2" w:rsidRDefault="004E6C32" w:rsidP="009861EA">
            <w:pPr>
              <w:pStyle w:val="Tabletext"/>
              <w:rPr>
                <w:rFonts w:eastAsiaTheme="minorEastAsia"/>
                <w:sz w:val="20"/>
                <w:szCs w:val="20"/>
                <w:vertAlign w:val="superscript"/>
                <w:lang w:eastAsia="en-AU"/>
              </w:rPr>
            </w:pPr>
            <w:r w:rsidRPr="006A75A2">
              <w:rPr>
                <w:rFonts w:eastAsiaTheme="minorEastAsia"/>
                <w:sz w:val="20"/>
                <w:szCs w:val="20"/>
                <w:lang w:eastAsia="en-AU"/>
              </w:rPr>
              <w:t>Held-for-trading at fair value through the operating statement</w:t>
            </w:r>
            <w:r w:rsidRPr="006A75A2">
              <w:rPr>
                <w:rFonts w:eastAsiaTheme="minorEastAsia"/>
                <w:sz w:val="20"/>
                <w:szCs w:val="20"/>
                <w:vertAlign w:val="superscript"/>
                <w:lang w:eastAsia="en-AU"/>
              </w:rPr>
              <w:t>(a)</w:t>
            </w:r>
          </w:p>
        </w:tc>
        <w:tc>
          <w:tcPr>
            <w:tcW w:w="9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572.5</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762.5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20.8</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9.0</w:t>
            </w:r>
          </w:p>
        </w:tc>
      </w:tr>
      <w:tr w:rsidR="004E6C32" w:rsidRPr="006A75A2" w:rsidTr="00AD1FBF">
        <w:tc>
          <w:tcPr>
            <w:tcW w:w="5337"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At amortised cost</w:t>
            </w:r>
          </w:p>
        </w:tc>
        <w:tc>
          <w:tcPr>
            <w:tcW w:w="943"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13 923.9</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14 412.3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36 603.3</w:t>
            </w:r>
          </w:p>
        </w:tc>
        <w:tc>
          <w:tcPr>
            <w:tcW w:w="113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34 848.9</w:t>
            </w:r>
          </w:p>
        </w:tc>
      </w:tr>
      <w:tr w:rsidR="004E6C32" w:rsidRPr="006A75A2" w:rsidTr="00AD1FBF">
        <w:tc>
          <w:tcPr>
            <w:tcW w:w="5337" w:type="dxa"/>
            <w:tcBorders>
              <w:top w:val="single" w:sz="6" w:space="0" w:color="auto"/>
              <w:left w:val="nil"/>
              <w:bottom w:val="single" w:sz="12" w:space="0" w:color="000000"/>
              <w:right w:val="nil"/>
            </w:tcBorders>
            <w:shd w:val="clear" w:color="auto" w:fill="auto"/>
          </w:tcPr>
          <w:p w:rsidR="004E6C32" w:rsidRPr="006A75A2" w:rsidRDefault="004E6C32" w:rsidP="009861EA">
            <w:pPr>
              <w:pStyle w:val="Tabletext"/>
              <w:rPr>
                <w:rFonts w:eastAsiaTheme="minorEastAsia"/>
                <w:b/>
                <w:sz w:val="20"/>
                <w:szCs w:val="20"/>
                <w:vertAlign w:val="superscript"/>
                <w:lang w:eastAsia="en-AU"/>
              </w:rPr>
            </w:pPr>
            <w:r w:rsidRPr="006A75A2">
              <w:rPr>
                <w:rFonts w:eastAsiaTheme="minorEastAsia"/>
                <w:b/>
                <w:sz w:val="20"/>
                <w:szCs w:val="20"/>
                <w:lang w:eastAsia="en-AU"/>
              </w:rPr>
              <w:t>Total financial liabilities</w:t>
            </w:r>
            <w:r w:rsidRPr="006A75A2">
              <w:rPr>
                <w:rFonts w:eastAsiaTheme="minorEastAsia"/>
                <w:b/>
                <w:sz w:val="20"/>
                <w:szCs w:val="20"/>
                <w:vertAlign w:val="superscript"/>
                <w:lang w:eastAsia="en-AU"/>
              </w:rPr>
              <w:t>(c)</w:t>
            </w:r>
          </w:p>
        </w:tc>
        <w:tc>
          <w:tcPr>
            <w:tcW w:w="94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57 913.7</w:t>
            </w:r>
          </w:p>
        </w:tc>
        <w:tc>
          <w:tcPr>
            <w:tcW w:w="112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54 413.4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37 028.8</w:t>
            </w:r>
          </w:p>
        </w:tc>
        <w:tc>
          <w:tcPr>
            <w:tcW w:w="113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35 407.3</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June 2013 comparative figures have been restated to reflect derivative financial instruments for insurers as designated at fair value through the operating statement instead of held-for-trading at fair value through the operating statement.</w:t>
      </w:r>
    </w:p>
    <w:p w:rsidR="004E6C32" w:rsidRPr="006A75A2" w:rsidRDefault="004E6C32" w:rsidP="004B5CB1">
      <w:pPr>
        <w:pStyle w:val="Notes"/>
      </w:pPr>
      <w:r w:rsidRPr="006A75A2">
        <w:t>(b)</w:t>
      </w:r>
      <w:r w:rsidRPr="006A75A2">
        <w:tab/>
        <w:t>The State</w:t>
      </w:r>
      <w:r w:rsidR="00C96101" w:rsidRPr="006A75A2">
        <w:t>’</w:t>
      </w:r>
      <w:r w:rsidRPr="006A75A2">
        <w:t>s total financial assets in this table exclude statutory and other receivables of $4 272.9 million ($4 126.9 million in 2013) while the General Government</w:t>
      </w:r>
      <w:r w:rsidR="00C96101" w:rsidRPr="006A75A2">
        <w:t>’</w:t>
      </w:r>
      <w:r w:rsidRPr="006A75A2">
        <w:t>s total financial assets exclude statutory receivables of $3 245.0 million ($3 132.2million in 2013).</w:t>
      </w:r>
    </w:p>
    <w:p w:rsidR="004E6C32" w:rsidRPr="006A75A2" w:rsidRDefault="004E6C32" w:rsidP="004B5CB1">
      <w:pPr>
        <w:pStyle w:val="Notes"/>
      </w:pPr>
      <w:r w:rsidRPr="006A75A2">
        <w:t>(c)</w:t>
      </w:r>
      <w:r w:rsidRPr="006A75A2">
        <w:tab/>
        <w:t>The State</w:t>
      </w:r>
      <w:r w:rsidR="00C96101" w:rsidRPr="006A75A2">
        <w:t>’</w:t>
      </w:r>
      <w:r w:rsidRPr="006A75A2">
        <w:t>s total financial liabilities exclude statutory taxes payable, unearned income and advance premiums of $ 3 166.7 million ($3 309.8 million in 2013) while the General Government</w:t>
      </w:r>
      <w:r w:rsidR="00C96101" w:rsidRPr="006A75A2">
        <w:t>’</w:t>
      </w:r>
      <w:r w:rsidRPr="006A75A2">
        <w:t>s total financial liabilities exclude statutory taxes payable and unearned income of $2 097.8  million ($2 345.2 million in 2013).</w:t>
      </w:r>
    </w:p>
    <w:p w:rsidR="004E6C32" w:rsidRPr="006A75A2" w:rsidRDefault="004E6C32" w:rsidP="004B5CB1">
      <w:pPr>
        <w:pStyle w:val="Notes"/>
      </w:pPr>
    </w:p>
    <w:p w:rsidR="004E6C32" w:rsidRPr="006A75A2" w:rsidRDefault="004E6C32" w:rsidP="004B5CB1"/>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4B5CB1">
      <w:r w:rsidRPr="006A75A2">
        <w:t>As part of its normal operations, the State is exposed to a number of financial risks including market risk (e.g. interest rate risk, foreign currency risk, and equity price risk), credit risk and liquidity risk through transactions involving its financial instruments. As a whole, the State</w:t>
      </w:r>
      <w:r w:rsidR="00C96101" w:rsidRPr="006A75A2">
        <w:t>’</w:t>
      </w:r>
      <w:r w:rsidRPr="006A75A2">
        <w:t>s financial risk management program seeks to manage these risks and the associated volatility on its financial performance.</w:t>
      </w:r>
    </w:p>
    <w:p w:rsidR="004E6C32" w:rsidRPr="006A75A2" w:rsidRDefault="004E6C32" w:rsidP="004B5CB1">
      <w:r w:rsidRPr="006A75A2">
        <w:t>Responsible and prudent financial risk management is carried out individually by the State</w:t>
      </w:r>
      <w:r w:rsidR="00C96101" w:rsidRPr="006A75A2">
        <w:t>’</w:t>
      </w:r>
      <w:r w:rsidRPr="006A75A2">
        <w:t>s entities, in accordance with the State</w:t>
      </w:r>
      <w:r w:rsidR="00C96101" w:rsidRPr="006A75A2">
        <w:t>’</w:t>
      </w:r>
      <w:r w:rsidRPr="006A75A2">
        <w:t>s risk management framework, developed by the Department of Treasury and Finance (DTF) and established by the Treasurer. The State</w:t>
      </w:r>
      <w:r w:rsidR="00C96101" w:rsidRPr="006A75A2">
        <w:t>’</w:t>
      </w:r>
      <w:r w:rsidRPr="006A75A2">
        <w:t>s risk management framework comprises the following key components:</w:t>
      </w:r>
    </w:p>
    <w:p w:rsidR="004E6C32" w:rsidRPr="006A75A2" w:rsidRDefault="004E6C32" w:rsidP="004B5CB1">
      <w:pPr>
        <w:pStyle w:val="BulletText"/>
      </w:pPr>
      <w:r w:rsidRPr="006A75A2">
        <w:t>the Treasurer is responsible for approving and establishing the prudential framework containing policies and guidelines on financial risk management;</w:t>
      </w:r>
    </w:p>
    <w:p w:rsidR="004E6C32" w:rsidRPr="006A75A2" w:rsidRDefault="004E6C32" w:rsidP="004B5CB1">
      <w:pPr>
        <w:pStyle w:val="BulletText"/>
      </w:pPr>
      <w:r w:rsidRPr="006A75A2">
        <w:t>the Senior Executive Group of DTF is responsible for advising the Government on the management of the State</w:t>
      </w:r>
      <w:r w:rsidR="00C96101" w:rsidRPr="006A75A2">
        <w:t>’</w:t>
      </w:r>
      <w:r w:rsidRPr="006A75A2">
        <w:t>s financial risks;</w:t>
      </w:r>
    </w:p>
    <w:p w:rsidR="004E6C32" w:rsidRPr="006A75A2" w:rsidRDefault="004E6C32" w:rsidP="004B5CB1">
      <w:pPr>
        <w:pStyle w:val="BulletText"/>
      </w:pPr>
      <w:r w:rsidRPr="006A75A2">
        <w:t>DTF</w:t>
      </w:r>
      <w:r w:rsidR="00C96101" w:rsidRPr="006A75A2">
        <w:t>’</w:t>
      </w:r>
      <w:r w:rsidRPr="006A75A2">
        <w:t>s Balance Sheet Management Committee provides oversight of the State</w:t>
      </w:r>
      <w:r w:rsidR="00C96101" w:rsidRPr="006A75A2">
        <w:t>’</w:t>
      </w:r>
      <w:r w:rsidRPr="006A75A2">
        <w:t>s key financial balance sheet and financial market risks. These risks relate to the State</w:t>
      </w:r>
      <w:r w:rsidR="00C96101" w:rsidRPr="006A75A2">
        <w:t>’</w:t>
      </w:r>
      <w:r w:rsidRPr="006A75A2">
        <w:t>s investments, borrowings, superannuation and insurance claims liabilities, as well as exposures to interest rate, foreign exchange and commodity price volatility and liquidity position;</w:t>
      </w:r>
    </w:p>
    <w:p w:rsidR="004E6C32" w:rsidRPr="006A75A2" w:rsidRDefault="004E6C32" w:rsidP="004B5CB1">
      <w:pPr>
        <w:pStyle w:val="BulletText"/>
      </w:pPr>
      <w:r w:rsidRPr="006A75A2">
        <w:t>the Treasury Corporation of Victoria (TCV) is the State</w:t>
      </w:r>
      <w:r w:rsidR="00C96101" w:rsidRPr="006A75A2">
        <w:t>’</w:t>
      </w:r>
      <w:r w:rsidRPr="006A75A2">
        <w:t>s central borrowing authority and financing advisor. An independent prudential supervisor is appointed by the Treasurer to monitor TCV</w:t>
      </w:r>
      <w:r w:rsidR="00C96101" w:rsidRPr="006A75A2">
        <w:t>’</w:t>
      </w:r>
      <w:r w:rsidRPr="006A75A2">
        <w:t>s compliance with its prudential framework;</w:t>
      </w:r>
    </w:p>
    <w:p w:rsidR="004E6C32" w:rsidRPr="006A75A2" w:rsidRDefault="004E6C32" w:rsidP="004B5CB1">
      <w:pPr>
        <w:pStyle w:val="BulletText"/>
      </w:pPr>
      <w:r w:rsidRPr="006A75A2">
        <w:t>the Victorian Funds Management Corporation (VFMC) acts as the State</w:t>
      </w:r>
      <w:r w:rsidR="00C96101" w:rsidRPr="006A75A2">
        <w:t>’</w:t>
      </w:r>
      <w:r w:rsidRPr="006A75A2">
        <w:t>s central investment fund manager providing expertise in developing investment strategy and delivering funds management services in accordance with each entity</w:t>
      </w:r>
      <w:r w:rsidR="00C96101" w:rsidRPr="006A75A2">
        <w:t>’</w:t>
      </w:r>
      <w:r w:rsidRPr="006A75A2">
        <w:t>s investment objectives. An independent prudential supervisor is appointed by the Treasurer to monitor VFMC</w:t>
      </w:r>
      <w:r w:rsidR="00C96101" w:rsidRPr="006A75A2">
        <w:t>’</w:t>
      </w:r>
      <w:r w:rsidRPr="006A75A2">
        <w:t>s compliance with its prudential framework; and</w:t>
      </w:r>
    </w:p>
    <w:p w:rsidR="004E6C32" w:rsidRPr="006A75A2" w:rsidRDefault="004E6C32" w:rsidP="004B5CB1">
      <w:pPr>
        <w:pStyle w:val="BulletText"/>
      </w:pPr>
      <w:r w:rsidRPr="006A75A2">
        <w:t>the State</w:t>
      </w:r>
      <w:r w:rsidR="00C96101" w:rsidRPr="006A75A2">
        <w:t>’</w:t>
      </w:r>
      <w:r w:rsidRPr="006A75A2">
        <w:t>s entities with gross debt or investments equal to or greater than $20 million, are responsible for setting their own financial risk policy and objectives in accordance with the Treasurer</w:t>
      </w:r>
      <w:r w:rsidR="00C96101" w:rsidRPr="006A75A2">
        <w:t>’</w:t>
      </w:r>
      <w:r w:rsidRPr="006A75A2">
        <w:t>s prudential framework. All entities are responsible for the day</w:t>
      </w:r>
      <w:r w:rsidRPr="006A75A2">
        <w:noBreakHyphen/>
        <w:t>to</w:t>
      </w:r>
      <w:r w:rsidRPr="006A75A2">
        <w:noBreakHyphen/>
        <w:t>day operational management of their financial instruments and associated risks in accordance with the Treasury Management Guidelines.</w:t>
      </w:r>
    </w:p>
    <w:p w:rsidR="004E6C32" w:rsidRPr="006A75A2" w:rsidRDefault="004E6C32" w:rsidP="004B5CB1">
      <w:r w:rsidRPr="006A75A2">
        <w:t>The prudential framework covers areas such as financial management objectives, responsibility structure and delegation, and policies and guidance on market risk, credit risk, liquidity risk and operational risk. The Chief Executive Officers and executives of the State</w:t>
      </w:r>
      <w:r w:rsidR="00C96101" w:rsidRPr="006A75A2">
        <w:t>’</w:t>
      </w:r>
      <w:r w:rsidRPr="006A75A2">
        <w:t>s entities are responsible for advising their boards, who in turn notify DTF and other stakeholders of any breach by the entities of the prudential standards set by the Treasurer or policies set by their respective boards, including the strategy to remediate the breach.</w:t>
      </w:r>
    </w:p>
    <w:p w:rsidR="004E6C32" w:rsidRPr="006A75A2" w:rsidRDefault="004E6C32" w:rsidP="004B5CB1">
      <w:r w:rsidRPr="006A75A2">
        <w:t>A number of the State</w:t>
      </w:r>
      <w:r w:rsidR="00C96101" w:rsidRPr="006A75A2">
        <w:t>’</w:t>
      </w:r>
      <w:r w:rsidRPr="006A75A2">
        <w:t>s entities enter into derivative financial instruments in accordance with the Treasurer</w:t>
      </w:r>
      <w:r w:rsidR="00C96101" w:rsidRPr="006A75A2">
        <w:t>’</w:t>
      </w:r>
      <w:r w:rsidRPr="006A75A2">
        <w:t>s prudential and financial management framework, in order to manage their exposure to movements in interest rates, foreign currency exchange rates, and commodity related exposures.</w:t>
      </w:r>
    </w:p>
    <w:p w:rsidR="004E6C32" w:rsidRPr="006A75A2" w:rsidRDefault="004E6C32" w:rsidP="004B5CB1">
      <w:r w:rsidRPr="006A75A2">
        <w:t>These derivative financial instruments, which include interest rate swaps and futures and forward foreign exchange contracts, are used to manage the risks inherent in either borrowings, financial asset investments or cash flow denominated in foreign currency. Derivative financial instruments are not used to add leverage to the State</w:t>
      </w:r>
      <w:r w:rsidR="00C96101" w:rsidRPr="006A75A2">
        <w:t>’</w:t>
      </w:r>
      <w:r w:rsidRPr="006A75A2">
        <w:t>s financial position.</w:t>
      </w:r>
    </w:p>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(b)</w:t>
      </w:r>
      <w:r w:rsidRPr="006A75A2">
        <w:tab/>
        <w:t>Breakdown of interest revenue</w:t>
      </w:r>
      <w:r w:rsidRPr="006A75A2">
        <w:rPr>
          <w:vertAlign w:val="superscript"/>
        </w:rPr>
        <w:t>(a)</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D1FBF" w:rsidRPr="006A75A2" w:rsidTr="00AD1FBF">
        <w:tc>
          <w:tcPr>
            <w:tcW w:w="5160"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D1FBF" w:rsidRPr="006A75A2" w:rsidRDefault="00AD1FBF" w:rsidP="004B5CB1">
            <w:pPr>
              <w:pStyle w:val="TabletextheadingCentred"/>
              <w:rPr>
                <w:rFonts w:eastAsiaTheme="minorEastAsia"/>
                <w:lang w:eastAsia="en-AU"/>
              </w:rPr>
            </w:pPr>
          </w:p>
          <w:p w:rsidR="00AD1FBF" w:rsidRPr="006A75A2" w:rsidRDefault="00AD1FBF"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D1FBF" w:rsidRPr="006A75A2" w:rsidRDefault="00AD1FBF" w:rsidP="00AD1FBF">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revenue from financial assets not at fair value through the operating statement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605.9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806.0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831.2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697.6</w:t>
            </w:r>
          </w:p>
        </w:tc>
      </w:tr>
      <w:tr w:rsidR="004E6C32" w:rsidRPr="006A75A2" w:rsidTr="004B5CB1">
        <w:tc>
          <w:tcPr>
            <w:tcW w:w="5160" w:type="dxa"/>
            <w:tcBorders>
              <w:top w:val="nil"/>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Interest revenue from financial assets at fair value through the operating statement</w:t>
            </w:r>
            <w:r w:rsidRPr="006A75A2">
              <w:rPr>
                <w:rFonts w:eastAsiaTheme="minorEastAsia" w:cs="Calibri"/>
                <w:szCs w:val="22"/>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553.6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405.3</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3.1</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revenue from impaired financial assets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cs="Calibri"/>
                <w:szCs w:val="22"/>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Total</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w:t>
            </w:r>
            <w:r w:rsidRPr="006A75A2">
              <w:rPr>
                <w:rFonts w:eastAsiaTheme="minorEastAsia" w:cs="Calibri"/>
                <w:b/>
                <w:bCs/>
                <w:szCs w:val="22"/>
                <w:lang w:eastAsia="en-AU"/>
              </w:rPr>
              <w:t xml:space="preserve"> 159.5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1 211.6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 xml:space="preserve"> </w:t>
            </w:r>
            <w:r w:rsidRPr="006A75A2">
              <w:rPr>
                <w:rFonts w:eastAsiaTheme="minorEastAsia" w:cs="Calibri"/>
                <w:b/>
                <w:bCs/>
                <w:szCs w:val="22"/>
                <w:lang w:eastAsia="en-AU"/>
              </w:rPr>
              <w:t>831.2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700.7</w:t>
            </w:r>
          </w:p>
        </w:tc>
      </w:tr>
    </w:tbl>
    <w:p w:rsidR="004E6C32" w:rsidRPr="006A75A2" w:rsidRDefault="004E6C32" w:rsidP="004B5CB1">
      <w:pPr>
        <w:pStyle w:val="Notes"/>
      </w:pPr>
      <w:r w:rsidRPr="006A75A2">
        <w:t>Notes:</w:t>
      </w:r>
    </w:p>
    <w:p w:rsidR="004E6C32" w:rsidRPr="006A75A2" w:rsidRDefault="004E6C32" w:rsidP="004B5CB1">
      <w:pPr>
        <w:pStyle w:val="Notes"/>
      </w:pPr>
      <w:r w:rsidRPr="006A75A2">
        <w:rPr>
          <w:i w:val="0"/>
        </w:rPr>
        <w:t>(</w:t>
      </w:r>
      <w:r w:rsidRPr="006A75A2">
        <w:t xml:space="preserve">a) </w:t>
      </w:r>
      <w:r w:rsidRPr="006A75A2">
        <w:tab/>
        <w:t>The swap interest revenue from financial assets is included under Other gains/(losses) from other economic flows in the consolidated comprehensive operating statement. Therefore, figures in this table cannot be reconciled to the primary statements.</w:t>
      </w:r>
    </w:p>
    <w:p w:rsidR="004E6C32" w:rsidRPr="006A75A2" w:rsidRDefault="004E6C32" w:rsidP="004B5CB1">
      <w:pPr>
        <w:pStyle w:val="Notes"/>
      </w:pPr>
      <w:r w:rsidRPr="006A75A2">
        <w:t>(b)</w:t>
      </w:r>
      <w:r w:rsidRPr="006A75A2">
        <w:tab/>
        <w:t>June 2013 comparative figures for interest revenue from financial assets at fair value through the operating statement, have been restated to include swap interest revenue by TCV.</w:t>
      </w:r>
    </w:p>
    <w:p w:rsidR="004E6C32" w:rsidRPr="006A75A2" w:rsidRDefault="004E6C32" w:rsidP="004B5CB1"/>
    <w:p w:rsidR="004E6C32" w:rsidRPr="006A75A2" w:rsidRDefault="004E6C32" w:rsidP="004B5CB1"/>
    <w:p w:rsidR="004E6C32" w:rsidRPr="006A75A2" w:rsidRDefault="004E6C32" w:rsidP="0067336F">
      <w:pPr>
        <w:pStyle w:val="Heading5"/>
      </w:pPr>
      <w:r w:rsidRPr="006A75A2">
        <w:t>(c)</w:t>
      </w:r>
      <w:r w:rsidRPr="006A75A2">
        <w:tab/>
        <w:t>Breakdown of interest and fee expense items</w:t>
      </w:r>
      <w:r w:rsidRPr="006A75A2">
        <w:rPr>
          <w:vertAlign w:val="superscript"/>
        </w:rPr>
        <w:t>(a)</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D1FBF" w:rsidRPr="006A75A2" w:rsidTr="00AD1FBF">
        <w:tc>
          <w:tcPr>
            <w:tcW w:w="5160"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D1FBF" w:rsidRPr="006A75A2" w:rsidRDefault="00AD1FBF" w:rsidP="004B5CB1">
            <w:pPr>
              <w:pStyle w:val="TabletextheadingCentred"/>
              <w:rPr>
                <w:rFonts w:eastAsiaTheme="minorEastAsia"/>
                <w:lang w:eastAsia="en-AU"/>
              </w:rPr>
            </w:pPr>
          </w:p>
          <w:p w:rsidR="00AD1FBF" w:rsidRPr="006A75A2" w:rsidRDefault="00AD1FBF"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D1FBF" w:rsidRPr="006A75A2" w:rsidRDefault="00AD1FBF" w:rsidP="00AD1FBF">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Interest expense from financial liabilities not at fair value through the operating statement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877.3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669.0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094.5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1 730.2</w:t>
            </w:r>
          </w:p>
        </w:tc>
      </w:tr>
      <w:tr w:rsidR="004E6C32" w:rsidRPr="006A75A2" w:rsidTr="004B5CB1">
        <w:tc>
          <w:tcPr>
            <w:tcW w:w="5160" w:type="dxa"/>
            <w:tcBorders>
              <w:top w:val="nil"/>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Interest expense from financial liabilities at fair value through the operating statement</w:t>
            </w:r>
            <w:r w:rsidRPr="006A75A2">
              <w:rPr>
                <w:rFonts w:eastAsiaTheme="minorEastAsia" w:cs="Calibri"/>
                <w:szCs w:val="22"/>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228.9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2 070.1</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Fee expenses from financial liabilities not at fair value through the operating statement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32.1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22.1</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Fee expenses from financial liabilities at fair value through the operating statement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397.7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412.2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Total</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3</w:t>
            </w:r>
            <w:r w:rsidRPr="006A75A2">
              <w:rPr>
                <w:rFonts w:eastAsiaTheme="minorEastAsia" w:cs="Calibri"/>
                <w:b/>
                <w:bCs/>
                <w:szCs w:val="22"/>
                <w:lang w:eastAsia="en-AU"/>
              </w:rPr>
              <w:t xml:space="preserve"> 536.0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3 178.7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2</w:t>
            </w:r>
            <w:r w:rsidRPr="006A75A2">
              <w:rPr>
                <w:rFonts w:eastAsiaTheme="minorEastAsia" w:cs="Calibri"/>
                <w:b/>
                <w:bCs/>
                <w:szCs w:val="22"/>
                <w:lang w:eastAsia="en-AU"/>
              </w:rPr>
              <w:t xml:space="preserve"> 118.8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1 752.3</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The table above does not capture discount interest on non-financial liabilities but includes swap interest expense from financial liabilities which is included under Other gains/(losses) from other economic flows in the consolidated comprehensive operating statement. Therefore, figures in this table cannot be reconciled to the primary statements.</w:t>
      </w:r>
    </w:p>
    <w:p w:rsidR="004E6C32" w:rsidRPr="006A75A2" w:rsidRDefault="004E6C32" w:rsidP="004B5CB1">
      <w:pPr>
        <w:pStyle w:val="Notes"/>
      </w:pPr>
      <w:r w:rsidRPr="006A75A2">
        <w:t xml:space="preserve">(b) </w:t>
      </w:r>
      <w:r w:rsidRPr="006A75A2">
        <w:tab/>
        <w:t>June 2013 comparative figures for interest expense from financial liabilities at fair value through the operating statement, have been restated to include swap interest expense by TCV.</w:t>
      </w:r>
    </w:p>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(d)</w:t>
      </w:r>
      <w:r w:rsidRPr="006A75A2">
        <w:tab/>
        <w:t>Net gain or loss by category of financial instruments</w:t>
      </w:r>
    </w:p>
    <w:p w:rsidR="004E6C32" w:rsidRPr="006A75A2" w:rsidRDefault="004E6C32" w:rsidP="004B5CB1">
      <w:r w:rsidRPr="006A75A2">
        <w:t>The net gains or losses on financial assets and liabilities held at 30 June 2014 are determined as follows:</w:t>
      </w:r>
    </w:p>
    <w:p w:rsidR="004E6C32" w:rsidRPr="006A75A2" w:rsidRDefault="004E6C32" w:rsidP="004B5CB1">
      <w:pPr>
        <w:pStyle w:val="BulletText"/>
      </w:pPr>
      <w:r w:rsidRPr="006A75A2">
        <w:t>for loans and receivables and available for sale investments, the net gain or loss is calculated by taking the interest revenue, plus or minus foreign exchange gains or losses arising from revaluation of the financial assets, and minus any impairment recognised in the net result;</w:t>
      </w:r>
    </w:p>
    <w:p w:rsidR="004E6C32" w:rsidRPr="006A75A2" w:rsidRDefault="004E6C32" w:rsidP="004B5CB1">
      <w:pPr>
        <w:pStyle w:val="BulletText"/>
      </w:pPr>
      <w:r w:rsidRPr="006A75A2">
        <w:t>for financial liabilities measured at amortised cost, the net gain or loss is calculated by taking the interest expense, plus or minus foreign exchange gains or losses arising from the revaluation of financial liabilities measured at amortised cost; and</w:t>
      </w:r>
    </w:p>
    <w:p w:rsidR="004E6C32" w:rsidRPr="006A75A2" w:rsidRDefault="004E6C32" w:rsidP="004B5CB1">
      <w:pPr>
        <w:pStyle w:val="BulletText"/>
      </w:pPr>
      <w:r w:rsidRPr="006A75A2">
        <w:t>for financial assets and liabilities that are held for trading or designated at fair value through profit or loss, the net gain or loss is calculated by taking the movement in the fair value of the financial asset or liability.</w:t>
      </w:r>
    </w:p>
    <w:p w:rsidR="004E6C32" w:rsidRPr="006A75A2" w:rsidRDefault="004E6C32" w:rsidP="004B5CB1">
      <w:pPr>
        <w:pStyle w:val="million"/>
        <w:rPr>
          <w:rFonts w:ascii="Times New Roman" w:hAnsi="Times New Roman"/>
          <w:lang w:eastAsia="en-AU"/>
        </w:rPr>
      </w:pPr>
      <w:r w:rsidRPr="006A75A2">
        <w:t>($ million)</w:t>
      </w:r>
    </w:p>
    <w:tbl>
      <w:tblPr>
        <w:tblW w:w="9656" w:type="dxa"/>
        <w:tblInd w:w="28" w:type="dxa"/>
        <w:tblLayout w:type="fixed"/>
        <w:tblCellMar>
          <w:left w:w="45" w:type="dxa"/>
          <w:right w:w="45" w:type="dxa"/>
        </w:tblCellMar>
        <w:tblLook w:val="0000" w:firstRow="0" w:lastRow="0" w:firstColumn="0" w:lastColumn="0" w:noHBand="0" w:noVBand="0"/>
      </w:tblPr>
      <w:tblGrid>
        <w:gridCol w:w="5404"/>
        <w:gridCol w:w="876"/>
        <w:gridCol w:w="1108"/>
        <w:gridCol w:w="12"/>
        <w:gridCol w:w="1120"/>
        <w:gridCol w:w="1136"/>
      </w:tblGrid>
      <w:tr w:rsidR="00AD1FBF" w:rsidRPr="006A75A2" w:rsidTr="00AD1FBF">
        <w:tc>
          <w:tcPr>
            <w:tcW w:w="5404"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984" w:type="dxa"/>
            <w:gridSpan w:val="2"/>
            <w:tcBorders>
              <w:top w:val="single" w:sz="6" w:space="0" w:color="auto"/>
              <w:left w:val="nil"/>
              <w:bottom w:val="nil"/>
              <w:right w:val="nil"/>
            </w:tcBorders>
            <w:shd w:val="clear" w:color="000000" w:fill="000000"/>
          </w:tcPr>
          <w:p w:rsidR="00AD1FBF" w:rsidRPr="006A75A2" w:rsidRDefault="00AD1FBF" w:rsidP="004B5CB1">
            <w:pPr>
              <w:pStyle w:val="TabletextheadingCentred"/>
              <w:rPr>
                <w:rFonts w:eastAsiaTheme="minorEastAsia"/>
                <w:sz w:val="20"/>
                <w:szCs w:val="20"/>
                <w:lang w:eastAsia="en-AU"/>
              </w:rPr>
            </w:pPr>
          </w:p>
          <w:p w:rsidR="00AD1FBF" w:rsidRPr="006A75A2" w:rsidRDefault="00AD1FB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68" w:type="dxa"/>
            <w:gridSpan w:val="3"/>
            <w:tcBorders>
              <w:top w:val="single" w:sz="6" w:space="0" w:color="auto"/>
              <w:left w:val="nil"/>
              <w:bottom w:val="nil"/>
              <w:right w:val="single" w:sz="6" w:space="0" w:color="auto"/>
            </w:tcBorders>
            <w:shd w:val="clear" w:color="000000" w:fill="000000"/>
          </w:tcPr>
          <w:p w:rsidR="00AD1FBF" w:rsidRPr="006A75A2" w:rsidRDefault="00AD1FBF" w:rsidP="00AD1FBF">
            <w:pPr>
              <w:pStyle w:val="TabletextheadingCentred"/>
              <w:rPr>
                <w:rFonts w:eastAsiaTheme="minorEastAsia"/>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t>government sector</w:t>
            </w:r>
          </w:p>
        </w:tc>
      </w:tr>
      <w:tr w:rsidR="004E6C32" w:rsidRPr="006A75A2" w:rsidTr="004B5CB1">
        <w:tc>
          <w:tcPr>
            <w:tcW w:w="5404"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87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2014</w:t>
            </w:r>
          </w:p>
        </w:tc>
        <w:tc>
          <w:tcPr>
            <w:tcW w:w="1120" w:type="dxa"/>
            <w:gridSpan w:val="2"/>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2014</w:t>
            </w:r>
          </w:p>
        </w:tc>
        <w:tc>
          <w:tcPr>
            <w:tcW w:w="1136"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2013</w:t>
            </w:r>
          </w:p>
        </w:tc>
      </w:tr>
      <w:tr w:rsidR="004E6C32" w:rsidRPr="006A75A2" w:rsidTr="004B5CB1">
        <w:tc>
          <w:tcPr>
            <w:tcW w:w="5404" w:type="dxa"/>
            <w:tcBorders>
              <w:top w:val="single" w:sz="6" w:space="0" w:color="auto"/>
              <w:left w:val="nil"/>
              <w:bottom w:val="nil"/>
              <w:right w:val="nil"/>
            </w:tcBorders>
          </w:tcPr>
          <w:p w:rsidR="004E6C32" w:rsidRPr="006A75A2" w:rsidRDefault="004E6C32" w:rsidP="004B5CB1">
            <w:pPr>
              <w:pStyle w:val="Tabletext"/>
              <w:rPr>
                <w:rFonts w:eastAsiaTheme="minorEastAsia"/>
                <w:b/>
                <w:sz w:val="20"/>
                <w:szCs w:val="20"/>
                <w:lang w:eastAsia="en-AU"/>
              </w:rPr>
            </w:pPr>
            <w:r w:rsidRPr="006A75A2">
              <w:rPr>
                <w:rFonts w:eastAsiaTheme="minorEastAsia"/>
                <w:b/>
                <w:sz w:val="20"/>
                <w:szCs w:val="20"/>
                <w:lang w:eastAsia="en-AU"/>
              </w:rPr>
              <w:t>Financial assets</w:t>
            </w:r>
          </w:p>
        </w:tc>
        <w:tc>
          <w:tcPr>
            <w:tcW w:w="876"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b/>
                <w:i/>
                <w:iCs/>
                <w:sz w:val="20"/>
                <w:szCs w:val="20"/>
                <w:lang w:eastAsia="en-AU"/>
              </w:rPr>
            </w:pPr>
            <w:r w:rsidRPr="006A75A2">
              <w:rPr>
                <w:rFonts w:eastAsiaTheme="minorEastAsia"/>
                <w:b/>
                <w:i/>
                <w:iCs/>
                <w:sz w:val="20"/>
                <w:szCs w:val="20"/>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i/>
                <w:iCs/>
                <w:sz w:val="20"/>
                <w:szCs w:val="20"/>
                <w:lang w:eastAsia="en-AU"/>
              </w:rPr>
            </w:pPr>
            <w:r w:rsidRPr="006A75A2">
              <w:rPr>
                <w:rFonts w:eastAsiaTheme="minorEastAsia"/>
                <w:b/>
                <w:i/>
                <w:iCs/>
                <w:sz w:val="20"/>
                <w:szCs w:val="20"/>
                <w:lang w:eastAsia="en-AU"/>
              </w:rPr>
              <w:t xml:space="preserve">  </w:t>
            </w:r>
          </w:p>
        </w:tc>
        <w:tc>
          <w:tcPr>
            <w:tcW w:w="1136" w:type="dxa"/>
            <w:tcBorders>
              <w:top w:val="single" w:sz="6" w:space="0" w:color="auto"/>
              <w:left w:val="nil"/>
              <w:bottom w:val="nil"/>
              <w:right w:val="nil"/>
            </w:tcBorders>
          </w:tcPr>
          <w:p w:rsidR="004E6C32" w:rsidRPr="006A75A2" w:rsidRDefault="004E6C32" w:rsidP="004B5CB1">
            <w:pPr>
              <w:pStyle w:val="TableofFigures"/>
              <w:rPr>
                <w:rFonts w:eastAsiaTheme="minorEastAsia"/>
                <w:b/>
                <w:i/>
                <w:iCs/>
                <w:sz w:val="20"/>
                <w:szCs w:val="20"/>
                <w:lang w:eastAsia="en-AU"/>
              </w:rPr>
            </w:pPr>
            <w:r w:rsidRPr="006A75A2">
              <w:rPr>
                <w:rFonts w:eastAsiaTheme="minorEastAsia"/>
                <w:b/>
                <w:i/>
                <w:iCs/>
                <w:sz w:val="20"/>
                <w:szCs w:val="20"/>
                <w:lang w:eastAsia="en-AU"/>
              </w:rPr>
              <w:t xml:space="preserve">  </w:t>
            </w:r>
          </w:p>
        </w:tc>
      </w:tr>
      <w:tr w:rsidR="004E6C32" w:rsidRPr="006A75A2" w:rsidTr="004B5CB1">
        <w:tc>
          <w:tcPr>
            <w:tcW w:w="5404"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Cash and deposits</w:t>
            </w:r>
          </w:p>
        </w:tc>
        <w:tc>
          <w:tcPr>
            <w:tcW w:w="8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322.6</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432.9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715.3</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330.1</w:t>
            </w:r>
          </w:p>
        </w:tc>
      </w:tr>
      <w:tr w:rsidR="004E6C32" w:rsidRPr="006A75A2" w:rsidTr="004B5CB1">
        <w:tc>
          <w:tcPr>
            <w:tcW w:w="5404" w:type="dxa"/>
            <w:tcBorders>
              <w:top w:val="nil"/>
              <w:left w:val="nil"/>
              <w:bottom w:val="nil"/>
              <w:right w:val="nil"/>
            </w:tcBorders>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lang w:eastAsia="en-AU"/>
              </w:rPr>
              <w:t>Designated</w:t>
            </w:r>
            <w:r w:rsidRPr="006A75A2">
              <w:rPr>
                <w:rFonts w:eastAsiaTheme="minorEastAsia" w:cs="Calibri"/>
                <w:sz w:val="20"/>
                <w:szCs w:val="20"/>
                <w:lang w:eastAsia="en-AU"/>
              </w:rPr>
              <w:t xml:space="preserve"> at fair value through the operating statement</w:t>
            </w:r>
          </w:p>
        </w:tc>
        <w:tc>
          <w:tcPr>
            <w:tcW w:w="8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2</w:t>
            </w:r>
            <w:r w:rsidRPr="006A75A2">
              <w:rPr>
                <w:rFonts w:eastAsiaTheme="minorEastAsia" w:cs="Calibri"/>
                <w:sz w:val="20"/>
                <w:szCs w:val="20"/>
                <w:lang w:eastAsia="en-AU"/>
              </w:rPr>
              <w:t xml:space="preserve"> 065.2</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1 334.7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27.7</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19.2</w:t>
            </w:r>
          </w:p>
        </w:tc>
      </w:tr>
      <w:tr w:rsidR="004E6C32" w:rsidRPr="006A75A2" w:rsidTr="004B5CB1">
        <w:tc>
          <w:tcPr>
            <w:tcW w:w="5404" w:type="dxa"/>
            <w:tcBorders>
              <w:top w:val="nil"/>
              <w:left w:val="nil"/>
              <w:bottom w:val="nil"/>
              <w:right w:val="nil"/>
            </w:tcBorders>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lang w:eastAsia="en-AU"/>
              </w:rPr>
              <w:t>Held-for-trading</w:t>
            </w:r>
            <w:r w:rsidRPr="006A75A2">
              <w:rPr>
                <w:rFonts w:eastAsiaTheme="minorEastAsia" w:cs="Calibri"/>
                <w:sz w:val="20"/>
                <w:szCs w:val="20"/>
                <w:lang w:eastAsia="en-AU"/>
              </w:rPr>
              <w:t xml:space="preserve"> at fair value through the operating statement</w:t>
            </w:r>
          </w:p>
        </w:tc>
        <w:tc>
          <w:tcPr>
            <w:tcW w:w="8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22.4</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904.4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23.9</w:t>
            </w:r>
          </w:p>
        </w:tc>
        <w:tc>
          <w:tcPr>
            <w:tcW w:w="113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(1.3)</w:t>
            </w:r>
          </w:p>
        </w:tc>
      </w:tr>
      <w:tr w:rsidR="004E6C32" w:rsidRPr="006A75A2" w:rsidTr="004B5CB1">
        <w:tc>
          <w:tcPr>
            <w:tcW w:w="5404" w:type="dxa"/>
            <w:tcBorders>
              <w:top w:val="nil"/>
              <w:left w:val="nil"/>
              <w:bottom w:val="nil"/>
              <w:right w:val="nil"/>
            </w:tcBorders>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lang w:eastAsia="en-AU"/>
              </w:rPr>
              <w:t>Loans</w:t>
            </w:r>
            <w:r w:rsidRPr="006A75A2">
              <w:rPr>
                <w:rFonts w:eastAsiaTheme="minorEastAsia" w:cs="Calibri"/>
                <w:sz w:val="20"/>
                <w:szCs w:val="20"/>
                <w:lang w:eastAsia="en-AU"/>
              </w:rPr>
              <w:t xml:space="preserve"> and receivables</w:t>
            </w:r>
          </w:p>
        </w:tc>
        <w:tc>
          <w:tcPr>
            <w:tcW w:w="8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145.9</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108.2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57.7</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309.6</w:t>
            </w:r>
          </w:p>
        </w:tc>
      </w:tr>
      <w:tr w:rsidR="004E6C32" w:rsidRPr="006A75A2" w:rsidTr="004B5CB1">
        <w:tc>
          <w:tcPr>
            <w:tcW w:w="5404"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Available-for-sale</w:t>
            </w:r>
          </w:p>
        </w:tc>
        <w:tc>
          <w:tcPr>
            <w:tcW w:w="8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0.8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13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0.8</w:t>
            </w:r>
          </w:p>
        </w:tc>
      </w:tr>
      <w:tr w:rsidR="004E6C32" w:rsidRPr="006A75A2" w:rsidTr="004B5CB1">
        <w:tc>
          <w:tcPr>
            <w:tcW w:w="5404"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cs="Calibri"/>
                <w:b/>
                <w:bCs/>
                <w:sz w:val="20"/>
                <w:szCs w:val="20"/>
                <w:lang w:eastAsia="en-AU"/>
              </w:rPr>
            </w:pPr>
            <w:r w:rsidRPr="006A75A2">
              <w:rPr>
                <w:rFonts w:eastAsiaTheme="minorEastAsia"/>
                <w:b/>
                <w:sz w:val="20"/>
                <w:szCs w:val="20"/>
                <w:lang w:eastAsia="en-AU"/>
              </w:rPr>
              <w:t>Total</w:t>
            </w:r>
          </w:p>
        </w:tc>
        <w:tc>
          <w:tcPr>
            <w:tcW w:w="8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sz w:val="20"/>
                <w:szCs w:val="20"/>
                <w:lang w:eastAsia="en-AU"/>
              </w:rPr>
              <w:t>2</w:t>
            </w:r>
            <w:r w:rsidRPr="006A75A2">
              <w:rPr>
                <w:rFonts w:eastAsiaTheme="minorEastAsia" w:cs="Calibri"/>
                <w:b/>
                <w:bCs/>
                <w:sz w:val="20"/>
                <w:szCs w:val="20"/>
                <w:lang w:eastAsia="en-AU"/>
              </w:rPr>
              <w:t xml:space="preserve"> 556.1</w:t>
            </w:r>
          </w:p>
        </w:tc>
        <w:tc>
          <w:tcPr>
            <w:tcW w:w="1120"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2 781.1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sz w:val="20"/>
                <w:szCs w:val="20"/>
                <w:lang w:eastAsia="en-AU"/>
              </w:rPr>
              <w:t xml:space="preserve"> </w:t>
            </w:r>
            <w:r w:rsidRPr="006A75A2">
              <w:rPr>
                <w:rFonts w:eastAsiaTheme="minorEastAsia" w:cs="Calibri"/>
                <w:b/>
                <w:bCs/>
                <w:sz w:val="20"/>
                <w:szCs w:val="20"/>
                <w:lang w:eastAsia="en-AU"/>
              </w:rPr>
              <w:t>824.6</w:t>
            </w:r>
          </w:p>
        </w:tc>
        <w:tc>
          <w:tcPr>
            <w:tcW w:w="113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658.4</w:t>
            </w:r>
          </w:p>
        </w:tc>
      </w:tr>
      <w:tr w:rsidR="004E6C32" w:rsidRPr="006A75A2" w:rsidTr="004B5CB1">
        <w:tc>
          <w:tcPr>
            <w:tcW w:w="5404" w:type="dxa"/>
            <w:tcBorders>
              <w:top w:val="single" w:sz="6" w:space="0" w:color="auto"/>
              <w:left w:val="nil"/>
              <w:bottom w:val="nil"/>
              <w:right w:val="nil"/>
            </w:tcBorders>
          </w:tcPr>
          <w:p w:rsidR="004E6C32" w:rsidRPr="006A75A2" w:rsidRDefault="004E6C32" w:rsidP="004B5CB1">
            <w:pPr>
              <w:pStyle w:val="Tabletext"/>
              <w:rPr>
                <w:rFonts w:eastAsiaTheme="minorEastAsia" w:cs="Calibri"/>
                <w:b/>
                <w:bCs/>
                <w:sz w:val="20"/>
                <w:szCs w:val="20"/>
                <w:lang w:eastAsia="en-AU"/>
              </w:rPr>
            </w:pPr>
            <w:r w:rsidRPr="006A75A2">
              <w:rPr>
                <w:rFonts w:eastAsiaTheme="minorEastAsia"/>
                <w:b/>
                <w:sz w:val="20"/>
                <w:szCs w:val="20"/>
                <w:lang w:eastAsia="en-AU"/>
              </w:rPr>
              <w:t>Financial</w:t>
            </w:r>
            <w:r w:rsidRPr="006A75A2">
              <w:rPr>
                <w:rFonts w:eastAsiaTheme="minorEastAsia" w:cs="Calibri"/>
                <w:b/>
                <w:bCs/>
                <w:sz w:val="20"/>
                <w:szCs w:val="20"/>
                <w:lang w:eastAsia="en-AU"/>
              </w:rPr>
              <w:t xml:space="preserve"> liabilities</w:t>
            </w:r>
          </w:p>
        </w:tc>
        <w:tc>
          <w:tcPr>
            <w:tcW w:w="876"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p>
        </w:tc>
        <w:tc>
          <w:tcPr>
            <w:tcW w:w="1120"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p>
        </w:tc>
        <w:tc>
          <w:tcPr>
            <w:tcW w:w="1136"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r>
      <w:tr w:rsidR="004E6C32" w:rsidRPr="006A75A2" w:rsidTr="004B5CB1">
        <w:tc>
          <w:tcPr>
            <w:tcW w:w="5404" w:type="dxa"/>
            <w:tcBorders>
              <w:top w:val="nil"/>
              <w:left w:val="nil"/>
              <w:bottom w:val="nil"/>
              <w:right w:val="nil"/>
            </w:tcBorders>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lang w:eastAsia="en-AU"/>
              </w:rPr>
              <w:t>Designated</w:t>
            </w:r>
            <w:r w:rsidRPr="006A75A2">
              <w:rPr>
                <w:rFonts w:eastAsiaTheme="minorEastAsia" w:cs="Calibri"/>
                <w:sz w:val="20"/>
                <w:szCs w:val="20"/>
                <w:lang w:eastAsia="en-AU"/>
              </w:rPr>
              <w:t xml:space="preserve"> at fair value through the operating statement</w:t>
            </w:r>
          </w:p>
        </w:tc>
        <w:tc>
          <w:tcPr>
            <w:tcW w:w="8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949.0</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854.4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404"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Held-for-trading at fair value through the operating statement</w:t>
            </w:r>
          </w:p>
        </w:tc>
        <w:tc>
          <w:tcPr>
            <w:tcW w:w="8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2.3</w:t>
            </w:r>
          </w:p>
        </w:tc>
        <w:tc>
          <w:tcPr>
            <w:tcW w:w="1120" w:type="dxa"/>
            <w:gridSpan w:val="2"/>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70.6</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13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404" w:type="dxa"/>
            <w:tcBorders>
              <w:top w:val="nil"/>
              <w:left w:val="nil"/>
              <w:bottom w:val="single" w:sz="6" w:space="0" w:color="auto"/>
              <w:right w:val="nil"/>
            </w:tcBorders>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lang w:eastAsia="en-AU"/>
              </w:rPr>
              <w:t>At</w:t>
            </w:r>
            <w:r w:rsidRPr="006A75A2">
              <w:rPr>
                <w:rFonts w:eastAsiaTheme="minorEastAsia" w:cs="Calibri"/>
                <w:sz w:val="20"/>
                <w:szCs w:val="20"/>
                <w:lang w:eastAsia="en-AU"/>
              </w:rPr>
              <w:t xml:space="preserve"> amortised cost </w:t>
            </w:r>
          </w:p>
        </w:tc>
        <w:tc>
          <w:tcPr>
            <w:tcW w:w="8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120"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13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40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 w:val="20"/>
                <w:szCs w:val="20"/>
                <w:lang w:eastAsia="en-AU"/>
              </w:rPr>
            </w:pPr>
            <w:r w:rsidRPr="006A75A2">
              <w:rPr>
                <w:rFonts w:eastAsiaTheme="minorEastAsia"/>
                <w:b/>
                <w:sz w:val="20"/>
                <w:szCs w:val="20"/>
                <w:lang w:eastAsia="en-AU"/>
              </w:rPr>
              <w:t>Total</w:t>
            </w:r>
          </w:p>
        </w:tc>
        <w:tc>
          <w:tcPr>
            <w:tcW w:w="8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sz w:val="20"/>
                <w:szCs w:val="20"/>
                <w:lang w:eastAsia="en-AU"/>
              </w:rPr>
              <w:t xml:space="preserve"> </w:t>
            </w:r>
            <w:r w:rsidRPr="006A75A2">
              <w:rPr>
                <w:rFonts w:eastAsiaTheme="minorEastAsia" w:cs="Calibri"/>
                <w:b/>
                <w:bCs/>
                <w:sz w:val="20"/>
                <w:szCs w:val="20"/>
                <w:lang w:eastAsia="en-AU"/>
              </w:rPr>
              <w:t>951.3</w:t>
            </w:r>
          </w:p>
        </w:tc>
        <w:tc>
          <w:tcPr>
            <w:tcW w:w="112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925.0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sz w:val="20"/>
                <w:szCs w:val="20"/>
                <w:lang w:eastAsia="en-AU"/>
              </w:rPr>
              <w:t>.</w:t>
            </w:r>
            <w:r w:rsidRPr="006A75A2">
              <w:rPr>
                <w:rFonts w:eastAsiaTheme="minorEastAsia" w:cs="Calibri"/>
                <w:b/>
                <w:bCs/>
                <w:sz w:val="20"/>
                <w:szCs w:val="20"/>
                <w:lang w:eastAsia="en-AU"/>
              </w:rPr>
              <w:t>.</w:t>
            </w:r>
          </w:p>
        </w:tc>
        <w:tc>
          <w:tcPr>
            <w:tcW w:w="113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w:t>
            </w:r>
          </w:p>
        </w:tc>
      </w:tr>
    </w:tbl>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(e)</w:t>
      </w:r>
      <w:r w:rsidRPr="006A75A2">
        <w:tab/>
        <w:t>Interest rate risk</w:t>
      </w:r>
    </w:p>
    <w:p w:rsidR="004E6C32" w:rsidRPr="006A75A2" w:rsidRDefault="004E6C32" w:rsidP="0067336F">
      <w:pPr>
        <w:pStyle w:val="Heading5a"/>
      </w:pPr>
      <w:r w:rsidRPr="006A75A2">
        <w:t>Interest risk management</w:t>
      </w:r>
    </w:p>
    <w:p w:rsidR="004E6C32" w:rsidRPr="006A75A2" w:rsidRDefault="004E6C32" w:rsidP="004B5CB1">
      <w:r w:rsidRPr="006A75A2">
        <w:t xml:space="preserve">The State is exposed to interest rate risk through borrowings and investments in interest bearing financial assets, such as deposits and debt securities. </w:t>
      </w:r>
    </w:p>
    <w:p w:rsidR="004E6C32" w:rsidRPr="006A75A2" w:rsidRDefault="004E6C32" w:rsidP="004B5CB1">
      <w:r w:rsidRPr="006A75A2">
        <w:t>Fair value interest rate risk is the risk that the value of a financial instrument will fluctuate because of changes in market interest rates. The majority of the exposure to interest rate risk on the whole of state balance sheet arises from fair value interest rate risk. Exposure to such risk relates primarily to the State</w:t>
      </w:r>
      <w:r w:rsidR="00C96101" w:rsidRPr="006A75A2">
        <w:t>’</w:t>
      </w:r>
      <w:r w:rsidRPr="006A75A2">
        <w:t>s long</w:t>
      </w:r>
      <w:r w:rsidRPr="006A75A2">
        <w:noBreakHyphen/>
        <w:t>term debt obligations with fixed interest rates, which are measured at fair value. This exposure is partially offset by fixed interest investments held to fund the State</w:t>
      </w:r>
      <w:r w:rsidR="00C96101" w:rsidRPr="006A75A2">
        <w:t>’</w:t>
      </w:r>
      <w:r w:rsidRPr="006A75A2">
        <w:t>s insurance and superannuation liabilities.</w:t>
      </w:r>
    </w:p>
    <w:p w:rsidR="004E6C32" w:rsidRPr="006A75A2" w:rsidRDefault="004E6C32" w:rsidP="004B5CB1">
      <w:r w:rsidRPr="006A75A2">
        <w:t>Cash flow interest rate risk is the risk that the future cash flows of a financial instrument will fluctuate because of changes in market interest rates. Only a small portion of the State</w:t>
      </w:r>
      <w:r w:rsidR="00C96101" w:rsidRPr="006A75A2">
        <w:t>’</w:t>
      </w:r>
      <w:r w:rsidRPr="006A75A2">
        <w:t>s financial instruments are exposed to cash flow interest rate risk. Exposure to such risk arises from financial assets and financial liabilities with floating interest rates, which are measured at amortised cost.</w:t>
      </w:r>
    </w:p>
    <w:p w:rsidR="004E6C32" w:rsidRPr="006A75A2" w:rsidRDefault="004E6C32" w:rsidP="004B5CB1">
      <w:r w:rsidRPr="006A75A2">
        <w:t>The State</w:t>
      </w:r>
      <w:r w:rsidR="00C96101" w:rsidRPr="006A75A2">
        <w:t>’</w:t>
      </w:r>
      <w:r w:rsidRPr="006A75A2">
        <w:t>s policy for managing interest rate risk on borrowings is to achieve relative certainty of interest cost while seeking to minimise net borrowing cost within portfolio risk management guidelines. Generally, this is achieved by undertaking fixed rate borrowings across a range of maturity profiles.</w:t>
      </w:r>
    </w:p>
    <w:p w:rsidR="004E6C32" w:rsidRPr="006A75A2" w:rsidRDefault="004E6C32" w:rsidP="004B5CB1">
      <w:r w:rsidRPr="006A75A2">
        <w:t>TCV manages the State</w:t>
      </w:r>
      <w:r w:rsidR="00C96101" w:rsidRPr="006A75A2">
        <w:t>’</w:t>
      </w:r>
      <w:r w:rsidRPr="006A75A2">
        <w:t>s interest risk exposure from borrowings through daily quantification of the risk which assesses the potential loss that the State might incur under various market scenarios. Interest rate risk is managed within an approved limit structure in accordance with TCV</w:t>
      </w:r>
      <w:r w:rsidR="00C96101" w:rsidRPr="006A75A2">
        <w:t>’</w:t>
      </w:r>
      <w:r w:rsidRPr="006A75A2">
        <w:t>s prudential policy and risk management framework, which requires consistency with the Australian Prudential Regulatory Authority prudential statements for banks.</w:t>
      </w:r>
    </w:p>
    <w:p w:rsidR="004E6C32" w:rsidRPr="006A75A2" w:rsidRDefault="004E6C32" w:rsidP="004B5CB1">
      <w:r w:rsidRPr="006A75A2">
        <w:t>Derivative instruments such as interest rate swaps and futures contracts are used to either change the interest rate between fixed and floating rates of interest or between different floating rates of interest. Disclosed is the notional amounts and periods of expiry for the State</w:t>
      </w:r>
      <w:r w:rsidR="00C96101" w:rsidRPr="006A75A2">
        <w:t>’</w:t>
      </w:r>
      <w:r w:rsidRPr="006A75A2">
        <w:t>s interest rate derivatives.</w:t>
      </w:r>
    </w:p>
    <w:p w:rsidR="004E6C32" w:rsidRPr="006A75A2" w:rsidRDefault="004E6C32" w:rsidP="0067336F">
      <w:pPr>
        <w:pStyle w:val="Heading5a"/>
      </w:pPr>
      <w:r w:rsidRPr="006A75A2">
        <w:t>Interest rate derivatives maturities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3561"/>
        <w:gridCol w:w="1134"/>
        <w:gridCol w:w="1276"/>
        <w:gridCol w:w="992"/>
        <w:gridCol w:w="1276"/>
        <w:gridCol w:w="1401"/>
      </w:tblGrid>
      <w:tr w:rsidR="00AD1FBF" w:rsidRPr="006A75A2" w:rsidTr="00AD1FBF">
        <w:tc>
          <w:tcPr>
            <w:tcW w:w="3561"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headingLeft"/>
              <w:rPr>
                <w:rFonts w:eastAsiaTheme="minorEastAsia"/>
                <w:sz w:val="20"/>
                <w:szCs w:val="20"/>
                <w:lang w:eastAsia="en-AU"/>
              </w:rPr>
            </w:pPr>
            <w:r w:rsidRPr="006A75A2">
              <w:rPr>
                <w:rFonts w:eastAsiaTheme="minorEastAsia"/>
                <w:sz w:val="20"/>
                <w:szCs w:val="20"/>
                <w:lang w:eastAsia="en-AU"/>
              </w:rPr>
              <w:t>State of Victoria</w:t>
            </w:r>
          </w:p>
        </w:tc>
        <w:tc>
          <w:tcPr>
            <w:tcW w:w="4678" w:type="dxa"/>
            <w:gridSpan w:val="4"/>
            <w:tcBorders>
              <w:top w:val="single" w:sz="6" w:space="0" w:color="auto"/>
              <w:left w:val="nil"/>
              <w:bottom w:val="nil"/>
              <w:right w:val="nil"/>
            </w:tcBorders>
            <w:shd w:val="clear" w:color="000000" w:fill="000000"/>
          </w:tcPr>
          <w:p w:rsidR="00AD1FBF" w:rsidRPr="006A75A2" w:rsidRDefault="00AD1FBF" w:rsidP="00AD1FBF">
            <w:pPr>
              <w:pStyle w:val="TabletextheadingCentred"/>
              <w:rPr>
                <w:rFonts w:eastAsiaTheme="minorEastAsia"/>
                <w:sz w:val="20"/>
                <w:szCs w:val="20"/>
                <w:lang w:eastAsia="en-AU"/>
              </w:rPr>
            </w:pPr>
            <w:r w:rsidRPr="006A75A2">
              <w:rPr>
                <w:rFonts w:eastAsiaTheme="minorEastAsia"/>
                <w:sz w:val="20"/>
                <w:szCs w:val="20"/>
                <w:lang w:eastAsia="en-AU"/>
              </w:rPr>
              <w:t>Interest rate swaps</w:t>
            </w:r>
          </w:p>
        </w:tc>
        <w:tc>
          <w:tcPr>
            <w:tcW w:w="1401" w:type="dxa"/>
            <w:vMerge w:val="restart"/>
            <w:tcBorders>
              <w:top w:val="single" w:sz="6" w:space="0" w:color="auto"/>
              <w:left w:val="nil"/>
              <w:right w:val="single" w:sz="6" w:space="0" w:color="auto"/>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 xml:space="preserve">Exchange </w:t>
            </w:r>
          </w:p>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 xml:space="preserve">traded futures </w:t>
            </w:r>
          </w:p>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contracts</w:t>
            </w:r>
          </w:p>
        </w:tc>
      </w:tr>
      <w:tr w:rsidR="00AD1FBF" w:rsidRPr="006A75A2" w:rsidTr="00AD1FBF">
        <w:trPr>
          <w:trHeight w:val="488"/>
        </w:trPr>
        <w:tc>
          <w:tcPr>
            <w:tcW w:w="3561" w:type="dxa"/>
            <w:tcBorders>
              <w:top w:val="nil"/>
              <w:left w:val="single" w:sz="6" w:space="0" w:color="auto"/>
              <w:right w:val="nil"/>
            </w:tcBorders>
            <w:shd w:val="clear" w:color="000000" w:fill="000000"/>
          </w:tcPr>
          <w:p w:rsidR="00AD1FBF" w:rsidRPr="006A75A2" w:rsidRDefault="00AD1FBF" w:rsidP="004B5CB1">
            <w:pPr>
              <w:pStyle w:val="TabletextheadingLeft"/>
              <w:rPr>
                <w:rFonts w:eastAsiaTheme="minorEastAsia"/>
                <w:sz w:val="20"/>
                <w:szCs w:val="20"/>
                <w:lang w:eastAsia="en-AU"/>
              </w:rPr>
            </w:pPr>
          </w:p>
          <w:p w:rsidR="00AD1FBF" w:rsidRPr="006A75A2" w:rsidRDefault="00AD1FBF" w:rsidP="004B5CB1">
            <w:pPr>
              <w:pStyle w:val="TabletextheadingLeft"/>
              <w:rPr>
                <w:rFonts w:eastAsiaTheme="minorEastAsia"/>
                <w:sz w:val="20"/>
                <w:szCs w:val="20"/>
                <w:lang w:eastAsia="en-AU"/>
              </w:rPr>
            </w:pPr>
            <w:r w:rsidRPr="006A75A2">
              <w:rPr>
                <w:rFonts w:eastAsiaTheme="minorEastAsia"/>
                <w:sz w:val="20"/>
                <w:szCs w:val="20"/>
                <w:lang w:eastAsia="en-AU"/>
              </w:rPr>
              <w:t>2014</w:t>
            </w:r>
          </w:p>
        </w:tc>
        <w:tc>
          <w:tcPr>
            <w:tcW w:w="1134" w:type="dxa"/>
            <w:tcBorders>
              <w:top w:val="nil"/>
              <w:left w:val="nil"/>
              <w:right w:val="nil"/>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 xml:space="preserve"> </w:t>
            </w:r>
          </w:p>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Indexed</w:t>
            </w:r>
          </w:p>
        </w:tc>
        <w:tc>
          <w:tcPr>
            <w:tcW w:w="1276" w:type="dxa"/>
            <w:tcBorders>
              <w:top w:val="nil"/>
              <w:left w:val="nil"/>
              <w:right w:val="nil"/>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Floating-</w:t>
            </w:r>
          </w:p>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for-floating</w:t>
            </w:r>
          </w:p>
        </w:tc>
        <w:tc>
          <w:tcPr>
            <w:tcW w:w="992" w:type="dxa"/>
            <w:tcBorders>
              <w:top w:val="nil"/>
              <w:left w:val="nil"/>
              <w:right w:val="nil"/>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 xml:space="preserve"> </w:t>
            </w:r>
          </w:p>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Pay fixed</w:t>
            </w:r>
          </w:p>
        </w:tc>
        <w:tc>
          <w:tcPr>
            <w:tcW w:w="1276" w:type="dxa"/>
            <w:tcBorders>
              <w:top w:val="nil"/>
              <w:left w:val="nil"/>
              <w:right w:val="nil"/>
            </w:tcBorders>
            <w:shd w:val="clear" w:color="000000" w:fill="000000"/>
          </w:tcPr>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 xml:space="preserve">   </w:t>
            </w:r>
          </w:p>
          <w:p w:rsidR="00AD1FBF" w:rsidRPr="006A75A2" w:rsidRDefault="00AD1FBF" w:rsidP="004B5CB1">
            <w:pPr>
              <w:pStyle w:val="Tabletextheading"/>
              <w:rPr>
                <w:rFonts w:eastAsiaTheme="minorEastAsia"/>
                <w:sz w:val="20"/>
                <w:szCs w:val="20"/>
                <w:lang w:eastAsia="en-AU"/>
              </w:rPr>
            </w:pPr>
            <w:r w:rsidRPr="006A75A2">
              <w:rPr>
                <w:rFonts w:eastAsiaTheme="minorEastAsia"/>
                <w:sz w:val="20"/>
                <w:szCs w:val="20"/>
                <w:lang w:eastAsia="en-AU"/>
              </w:rPr>
              <w:t>Receive fixed</w:t>
            </w:r>
          </w:p>
        </w:tc>
        <w:tc>
          <w:tcPr>
            <w:tcW w:w="1401" w:type="dxa"/>
            <w:vMerge/>
            <w:tcBorders>
              <w:left w:val="nil"/>
              <w:right w:val="single" w:sz="6" w:space="0" w:color="auto"/>
            </w:tcBorders>
            <w:shd w:val="clear" w:color="000000" w:fill="000000"/>
          </w:tcPr>
          <w:p w:rsidR="00AD1FBF" w:rsidRPr="006A75A2" w:rsidRDefault="00AD1FBF" w:rsidP="004B5CB1">
            <w:pPr>
              <w:pStyle w:val="Tabletextheading"/>
              <w:rPr>
                <w:rFonts w:eastAsiaTheme="minorEastAsia"/>
                <w:sz w:val="20"/>
                <w:szCs w:val="20"/>
                <w:lang w:eastAsia="en-AU"/>
              </w:rPr>
            </w:pPr>
          </w:p>
        </w:tc>
      </w:tr>
      <w:tr w:rsidR="004E6C32" w:rsidRPr="006A75A2" w:rsidTr="004B5CB1">
        <w:tc>
          <w:tcPr>
            <w:tcW w:w="3561"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Less than 1 year</w:t>
            </w:r>
          </w:p>
        </w:tc>
        <w:tc>
          <w:tcPr>
            <w:tcW w:w="1134"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(40.0)</w:t>
            </w:r>
          </w:p>
        </w:tc>
        <w:tc>
          <w:tcPr>
            <w:tcW w:w="992"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909.0</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645.0</w:t>
            </w:r>
          </w:p>
        </w:tc>
        <w:tc>
          <w:tcPr>
            <w:tcW w:w="1401"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555.0</w:t>
            </w:r>
          </w:p>
        </w:tc>
      </w:tr>
      <w:tr w:rsidR="004E6C32" w:rsidRPr="006A75A2" w:rsidTr="004B5CB1">
        <w:tc>
          <w:tcPr>
            <w:tcW w:w="3561" w:type="dxa"/>
            <w:tcBorders>
              <w:top w:val="nil"/>
              <w:left w:val="nil"/>
              <w:bottom w:val="nil"/>
              <w:right w:val="nil"/>
            </w:tcBorders>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lang w:eastAsia="en-AU"/>
              </w:rPr>
              <w:t>1</w:t>
            </w:r>
            <w:r w:rsidRPr="006A75A2">
              <w:rPr>
                <w:rFonts w:eastAsiaTheme="minorEastAsia" w:cs="Calibri"/>
                <w:sz w:val="20"/>
                <w:szCs w:val="20"/>
                <w:lang w:eastAsia="en-AU"/>
              </w:rPr>
              <w:t xml:space="preserve"> year but less than 2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992"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119.1</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90.0</w:t>
            </w:r>
          </w:p>
        </w:tc>
        <w:tc>
          <w:tcPr>
            <w:tcW w:w="1401"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r>
      <w:tr w:rsidR="004E6C32" w:rsidRPr="006A75A2" w:rsidTr="004B5CB1">
        <w:tc>
          <w:tcPr>
            <w:tcW w:w="3561" w:type="dxa"/>
            <w:tcBorders>
              <w:top w:val="nil"/>
              <w:left w:val="nil"/>
              <w:bottom w:val="nil"/>
              <w:right w:val="nil"/>
            </w:tcBorders>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lang w:eastAsia="en-AU"/>
              </w:rPr>
              <w:t>2</w:t>
            </w:r>
            <w:r w:rsidRPr="006A75A2">
              <w:rPr>
                <w:rFonts w:eastAsiaTheme="minorEastAsia" w:cs="Calibri"/>
                <w:sz w:val="20"/>
                <w:szCs w:val="20"/>
                <w:lang w:eastAsia="en-AU"/>
              </w:rPr>
              <w:t xml:space="preserve"> years but less than 3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7.8</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992"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374.3</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395.0</w:t>
            </w:r>
          </w:p>
        </w:tc>
        <w:tc>
          <w:tcPr>
            <w:tcW w:w="1401"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r>
      <w:tr w:rsidR="004E6C32" w:rsidRPr="006A75A2" w:rsidTr="004B5CB1">
        <w:tc>
          <w:tcPr>
            <w:tcW w:w="3561" w:type="dxa"/>
            <w:tcBorders>
              <w:top w:val="nil"/>
              <w:left w:val="nil"/>
              <w:bottom w:val="nil"/>
              <w:right w:val="nil"/>
            </w:tcBorders>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lang w:eastAsia="en-AU"/>
              </w:rPr>
              <w:t>3</w:t>
            </w:r>
            <w:r w:rsidRPr="006A75A2">
              <w:rPr>
                <w:rFonts w:eastAsiaTheme="minorEastAsia" w:cs="Calibri"/>
                <w:sz w:val="20"/>
                <w:szCs w:val="20"/>
                <w:lang w:eastAsia="en-AU"/>
              </w:rPr>
              <w:t xml:space="preserve"> years but less than 4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992"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20.0</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20.0</w:t>
            </w:r>
          </w:p>
        </w:tc>
        <w:tc>
          <w:tcPr>
            <w:tcW w:w="1401"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r>
      <w:tr w:rsidR="004E6C32" w:rsidRPr="006A75A2" w:rsidTr="004B5CB1">
        <w:tc>
          <w:tcPr>
            <w:tcW w:w="356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4 years but less than 5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992"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401"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r>
      <w:tr w:rsidR="004E6C32" w:rsidRPr="006A75A2" w:rsidTr="004B5CB1">
        <w:tc>
          <w:tcPr>
            <w:tcW w:w="3561" w:type="dxa"/>
            <w:tcBorders>
              <w:top w:val="nil"/>
              <w:left w:val="nil"/>
              <w:bottom w:val="single" w:sz="6" w:space="0" w:color="auto"/>
              <w:right w:val="nil"/>
            </w:tcBorders>
          </w:tcPr>
          <w:p w:rsidR="004E6C32" w:rsidRPr="006A75A2" w:rsidRDefault="004E6C32" w:rsidP="004B5CB1">
            <w:pPr>
              <w:pStyle w:val="Tabletext"/>
              <w:rPr>
                <w:rFonts w:eastAsiaTheme="minorEastAsia" w:cs="Calibri"/>
                <w:sz w:val="20"/>
                <w:szCs w:val="20"/>
                <w:lang w:eastAsia="en-AU"/>
              </w:rPr>
            </w:pPr>
            <w:r w:rsidRPr="006A75A2">
              <w:rPr>
                <w:rFonts w:eastAsiaTheme="minorEastAsia"/>
                <w:sz w:val="20"/>
                <w:szCs w:val="20"/>
                <w:lang w:eastAsia="en-AU"/>
              </w:rPr>
              <w:t>5</w:t>
            </w:r>
            <w:r w:rsidRPr="006A75A2">
              <w:rPr>
                <w:rFonts w:eastAsiaTheme="minorEastAsia" w:cs="Calibri"/>
                <w:sz w:val="20"/>
                <w:szCs w:val="20"/>
                <w:lang w:eastAsia="en-AU"/>
              </w:rPr>
              <w:t xml:space="preserve"> years or more</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(174.1)</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992"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1</w:t>
            </w:r>
            <w:r w:rsidRPr="006A75A2">
              <w:rPr>
                <w:rFonts w:eastAsiaTheme="minorEastAsia" w:cs="Calibri"/>
                <w:sz w:val="20"/>
                <w:szCs w:val="20"/>
                <w:lang w:eastAsia="en-AU"/>
              </w:rPr>
              <w:t xml:space="preserve"> 421.9</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972.0</w:t>
            </w:r>
          </w:p>
        </w:tc>
        <w:tc>
          <w:tcPr>
            <w:tcW w:w="1401"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r>
      <w:tr w:rsidR="004E6C32" w:rsidRPr="006A75A2" w:rsidTr="004B5CB1">
        <w:tc>
          <w:tcPr>
            <w:tcW w:w="356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 w:val="20"/>
                <w:szCs w:val="20"/>
                <w:lang w:eastAsia="en-AU"/>
              </w:rPr>
            </w:pPr>
            <w:r w:rsidRPr="006A75A2">
              <w:rPr>
                <w:rFonts w:eastAsiaTheme="minorEastAsia"/>
                <w:b/>
                <w:bCs/>
                <w:sz w:val="20"/>
                <w:szCs w:val="20"/>
                <w:lang w:eastAsia="en-AU"/>
              </w:rPr>
              <w:t>Total</w:t>
            </w:r>
          </w:p>
        </w:tc>
        <w:tc>
          <w:tcPr>
            <w:tcW w:w="113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szCs w:val="20"/>
                <w:lang w:eastAsia="en-AU"/>
              </w:rPr>
              <w:t>(166.3)</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szCs w:val="20"/>
                <w:lang w:eastAsia="en-AU"/>
              </w:rPr>
              <w:t>(40.0)</w:t>
            </w:r>
          </w:p>
        </w:tc>
        <w:tc>
          <w:tcPr>
            <w:tcW w:w="99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2</w:t>
            </w:r>
            <w:r w:rsidRPr="006A75A2">
              <w:rPr>
                <w:rFonts w:eastAsiaTheme="minorEastAsia" w:cs="Calibri"/>
                <w:b/>
                <w:bCs/>
                <w:sz w:val="20"/>
                <w:szCs w:val="20"/>
                <w:lang w:eastAsia="en-AU"/>
              </w:rPr>
              <w:t xml:space="preserve"> 844.2</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2</w:t>
            </w:r>
            <w:r w:rsidRPr="006A75A2">
              <w:rPr>
                <w:rFonts w:eastAsiaTheme="minorEastAsia" w:cs="Calibri"/>
                <w:b/>
                <w:bCs/>
                <w:sz w:val="20"/>
                <w:szCs w:val="20"/>
                <w:lang w:eastAsia="en-AU"/>
              </w:rPr>
              <w:t xml:space="preserve"> 122.0</w:t>
            </w:r>
          </w:p>
        </w:tc>
        <w:tc>
          <w:tcPr>
            <w:tcW w:w="140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bCs/>
                <w:sz w:val="20"/>
                <w:szCs w:val="20"/>
                <w:lang w:eastAsia="en-AU"/>
              </w:rPr>
              <w:t xml:space="preserve"> </w:t>
            </w:r>
            <w:r w:rsidRPr="006A75A2">
              <w:rPr>
                <w:rFonts w:eastAsiaTheme="minorEastAsia" w:cs="Calibri"/>
                <w:b/>
                <w:bCs/>
                <w:sz w:val="20"/>
                <w:szCs w:val="20"/>
                <w:lang w:eastAsia="en-AU"/>
              </w:rPr>
              <w:t>555.0</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3561"/>
        <w:gridCol w:w="1134"/>
        <w:gridCol w:w="1276"/>
        <w:gridCol w:w="992"/>
        <w:gridCol w:w="1276"/>
        <w:gridCol w:w="1401"/>
      </w:tblGrid>
      <w:tr w:rsidR="004E6C32" w:rsidRPr="006A75A2" w:rsidTr="00AD1FBF">
        <w:trPr>
          <w:trHeight w:val="74"/>
        </w:trPr>
        <w:tc>
          <w:tcPr>
            <w:tcW w:w="3561"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sz w:val="20"/>
                <w:szCs w:val="20"/>
                <w:lang w:eastAsia="en-AU"/>
              </w:rPr>
            </w:pPr>
            <w:r w:rsidRPr="006A75A2">
              <w:rPr>
                <w:rFonts w:eastAsiaTheme="minorEastAsia"/>
                <w:sz w:val="20"/>
                <w:szCs w:val="20"/>
                <w:lang w:eastAsia="en-AU"/>
              </w:rPr>
              <w:t>2013</w:t>
            </w:r>
          </w:p>
        </w:tc>
        <w:tc>
          <w:tcPr>
            <w:tcW w:w="1134"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p>
        </w:tc>
        <w:tc>
          <w:tcPr>
            <w:tcW w:w="127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p>
        </w:tc>
        <w:tc>
          <w:tcPr>
            <w:tcW w:w="992"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p>
        </w:tc>
        <w:tc>
          <w:tcPr>
            <w:tcW w:w="1276"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szCs w:val="20"/>
                <w:lang w:eastAsia="en-AU"/>
              </w:rPr>
            </w:pPr>
          </w:p>
        </w:tc>
        <w:tc>
          <w:tcPr>
            <w:tcW w:w="1401"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szCs w:val="20"/>
                <w:lang w:eastAsia="en-AU"/>
              </w:rPr>
            </w:pPr>
          </w:p>
        </w:tc>
      </w:tr>
      <w:tr w:rsidR="004E6C32" w:rsidRPr="006A75A2" w:rsidTr="004B5CB1">
        <w:tc>
          <w:tcPr>
            <w:tcW w:w="3561" w:type="dxa"/>
            <w:tcBorders>
              <w:top w:val="single" w:sz="6" w:space="0" w:color="auto"/>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Less than 1 year</w:t>
            </w:r>
          </w:p>
        </w:tc>
        <w:tc>
          <w:tcPr>
            <w:tcW w:w="1134"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1.8</w:t>
            </w:r>
          </w:p>
        </w:tc>
        <w:tc>
          <w:tcPr>
            <w:tcW w:w="992"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545.0</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95.0</w:t>
            </w:r>
          </w:p>
        </w:tc>
        <w:tc>
          <w:tcPr>
            <w:tcW w:w="1401" w:type="dxa"/>
            <w:tcBorders>
              <w:top w:val="single" w:sz="6" w:space="0" w:color="auto"/>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1 825.7</w:t>
            </w:r>
          </w:p>
        </w:tc>
      </w:tr>
      <w:tr w:rsidR="004E6C32" w:rsidRPr="006A75A2" w:rsidTr="004B5CB1">
        <w:tc>
          <w:tcPr>
            <w:tcW w:w="356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1 year but less than 2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(40.0)</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909.0</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645.0</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356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2 year but less than 3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99.1</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90.0</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356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3 years but less than 4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10.4</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280.2</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220.0</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356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4 years but less than 5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992"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20.0</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3561"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5 years or more</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(200.4)</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992"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1 781.9</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1 291.8</w:t>
            </w:r>
          </w:p>
        </w:tc>
        <w:tc>
          <w:tcPr>
            <w:tcW w:w="1401"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356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w:t>
            </w:r>
          </w:p>
        </w:tc>
        <w:tc>
          <w:tcPr>
            <w:tcW w:w="113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szCs w:val="20"/>
                <w:lang w:eastAsia="en-AU"/>
              </w:rPr>
              <w:t>(190.0)</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szCs w:val="20"/>
                <w:lang w:eastAsia="en-AU"/>
              </w:rPr>
              <w:t>(38.2)</w:t>
            </w:r>
          </w:p>
        </w:tc>
        <w:tc>
          <w:tcPr>
            <w:tcW w:w="99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3 615.2</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2 361.8</w:t>
            </w:r>
          </w:p>
        </w:tc>
        <w:tc>
          <w:tcPr>
            <w:tcW w:w="140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1 825.7</w:t>
            </w:r>
          </w:p>
        </w:tc>
      </w:tr>
    </w:tbl>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4B5CB1">
      <w:r w:rsidRPr="006A75A2">
        <w:t>At 30 June 2014, approximately 99 per cent (98 per cent in 2013)of the State</w:t>
      </w:r>
      <w:r w:rsidR="00C96101" w:rsidRPr="006A75A2">
        <w:t>’</w:t>
      </w:r>
      <w:r w:rsidRPr="006A75A2">
        <w:t>s borrowings are at fixed rates of interest. There has been no change in the State</w:t>
      </w:r>
      <w:r w:rsidR="00C96101" w:rsidRPr="006A75A2">
        <w:t>’</w:t>
      </w:r>
      <w:r w:rsidRPr="006A75A2">
        <w:t>s exposure to interest rate risk or the manner in which it manages and measures the risk from the previous reporting period.</w:t>
      </w:r>
    </w:p>
    <w:p w:rsidR="004E6C32" w:rsidRPr="006A75A2" w:rsidRDefault="004E6C32" w:rsidP="004B5CB1">
      <w:r w:rsidRPr="006A75A2">
        <w:t>There were no interest rate derivative financial instruments for 30 June 2014 and the prior year in the general government sector.</w:t>
      </w:r>
    </w:p>
    <w:p w:rsidR="004E6C32" w:rsidRPr="006A75A2" w:rsidRDefault="004E6C32" w:rsidP="004B5CB1">
      <w:pPr>
        <w:pStyle w:val="Heading4"/>
      </w:pPr>
      <w:r w:rsidRPr="006A75A2">
        <w:t>Interest rate exposure</w:t>
      </w:r>
    </w:p>
    <w:p w:rsidR="004E6C32" w:rsidRPr="006A75A2" w:rsidRDefault="004E6C32" w:rsidP="004B5CB1">
      <w:r w:rsidRPr="006A75A2">
        <w:t>Disclosed is the State</w:t>
      </w:r>
      <w:r w:rsidR="00C96101" w:rsidRPr="006A75A2">
        <w:t>’</w:t>
      </w:r>
      <w:r w:rsidRPr="006A75A2">
        <w:t>s exposure to interest rate risk on classes of financial assets and financial liabilities.</w:t>
      </w:r>
    </w:p>
    <w:p w:rsidR="004E6C32" w:rsidRPr="006A75A2" w:rsidRDefault="004E6C32" w:rsidP="004B5CB1">
      <w:pPr>
        <w:pStyle w:val="Heading4"/>
      </w:pPr>
      <w:r w:rsidRPr="006A75A2">
        <w:t>Interest rate sensitivity analysis</w:t>
      </w:r>
    </w:p>
    <w:p w:rsidR="004E6C32" w:rsidRPr="006A75A2" w:rsidRDefault="004E6C32" w:rsidP="004B5CB1">
      <w:r w:rsidRPr="006A75A2">
        <w:t>The State has analysed the possible effects of feasible changes in interest rates on its financial position and result using the following assumptions:</w:t>
      </w:r>
    </w:p>
    <w:p w:rsidR="004E6C32" w:rsidRPr="006A75A2" w:rsidRDefault="004E6C32" w:rsidP="004B5CB1">
      <w:pPr>
        <w:pStyle w:val="BulletText"/>
      </w:pPr>
      <w:r w:rsidRPr="006A75A2">
        <w:t>the exposure to interest rates for both derivative and non-derivative instruments at the reporting date, and the stipulated change taking place at the beginning of the financial year, are held constant throughout the reporting period; and</w:t>
      </w:r>
    </w:p>
    <w:p w:rsidR="004E6C32" w:rsidRPr="006A75A2" w:rsidRDefault="004E6C32" w:rsidP="004B5CB1">
      <w:pPr>
        <w:pStyle w:val="BulletText"/>
      </w:pPr>
      <w:r w:rsidRPr="006A75A2">
        <w:t>based on historic movements, and in particular, management</w:t>
      </w:r>
      <w:r w:rsidR="00C96101" w:rsidRPr="006A75A2">
        <w:t>’</w:t>
      </w:r>
      <w:r w:rsidRPr="006A75A2">
        <w:t>s knowledge and experience of the recent volatility in global financial markets, the State has assessed that it may be exposed to a reasonably possible increase or decrease of 100 basis points in interest rates (100 basis points in 2013).</w:t>
      </w:r>
    </w:p>
    <w:p w:rsidR="004E6C32" w:rsidRPr="006A75A2" w:rsidRDefault="004E6C32" w:rsidP="004B5CB1">
      <w:r w:rsidRPr="006A75A2">
        <w:t>With all other variables held constant, the impact of a 100 basis point increase or decrease on the net result and net assets at 30 June 2014 is a $1 715.8 million increase/$1 884.4 million decrease ($</w:t>
      </w:r>
      <w:r w:rsidRPr="006A75A2">
        <w:rPr>
          <w:rFonts w:eastAsiaTheme="minorHAnsi" w:cs="Garamond"/>
          <w:szCs w:val="24"/>
        </w:rPr>
        <w:t>1 681.3 </w:t>
      </w:r>
      <w:r w:rsidRPr="006A75A2">
        <w:t>million increase/$</w:t>
      </w:r>
      <w:r w:rsidRPr="006A75A2">
        <w:rPr>
          <w:rFonts w:eastAsiaTheme="minorHAnsi" w:cs="Garamond"/>
          <w:szCs w:val="24"/>
        </w:rPr>
        <w:t xml:space="preserve">1 844.8 </w:t>
      </w:r>
      <w:r w:rsidRPr="006A75A2">
        <w:t>million decrease in 2013).</w:t>
      </w:r>
    </w:p>
    <w:p w:rsidR="004E6C32" w:rsidRPr="006A75A2" w:rsidRDefault="004E6C32" w:rsidP="004B5CB1">
      <w:r w:rsidRPr="006A75A2">
        <w:t>The State</w:t>
      </w:r>
      <w:r w:rsidR="00C96101" w:rsidRPr="006A75A2">
        <w:t>’</w:t>
      </w:r>
      <w:r w:rsidRPr="006A75A2">
        <w:t>s sensitivity to interest rates is mainly attributable to the revaluation of fixed interest borrowings at fair value and the revaluation of the insurance and superannuation liabilities, however this does not impact on the net result from transactions.</w:t>
      </w: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(f)</w:t>
      </w:r>
      <w:r w:rsidRPr="006A75A2">
        <w:tab/>
        <w:t>Interest rate exposure</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829"/>
        <w:gridCol w:w="1276"/>
        <w:gridCol w:w="1276"/>
        <w:gridCol w:w="1259"/>
      </w:tblGrid>
      <w:tr w:rsidR="004E6C32" w:rsidRPr="006A75A2" w:rsidTr="004B5CB1">
        <w:tc>
          <w:tcPr>
            <w:tcW w:w="5829" w:type="dxa"/>
            <w:tcBorders>
              <w:top w:val="single" w:sz="6" w:space="0" w:color="auto"/>
              <w:left w:val="single" w:sz="6" w:space="0" w:color="auto"/>
              <w:bottom w:val="nil"/>
              <w:right w:val="nil"/>
            </w:tcBorders>
            <w:shd w:val="clear" w:color="000000" w:fill="000000"/>
          </w:tcPr>
          <w:p w:rsidR="004E6C32" w:rsidRPr="006A75A2" w:rsidRDefault="00AD1FBF" w:rsidP="00AD1FBF">
            <w:pPr>
              <w:pStyle w:val="TabletextheadingLeft"/>
              <w:rPr>
                <w:rFonts w:eastAsiaTheme="minorEastAsia"/>
                <w:lang w:eastAsia="en-AU"/>
              </w:rPr>
            </w:pPr>
            <w:r w:rsidRPr="006A75A2">
              <w:t>State of Victoria</w:t>
            </w:r>
          </w:p>
        </w:tc>
        <w:tc>
          <w:tcPr>
            <w:tcW w:w="1276"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76"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59" w:type="dxa"/>
            <w:tcBorders>
              <w:top w:val="single" w:sz="6" w:space="0" w:color="auto"/>
              <w:left w:val="nil"/>
              <w:bottom w:val="nil"/>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AD1FBF" w:rsidRPr="006A75A2" w:rsidTr="00AD1FBF">
        <w:trPr>
          <w:trHeight w:val="806"/>
        </w:trPr>
        <w:tc>
          <w:tcPr>
            <w:tcW w:w="5829" w:type="dxa"/>
            <w:tcBorders>
              <w:left w:val="single" w:sz="6" w:space="0" w:color="auto"/>
              <w:right w:val="nil"/>
            </w:tcBorders>
            <w:shd w:val="clear" w:color="000000" w:fill="000000"/>
            <w:vAlign w:val="bottom"/>
          </w:tcPr>
          <w:p w:rsidR="00AD1FBF" w:rsidRPr="006A75A2" w:rsidRDefault="00AD1FBF" w:rsidP="00AD1FBF">
            <w:pPr>
              <w:pStyle w:val="TabletextheadingLeft"/>
              <w:rPr>
                <w:rFonts w:eastAsiaTheme="minorEastAsia"/>
                <w:lang w:eastAsia="en-AU"/>
              </w:rPr>
            </w:pPr>
            <w:r w:rsidRPr="006A75A2">
              <w:t>2014</w:t>
            </w:r>
          </w:p>
        </w:tc>
        <w:tc>
          <w:tcPr>
            <w:tcW w:w="1276" w:type="dxa"/>
            <w:tcBorders>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p>
          <w:p w:rsidR="00AD1FBF" w:rsidRPr="006A75A2" w:rsidRDefault="00AD1FBF" w:rsidP="004B5CB1">
            <w:pPr>
              <w:pStyle w:val="Tabletextheading"/>
              <w:rPr>
                <w:rFonts w:eastAsiaTheme="minorEastAsia"/>
                <w:lang w:eastAsia="en-AU"/>
              </w:rPr>
            </w:pPr>
            <w:r w:rsidRPr="006A75A2">
              <w:rPr>
                <w:rFonts w:eastAsiaTheme="minorEastAsia"/>
                <w:lang w:eastAsia="en-AU"/>
              </w:rPr>
              <w:t>Floating</w:t>
            </w:r>
          </w:p>
        </w:tc>
        <w:tc>
          <w:tcPr>
            <w:tcW w:w="1276" w:type="dxa"/>
            <w:tcBorders>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Less than </w:t>
            </w:r>
          </w:p>
          <w:p w:rsidR="00AD1FBF" w:rsidRPr="006A75A2" w:rsidRDefault="00AD1FBF" w:rsidP="004B5CB1">
            <w:pPr>
              <w:pStyle w:val="Tabletextheading"/>
              <w:rPr>
                <w:rFonts w:eastAsiaTheme="minorEastAsia"/>
                <w:lang w:eastAsia="en-AU"/>
              </w:rPr>
            </w:pPr>
            <w:r w:rsidRPr="006A75A2">
              <w:rPr>
                <w:rFonts w:eastAsiaTheme="minorEastAsia"/>
                <w:lang w:eastAsia="en-AU"/>
              </w:rPr>
              <w:t>1 year</w:t>
            </w:r>
          </w:p>
        </w:tc>
        <w:tc>
          <w:tcPr>
            <w:tcW w:w="1259" w:type="dxa"/>
            <w:tcBorders>
              <w:left w:val="nil"/>
              <w:right w:val="single" w:sz="6" w:space="0" w:color="auto"/>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1 year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but less </w:t>
            </w:r>
          </w:p>
          <w:p w:rsidR="00AD1FBF" w:rsidRPr="006A75A2" w:rsidRDefault="00AD1FBF" w:rsidP="004B5CB1">
            <w:pPr>
              <w:pStyle w:val="Tabletextheading"/>
              <w:rPr>
                <w:rFonts w:eastAsiaTheme="minorEastAsia"/>
                <w:lang w:eastAsia="en-AU"/>
              </w:rPr>
            </w:pPr>
            <w:r w:rsidRPr="006A75A2">
              <w:rPr>
                <w:rFonts w:eastAsiaTheme="minorEastAsia"/>
                <w:lang w:eastAsia="en-AU"/>
              </w:rPr>
              <w:t>than 2 years</w:t>
            </w:r>
          </w:p>
        </w:tc>
      </w:tr>
      <w:tr w:rsidR="004E6C32" w:rsidRPr="006A75A2" w:rsidTr="004B5CB1">
        <w:tc>
          <w:tcPr>
            <w:tcW w:w="5829" w:type="dxa"/>
            <w:tcBorders>
              <w:top w:val="single" w:sz="6" w:space="0" w:color="auto"/>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Financial assets</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59"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104.6</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w:t>
            </w:r>
            <w:r w:rsidRPr="006A75A2">
              <w:rPr>
                <w:rFonts w:eastAsiaTheme="minorEastAsia" w:cs="Calibri"/>
                <w:szCs w:val="22"/>
                <w:lang w:eastAsia="en-AU"/>
              </w:rPr>
              <w:t xml:space="preserve"> 955.4</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Receivables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45.8</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362.5</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12.4</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Advances</w:t>
            </w:r>
            <w:r w:rsidRPr="006A75A2">
              <w:rPr>
                <w:rFonts w:eastAsiaTheme="minorEastAsia" w:cs="Calibri"/>
                <w:szCs w:val="22"/>
                <w:lang w:eastAsia="en-AU"/>
              </w:rPr>
              <w:t xml:space="preserve"> paid</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966.8</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138.9</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96.7</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Term</w:t>
            </w:r>
            <w:r w:rsidRPr="006A75A2">
              <w:rPr>
                <w:rFonts w:eastAsiaTheme="minorEastAsia" w:cs="Calibri"/>
                <w:szCs w:val="22"/>
                <w:lang w:eastAsia="en-AU"/>
              </w:rPr>
              <w:t xml:space="preserve"> deposits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143.7</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828.9</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31.4</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Derivative </w:t>
            </w:r>
            <w:r w:rsidRPr="006A75A2">
              <w:rPr>
                <w:rFonts w:eastAsiaTheme="minorEastAsia" w:cs="Calibri"/>
                <w:szCs w:val="22"/>
                <w:lang w:eastAsia="en-AU"/>
              </w:rPr>
              <w:t>financial instruments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69.2</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156.1</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Equities</w:t>
            </w:r>
            <w:r w:rsidRPr="006A75A2">
              <w:rPr>
                <w:rFonts w:eastAsiaTheme="minorEastAsia" w:cs="Calibri"/>
                <w:szCs w:val="22"/>
                <w:lang w:eastAsia="en-AU"/>
              </w:rPr>
              <w:t xml:space="preserve"> and managed investment schemes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422.4</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168.2</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Debt</w:t>
            </w:r>
            <w:r w:rsidRPr="006A75A2">
              <w:rPr>
                <w:rFonts w:eastAsiaTheme="minorEastAsia" w:cs="Calibri"/>
                <w:szCs w:val="22"/>
                <w:lang w:eastAsia="en-AU"/>
              </w:rPr>
              <w:t xml:space="preserve"> securities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182.9</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w:t>
            </w:r>
            <w:r w:rsidRPr="006A75A2">
              <w:rPr>
                <w:rFonts w:eastAsiaTheme="minorEastAsia" w:cs="Calibri"/>
                <w:szCs w:val="22"/>
                <w:lang w:eastAsia="en-AU"/>
              </w:rPr>
              <w:t xml:space="preserve"> 939.6</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671.3</w:t>
            </w:r>
          </w:p>
        </w:tc>
      </w:tr>
      <w:tr w:rsidR="004E6C32" w:rsidRPr="006A75A2" w:rsidTr="004B5CB1">
        <w:tc>
          <w:tcPr>
            <w:tcW w:w="5829"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cs="Calibri"/>
                <w:b/>
                <w:bCs/>
                <w:szCs w:val="22"/>
                <w:lang w:eastAsia="en-AU"/>
              </w:rPr>
            </w:pPr>
            <w:r w:rsidRPr="006A75A2">
              <w:rPr>
                <w:rFonts w:eastAsiaTheme="minorEastAsia"/>
                <w:b/>
                <w:lang w:eastAsia="en-AU"/>
              </w:rPr>
              <w:t>Total</w:t>
            </w:r>
            <w:r w:rsidRPr="006A75A2">
              <w:rPr>
                <w:rFonts w:eastAsiaTheme="minorEastAsia" w:cs="Calibri"/>
                <w:b/>
                <w:bCs/>
                <w:szCs w:val="22"/>
                <w:lang w:eastAsia="en-AU"/>
              </w:rPr>
              <w:t xml:space="preserve"> financial assets</w:t>
            </w:r>
          </w:p>
        </w:tc>
        <w:tc>
          <w:tcPr>
            <w:tcW w:w="12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9</w:t>
            </w:r>
            <w:r w:rsidRPr="006A75A2">
              <w:rPr>
                <w:rFonts w:eastAsiaTheme="minorEastAsia" w:cs="Calibri"/>
                <w:b/>
                <w:bCs/>
                <w:szCs w:val="22"/>
                <w:lang w:eastAsia="en-AU"/>
              </w:rPr>
              <w:t xml:space="preserve"> 935.4</w:t>
            </w:r>
          </w:p>
        </w:tc>
        <w:tc>
          <w:tcPr>
            <w:tcW w:w="12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9</w:t>
            </w:r>
            <w:r w:rsidRPr="006A75A2">
              <w:rPr>
                <w:rFonts w:eastAsiaTheme="minorEastAsia" w:cs="Calibri"/>
                <w:b/>
                <w:bCs/>
                <w:szCs w:val="22"/>
                <w:lang w:eastAsia="en-AU"/>
              </w:rPr>
              <w:t xml:space="preserve"> 549.7</w:t>
            </w:r>
          </w:p>
        </w:tc>
        <w:tc>
          <w:tcPr>
            <w:tcW w:w="1259"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 xml:space="preserve"> </w:t>
            </w:r>
            <w:r w:rsidRPr="006A75A2">
              <w:rPr>
                <w:rFonts w:eastAsiaTheme="minorEastAsia" w:cs="Calibri"/>
                <w:b/>
                <w:bCs/>
                <w:szCs w:val="22"/>
                <w:lang w:eastAsia="en-AU"/>
              </w:rPr>
              <w:t>811.7</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Financial liabilities</w:t>
            </w:r>
          </w:p>
        </w:tc>
        <w:tc>
          <w:tcPr>
            <w:tcW w:w="1276"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276"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259"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Payables</w:t>
            </w:r>
            <w:r w:rsidRPr="006A75A2">
              <w:rPr>
                <w:rFonts w:eastAsiaTheme="minorEastAsia" w:cs="Calibri"/>
                <w:szCs w:val="22"/>
                <w:lang w:eastAsia="en-AU"/>
              </w:rPr>
              <w:t>, deposits held and advances received</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969.8</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646.3</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27.5</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Derivative</w:t>
            </w:r>
            <w:r w:rsidRPr="006A75A2">
              <w:rPr>
                <w:rFonts w:eastAsiaTheme="minorEastAsia" w:cs="Calibri"/>
                <w:szCs w:val="22"/>
                <w:lang w:eastAsia="en-AU"/>
              </w:rPr>
              <w:t xml:space="preserve"> financial instruments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8.3</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176.2</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0.8</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Interest-bearing</w:t>
            </w:r>
            <w:r w:rsidRPr="006A75A2">
              <w:rPr>
                <w:rFonts w:eastAsiaTheme="minorEastAsia" w:cs="Calibri"/>
                <w:szCs w:val="22"/>
                <w:lang w:eastAsia="en-AU"/>
              </w:rPr>
              <w:t xml:space="preserve"> liabilities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119.2</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816.7</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373.5</w:t>
            </w:r>
          </w:p>
        </w:tc>
      </w:tr>
      <w:tr w:rsidR="004E6C32" w:rsidRPr="006A75A2" w:rsidTr="004B5CB1">
        <w:tc>
          <w:tcPr>
            <w:tcW w:w="5829" w:type="dxa"/>
            <w:tcBorders>
              <w:top w:val="nil"/>
              <w:left w:val="nil"/>
              <w:bottom w:val="single" w:sz="6" w:space="0" w:color="auto"/>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Finance lease </w:t>
            </w:r>
            <w:r w:rsidRPr="006A75A2">
              <w:rPr>
                <w:rFonts w:eastAsiaTheme="minorEastAsia" w:cs="Calibri"/>
                <w:szCs w:val="22"/>
                <w:lang w:eastAsia="en-AU"/>
              </w:rPr>
              <w:t>liabilities</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107.9</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258.5</w:t>
            </w:r>
          </w:p>
        </w:tc>
      </w:tr>
      <w:tr w:rsidR="004E6C32" w:rsidRPr="006A75A2" w:rsidTr="004B5CB1">
        <w:tc>
          <w:tcPr>
            <w:tcW w:w="582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lang w:eastAsia="en-AU"/>
              </w:rPr>
              <w:t>Total</w:t>
            </w:r>
            <w:r w:rsidRPr="006A75A2">
              <w:rPr>
                <w:rFonts w:eastAsiaTheme="minorEastAsia" w:cs="Calibri"/>
                <w:b/>
                <w:bCs/>
                <w:szCs w:val="22"/>
                <w:lang w:eastAsia="en-AU"/>
              </w:rPr>
              <w:t xml:space="preserve"> financial liabilities</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2</w:t>
            </w:r>
            <w:r w:rsidRPr="006A75A2">
              <w:rPr>
                <w:rFonts w:eastAsiaTheme="minorEastAsia" w:cs="Calibri"/>
                <w:b/>
                <w:szCs w:val="22"/>
                <w:lang w:eastAsia="en-AU"/>
              </w:rPr>
              <w:t xml:space="preserve"> 097.3</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3</w:t>
            </w:r>
            <w:r w:rsidRPr="006A75A2">
              <w:rPr>
                <w:rFonts w:eastAsiaTheme="minorEastAsia" w:cs="Calibri"/>
                <w:b/>
                <w:bCs/>
                <w:szCs w:val="22"/>
                <w:lang w:eastAsia="en-AU"/>
              </w:rPr>
              <w:t xml:space="preserve"> 747.1</w:t>
            </w:r>
          </w:p>
        </w:tc>
        <w:tc>
          <w:tcPr>
            <w:tcW w:w="125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2</w:t>
            </w:r>
            <w:r w:rsidRPr="006A75A2">
              <w:rPr>
                <w:rFonts w:eastAsiaTheme="minorEastAsia" w:cs="Calibri"/>
                <w:b/>
                <w:bCs/>
                <w:szCs w:val="22"/>
                <w:lang w:eastAsia="en-AU"/>
              </w:rPr>
              <w:t xml:space="preserve"> 660.2</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829"/>
        <w:gridCol w:w="1276"/>
        <w:gridCol w:w="1276"/>
        <w:gridCol w:w="1259"/>
      </w:tblGrid>
      <w:tr w:rsidR="004E6C32" w:rsidRPr="006A75A2" w:rsidTr="004B5CB1">
        <w:tc>
          <w:tcPr>
            <w:tcW w:w="5829"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2013</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59"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4E6C32" w:rsidRPr="006A75A2" w:rsidTr="004B5CB1">
        <w:tc>
          <w:tcPr>
            <w:tcW w:w="5829" w:type="dxa"/>
            <w:tcBorders>
              <w:top w:val="single" w:sz="6" w:space="0" w:color="auto"/>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Financial assets</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59"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3 115.6</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3 074.4</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w:t>
            </w:r>
          </w:p>
        </w:tc>
      </w:tr>
      <w:tr w:rsidR="004E6C32" w:rsidRPr="006A75A2" w:rsidTr="004B5CB1">
        <w:tc>
          <w:tcPr>
            <w:tcW w:w="5829" w:type="dxa"/>
            <w:tcBorders>
              <w:top w:val="nil"/>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Receivables</w:t>
            </w:r>
            <w:r w:rsidRPr="006A75A2">
              <w:rPr>
                <w:rFonts w:eastAsiaTheme="minorEastAsia"/>
                <w:vertAlign w:val="superscript"/>
                <w:lang w:eastAsia="en-AU"/>
              </w:rPr>
              <w:t>(</w:t>
            </w:r>
            <w:r w:rsidRPr="006A75A2">
              <w:rPr>
                <w:rFonts w:eastAsiaTheme="minorEastAsia" w:cs="Calibri"/>
                <w:szCs w:val="22"/>
                <w:vertAlign w:val="superscript"/>
                <w:lang w:eastAsia="en-AU"/>
              </w:rPr>
              <w:t>a)</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65.9</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337.8</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36.9</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Advances paid</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886.6</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120.8</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90.7</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Term deposits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121.2</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896.7</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64.8</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438.0</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10.1</w:t>
            </w:r>
          </w:p>
        </w:tc>
      </w:tr>
      <w:tr w:rsidR="004E6C32" w:rsidRPr="006A75A2" w:rsidTr="004B5CB1">
        <w:tc>
          <w:tcPr>
            <w:tcW w:w="5829" w:type="dxa"/>
            <w:tcBorders>
              <w:top w:val="nil"/>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Equities and managed investment schemes</w:t>
            </w:r>
            <w:r w:rsidRPr="006A75A2">
              <w:rPr>
                <w:rFonts w:eastAsiaTheme="minorEastAsia" w:cs="Calibri"/>
                <w:szCs w:val="22"/>
                <w:vertAlign w:val="superscript"/>
                <w:lang w:eastAsia="en-AU"/>
              </w:rPr>
              <w:t>(a)</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198.8</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199.3</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19.3</w:t>
            </w:r>
          </w:p>
        </w:tc>
      </w:tr>
      <w:tr w:rsidR="004E6C32" w:rsidRPr="006A75A2" w:rsidTr="004B5CB1">
        <w:tc>
          <w:tcPr>
            <w:tcW w:w="5829" w:type="dxa"/>
            <w:tcBorders>
              <w:top w:val="nil"/>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Debt securities</w:t>
            </w:r>
            <w:r w:rsidRPr="006A75A2">
              <w:rPr>
                <w:rFonts w:eastAsiaTheme="minorEastAsia" w:cs="Calibri"/>
                <w:szCs w:val="22"/>
                <w:vertAlign w:val="superscript"/>
                <w:lang w:eastAsia="en-AU"/>
              </w:rPr>
              <w:t>(a)</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3 597.9</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2 543.3</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705.3</w:t>
            </w:r>
          </w:p>
        </w:tc>
      </w:tr>
      <w:tr w:rsidR="004E6C32" w:rsidRPr="006A75A2" w:rsidTr="004B5CB1">
        <w:tc>
          <w:tcPr>
            <w:tcW w:w="5829"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Total financial assets</w:t>
            </w:r>
          </w:p>
        </w:tc>
        <w:tc>
          <w:tcPr>
            <w:tcW w:w="12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7 986.1</w:t>
            </w:r>
          </w:p>
        </w:tc>
        <w:tc>
          <w:tcPr>
            <w:tcW w:w="12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7 610.4</w:t>
            </w:r>
          </w:p>
        </w:tc>
        <w:tc>
          <w:tcPr>
            <w:tcW w:w="1259"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929.3</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Financial liabilities</w:t>
            </w:r>
          </w:p>
        </w:tc>
        <w:tc>
          <w:tcPr>
            <w:tcW w:w="1276"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276"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259"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5829" w:type="dxa"/>
            <w:tcBorders>
              <w:top w:val="nil"/>
              <w:left w:val="nil"/>
              <w:bottom w:val="nil"/>
              <w:right w:val="nil"/>
            </w:tcBorders>
          </w:tcPr>
          <w:p w:rsidR="004E6C32" w:rsidRPr="006A75A2" w:rsidRDefault="004E6C32" w:rsidP="008708FF">
            <w:pPr>
              <w:pStyle w:val="Tabletext"/>
              <w:rPr>
                <w:rFonts w:eastAsiaTheme="minorEastAsia" w:cs="Calibri"/>
                <w:szCs w:val="22"/>
                <w:lang w:eastAsia="en-AU"/>
              </w:rPr>
            </w:pPr>
            <w:r w:rsidRPr="006A75A2">
              <w:rPr>
                <w:rFonts w:eastAsiaTheme="minorEastAsia"/>
                <w:lang w:eastAsia="en-AU"/>
              </w:rPr>
              <w:t>Payables, deposits held</w:t>
            </w:r>
            <w:r w:rsidRPr="006A75A2">
              <w:rPr>
                <w:rFonts w:eastAsiaTheme="minorEastAsia" w:cs="Calibri"/>
                <w:szCs w:val="22"/>
                <w:lang w:eastAsia="en-AU"/>
              </w:rPr>
              <w:t xml:space="preserve"> and advances received</w:t>
            </w:r>
            <w:r w:rsidRPr="006A75A2">
              <w:rPr>
                <w:rFonts w:eastAsiaTheme="minorEastAsia" w:cs="Calibri"/>
                <w:szCs w:val="22"/>
                <w:vertAlign w:val="superscript"/>
                <w:lang w:eastAsia="en-AU"/>
              </w:rPr>
              <w:t>(b)</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2 485.8</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477.6</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25.3</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117.1</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376.9</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22.2</w:t>
            </w:r>
          </w:p>
        </w:tc>
      </w:tr>
      <w:tr w:rsidR="004E6C32" w:rsidRPr="006A75A2" w:rsidTr="004B5CB1">
        <w:tc>
          <w:tcPr>
            <w:tcW w:w="5829" w:type="dxa"/>
            <w:tcBorders>
              <w:top w:val="nil"/>
              <w:left w:val="nil"/>
              <w:bottom w:val="nil"/>
              <w:right w:val="nil"/>
            </w:tcBorders>
          </w:tcPr>
          <w:p w:rsidR="004E6C32" w:rsidRPr="006A75A2" w:rsidRDefault="004E6C32" w:rsidP="008708FF">
            <w:pPr>
              <w:pStyle w:val="Tabletext"/>
              <w:rPr>
                <w:rFonts w:eastAsiaTheme="minorEastAsia"/>
                <w:lang w:eastAsia="en-AU"/>
              </w:rPr>
            </w:pPr>
            <w:r w:rsidRPr="006A75A2">
              <w:rPr>
                <w:rFonts w:eastAsiaTheme="minorEastAsia"/>
                <w:lang w:eastAsia="en-AU"/>
              </w:rPr>
              <w:t>Interest-bearing liabilities</w:t>
            </w:r>
            <w:r w:rsidRPr="006A75A2">
              <w:rPr>
                <w:rFonts w:eastAsiaTheme="minorEastAsia"/>
                <w:vertAlign w:val="superscript"/>
                <w:lang w:eastAsia="en-AU"/>
              </w:rPr>
              <w:t>(b)</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719.9</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1 091.5</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2 936.5</w:t>
            </w:r>
          </w:p>
        </w:tc>
      </w:tr>
      <w:tr w:rsidR="004E6C32" w:rsidRPr="006A75A2" w:rsidTr="004B5CB1">
        <w:tc>
          <w:tcPr>
            <w:tcW w:w="5829"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Finance lease liabilities</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379.9</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236.4</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164.1</w:t>
            </w:r>
          </w:p>
        </w:tc>
      </w:tr>
      <w:tr w:rsidR="004E6C32" w:rsidRPr="006A75A2" w:rsidTr="004B5CB1">
        <w:tc>
          <w:tcPr>
            <w:tcW w:w="582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Total financial liabilities</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3 702.6</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2 182.4</w:t>
            </w:r>
          </w:p>
        </w:tc>
        <w:tc>
          <w:tcPr>
            <w:tcW w:w="125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3 148.1</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June 2013 comparative figures have been restated to reflect the reallocation of investment sold but not yet settled.</w:t>
      </w:r>
    </w:p>
    <w:p w:rsidR="004E6C32" w:rsidRPr="006A75A2" w:rsidRDefault="004E6C32" w:rsidP="004B5CB1">
      <w:pPr>
        <w:pStyle w:val="Notes"/>
      </w:pPr>
      <w:r w:rsidRPr="006A75A2">
        <w:t>(b)</w:t>
      </w:r>
      <w:r w:rsidRPr="006A75A2">
        <w:tab/>
        <w:t xml:space="preserve">June 2013 comparative figures have been restated to reflect a reclassification from </w:t>
      </w:r>
      <w:r w:rsidR="00C96101" w:rsidRPr="006A75A2">
        <w:t>‘</w:t>
      </w:r>
      <w:r w:rsidRPr="006A75A2">
        <w:t>Interest-bearing liabilities</w:t>
      </w:r>
      <w:r w:rsidR="00C96101" w:rsidRPr="006A75A2">
        <w:t>’</w:t>
      </w:r>
      <w:r w:rsidRPr="006A75A2">
        <w:t xml:space="preserve"> to </w:t>
      </w:r>
      <w:r w:rsidR="00C96101" w:rsidRPr="006A75A2">
        <w:t>‘</w:t>
      </w:r>
      <w:r w:rsidRPr="006A75A2">
        <w:t>payables, deposits held and advances received</w:t>
      </w:r>
      <w:r w:rsidR="00C96101" w:rsidRPr="006A75A2">
        <w:t>’</w:t>
      </w:r>
      <w:r w:rsidRPr="006A75A2">
        <w:t>.</w:t>
      </w:r>
    </w:p>
    <w:p w:rsidR="004E6C32" w:rsidRPr="006A75A2" w:rsidRDefault="004E6C32" w:rsidP="004B5CB1">
      <w:pPr>
        <w:pStyle w:val="Notes"/>
      </w:pPr>
    </w:p>
    <w:p w:rsidR="004E6C32" w:rsidRPr="006A75A2" w:rsidRDefault="004E6C32" w:rsidP="004B5CB1"/>
    <w:p w:rsidR="004E6C32" w:rsidRPr="006A75A2" w:rsidRDefault="004E6C32">
      <w:pPr>
        <w:spacing w:after="0"/>
      </w:pPr>
    </w:p>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p>
    <w:p w:rsidR="004E6C32" w:rsidRPr="006A75A2" w:rsidRDefault="004E6C32" w:rsidP="0067336F">
      <w:pPr>
        <w:pStyle w:val="Heading5"/>
      </w:pPr>
    </w:p>
    <w:p w:rsidR="004E6C32" w:rsidRPr="006A75A2" w:rsidRDefault="004E6C32" w:rsidP="004B5CB1">
      <w:pPr>
        <w:pStyle w:val="million"/>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59"/>
        <w:gridCol w:w="1447"/>
        <w:gridCol w:w="1607"/>
        <w:gridCol w:w="1607"/>
        <w:gridCol w:w="1606"/>
        <w:gridCol w:w="1607"/>
        <w:gridCol w:w="1607"/>
      </w:tblGrid>
      <w:tr w:rsidR="00AD1FBF" w:rsidRPr="006A75A2" w:rsidTr="00AD1FBF">
        <w:tc>
          <w:tcPr>
            <w:tcW w:w="159"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lang w:eastAsia="en-AU"/>
              </w:rPr>
            </w:pPr>
            <w:r w:rsidRPr="006A75A2">
              <w:rPr>
                <w:rFonts w:eastAsiaTheme="minorEastAsia"/>
                <w:lang w:eastAsia="en-AU"/>
              </w:rPr>
              <w:t xml:space="preserve"> </w:t>
            </w:r>
          </w:p>
        </w:tc>
        <w:tc>
          <w:tcPr>
            <w:tcW w:w="9481" w:type="dxa"/>
            <w:gridSpan w:val="6"/>
            <w:tcBorders>
              <w:top w:val="single" w:sz="6" w:space="0" w:color="auto"/>
              <w:left w:val="nil"/>
              <w:bottom w:val="nil"/>
              <w:right w:val="single" w:sz="6" w:space="0" w:color="auto"/>
            </w:tcBorders>
            <w:shd w:val="clear" w:color="000000" w:fill="000000"/>
          </w:tcPr>
          <w:p w:rsidR="00AD1FBF" w:rsidRPr="006A75A2" w:rsidRDefault="00AD1FBF" w:rsidP="00AD1FBF">
            <w:pPr>
              <w:pStyle w:val="TabletextheadingCentred"/>
              <w:jc w:val="left"/>
              <w:rPr>
                <w:rFonts w:eastAsiaTheme="minorEastAsia"/>
                <w:lang w:eastAsia="en-AU"/>
              </w:rPr>
            </w:pPr>
            <w:r w:rsidRPr="006A75A2">
              <w:rPr>
                <w:rFonts w:eastAsiaTheme="minorEastAsia"/>
                <w:lang w:eastAsia="en-AU"/>
              </w:rPr>
              <w:t>Interest rate, fixed maturities</w:t>
            </w:r>
          </w:p>
        </w:tc>
      </w:tr>
      <w:tr w:rsidR="00AD1FBF" w:rsidRPr="006A75A2" w:rsidTr="00AD1FBF">
        <w:trPr>
          <w:trHeight w:val="806"/>
        </w:trPr>
        <w:tc>
          <w:tcPr>
            <w:tcW w:w="1606" w:type="dxa"/>
            <w:gridSpan w:val="2"/>
            <w:tcBorders>
              <w:top w:val="nil"/>
              <w:left w:val="single" w:sz="6" w:space="0" w:color="auto"/>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2 years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but less </w:t>
            </w:r>
          </w:p>
          <w:p w:rsidR="00AD1FBF" w:rsidRPr="006A75A2" w:rsidRDefault="00AD1FBF" w:rsidP="004B5CB1">
            <w:pPr>
              <w:pStyle w:val="Tabletextheading"/>
              <w:rPr>
                <w:rFonts w:eastAsiaTheme="minorEastAsia"/>
                <w:lang w:eastAsia="en-AU"/>
              </w:rPr>
            </w:pPr>
            <w:r w:rsidRPr="006A75A2">
              <w:rPr>
                <w:rFonts w:eastAsiaTheme="minorEastAsia"/>
                <w:lang w:eastAsia="en-AU"/>
              </w:rPr>
              <w:t>than 3 years</w:t>
            </w:r>
          </w:p>
        </w:tc>
        <w:tc>
          <w:tcPr>
            <w:tcW w:w="1607" w:type="dxa"/>
            <w:tcBorders>
              <w:top w:val="nil"/>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3 years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but less </w:t>
            </w:r>
          </w:p>
          <w:p w:rsidR="00AD1FBF" w:rsidRPr="006A75A2" w:rsidRDefault="00AD1FBF" w:rsidP="004B5CB1">
            <w:pPr>
              <w:pStyle w:val="Tabletextheading"/>
              <w:rPr>
                <w:rFonts w:eastAsiaTheme="minorEastAsia"/>
                <w:lang w:eastAsia="en-AU"/>
              </w:rPr>
            </w:pPr>
            <w:r w:rsidRPr="006A75A2">
              <w:rPr>
                <w:rFonts w:eastAsiaTheme="minorEastAsia"/>
                <w:lang w:eastAsia="en-AU"/>
              </w:rPr>
              <w:t>than 4 years</w:t>
            </w:r>
          </w:p>
        </w:tc>
        <w:tc>
          <w:tcPr>
            <w:tcW w:w="1607" w:type="dxa"/>
            <w:tcBorders>
              <w:top w:val="nil"/>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4 years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but less </w:t>
            </w:r>
          </w:p>
          <w:p w:rsidR="00AD1FBF" w:rsidRPr="006A75A2" w:rsidRDefault="00AD1FBF" w:rsidP="004B5CB1">
            <w:pPr>
              <w:pStyle w:val="Tabletextheading"/>
              <w:rPr>
                <w:rFonts w:eastAsiaTheme="minorEastAsia"/>
                <w:lang w:eastAsia="en-AU"/>
              </w:rPr>
            </w:pPr>
            <w:r w:rsidRPr="006A75A2">
              <w:rPr>
                <w:rFonts w:eastAsiaTheme="minorEastAsia"/>
                <w:lang w:eastAsia="en-AU"/>
              </w:rPr>
              <w:t>than 5 years</w:t>
            </w:r>
          </w:p>
        </w:tc>
        <w:tc>
          <w:tcPr>
            <w:tcW w:w="1606" w:type="dxa"/>
            <w:tcBorders>
              <w:top w:val="nil"/>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5 years </w:t>
            </w:r>
          </w:p>
          <w:p w:rsidR="00AD1FBF" w:rsidRPr="006A75A2" w:rsidRDefault="00AD1FBF" w:rsidP="004B5CB1">
            <w:pPr>
              <w:pStyle w:val="Tabletextheading"/>
              <w:rPr>
                <w:rFonts w:eastAsiaTheme="minorEastAsia"/>
                <w:lang w:eastAsia="en-AU"/>
              </w:rPr>
            </w:pPr>
            <w:r w:rsidRPr="006A75A2">
              <w:rPr>
                <w:rFonts w:eastAsiaTheme="minorEastAsia"/>
                <w:lang w:eastAsia="en-AU"/>
              </w:rPr>
              <w:t>or more</w:t>
            </w:r>
          </w:p>
        </w:tc>
        <w:tc>
          <w:tcPr>
            <w:tcW w:w="1607" w:type="dxa"/>
            <w:tcBorders>
              <w:top w:val="nil"/>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Non-interest </w:t>
            </w:r>
          </w:p>
          <w:p w:rsidR="00AD1FBF" w:rsidRPr="006A75A2" w:rsidRDefault="00AD1FBF" w:rsidP="004B5CB1">
            <w:pPr>
              <w:pStyle w:val="Tabletextheading"/>
              <w:rPr>
                <w:rFonts w:eastAsiaTheme="minorEastAsia"/>
                <w:lang w:eastAsia="en-AU"/>
              </w:rPr>
            </w:pPr>
            <w:r w:rsidRPr="006A75A2">
              <w:rPr>
                <w:rFonts w:eastAsiaTheme="minorEastAsia"/>
                <w:lang w:eastAsia="en-AU"/>
              </w:rPr>
              <w:t>bearing</w:t>
            </w:r>
          </w:p>
        </w:tc>
        <w:tc>
          <w:tcPr>
            <w:tcW w:w="1607" w:type="dxa"/>
            <w:tcBorders>
              <w:top w:val="nil"/>
              <w:left w:val="nil"/>
              <w:right w:val="single" w:sz="6" w:space="0" w:color="auto"/>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p>
          <w:p w:rsidR="00AD1FBF" w:rsidRPr="006A75A2" w:rsidRDefault="00AD1FBF" w:rsidP="004B5CB1">
            <w:pPr>
              <w:pStyle w:val="Tabletextheading"/>
              <w:rPr>
                <w:rFonts w:eastAsiaTheme="minorEastAsia"/>
                <w:lang w:eastAsia="en-AU"/>
              </w:rPr>
            </w:pPr>
            <w:r w:rsidRPr="006A75A2">
              <w:rPr>
                <w:rFonts w:eastAsiaTheme="minorEastAsia"/>
                <w:lang w:eastAsia="en-AU"/>
              </w:rPr>
              <w:t>Total</w:t>
            </w:r>
          </w:p>
        </w:tc>
      </w:tr>
      <w:tr w:rsidR="004E6C32" w:rsidRPr="006A75A2" w:rsidTr="004B5CB1">
        <w:tc>
          <w:tcPr>
            <w:tcW w:w="1606"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140.7</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w:t>
            </w:r>
            <w:r w:rsidRPr="006A75A2">
              <w:rPr>
                <w:rFonts w:eastAsiaTheme="minorEastAsia" w:cs="Calibri"/>
                <w:szCs w:val="22"/>
                <w:lang w:eastAsia="en-AU"/>
              </w:rPr>
              <w:t xml:space="preserve"> 200.7</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2.0</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1.9</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1.4</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9.0</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688.6</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123.6</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94.2</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81.1</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75.6</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320.1</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21.7</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795.1</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4.5</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1.8</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4.1</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0.4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019.1</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11.1</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0.9</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10.8</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239.4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38.3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525.9</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7.1</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w:t>
            </w:r>
            <w:r w:rsidRPr="006A75A2">
              <w:rPr>
                <w:rFonts w:eastAsiaTheme="minorEastAsia" w:cs="Calibri"/>
                <w:szCs w:val="22"/>
                <w:lang w:eastAsia="en-AU"/>
              </w:rPr>
              <w:t xml:space="preserve"> 170.7</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w:t>
            </w:r>
            <w:r w:rsidRPr="006A75A2">
              <w:rPr>
                <w:rFonts w:eastAsiaTheme="minorEastAsia" w:cs="Calibri"/>
                <w:szCs w:val="22"/>
                <w:lang w:eastAsia="en-AU"/>
              </w:rPr>
              <w:t xml:space="preserve"> 771.7</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164.7</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450.7</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672.0</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327.2</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43.9</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w:t>
            </w:r>
            <w:r w:rsidRPr="006A75A2">
              <w:rPr>
                <w:rFonts w:eastAsiaTheme="minorEastAsia" w:cs="Calibri"/>
                <w:szCs w:val="22"/>
                <w:lang w:eastAsia="en-AU"/>
              </w:rPr>
              <w:t xml:space="preserve"> 452.1</w:t>
            </w:r>
          </w:p>
        </w:tc>
      </w:tr>
      <w:tr w:rsidR="004E6C32" w:rsidRPr="006A75A2" w:rsidTr="004B5CB1">
        <w:tc>
          <w:tcPr>
            <w:tcW w:w="1606"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 </w:t>
            </w:r>
            <w:r w:rsidRPr="006A75A2">
              <w:rPr>
                <w:rFonts w:eastAsiaTheme="minorEastAsia" w:cs="Calibri"/>
                <w:b/>
                <w:bCs/>
                <w:szCs w:val="22"/>
                <w:lang w:eastAsia="en-AU"/>
              </w:rPr>
              <w:t>279.7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 </w:t>
            </w:r>
            <w:r w:rsidRPr="006A75A2">
              <w:rPr>
                <w:rFonts w:eastAsiaTheme="minorEastAsia" w:cs="Calibri"/>
                <w:b/>
                <w:bCs/>
                <w:szCs w:val="22"/>
                <w:lang w:eastAsia="en-AU"/>
              </w:rPr>
              <w:t>536.4</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 </w:t>
            </w:r>
            <w:r w:rsidRPr="006A75A2">
              <w:rPr>
                <w:rFonts w:eastAsiaTheme="minorEastAsia" w:cs="Calibri"/>
                <w:b/>
                <w:bCs/>
                <w:szCs w:val="22"/>
                <w:lang w:eastAsia="en-AU"/>
              </w:rPr>
              <w:t>763.9</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w:t>
            </w:r>
            <w:r w:rsidRPr="006A75A2">
              <w:rPr>
                <w:rFonts w:eastAsiaTheme="minorEastAsia" w:cs="Calibri"/>
                <w:b/>
                <w:bCs/>
                <w:szCs w:val="22"/>
                <w:lang w:eastAsia="en-AU"/>
              </w:rPr>
              <w:t xml:space="preserve"> 907.0</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18</w:t>
            </w:r>
            <w:r w:rsidRPr="006A75A2">
              <w:rPr>
                <w:rFonts w:eastAsiaTheme="minorEastAsia" w:cs="Calibri"/>
                <w:b/>
                <w:bCs/>
                <w:szCs w:val="22"/>
                <w:lang w:eastAsia="en-AU"/>
              </w:rPr>
              <w:t xml:space="preserve"> 104.3</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41</w:t>
            </w:r>
            <w:r w:rsidRPr="006A75A2">
              <w:rPr>
                <w:rFonts w:eastAsiaTheme="minorEastAsia" w:cs="Calibri"/>
                <w:b/>
                <w:bCs/>
                <w:szCs w:val="22"/>
                <w:lang w:eastAsia="en-AU"/>
              </w:rPr>
              <w:t xml:space="preserve"> 888.2</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5.9</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21.2</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35.7</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41.4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w:t>
            </w:r>
            <w:r w:rsidRPr="006A75A2">
              <w:rPr>
                <w:rFonts w:eastAsiaTheme="minorEastAsia" w:cs="Calibri"/>
                <w:szCs w:val="22"/>
                <w:lang w:eastAsia="en-AU"/>
              </w:rPr>
              <w:t xml:space="preserve"> 888.4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w:t>
            </w:r>
            <w:r w:rsidRPr="006A75A2">
              <w:rPr>
                <w:rFonts w:eastAsiaTheme="minorEastAsia" w:cs="Calibri"/>
                <w:szCs w:val="22"/>
                <w:lang w:eastAsia="en-AU"/>
              </w:rPr>
              <w:t xml:space="preserve"> 636.2</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11.1</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0.3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20.8</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215.6</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140.5</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573.7</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w:t>
            </w:r>
            <w:r w:rsidRPr="006A75A2">
              <w:rPr>
                <w:rFonts w:eastAsiaTheme="minorEastAsia" w:cs="Calibri"/>
                <w:szCs w:val="22"/>
                <w:lang w:eastAsia="en-AU"/>
              </w:rPr>
              <w:t xml:space="preserve"> 823.3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w:t>
            </w:r>
            <w:r w:rsidRPr="006A75A2">
              <w:rPr>
                <w:rFonts w:eastAsiaTheme="minorEastAsia" w:cs="Calibri"/>
                <w:szCs w:val="22"/>
                <w:lang w:eastAsia="en-AU"/>
              </w:rPr>
              <w:t xml:space="preserve"> 399.2</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w:t>
            </w:r>
            <w:r w:rsidRPr="006A75A2">
              <w:rPr>
                <w:rFonts w:eastAsiaTheme="minorEastAsia" w:cs="Calibri"/>
                <w:szCs w:val="22"/>
                <w:lang w:eastAsia="en-AU"/>
              </w:rPr>
              <w:t xml:space="preserve"> 141.5</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24</w:t>
            </w:r>
            <w:r w:rsidRPr="006A75A2">
              <w:rPr>
                <w:rFonts w:eastAsiaTheme="minorEastAsia" w:cs="Calibri"/>
                <w:szCs w:val="22"/>
                <w:lang w:eastAsia="en-AU"/>
              </w:rPr>
              <w:t xml:space="preserve"> 213.0</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41</w:t>
            </w:r>
            <w:r w:rsidRPr="006A75A2">
              <w:rPr>
                <w:rFonts w:eastAsiaTheme="minorEastAsia" w:cs="Calibri"/>
                <w:szCs w:val="22"/>
                <w:lang w:eastAsia="en-AU"/>
              </w:rPr>
              <w:t xml:space="preserve"> 886.4</w:t>
            </w:r>
          </w:p>
        </w:tc>
      </w:tr>
      <w:tr w:rsidR="004E6C32" w:rsidRPr="006A75A2" w:rsidTr="004B5CB1">
        <w:tc>
          <w:tcPr>
            <w:tcW w:w="1606"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248.2</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310.7</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377.7</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w:t>
            </w:r>
            <w:r w:rsidRPr="006A75A2">
              <w:rPr>
                <w:rFonts w:eastAsiaTheme="minorEastAsia" w:cs="Calibri"/>
                <w:szCs w:val="22"/>
                <w:lang w:eastAsia="en-AU"/>
              </w:rPr>
              <w:t xml:space="preserve"> 500.6</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13.7</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w:t>
            </w:r>
            <w:r w:rsidRPr="006A75A2">
              <w:rPr>
                <w:rFonts w:eastAsiaTheme="minorEastAsia" w:cs="Calibri"/>
                <w:szCs w:val="22"/>
                <w:lang w:eastAsia="en-AU"/>
              </w:rPr>
              <w:t xml:space="preserve"> 817.3</w:t>
            </w:r>
          </w:p>
        </w:tc>
      </w:tr>
      <w:tr w:rsidR="004E6C32" w:rsidRPr="006A75A2" w:rsidTr="004B5CB1">
        <w:tc>
          <w:tcPr>
            <w:tcW w:w="1606"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w:t>
            </w:r>
            <w:r w:rsidRPr="006A75A2">
              <w:rPr>
                <w:rFonts w:eastAsiaTheme="minorEastAsia" w:cs="Calibri"/>
                <w:b/>
                <w:bCs/>
                <w:szCs w:val="22"/>
                <w:lang w:eastAsia="en-AU"/>
              </w:rPr>
              <w:t xml:space="preserve"> 088.6</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w:t>
            </w:r>
            <w:r w:rsidRPr="006A75A2">
              <w:rPr>
                <w:rFonts w:eastAsiaTheme="minorEastAsia" w:cs="Calibri"/>
                <w:b/>
                <w:bCs/>
                <w:szCs w:val="22"/>
                <w:lang w:eastAsia="en-AU"/>
              </w:rPr>
              <w:t xml:space="preserve"> 731.5</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5</w:t>
            </w:r>
            <w:r w:rsidRPr="006A75A2">
              <w:rPr>
                <w:rFonts w:eastAsiaTheme="minorEastAsia" w:cs="Calibri"/>
                <w:b/>
                <w:bCs/>
                <w:szCs w:val="22"/>
                <w:lang w:eastAsia="en-AU"/>
              </w:rPr>
              <w:t xml:space="preserve"> 575.8</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31</w:t>
            </w:r>
            <w:r w:rsidRPr="006A75A2">
              <w:rPr>
                <w:rFonts w:eastAsiaTheme="minorEastAsia" w:cs="Calibri"/>
                <w:b/>
                <w:bCs/>
                <w:szCs w:val="22"/>
                <w:lang w:eastAsia="en-AU"/>
              </w:rPr>
              <w:t xml:space="preserve"> 970.6</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w:t>
            </w:r>
            <w:r w:rsidRPr="006A75A2">
              <w:rPr>
                <w:rFonts w:eastAsiaTheme="minorEastAsia" w:cs="Calibri"/>
                <w:b/>
                <w:bCs/>
                <w:szCs w:val="22"/>
                <w:lang w:eastAsia="en-AU"/>
              </w:rPr>
              <w:t xml:space="preserve"> 042.6</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57</w:t>
            </w:r>
            <w:r w:rsidRPr="006A75A2">
              <w:rPr>
                <w:rFonts w:eastAsiaTheme="minorEastAsia" w:cs="Calibri"/>
                <w:b/>
                <w:bCs/>
                <w:szCs w:val="22"/>
                <w:lang w:eastAsia="en-AU"/>
              </w:rPr>
              <w:t xml:space="preserve"> 913.7</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606"/>
        <w:gridCol w:w="1607"/>
        <w:gridCol w:w="1607"/>
        <w:gridCol w:w="1606"/>
        <w:gridCol w:w="1607"/>
        <w:gridCol w:w="1607"/>
      </w:tblGrid>
      <w:tr w:rsidR="004E6C32" w:rsidRPr="006A75A2" w:rsidTr="004B5CB1">
        <w:tc>
          <w:tcPr>
            <w:tcW w:w="1606"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60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6 252.9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 xml:space="preserve"> 0.7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0.6</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2 755.7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3 275.9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 xml:space="preserve"> 88.5</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89.3</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71.4</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362.7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17.3</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1 727.3</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 xml:space="preserve"> 2.1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0.6</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1 097.2</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 xml:space="preserve"> 6.0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240.0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713.8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14 720.0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15 139.0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 xml:space="preserve"> 317.8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124.3</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348.1</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1 535.0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9 178.7</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textheading"/>
              <w:rPr>
                <w:rFonts w:eastAsiaTheme="minorEastAsia"/>
                <w:b/>
                <w:bCs/>
                <w:i w:val="0"/>
                <w:lang w:eastAsia="en-AU"/>
              </w:rPr>
            </w:pPr>
            <w:r w:rsidRPr="006A75A2">
              <w:rPr>
                <w:rFonts w:eastAsiaTheme="minorEastAsia"/>
                <w:b/>
                <w:bCs/>
                <w:i w:val="0"/>
                <w:lang w:eastAsia="en-AU"/>
              </w:rPr>
              <w:t xml:space="preserve"> 415.1</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289.9</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420.7</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2 158.3</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17 574.9</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37 384.7</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 xml:space="preserve"> 7.7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37.9</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3 </w:t>
            </w:r>
            <w:r w:rsidRPr="006A75A2">
              <w:rPr>
                <w:rFonts w:eastAsiaTheme="minorEastAsia" w:cs="Calibri"/>
                <w:szCs w:val="22"/>
                <w:lang w:eastAsia="en-AU"/>
              </w:rPr>
              <w:t>926.9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6 976.4</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 xml:space="preserve"> 6.7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290.1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223.1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1 049.0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1 570.8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5 335.2</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29.9</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25 </w:t>
            </w:r>
            <w:r w:rsidRPr="006A75A2">
              <w:rPr>
                <w:rFonts w:eastAsiaTheme="minorEastAsia" w:cs="Calibri"/>
                <w:szCs w:val="22"/>
                <w:lang w:eastAsia="en-AU"/>
              </w:rPr>
              <w:t>843.9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37 527.7</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textheading"/>
              <w:rPr>
                <w:rFonts w:eastAsiaTheme="minorEastAsia"/>
                <w:i w:val="0"/>
                <w:lang w:eastAsia="en-AU"/>
              </w:rPr>
            </w:pPr>
            <w:r w:rsidRPr="006A75A2">
              <w:rPr>
                <w:rFonts w:eastAsiaTheme="minorEastAsia"/>
                <w:i w:val="0"/>
                <w:lang w:eastAsia="en-AU"/>
              </w:rPr>
              <w:t xml:space="preserve"> 269.8</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251.5</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355.2</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7 185.1</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18.4</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8 860.4</w:t>
            </w:r>
          </w:p>
        </w:tc>
      </w:tr>
      <w:tr w:rsidR="004E6C32" w:rsidRPr="006A75A2" w:rsidTr="004B5CB1">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heading"/>
              <w:rPr>
                <w:rFonts w:eastAsiaTheme="minorEastAsia"/>
                <w:b/>
                <w:bCs/>
                <w:i w:val="0"/>
                <w:lang w:eastAsia="en-AU"/>
              </w:rPr>
            </w:pPr>
            <w:r w:rsidRPr="006A75A2">
              <w:rPr>
                <w:rFonts w:eastAsiaTheme="minorEastAsia"/>
                <w:b/>
                <w:bCs/>
                <w:i w:val="0"/>
                <w:lang w:eastAsia="en-AU"/>
              </w:rPr>
              <w:t>1 854.9</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5 607.2</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392.8</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33 357.0</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4 168.4</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54 413.4</w:t>
            </w:r>
          </w:p>
        </w:tc>
      </w:tr>
    </w:tbl>
    <w:p w:rsidR="004E6C32" w:rsidRPr="006A75A2" w:rsidRDefault="004E6C32" w:rsidP="004B5CB1"/>
    <w:p w:rsidR="004E6C32" w:rsidRPr="006A75A2" w:rsidRDefault="004E6C32" w:rsidP="004B5CB1"/>
    <w:p w:rsidR="004E6C32" w:rsidRPr="006A75A2" w:rsidRDefault="004E6C32" w:rsidP="004B5CB1"/>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Heading2NotesContd"/>
        <w:rPr>
          <w:i/>
          <w:kern w:val="0"/>
        </w:rPr>
      </w:pPr>
      <w:r w:rsidRPr="006A75A2">
        <w:rPr>
          <w:kern w:val="0"/>
        </w:rPr>
        <w:lastRenderedPageBreak/>
        <w:t>Note 33:</w:t>
      </w:r>
      <w:r w:rsidRPr="006A75A2">
        <w:rPr>
          <w:kern w:val="0"/>
        </w:rPr>
        <w:tab/>
        <w:t xml:space="preserve">Financial instruments </w:t>
      </w:r>
      <w:r w:rsidRPr="006A75A2">
        <w:rPr>
          <w:i/>
          <w:kern w:val="0"/>
        </w:rPr>
        <w:t>(continued)</w:t>
      </w:r>
    </w:p>
    <w:p w:rsidR="002A6119" w:rsidRPr="006A75A2" w:rsidRDefault="002A6119" w:rsidP="002A6119">
      <w:pPr>
        <w:pStyle w:val="Heading5"/>
      </w:pPr>
      <w:r w:rsidRPr="006A75A2">
        <w:t>(f)</w:t>
      </w:r>
      <w:r w:rsidRPr="006A75A2">
        <w:tab/>
        <w:t xml:space="preserve">Interest rate exposure </w:t>
      </w:r>
      <w:r w:rsidRPr="006A75A2">
        <w:rPr>
          <w:i/>
        </w:rPr>
        <w:t>(continued)</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829"/>
        <w:gridCol w:w="1276"/>
        <w:gridCol w:w="1276"/>
        <w:gridCol w:w="1259"/>
      </w:tblGrid>
      <w:tr w:rsidR="004E6C32" w:rsidRPr="006A75A2" w:rsidTr="004B5CB1">
        <w:tc>
          <w:tcPr>
            <w:tcW w:w="5829" w:type="dxa"/>
            <w:tcBorders>
              <w:top w:val="single" w:sz="6" w:space="0" w:color="auto"/>
              <w:left w:val="single" w:sz="6" w:space="0" w:color="auto"/>
              <w:bottom w:val="nil"/>
              <w:right w:val="nil"/>
            </w:tcBorders>
            <w:shd w:val="clear" w:color="000000" w:fill="000000"/>
          </w:tcPr>
          <w:p w:rsidR="004E6C32" w:rsidRPr="006A75A2" w:rsidRDefault="00AD1FBF" w:rsidP="00AD1FBF">
            <w:pPr>
              <w:pStyle w:val="TabletextheadingLeft"/>
              <w:rPr>
                <w:rFonts w:eastAsiaTheme="minorEastAsia"/>
                <w:lang w:eastAsia="en-AU"/>
              </w:rPr>
            </w:pPr>
            <w:r w:rsidRPr="006A75A2">
              <w:rPr>
                <w:rFonts w:eastAsiaTheme="minorEastAsia"/>
                <w:lang w:eastAsia="en-AU"/>
              </w:rPr>
              <w:t>General government sector</w:t>
            </w:r>
          </w:p>
        </w:tc>
        <w:tc>
          <w:tcPr>
            <w:tcW w:w="1276"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76"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59" w:type="dxa"/>
            <w:tcBorders>
              <w:top w:val="single" w:sz="6" w:space="0" w:color="auto"/>
              <w:left w:val="nil"/>
              <w:bottom w:val="nil"/>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AD1FBF" w:rsidRPr="006A75A2" w:rsidTr="00AD1FBF">
        <w:trPr>
          <w:trHeight w:val="806"/>
        </w:trPr>
        <w:tc>
          <w:tcPr>
            <w:tcW w:w="5829" w:type="dxa"/>
            <w:tcBorders>
              <w:left w:val="single" w:sz="6" w:space="0" w:color="auto"/>
              <w:right w:val="nil"/>
            </w:tcBorders>
            <w:shd w:val="clear" w:color="000000" w:fill="000000"/>
            <w:vAlign w:val="bottom"/>
          </w:tcPr>
          <w:p w:rsidR="00AD1FBF" w:rsidRPr="006A75A2" w:rsidRDefault="00AD1FBF" w:rsidP="00AD1FBF">
            <w:pPr>
              <w:pStyle w:val="Tabletext"/>
              <w:rPr>
                <w:rFonts w:eastAsiaTheme="minorEastAsia"/>
                <w:lang w:eastAsia="en-AU"/>
              </w:rPr>
            </w:pPr>
            <w:r w:rsidRPr="006A75A2">
              <w:rPr>
                <w:rFonts w:eastAsiaTheme="minorEastAsia"/>
                <w:lang w:eastAsia="en-AU"/>
              </w:rPr>
              <w:t xml:space="preserve"> </w:t>
            </w:r>
          </w:p>
          <w:p w:rsidR="00AD1FBF" w:rsidRPr="006A75A2" w:rsidRDefault="00AD1FBF" w:rsidP="00AD1FBF">
            <w:pPr>
              <w:pStyle w:val="TabletextheadingLeft"/>
              <w:rPr>
                <w:rFonts w:eastAsiaTheme="minorEastAsia"/>
                <w:lang w:eastAsia="en-AU"/>
              </w:rPr>
            </w:pPr>
            <w:r w:rsidRPr="006A75A2">
              <w:rPr>
                <w:rFonts w:eastAsiaTheme="minorEastAsia"/>
                <w:lang w:eastAsia="en-AU"/>
              </w:rPr>
              <w:t>2014</w:t>
            </w:r>
          </w:p>
        </w:tc>
        <w:tc>
          <w:tcPr>
            <w:tcW w:w="1276" w:type="dxa"/>
            <w:tcBorders>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p>
          <w:p w:rsidR="00AD1FBF" w:rsidRPr="006A75A2" w:rsidRDefault="00AD1FBF" w:rsidP="004B5CB1">
            <w:pPr>
              <w:pStyle w:val="Tabletextheading"/>
              <w:rPr>
                <w:rFonts w:eastAsiaTheme="minorEastAsia"/>
                <w:lang w:eastAsia="en-AU"/>
              </w:rPr>
            </w:pPr>
            <w:r w:rsidRPr="006A75A2">
              <w:rPr>
                <w:rFonts w:eastAsiaTheme="minorEastAsia"/>
                <w:lang w:eastAsia="en-AU"/>
              </w:rPr>
              <w:t>Floating</w:t>
            </w:r>
          </w:p>
        </w:tc>
        <w:tc>
          <w:tcPr>
            <w:tcW w:w="1276" w:type="dxa"/>
            <w:tcBorders>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Less than </w:t>
            </w:r>
          </w:p>
          <w:p w:rsidR="00AD1FBF" w:rsidRPr="006A75A2" w:rsidRDefault="00AD1FBF" w:rsidP="004B5CB1">
            <w:pPr>
              <w:pStyle w:val="Tabletextheading"/>
              <w:rPr>
                <w:rFonts w:eastAsiaTheme="minorEastAsia"/>
                <w:lang w:eastAsia="en-AU"/>
              </w:rPr>
            </w:pPr>
            <w:r w:rsidRPr="006A75A2">
              <w:rPr>
                <w:rFonts w:eastAsiaTheme="minorEastAsia"/>
                <w:lang w:eastAsia="en-AU"/>
              </w:rPr>
              <w:t>1 year</w:t>
            </w:r>
          </w:p>
        </w:tc>
        <w:tc>
          <w:tcPr>
            <w:tcW w:w="1259" w:type="dxa"/>
            <w:tcBorders>
              <w:left w:val="nil"/>
              <w:right w:val="single" w:sz="6" w:space="0" w:color="auto"/>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1 year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but less </w:t>
            </w:r>
          </w:p>
          <w:p w:rsidR="00AD1FBF" w:rsidRPr="006A75A2" w:rsidRDefault="00AD1FBF" w:rsidP="004B5CB1">
            <w:pPr>
              <w:pStyle w:val="Tabletextheading"/>
              <w:rPr>
                <w:rFonts w:eastAsiaTheme="minorEastAsia"/>
                <w:lang w:eastAsia="en-AU"/>
              </w:rPr>
            </w:pPr>
            <w:r w:rsidRPr="006A75A2">
              <w:rPr>
                <w:rFonts w:eastAsiaTheme="minorEastAsia"/>
                <w:lang w:eastAsia="en-AU"/>
              </w:rPr>
              <w:t>than 2 years</w:t>
            </w:r>
          </w:p>
        </w:tc>
      </w:tr>
      <w:tr w:rsidR="004E6C32" w:rsidRPr="006A75A2" w:rsidTr="004B5CB1">
        <w:tc>
          <w:tcPr>
            <w:tcW w:w="5829" w:type="dxa"/>
            <w:tcBorders>
              <w:top w:val="single" w:sz="6" w:space="0" w:color="auto"/>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Financial assets</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59"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w:t>
            </w:r>
            <w:r w:rsidRPr="006A75A2">
              <w:rPr>
                <w:rFonts w:eastAsiaTheme="minorEastAsia" w:cs="Calibri"/>
                <w:szCs w:val="22"/>
                <w:lang w:eastAsia="en-AU"/>
              </w:rPr>
              <w:t xml:space="preserve"> 574.9</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767.3</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Receivables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11.6</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154.3</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42.4</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Advances</w:t>
            </w:r>
            <w:r w:rsidRPr="006A75A2">
              <w:rPr>
                <w:rFonts w:eastAsiaTheme="minorEastAsia" w:cs="Calibri"/>
                <w:szCs w:val="22"/>
                <w:lang w:eastAsia="en-AU"/>
              </w:rPr>
              <w:t xml:space="preserve"> paid</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50.4</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55.6</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Term</w:t>
            </w:r>
            <w:r w:rsidRPr="006A75A2">
              <w:rPr>
                <w:rFonts w:eastAsiaTheme="minorEastAsia" w:cs="Calibri"/>
                <w:szCs w:val="22"/>
                <w:lang w:eastAsia="en-AU"/>
              </w:rPr>
              <w:t xml:space="preserve"> deposits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335.4</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730.5</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33.5</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Derivative </w:t>
            </w:r>
            <w:r w:rsidRPr="006A75A2">
              <w:rPr>
                <w:rFonts w:eastAsiaTheme="minorEastAsia" w:cs="Calibri"/>
                <w:szCs w:val="22"/>
                <w:lang w:eastAsia="en-AU"/>
              </w:rPr>
              <w:t>financial instruments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Equities</w:t>
            </w:r>
            <w:r w:rsidRPr="006A75A2">
              <w:rPr>
                <w:rFonts w:eastAsiaTheme="minorEastAsia" w:cs="Calibri"/>
                <w:szCs w:val="22"/>
                <w:lang w:eastAsia="en-AU"/>
              </w:rPr>
              <w:t xml:space="preserve"> and managed investment schemes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348.6</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166.1</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Debt</w:t>
            </w:r>
            <w:r w:rsidRPr="006A75A2">
              <w:rPr>
                <w:rFonts w:eastAsiaTheme="minorEastAsia" w:cs="Calibri"/>
                <w:szCs w:val="22"/>
                <w:lang w:eastAsia="en-AU"/>
              </w:rPr>
              <w:t xml:space="preserve"> securities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2.1</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4.5</w:t>
            </w:r>
          </w:p>
        </w:tc>
      </w:tr>
      <w:tr w:rsidR="004E6C32" w:rsidRPr="006A75A2" w:rsidTr="004B5CB1">
        <w:tc>
          <w:tcPr>
            <w:tcW w:w="5829"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cs="Calibri"/>
                <w:b/>
                <w:bCs/>
                <w:szCs w:val="22"/>
                <w:lang w:eastAsia="en-AU"/>
              </w:rPr>
            </w:pPr>
            <w:r w:rsidRPr="006A75A2">
              <w:rPr>
                <w:rFonts w:eastAsiaTheme="minorEastAsia"/>
                <w:b/>
                <w:lang w:eastAsia="en-AU"/>
              </w:rPr>
              <w:t>Total</w:t>
            </w:r>
            <w:r w:rsidRPr="006A75A2">
              <w:rPr>
                <w:rFonts w:eastAsiaTheme="minorEastAsia" w:cs="Calibri"/>
                <w:b/>
                <w:bCs/>
                <w:szCs w:val="22"/>
                <w:lang w:eastAsia="en-AU"/>
              </w:rPr>
              <w:t xml:space="preserve"> financial assets</w:t>
            </w:r>
          </w:p>
        </w:tc>
        <w:tc>
          <w:tcPr>
            <w:tcW w:w="12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4</w:t>
            </w:r>
            <w:r w:rsidRPr="006A75A2">
              <w:rPr>
                <w:rFonts w:eastAsiaTheme="minorEastAsia" w:cs="Calibri"/>
                <w:b/>
                <w:bCs/>
                <w:szCs w:val="22"/>
                <w:lang w:eastAsia="en-AU"/>
              </w:rPr>
              <w:t xml:space="preserve"> 270.4</w:t>
            </w:r>
          </w:p>
        </w:tc>
        <w:tc>
          <w:tcPr>
            <w:tcW w:w="12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2</w:t>
            </w:r>
            <w:r w:rsidRPr="006A75A2">
              <w:rPr>
                <w:rFonts w:eastAsiaTheme="minorEastAsia" w:cs="Calibri"/>
                <w:b/>
                <w:bCs/>
                <w:szCs w:val="22"/>
                <w:lang w:eastAsia="en-AU"/>
              </w:rPr>
              <w:t xml:space="preserve"> 870.7</w:t>
            </w:r>
          </w:p>
        </w:tc>
        <w:tc>
          <w:tcPr>
            <w:tcW w:w="1259"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 xml:space="preserve"> </w:t>
            </w:r>
            <w:r w:rsidRPr="006A75A2">
              <w:rPr>
                <w:rFonts w:eastAsiaTheme="minorEastAsia" w:cs="Calibri"/>
                <w:b/>
                <w:bCs/>
                <w:szCs w:val="22"/>
                <w:lang w:eastAsia="en-AU"/>
              </w:rPr>
              <w:t>135.9</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Financial liabilities</w:t>
            </w:r>
          </w:p>
        </w:tc>
        <w:tc>
          <w:tcPr>
            <w:tcW w:w="1276"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276"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259"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Payables</w:t>
            </w:r>
            <w:r w:rsidRPr="006A75A2">
              <w:rPr>
                <w:rFonts w:eastAsiaTheme="minorEastAsia" w:cs="Calibri"/>
                <w:szCs w:val="22"/>
                <w:lang w:eastAsia="en-AU"/>
              </w:rPr>
              <w:t>, deposits held and advances received</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556.6</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399.2</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27.7</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Derivative</w:t>
            </w:r>
            <w:r w:rsidRPr="006A75A2">
              <w:rPr>
                <w:rFonts w:eastAsiaTheme="minorEastAsia" w:cs="Calibri"/>
                <w:szCs w:val="22"/>
                <w:lang w:eastAsia="en-AU"/>
              </w:rPr>
              <w:t xml:space="preserve"> financial instruments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Interest-bearing</w:t>
            </w:r>
            <w:r w:rsidRPr="006A75A2">
              <w:rPr>
                <w:rFonts w:eastAsiaTheme="minorEastAsia" w:cs="Calibri"/>
                <w:szCs w:val="22"/>
                <w:lang w:eastAsia="en-AU"/>
              </w:rPr>
              <w:t xml:space="preserve"> liabilities</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35.8</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120.8</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439.1</w:t>
            </w:r>
          </w:p>
        </w:tc>
      </w:tr>
      <w:tr w:rsidR="004E6C32" w:rsidRPr="006A75A2" w:rsidTr="004B5CB1">
        <w:tc>
          <w:tcPr>
            <w:tcW w:w="5829" w:type="dxa"/>
            <w:tcBorders>
              <w:top w:val="nil"/>
              <w:left w:val="nil"/>
              <w:bottom w:val="single" w:sz="6" w:space="0" w:color="auto"/>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Finance lease </w:t>
            </w:r>
            <w:r w:rsidRPr="006A75A2">
              <w:rPr>
                <w:rFonts w:eastAsiaTheme="minorEastAsia" w:cs="Calibri"/>
                <w:szCs w:val="22"/>
                <w:lang w:eastAsia="en-AU"/>
              </w:rPr>
              <w:t>liabilities</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36.3</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188.0</w:t>
            </w:r>
          </w:p>
        </w:tc>
      </w:tr>
      <w:tr w:rsidR="004E6C32" w:rsidRPr="006A75A2" w:rsidTr="004B5CB1">
        <w:tc>
          <w:tcPr>
            <w:tcW w:w="582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lang w:eastAsia="en-AU"/>
              </w:rPr>
              <w:t>Total</w:t>
            </w:r>
            <w:r w:rsidRPr="006A75A2">
              <w:rPr>
                <w:rFonts w:eastAsiaTheme="minorEastAsia" w:cs="Calibri"/>
                <w:b/>
                <w:bCs/>
                <w:szCs w:val="22"/>
                <w:lang w:eastAsia="en-AU"/>
              </w:rPr>
              <w:t xml:space="preserve"> financial liabilities</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 xml:space="preserve"> </w:t>
            </w:r>
            <w:r w:rsidRPr="006A75A2">
              <w:rPr>
                <w:rFonts w:eastAsiaTheme="minorEastAsia" w:cs="Calibri"/>
                <w:b/>
                <w:bCs/>
                <w:szCs w:val="22"/>
                <w:lang w:eastAsia="en-AU"/>
              </w:rPr>
              <w:t>592.4</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w:t>
            </w:r>
            <w:r w:rsidRPr="006A75A2">
              <w:rPr>
                <w:rFonts w:eastAsiaTheme="minorEastAsia" w:cs="Calibri"/>
                <w:b/>
                <w:bCs/>
                <w:szCs w:val="22"/>
                <w:lang w:eastAsia="en-AU"/>
              </w:rPr>
              <w:t xml:space="preserve"> 556.3</w:t>
            </w:r>
          </w:p>
        </w:tc>
        <w:tc>
          <w:tcPr>
            <w:tcW w:w="125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w:t>
            </w:r>
            <w:r w:rsidRPr="006A75A2">
              <w:rPr>
                <w:rFonts w:eastAsiaTheme="minorEastAsia" w:cs="Calibri"/>
                <w:b/>
                <w:bCs/>
                <w:szCs w:val="22"/>
                <w:lang w:eastAsia="en-AU"/>
              </w:rPr>
              <w:t xml:space="preserve"> 654.8</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829"/>
        <w:gridCol w:w="1276"/>
        <w:gridCol w:w="1276"/>
        <w:gridCol w:w="1259"/>
      </w:tblGrid>
      <w:tr w:rsidR="004E6C32" w:rsidRPr="006A75A2" w:rsidTr="004B5CB1">
        <w:tc>
          <w:tcPr>
            <w:tcW w:w="5829"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2013</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59"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4E6C32" w:rsidRPr="006A75A2" w:rsidTr="004B5CB1">
        <w:tc>
          <w:tcPr>
            <w:tcW w:w="5829" w:type="dxa"/>
            <w:tcBorders>
              <w:top w:val="single" w:sz="6" w:space="0" w:color="auto"/>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Financial assets</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59"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82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3 314.1</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555.7</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Receivables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33.5</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349.7</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56.5</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Advances paid</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491.8</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443.4</w:t>
            </w:r>
          </w:p>
        </w:tc>
      </w:tr>
      <w:tr w:rsidR="004E6C32" w:rsidRPr="006A75A2" w:rsidTr="004B5CB1">
        <w:tc>
          <w:tcPr>
            <w:tcW w:w="5829"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Term deposits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206.4</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2 369.7</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69.3</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Equities and managed investment schemes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194.5</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199.1</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18.1</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Debt securities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27.6</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w:t>
            </w:r>
          </w:p>
        </w:tc>
      </w:tr>
      <w:tr w:rsidR="004E6C32" w:rsidRPr="006A75A2" w:rsidTr="004B5CB1">
        <w:tc>
          <w:tcPr>
            <w:tcW w:w="5829"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Total financial assets</w:t>
            </w:r>
          </w:p>
        </w:tc>
        <w:tc>
          <w:tcPr>
            <w:tcW w:w="12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3 780.2</w:t>
            </w:r>
          </w:p>
        </w:tc>
        <w:tc>
          <w:tcPr>
            <w:tcW w:w="12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3 967.2</w:t>
            </w:r>
          </w:p>
        </w:tc>
        <w:tc>
          <w:tcPr>
            <w:tcW w:w="1259"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591.6</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Financial liabilities</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Payables, deposits held</w:t>
            </w:r>
            <w:r w:rsidRPr="006A75A2">
              <w:rPr>
                <w:rFonts w:eastAsiaTheme="minorEastAsia" w:cs="Calibri"/>
                <w:szCs w:val="22"/>
                <w:lang w:eastAsia="en-AU"/>
              </w:rPr>
              <w:t xml:space="preserve"> and advances received</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610.6</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400.0</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25.2</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Interest-bearing liabilities</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9.4</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1 746.1</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1 028.7</w:t>
            </w:r>
          </w:p>
        </w:tc>
      </w:tr>
      <w:tr w:rsidR="004E6C32" w:rsidRPr="006A75A2" w:rsidTr="004B5CB1">
        <w:tc>
          <w:tcPr>
            <w:tcW w:w="5829"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Finance lease liabilities</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379.9</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174.4</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91.5</w:t>
            </w:r>
          </w:p>
        </w:tc>
      </w:tr>
      <w:tr w:rsidR="004E6C32" w:rsidRPr="006A75A2" w:rsidTr="004B5CB1">
        <w:tc>
          <w:tcPr>
            <w:tcW w:w="582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Total financial liabilities</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1 000.0</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2 320.6</w:t>
            </w:r>
          </w:p>
        </w:tc>
        <w:tc>
          <w:tcPr>
            <w:tcW w:w="125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1 145.4</w:t>
            </w:r>
          </w:p>
        </w:tc>
      </w:tr>
    </w:tbl>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Heading2NotesContd"/>
        <w:rPr>
          <w:kern w:val="0"/>
        </w:rPr>
      </w:pPr>
    </w:p>
    <w:p w:rsidR="002A6119" w:rsidRPr="006A75A2" w:rsidRDefault="002A6119" w:rsidP="002A6119">
      <w:pPr>
        <w:pStyle w:val="Heading5"/>
      </w:pPr>
    </w:p>
    <w:p w:rsidR="004E6C32" w:rsidRPr="006A75A2" w:rsidRDefault="004E6C32" w:rsidP="002A6119">
      <w:pPr>
        <w:pStyle w:val="million"/>
      </w:pPr>
    </w:p>
    <w:tbl>
      <w:tblPr>
        <w:tblW w:w="9640" w:type="dxa"/>
        <w:tblInd w:w="28" w:type="dxa"/>
        <w:tblLayout w:type="fixed"/>
        <w:tblCellMar>
          <w:left w:w="45" w:type="dxa"/>
          <w:right w:w="45" w:type="dxa"/>
        </w:tblCellMar>
        <w:tblLook w:val="0000" w:firstRow="0" w:lastRow="0" w:firstColumn="0" w:lastColumn="0" w:noHBand="0" w:noVBand="0"/>
      </w:tblPr>
      <w:tblGrid>
        <w:gridCol w:w="159"/>
        <w:gridCol w:w="1447"/>
        <w:gridCol w:w="1607"/>
        <w:gridCol w:w="1607"/>
        <w:gridCol w:w="1606"/>
        <w:gridCol w:w="1607"/>
        <w:gridCol w:w="1607"/>
      </w:tblGrid>
      <w:tr w:rsidR="00AD1FBF" w:rsidRPr="006A75A2" w:rsidTr="00AD1FBF">
        <w:tc>
          <w:tcPr>
            <w:tcW w:w="159"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lang w:eastAsia="en-AU"/>
              </w:rPr>
            </w:pPr>
            <w:r w:rsidRPr="006A75A2">
              <w:rPr>
                <w:rFonts w:eastAsiaTheme="minorEastAsia"/>
                <w:lang w:eastAsia="en-AU"/>
              </w:rPr>
              <w:t xml:space="preserve"> </w:t>
            </w:r>
          </w:p>
        </w:tc>
        <w:tc>
          <w:tcPr>
            <w:tcW w:w="9481" w:type="dxa"/>
            <w:gridSpan w:val="6"/>
            <w:tcBorders>
              <w:top w:val="single" w:sz="6" w:space="0" w:color="auto"/>
              <w:left w:val="nil"/>
              <w:bottom w:val="nil"/>
              <w:right w:val="single" w:sz="6" w:space="0" w:color="auto"/>
            </w:tcBorders>
            <w:shd w:val="clear" w:color="000000" w:fill="000000"/>
          </w:tcPr>
          <w:p w:rsidR="00AD1FBF" w:rsidRPr="006A75A2" w:rsidRDefault="00AD1FBF" w:rsidP="00AD1FBF">
            <w:pPr>
              <w:pStyle w:val="TabletextheadingCentred"/>
              <w:jc w:val="left"/>
              <w:rPr>
                <w:rFonts w:eastAsiaTheme="minorEastAsia"/>
                <w:lang w:eastAsia="en-AU"/>
              </w:rPr>
            </w:pPr>
            <w:r w:rsidRPr="006A75A2">
              <w:rPr>
                <w:rFonts w:eastAsiaTheme="minorEastAsia"/>
                <w:lang w:eastAsia="en-AU"/>
              </w:rPr>
              <w:t>Interest rate, fixed maturities</w:t>
            </w:r>
          </w:p>
        </w:tc>
      </w:tr>
      <w:tr w:rsidR="00AD1FBF" w:rsidRPr="006A75A2" w:rsidTr="00AD1FBF">
        <w:trPr>
          <w:trHeight w:val="806"/>
        </w:trPr>
        <w:tc>
          <w:tcPr>
            <w:tcW w:w="1606" w:type="dxa"/>
            <w:gridSpan w:val="2"/>
            <w:tcBorders>
              <w:top w:val="nil"/>
              <w:left w:val="single" w:sz="6" w:space="0" w:color="auto"/>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2 years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but less </w:t>
            </w:r>
          </w:p>
          <w:p w:rsidR="00AD1FBF" w:rsidRPr="006A75A2" w:rsidRDefault="00AD1FBF" w:rsidP="004B5CB1">
            <w:pPr>
              <w:pStyle w:val="Tabletextheading"/>
              <w:rPr>
                <w:rFonts w:eastAsiaTheme="minorEastAsia"/>
                <w:lang w:eastAsia="en-AU"/>
              </w:rPr>
            </w:pPr>
            <w:r w:rsidRPr="006A75A2">
              <w:rPr>
                <w:rFonts w:eastAsiaTheme="minorEastAsia"/>
                <w:lang w:eastAsia="en-AU"/>
              </w:rPr>
              <w:t>than 3 years</w:t>
            </w:r>
          </w:p>
        </w:tc>
        <w:tc>
          <w:tcPr>
            <w:tcW w:w="1607" w:type="dxa"/>
            <w:tcBorders>
              <w:top w:val="nil"/>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3 years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but less </w:t>
            </w:r>
          </w:p>
          <w:p w:rsidR="00AD1FBF" w:rsidRPr="006A75A2" w:rsidRDefault="00AD1FBF" w:rsidP="004B5CB1">
            <w:pPr>
              <w:pStyle w:val="Tabletextheading"/>
              <w:rPr>
                <w:rFonts w:eastAsiaTheme="minorEastAsia"/>
                <w:lang w:eastAsia="en-AU"/>
              </w:rPr>
            </w:pPr>
            <w:r w:rsidRPr="006A75A2">
              <w:rPr>
                <w:rFonts w:eastAsiaTheme="minorEastAsia"/>
                <w:lang w:eastAsia="en-AU"/>
              </w:rPr>
              <w:t>than 4 years</w:t>
            </w:r>
          </w:p>
        </w:tc>
        <w:tc>
          <w:tcPr>
            <w:tcW w:w="1607" w:type="dxa"/>
            <w:tcBorders>
              <w:top w:val="nil"/>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4 years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but less </w:t>
            </w:r>
          </w:p>
          <w:p w:rsidR="00AD1FBF" w:rsidRPr="006A75A2" w:rsidRDefault="00AD1FBF" w:rsidP="004B5CB1">
            <w:pPr>
              <w:pStyle w:val="Tabletextheading"/>
              <w:rPr>
                <w:rFonts w:eastAsiaTheme="minorEastAsia"/>
                <w:lang w:eastAsia="en-AU"/>
              </w:rPr>
            </w:pPr>
            <w:r w:rsidRPr="006A75A2">
              <w:rPr>
                <w:rFonts w:eastAsiaTheme="minorEastAsia"/>
                <w:lang w:eastAsia="en-AU"/>
              </w:rPr>
              <w:t>than 5 years</w:t>
            </w:r>
          </w:p>
        </w:tc>
        <w:tc>
          <w:tcPr>
            <w:tcW w:w="1606" w:type="dxa"/>
            <w:tcBorders>
              <w:top w:val="nil"/>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5 years </w:t>
            </w:r>
          </w:p>
          <w:p w:rsidR="00AD1FBF" w:rsidRPr="006A75A2" w:rsidRDefault="00AD1FBF" w:rsidP="004B5CB1">
            <w:pPr>
              <w:pStyle w:val="Tabletextheading"/>
              <w:rPr>
                <w:rFonts w:eastAsiaTheme="minorEastAsia"/>
                <w:lang w:eastAsia="en-AU"/>
              </w:rPr>
            </w:pPr>
            <w:r w:rsidRPr="006A75A2">
              <w:rPr>
                <w:rFonts w:eastAsiaTheme="minorEastAsia"/>
                <w:lang w:eastAsia="en-AU"/>
              </w:rPr>
              <w:t>or more</w:t>
            </w:r>
          </w:p>
        </w:tc>
        <w:tc>
          <w:tcPr>
            <w:tcW w:w="1607" w:type="dxa"/>
            <w:tcBorders>
              <w:top w:val="nil"/>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Non-interest </w:t>
            </w:r>
          </w:p>
          <w:p w:rsidR="00AD1FBF" w:rsidRPr="006A75A2" w:rsidRDefault="00AD1FBF" w:rsidP="004B5CB1">
            <w:pPr>
              <w:pStyle w:val="Tabletextheading"/>
              <w:rPr>
                <w:rFonts w:eastAsiaTheme="minorEastAsia"/>
                <w:lang w:eastAsia="en-AU"/>
              </w:rPr>
            </w:pPr>
            <w:r w:rsidRPr="006A75A2">
              <w:rPr>
                <w:rFonts w:eastAsiaTheme="minorEastAsia"/>
                <w:lang w:eastAsia="en-AU"/>
              </w:rPr>
              <w:t>bearing</w:t>
            </w:r>
          </w:p>
        </w:tc>
        <w:tc>
          <w:tcPr>
            <w:tcW w:w="1607" w:type="dxa"/>
            <w:tcBorders>
              <w:top w:val="nil"/>
              <w:left w:val="nil"/>
              <w:right w:val="single" w:sz="6" w:space="0" w:color="auto"/>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p w:rsidR="00AD1FBF" w:rsidRPr="006A75A2" w:rsidRDefault="00AD1FBF" w:rsidP="004B5CB1">
            <w:pPr>
              <w:pStyle w:val="Tabletextheading"/>
              <w:rPr>
                <w:rFonts w:eastAsiaTheme="minorEastAsia"/>
                <w:lang w:eastAsia="en-AU"/>
              </w:rPr>
            </w:pPr>
          </w:p>
          <w:p w:rsidR="00AD1FBF" w:rsidRPr="006A75A2" w:rsidRDefault="00AD1FBF" w:rsidP="004B5CB1">
            <w:pPr>
              <w:pStyle w:val="Tabletextheading"/>
              <w:rPr>
                <w:rFonts w:eastAsiaTheme="minorEastAsia"/>
                <w:lang w:eastAsia="en-AU"/>
              </w:rPr>
            </w:pPr>
            <w:r w:rsidRPr="006A75A2">
              <w:rPr>
                <w:rFonts w:eastAsiaTheme="minorEastAsia"/>
                <w:lang w:eastAsia="en-AU"/>
              </w:rPr>
              <w:t>Total</w:t>
            </w:r>
          </w:p>
        </w:tc>
      </w:tr>
      <w:tr w:rsidR="004E6C32" w:rsidRPr="006A75A2" w:rsidTr="004B5CB1">
        <w:tc>
          <w:tcPr>
            <w:tcW w:w="1606"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158.7</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500.9</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33.8</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35.8</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37.9</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175.4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204.4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695.6</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44.8</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54.1</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58.2</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301.4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22.4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586.9</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4.5</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1.8</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4.1</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0.3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114.4</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0.6</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436.9</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952.2</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14.3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5.0</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0.6</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22.3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51.0</w:t>
            </w:r>
          </w:p>
        </w:tc>
      </w:tr>
      <w:tr w:rsidR="004E6C32" w:rsidRPr="006A75A2" w:rsidTr="004B5CB1">
        <w:tc>
          <w:tcPr>
            <w:tcW w:w="1606"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 </w:t>
            </w:r>
            <w:r w:rsidRPr="006A75A2">
              <w:rPr>
                <w:rFonts w:eastAsiaTheme="minorEastAsia" w:cs="Calibri"/>
                <w:b/>
                <w:bCs/>
                <w:szCs w:val="22"/>
                <w:lang w:eastAsia="en-AU"/>
              </w:rPr>
              <w:t>98.0</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 </w:t>
            </w:r>
            <w:r w:rsidRPr="006A75A2">
              <w:rPr>
                <w:rFonts w:eastAsiaTheme="minorEastAsia" w:cs="Calibri"/>
                <w:b/>
                <w:bCs/>
                <w:szCs w:val="22"/>
                <w:lang w:eastAsia="en-AU"/>
              </w:rPr>
              <w:t>96.7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 xml:space="preserve"> </w:t>
            </w:r>
            <w:r w:rsidRPr="006A75A2">
              <w:rPr>
                <w:rFonts w:eastAsiaTheme="minorEastAsia" w:cs="Calibri"/>
                <w:b/>
                <w:bCs/>
                <w:szCs w:val="22"/>
                <w:lang w:eastAsia="en-AU"/>
              </w:rPr>
              <w:t>100.8</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w:t>
            </w:r>
            <w:r w:rsidRPr="006A75A2">
              <w:rPr>
                <w:rFonts w:eastAsiaTheme="minorEastAsia" w:cs="Calibri"/>
                <w:b/>
                <w:bCs/>
                <w:szCs w:val="22"/>
                <w:lang w:eastAsia="en-AU"/>
              </w:rPr>
              <w:t xml:space="preserve"> 503.5</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w:t>
            </w:r>
            <w:r w:rsidRPr="006A75A2">
              <w:rPr>
                <w:rFonts w:eastAsiaTheme="minorEastAsia" w:cs="Calibri"/>
                <w:b/>
                <w:bCs/>
                <w:szCs w:val="22"/>
                <w:lang w:eastAsia="en-AU"/>
              </w:rPr>
              <w:t xml:space="preserve"> 825.0</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13</w:t>
            </w:r>
            <w:r w:rsidRPr="006A75A2">
              <w:rPr>
                <w:rFonts w:eastAsiaTheme="minorEastAsia" w:cs="Calibri"/>
                <w:b/>
                <w:bCs/>
                <w:szCs w:val="22"/>
                <w:lang w:eastAsia="en-AU"/>
              </w:rPr>
              <w:t xml:space="preserve"> 901.0</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5.9</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21.2</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20.4</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w:t>
            </w:r>
            <w:r w:rsidRPr="006A75A2">
              <w:rPr>
                <w:rFonts w:eastAsiaTheme="minorEastAsia" w:cs="Calibri"/>
                <w:szCs w:val="22"/>
                <w:lang w:eastAsia="en-AU"/>
              </w:rPr>
              <w:t xml:space="preserve"> 044.2</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075.2</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20.8</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20.8</w:t>
            </w:r>
          </w:p>
        </w:tc>
      </w:tr>
      <w:tr w:rsidR="004E6C32" w:rsidRPr="006A75A2" w:rsidTr="004B5CB1">
        <w:tc>
          <w:tcPr>
            <w:tcW w:w="1606" w:type="dxa"/>
            <w:gridSpan w:val="2"/>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737.5</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948.3</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064.2</w:t>
            </w:r>
          </w:p>
        </w:tc>
        <w:tc>
          <w:tcPr>
            <w:tcW w:w="160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w:t>
            </w:r>
            <w:r w:rsidRPr="006A75A2">
              <w:rPr>
                <w:rFonts w:eastAsiaTheme="minorEastAsia" w:cs="Calibri"/>
                <w:szCs w:val="22"/>
                <w:lang w:eastAsia="en-AU"/>
              </w:rPr>
              <w:t xml:space="preserve"> 537.2</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24</w:t>
            </w:r>
            <w:r w:rsidRPr="006A75A2">
              <w:rPr>
                <w:rFonts w:eastAsiaTheme="minorEastAsia" w:cs="Calibri"/>
                <w:szCs w:val="22"/>
                <w:lang w:eastAsia="en-AU"/>
              </w:rPr>
              <w:t xml:space="preserve"> 883.0</w:t>
            </w:r>
          </w:p>
        </w:tc>
      </w:tr>
      <w:tr w:rsidR="004E6C32" w:rsidRPr="006A75A2" w:rsidTr="004B5CB1">
        <w:tc>
          <w:tcPr>
            <w:tcW w:w="1606"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178.7</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181.3</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193.3</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7</w:t>
            </w:r>
            <w:r w:rsidRPr="006A75A2">
              <w:rPr>
                <w:rFonts w:eastAsiaTheme="minorEastAsia" w:cs="Calibri"/>
                <w:szCs w:val="22"/>
                <w:lang w:eastAsia="en-AU"/>
              </w:rPr>
              <w:t xml:space="preserve"> 149.5</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122.7</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w:t>
            </w:r>
            <w:r w:rsidRPr="006A75A2">
              <w:rPr>
                <w:rFonts w:eastAsiaTheme="minorEastAsia" w:cs="Calibri"/>
                <w:szCs w:val="22"/>
                <w:lang w:eastAsia="en-AU"/>
              </w:rPr>
              <w:t xml:space="preserve"> 049.8</w:t>
            </w:r>
          </w:p>
        </w:tc>
      </w:tr>
      <w:tr w:rsidR="004E6C32" w:rsidRPr="006A75A2" w:rsidTr="004B5CB1">
        <w:tc>
          <w:tcPr>
            <w:tcW w:w="1606"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w:t>
            </w:r>
            <w:r w:rsidRPr="006A75A2">
              <w:rPr>
                <w:rFonts w:eastAsiaTheme="minorEastAsia" w:cs="Calibri"/>
                <w:b/>
                <w:bCs/>
                <w:szCs w:val="22"/>
                <w:lang w:eastAsia="en-AU"/>
              </w:rPr>
              <w:t xml:space="preserve"> 922.1</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w:t>
            </w:r>
            <w:r w:rsidRPr="006A75A2">
              <w:rPr>
                <w:rFonts w:eastAsiaTheme="minorEastAsia" w:cs="Calibri"/>
                <w:b/>
                <w:bCs/>
                <w:szCs w:val="22"/>
                <w:lang w:eastAsia="en-AU"/>
              </w:rPr>
              <w:t xml:space="preserve"> 150.9</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w:t>
            </w:r>
            <w:r w:rsidRPr="006A75A2">
              <w:rPr>
                <w:rFonts w:eastAsiaTheme="minorEastAsia" w:cs="Calibri"/>
                <w:b/>
                <w:bCs/>
                <w:szCs w:val="22"/>
                <w:lang w:eastAsia="en-AU"/>
              </w:rPr>
              <w:t xml:space="preserve"> 257.5</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23</w:t>
            </w:r>
            <w:r w:rsidRPr="006A75A2">
              <w:rPr>
                <w:rFonts w:eastAsiaTheme="minorEastAsia" w:cs="Calibri"/>
                <w:b/>
                <w:bCs/>
                <w:szCs w:val="22"/>
                <w:lang w:eastAsia="en-AU"/>
              </w:rPr>
              <w:t xml:space="preserve"> 707.1</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w:t>
            </w:r>
            <w:r w:rsidRPr="006A75A2">
              <w:rPr>
                <w:rFonts w:eastAsiaTheme="minorEastAsia" w:cs="Calibri"/>
                <w:b/>
                <w:bCs/>
                <w:szCs w:val="22"/>
                <w:lang w:eastAsia="en-AU"/>
              </w:rPr>
              <w:t xml:space="preserve"> 187.7</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37</w:t>
            </w:r>
            <w:r w:rsidRPr="006A75A2">
              <w:rPr>
                <w:rFonts w:eastAsiaTheme="minorEastAsia" w:cs="Calibri"/>
                <w:b/>
                <w:bCs/>
                <w:szCs w:val="22"/>
                <w:lang w:eastAsia="en-AU"/>
              </w:rPr>
              <w:t xml:space="preserve"> 028.8</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606"/>
        <w:gridCol w:w="1607"/>
        <w:gridCol w:w="1607"/>
        <w:gridCol w:w="1606"/>
        <w:gridCol w:w="1607"/>
        <w:gridCol w:w="1607"/>
      </w:tblGrid>
      <w:tr w:rsidR="004E6C32" w:rsidRPr="006A75A2" w:rsidTr="004B5CB1">
        <w:tc>
          <w:tcPr>
            <w:tcW w:w="1606"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60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3 962.0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77.5</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14.7</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275.8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1 102.6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1 928.8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400.0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340.1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305.8</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2 617.8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4 626.8</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0.6</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2 659.7</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269.7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681.9</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0.5</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41.7</w:t>
            </w:r>
          </w:p>
        </w:tc>
      </w:tr>
      <w:tr w:rsidR="004E6C32" w:rsidRPr="006A75A2" w:rsidTr="004B5CB1">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423.3</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429.1</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321.6</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2 898.1</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1 489.9</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13 901.0</w:t>
            </w:r>
          </w:p>
        </w:tc>
      </w:tr>
      <w:tr w:rsidR="004E6C32" w:rsidRPr="006A75A2" w:rsidTr="004B5CB1">
        <w:tc>
          <w:tcPr>
            <w:tcW w:w="160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2 965.4</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4 062.0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w:t>
            </w:r>
          </w:p>
        </w:tc>
      </w:tr>
      <w:tr w:rsidR="004E6C32" w:rsidRPr="006A75A2" w:rsidTr="004B5CB1">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1 472.3</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1 739.8</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1 692.7</w:t>
            </w:r>
          </w:p>
        </w:tc>
        <w:tc>
          <w:tcPr>
            <w:tcW w:w="160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15 614.0</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23 303.0</w:t>
            </w:r>
          </w:p>
        </w:tc>
      </w:tr>
      <w:tr w:rsidR="004E6C32" w:rsidRPr="006A75A2" w:rsidTr="004B5CB1">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198.6</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181.4</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225.3</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6 763.9</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18.4</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8 033.3</w:t>
            </w:r>
          </w:p>
        </w:tc>
      </w:tr>
      <w:tr w:rsidR="004E6C32" w:rsidRPr="006A75A2" w:rsidTr="004B5CB1">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1 678.5</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1 928.9</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1 925.7</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22 424.6</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2 983.8</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35 407.4</w:t>
            </w:r>
          </w:p>
        </w:tc>
      </w:tr>
    </w:tbl>
    <w:p w:rsidR="004E6C32" w:rsidRPr="006A75A2" w:rsidRDefault="004E6C32" w:rsidP="004B5CB1"/>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(g)</w:t>
      </w:r>
      <w:r w:rsidRPr="006A75A2">
        <w:tab/>
        <w:t>Foreign currency risk</w:t>
      </w:r>
    </w:p>
    <w:p w:rsidR="004E6C32" w:rsidRPr="006A75A2" w:rsidRDefault="004E6C32" w:rsidP="004B5CB1">
      <w:r w:rsidRPr="006A75A2">
        <w:t>The State is also exposed to foreign currency risk through investments in foreign currency denominated financial assets, primarily international equities. This exposure is mainly via the major currencies such as United States dollar, Canadian dollar, Japanese yen, Swiss franc, the euro, British pound and the New Zealand dollar.</w:t>
      </w:r>
    </w:p>
    <w:p w:rsidR="004E6C32" w:rsidRPr="006A75A2" w:rsidRDefault="004E6C32" w:rsidP="004B5CB1">
      <w:r w:rsidRPr="006A75A2">
        <w:t>The carrying amount of the State</w:t>
      </w:r>
      <w:r w:rsidR="00C96101" w:rsidRPr="006A75A2">
        <w:t>’</w:t>
      </w:r>
      <w:r w:rsidRPr="006A75A2">
        <w:t>s foreign currency denominated monetary assets and monetary liabilities at the reporting date is as follows: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D1FBF" w:rsidRPr="006A75A2" w:rsidTr="00AD1FBF">
        <w:tc>
          <w:tcPr>
            <w:tcW w:w="5160"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2240" w:type="dxa"/>
            <w:gridSpan w:val="2"/>
            <w:tcBorders>
              <w:top w:val="single" w:sz="6" w:space="0" w:color="auto"/>
              <w:left w:val="nil"/>
              <w:bottom w:val="nil"/>
              <w:right w:val="nil"/>
            </w:tcBorders>
            <w:shd w:val="clear" w:color="000000" w:fill="000000"/>
          </w:tcPr>
          <w:p w:rsidR="00AD1FBF" w:rsidRPr="006A75A2" w:rsidRDefault="00AD1FBF" w:rsidP="004B5CB1">
            <w:pPr>
              <w:pStyle w:val="Tabletextheading"/>
              <w:rPr>
                <w:rFonts w:eastAsiaTheme="minorEastAsia"/>
                <w:iCs/>
                <w:sz w:val="20"/>
                <w:szCs w:val="20"/>
                <w:lang w:eastAsia="en-AU"/>
              </w:rPr>
            </w:pPr>
          </w:p>
          <w:p w:rsidR="00AD1FBF" w:rsidRPr="006A75A2" w:rsidRDefault="00AD1FBF" w:rsidP="004B5CB1">
            <w:pPr>
              <w:pStyle w:val="TabletextheadingCentred"/>
              <w:rPr>
                <w:rFonts w:eastAsiaTheme="minorEastAsia"/>
                <w:sz w:val="20"/>
                <w:szCs w:val="20"/>
                <w:lang w:eastAsia="en-AU"/>
              </w:rPr>
            </w:pPr>
            <w:r w:rsidRPr="006A75A2">
              <w:rPr>
                <w:rFonts w:eastAsiaTheme="minorEastAsia"/>
                <w:sz w:val="20"/>
                <w:szCs w:val="20"/>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D1FBF" w:rsidRPr="006A75A2" w:rsidRDefault="00AD1FBF" w:rsidP="00AD1FBF">
            <w:pPr>
              <w:pStyle w:val="TabletextheadingCentred"/>
              <w:rPr>
                <w:rFonts w:eastAsiaTheme="minorEastAsia"/>
                <w:iCs/>
                <w:sz w:val="20"/>
                <w:szCs w:val="20"/>
                <w:lang w:eastAsia="en-AU"/>
              </w:rPr>
            </w:pPr>
            <w:r w:rsidRPr="006A75A2">
              <w:rPr>
                <w:rFonts w:eastAsiaTheme="minorEastAsia"/>
                <w:sz w:val="20"/>
                <w:szCs w:val="20"/>
                <w:lang w:eastAsia="en-AU"/>
              </w:rPr>
              <w:t xml:space="preserve">General </w:t>
            </w:r>
            <w:r w:rsidRPr="006A75A2">
              <w:rPr>
                <w:rFonts w:eastAsiaTheme="minorEastAsia"/>
                <w:sz w:val="20"/>
                <w:szCs w:val="20"/>
                <w:lang w:eastAsia="en-AU"/>
              </w:rPr>
              <w:br/>
            </w:r>
            <w:r w:rsidRPr="006A75A2">
              <w:rPr>
                <w:rFonts w:eastAsiaTheme="minorEastAsia"/>
                <w:iCs/>
                <w:sz w:val="20"/>
                <w:szCs w:val="20"/>
                <w:lang w:eastAsia="en-AU"/>
              </w:rP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sz w:val="20"/>
                <w:szCs w:val="20"/>
                <w:lang w:eastAsia="en-AU"/>
              </w:rPr>
            </w:pPr>
            <w:r w:rsidRPr="006A75A2">
              <w:rPr>
                <w:rFonts w:eastAsiaTheme="minorEastAsia"/>
                <w:b/>
                <w:sz w:val="20"/>
                <w:szCs w:val="20"/>
                <w:lang w:eastAsia="en-AU"/>
              </w:rPr>
              <w:t>Monetary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Cash and deposits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315.2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73.7</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0.1</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Debt securities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54.9</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single" w:sz="6" w:space="0" w:color="auto"/>
              <w:left w:val="nil"/>
              <w:bottom w:val="single" w:sz="6" w:space="0" w:color="auto"/>
              <w:right w:val="nil"/>
            </w:tcBorders>
          </w:tcPr>
          <w:p w:rsidR="004E6C32" w:rsidRPr="006A75A2" w:rsidRDefault="004E6C32" w:rsidP="008708FF">
            <w:pPr>
              <w:pStyle w:val="Tabletext"/>
              <w:rPr>
                <w:rFonts w:eastAsiaTheme="minorEastAsia"/>
                <w:b/>
                <w:sz w:val="20"/>
                <w:szCs w:val="20"/>
                <w:vertAlign w:val="superscript"/>
                <w:lang w:eastAsia="en-AU"/>
              </w:rPr>
            </w:pPr>
            <w:r w:rsidRPr="006A75A2">
              <w:rPr>
                <w:rFonts w:eastAsiaTheme="minorEastAsia"/>
                <w:b/>
                <w:sz w:val="20"/>
                <w:szCs w:val="20"/>
                <w:lang w:eastAsia="en-AU"/>
              </w:rPr>
              <w:t>Total monetary assets</w:t>
            </w:r>
            <w:r w:rsidRPr="006A75A2">
              <w:rPr>
                <w:rFonts w:eastAsiaTheme="minorEastAsia"/>
                <w:b/>
                <w:sz w:val="20"/>
                <w:szCs w:val="20"/>
                <w:vertAlign w:val="superscript"/>
                <w:lang w:eastAsia="en-AU"/>
              </w:rPr>
              <w:t>(a)</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sz w:val="20"/>
                <w:szCs w:val="20"/>
                <w:lang w:eastAsia="en-AU"/>
              </w:rPr>
              <w:t xml:space="preserve"> </w:t>
            </w:r>
            <w:r w:rsidRPr="006A75A2">
              <w:rPr>
                <w:rFonts w:eastAsiaTheme="minorEastAsia" w:cs="Calibri"/>
                <w:b/>
                <w:bCs/>
                <w:sz w:val="20"/>
                <w:szCs w:val="20"/>
                <w:lang w:eastAsia="en-AU"/>
              </w:rPr>
              <w:t>315.2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128.7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b/>
                <w:sz w:val="20"/>
                <w:szCs w:val="20"/>
                <w:lang w:eastAsia="en-AU"/>
              </w:rPr>
              <w: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0.1</w:t>
            </w:r>
          </w:p>
        </w:tc>
      </w:tr>
      <w:tr w:rsidR="004E6C32" w:rsidRPr="006A75A2" w:rsidTr="004B5CB1">
        <w:tc>
          <w:tcPr>
            <w:tcW w:w="5160" w:type="dxa"/>
            <w:tcBorders>
              <w:top w:val="nil"/>
              <w:left w:val="nil"/>
              <w:right w:val="nil"/>
            </w:tcBorders>
          </w:tcPr>
          <w:p w:rsidR="004E6C32" w:rsidRPr="006A75A2" w:rsidRDefault="004E6C32" w:rsidP="004B5CB1">
            <w:pPr>
              <w:pStyle w:val="Tabletext"/>
              <w:rPr>
                <w:rFonts w:eastAsiaTheme="minorEastAsia"/>
                <w:b/>
                <w:sz w:val="20"/>
                <w:szCs w:val="20"/>
                <w:lang w:eastAsia="en-AU"/>
              </w:rPr>
            </w:pPr>
            <w:r w:rsidRPr="006A75A2">
              <w:rPr>
                <w:rFonts w:eastAsiaTheme="minorEastAsia"/>
                <w:b/>
                <w:sz w:val="20"/>
                <w:szCs w:val="20"/>
                <w:lang w:eastAsia="en-AU"/>
              </w:rPr>
              <w:t>Monetary liabilities</w:t>
            </w:r>
          </w:p>
        </w:tc>
        <w:tc>
          <w:tcPr>
            <w:tcW w:w="1120" w:type="dxa"/>
            <w:tcBorders>
              <w:top w:val="nil"/>
              <w:left w:val="nil"/>
              <w:right w:val="nil"/>
            </w:tcBorders>
          </w:tcPr>
          <w:p w:rsidR="004E6C32" w:rsidRPr="006A75A2" w:rsidRDefault="004E6C32" w:rsidP="004B5CB1">
            <w:pPr>
              <w:pStyle w:val="TableofFigures"/>
              <w:rPr>
                <w:rFonts w:eastAsiaTheme="minorEastAsia"/>
                <w:b/>
                <w:sz w:val="20"/>
                <w:szCs w:val="20"/>
                <w:lang w:eastAsia="en-AU"/>
              </w:rPr>
            </w:pPr>
          </w:p>
        </w:tc>
        <w:tc>
          <w:tcPr>
            <w:tcW w:w="1120" w:type="dxa"/>
            <w:tcBorders>
              <w:top w:val="nil"/>
              <w:left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nil"/>
              <w:left w:val="nil"/>
              <w:right w:val="nil"/>
            </w:tcBorders>
          </w:tcPr>
          <w:p w:rsidR="004E6C32" w:rsidRPr="006A75A2" w:rsidRDefault="004E6C32" w:rsidP="004B5CB1">
            <w:pPr>
              <w:pStyle w:val="TableofFigures"/>
              <w:rPr>
                <w:rFonts w:eastAsiaTheme="minorEastAsia"/>
                <w:b/>
                <w:sz w:val="20"/>
                <w:szCs w:val="20"/>
                <w:lang w:eastAsia="en-AU"/>
              </w:rPr>
            </w:pPr>
          </w:p>
        </w:tc>
        <w:tc>
          <w:tcPr>
            <w:tcW w:w="1120" w:type="dxa"/>
            <w:tcBorders>
              <w:top w:val="nil"/>
              <w:left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r>
      <w:tr w:rsidR="004E6C32" w:rsidRPr="006A75A2" w:rsidTr="004B5CB1">
        <w:tc>
          <w:tcPr>
            <w:tcW w:w="5160" w:type="dxa"/>
            <w:tcBorders>
              <w:top w:val="nil"/>
              <w:left w:val="nil"/>
              <w:bottom w:val="single" w:sz="4"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Borrowings</w:t>
            </w:r>
          </w:p>
        </w:tc>
        <w:tc>
          <w:tcPr>
            <w:tcW w:w="1120" w:type="dxa"/>
            <w:tcBorders>
              <w:top w:val="nil"/>
              <w:left w:val="nil"/>
              <w:bottom w:val="single" w:sz="4"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w:t>
            </w:r>
            <w:r w:rsidRPr="006A75A2">
              <w:rPr>
                <w:rFonts w:eastAsiaTheme="minorEastAsia" w:cs="Calibri"/>
                <w:sz w:val="20"/>
                <w:szCs w:val="20"/>
                <w:lang w:eastAsia="en-AU"/>
              </w:rPr>
              <w:t>268.8</w:t>
            </w:r>
          </w:p>
        </w:tc>
        <w:tc>
          <w:tcPr>
            <w:tcW w:w="1120" w:type="dxa"/>
            <w:tcBorders>
              <w:top w:val="nil"/>
              <w:left w:val="nil"/>
              <w:bottom w:val="single" w:sz="4"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 xml:space="preserve"> 531.0</w:t>
            </w:r>
          </w:p>
        </w:tc>
        <w:tc>
          <w:tcPr>
            <w:tcW w:w="1120" w:type="dxa"/>
            <w:tcBorders>
              <w:top w:val="nil"/>
              <w:left w:val="nil"/>
              <w:bottom w:val="single" w:sz="4"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r w:rsidRPr="006A75A2">
              <w:rPr>
                <w:rFonts w:eastAsiaTheme="minorEastAsia" w:cs="Calibri"/>
                <w:sz w:val="20"/>
                <w:szCs w:val="20"/>
                <w:lang w:eastAsia="en-AU"/>
              </w:rPr>
              <w:t>.</w:t>
            </w:r>
          </w:p>
        </w:tc>
        <w:tc>
          <w:tcPr>
            <w:tcW w:w="1120" w:type="dxa"/>
            <w:tcBorders>
              <w:top w:val="nil"/>
              <w:left w:val="nil"/>
              <w:bottom w:val="single" w:sz="4" w:space="0" w:color="auto"/>
              <w:right w:val="nil"/>
            </w:tcBorders>
          </w:tcPr>
          <w:p w:rsidR="004E6C32" w:rsidRPr="006A75A2" w:rsidRDefault="004E6C32" w:rsidP="004B5CB1">
            <w:pPr>
              <w:pStyle w:val="TableofFigures"/>
              <w:rPr>
                <w:rFonts w:eastAsiaTheme="minorEastAsia" w:cs="Calibri"/>
                <w:sz w:val="20"/>
                <w:szCs w:val="20"/>
                <w:lang w:eastAsia="en-AU"/>
              </w:rPr>
            </w:pPr>
            <w:r w:rsidRPr="006A75A2">
              <w:rPr>
                <w:rFonts w:eastAsiaTheme="minorEastAsia"/>
                <w:sz w:val="20"/>
                <w:szCs w:val="20"/>
                <w:lang w:eastAsia="en-AU"/>
              </w:rPr>
              <w:t>..</w:t>
            </w:r>
          </w:p>
        </w:tc>
      </w:tr>
      <w:tr w:rsidR="004E6C32" w:rsidRPr="006A75A2" w:rsidTr="004B5CB1">
        <w:tc>
          <w:tcPr>
            <w:tcW w:w="5160" w:type="dxa"/>
            <w:tcBorders>
              <w:top w:val="single" w:sz="4" w:space="0" w:color="auto"/>
              <w:left w:val="nil"/>
              <w:bottom w:val="single" w:sz="12" w:space="0" w:color="auto"/>
              <w:right w:val="nil"/>
            </w:tcBorders>
          </w:tcPr>
          <w:p w:rsidR="004E6C32" w:rsidRPr="006A75A2" w:rsidRDefault="004E6C32" w:rsidP="004B5CB1">
            <w:pPr>
              <w:pStyle w:val="Tabletext"/>
              <w:rPr>
                <w:rFonts w:eastAsiaTheme="minorEastAsia" w:cs="Calibri"/>
                <w:b/>
                <w:bCs/>
                <w:sz w:val="20"/>
                <w:szCs w:val="20"/>
                <w:lang w:eastAsia="en-AU"/>
              </w:rPr>
            </w:pPr>
            <w:r w:rsidRPr="006A75A2">
              <w:rPr>
                <w:rFonts w:eastAsiaTheme="minorEastAsia"/>
                <w:b/>
                <w:sz w:val="20"/>
                <w:szCs w:val="20"/>
                <w:lang w:eastAsia="en-AU"/>
              </w:rPr>
              <w:t>Total</w:t>
            </w:r>
            <w:r w:rsidRPr="006A75A2">
              <w:rPr>
                <w:rFonts w:eastAsiaTheme="minorEastAsia"/>
                <w:sz w:val="20"/>
                <w:szCs w:val="20"/>
                <w:lang w:eastAsia="en-AU"/>
              </w:rPr>
              <w:t xml:space="preserve"> </w:t>
            </w:r>
            <w:r w:rsidRPr="006A75A2">
              <w:rPr>
                <w:rFonts w:eastAsiaTheme="minorEastAsia" w:cs="Calibri"/>
                <w:b/>
                <w:bCs/>
                <w:sz w:val="20"/>
                <w:szCs w:val="20"/>
                <w:lang w:eastAsia="en-AU"/>
              </w:rPr>
              <w:t>monetary liabilities</w:t>
            </w:r>
          </w:p>
        </w:tc>
        <w:tc>
          <w:tcPr>
            <w:tcW w:w="1120" w:type="dxa"/>
            <w:tcBorders>
              <w:top w:val="single" w:sz="4"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sz w:val="20"/>
                <w:szCs w:val="20"/>
                <w:lang w:eastAsia="en-AU"/>
              </w:rPr>
              <w:t xml:space="preserve"> </w:t>
            </w:r>
            <w:r w:rsidRPr="006A75A2">
              <w:rPr>
                <w:rFonts w:eastAsiaTheme="minorEastAsia" w:cs="Calibri"/>
                <w:b/>
                <w:bCs/>
                <w:sz w:val="20"/>
                <w:szCs w:val="20"/>
                <w:lang w:eastAsia="en-AU"/>
              </w:rPr>
              <w:t>268.8</w:t>
            </w:r>
          </w:p>
        </w:tc>
        <w:tc>
          <w:tcPr>
            <w:tcW w:w="1120" w:type="dxa"/>
            <w:tcBorders>
              <w:top w:val="single" w:sz="4"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531.0</w:t>
            </w:r>
          </w:p>
        </w:tc>
        <w:tc>
          <w:tcPr>
            <w:tcW w:w="1120" w:type="dxa"/>
            <w:tcBorders>
              <w:top w:val="single" w:sz="4" w:space="0" w:color="auto"/>
              <w:left w:val="nil"/>
              <w:bottom w:val="single" w:sz="12" w:space="0" w:color="auto"/>
              <w:right w:val="nil"/>
            </w:tcBorders>
          </w:tcPr>
          <w:p w:rsidR="004E6C32" w:rsidRPr="006A75A2" w:rsidRDefault="004E6C32" w:rsidP="004B5CB1">
            <w:pPr>
              <w:pStyle w:val="TableofFigures"/>
              <w:rPr>
                <w:rFonts w:eastAsiaTheme="minorEastAsia" w:cs="Calibri"/>
                <w:b/>
                <w:bCs/>
                <w:sz w:val="20"/>
                <w:szCs w:val="20"/>
                <w:lang w:eastAsia="en-AU"/>
              </w:rPr>
            </w:pPr>
            <w:r w:rsidRPr="006A75A2">
              <w:rPr>
                <w:rFonts w:eastAsiaTheme="minorEastAsia"/>
                <w:sz w:val="20"/>
                <w:szCs w:val="20"/>
                <w:lang w:eastAsia="en-AU"/>
              </w:rPr>
              <w:t>.</w:t>
            </w:r>
            <w:r w:rsidRPr="006A75A2">
              <w:rPr>
                <w:rFonts w:eastAsiaTheme="minorEastAsia" w:cs="Calibri"/>
                <w:b/>
                <w:bCs/>
                <w:sz w:val="20"/>
                <w:szCs w:val="20"/>
                <w:lang w:eastAsia="en-AU"/>
              </w:rPr>
              <w:t>.</w:t>
            </w:r>
          </w:p>
        </w:tc>
        <w:tc>
          <w:tcPr>
            <w:tcW w:w="1120" w:type="dxa"/>
            <w:tcBorders>
              <w:top w:val="single" w:sz="4"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bl>
    <w:p w:rsidR="004E6C32" w:rsidRPr="006A75A2" w:rsidRDefault="004E6C32" w:rsidP="004B5CB1">
      <w:pPr>
        <w:pStyle w:val="Notes"/>
      </w:pPr>
      <w:r w:rsidRPr="006A75A2">
        <w:t>Note:</w:t>
      </w:r>
    </w:p>
    <w:p w:rsidR="004E6C32" w:rsidRPr="006A75A2" w:rsidRDefault="004E6C32" w:rsidP="004B5CB1">
      <w:pPr>
        <w:pStyle w:val="Notes"/>
      </w:pPr>
      <w:r w:rsidRPr="006A75A2">
        <w:rPr>
          <w:i w:val="0"/>
        </w:rPr>
        <w:t>(</w:t>
      </w:r>
      <w:r w:rsidRPr="006A75A2">
        <w:t>a)</w:t>
      </w:r>
      <w:r w:rsidRPr="006A75A2">
        <w:tab/>
        <w:t>In addition, the State held $4 856.9 million ($4 703.9 million in 2013) of equities and managed investment schemes denominated in foreign currencies.</w:t>
      </w:r>
    </w:p>
    <w:p w:rsidR="004E6C32" w:rsidRPr="006A75A2" w:rsidRDefault="004E6C32" w:rsidP="004B5CB1">
      <w:pPr>
        <w:rPr>
          <w:rFonts w:ascii="Calibri" w:hAnsi="Calibri"/>
          <w:i/>
          <w:sz w:val="16"/>
        </w:rPr>
      </w:pPr>
    </w:p>
    <w:p w:rsidR="004E6C32" w:rsidRPr="006A75A2" w:rsidRDefault="004E6C32" w:rsidP="004B5CB1">
      <w:r w:rsidRPr="006A75A2">
        <w:t>The Victorian Funds Management Corporation (VFMC), the State</w:t>
      </w:r>
      <w:r w:rsidR="00C96101" w:rsidRPr="006A75A2">
        <w:t>’</w:t>
      </w:r>
      <w:r w:rsidRPr="006A75A2">
        <w:t>s fund manager, applies a consolidated approach in managing the foreign currency exposure in accordance with investment risk management plans as approved by the Treasurer. VFMC</w:t>
      </w:r>
      <w:r w:rsidR="00C96101" w:rsidRPr="006A75A2">
        <w:t>’</w:t>
      </w:r>
      <w:r w:rsidRPr="006A75A2">
        <w:t>s approach is to hedge approximately 50 per cent of the foreign currency exposure arising from international equities, and to fully hedge foreign currency exposures arising from other offshore assets such as infrastructure, property and hedge funds.</w:t>
      </w:r>
    </w:p>
    <w:p w:rsidR="004E6C32" w:rsidRPr="006A75A2" w:rsidRDefault="004E6C32" w:rsidP="004B5CB1">
      <w:r w:rsidRPr="006A75A2">
        <w:t>TCV is the State</w:t>
      </w:r>
      <w:r w:rsidR="00C96101" w:rsidRPr="006A75A2">
        <w:t>’</w:t>
      </w:r>
      <w:r w:rsidRPr="006A75A2">
        <w:t>s central borrowing authority and part of its funding program is comprised of foreign currency borrowings. The State</w:t>
      </w:r>
      <w:r w:rsidR="00C96101" w:rsidRPr="006A75A2">
        <w:t>’</w:t>
      </w:r>
      <w:r w:rsidRPr="006A75A2">
        <w:t>s policy is to hedge any material foreign currency exposures arising from borrowings. TCV uses foreign exchange options, spot and forward foreign exchange rate contracts in the management of offshore borrowings.</w:t>
      </w:r>
    </w:p>
    <w:p w:rsidR="004E6C32" w:rsidRPr="006A75A2" w:rsidRDefault="004E6C32" w:rsidP="004B5CB1">
      <w:r w:rsidRPr="006A75A2">
        <w:t>There has been no material change in the State</w:t>
      </w:r>
      <w:r w:rsidR="00C96101" w:rsidRPr="006A75A2">
        <w:t>’</w:t>
      </w:r>
      <w:r w:rsidRPr="006A75A2">
        <w:t>s exposure to foreign currency risk or the manner in which it manages and measures the risk from the previous reporting period.</w:t>
      </w:r>
    </w:p>
    <w:p w:rsidR="004E6C32" w:rsidRPr="006A75A2" w:rsidRDefault="004E6C32" w:rsidP="0067336F">
      <w:pPr>
        <w:pStyle w:val="Heading5a"/>
      </w:pPr>
      <w:r w:rsidRPr="006A75A2">
        <w:t>Foreign currency sensitivity analysis</w:t>
      </w:r>
    </w:p>
    <w:p w:rsidR="004E6C32" w:rsidRPr="006A75A2" w:rsidRDefault="004E6C32" w:rsidP="004B5CB1">
      <w:r w:rsidRPr="006A75A2">
        <w:t>The State has analysed the possible effects of feasible change in exchange rates against the Australian dollar on its financial position and result using the following assumptions:</w:t>
      </w:r>
    </w:p>
    <w:p w:rsidR="004E6C32" w:rsidRPr="006A75A2" w:rsidRDefault="004E6C32" w:rsidP="004B5CB1">
      <w:pPr>
        <w:pStyle w:val="BulletText"/>
      </w:pPr>
      <w:r w:rsidRPr="006A75A2">
        <w:t>exposure to the pool of foreign currencies for both derivative and non-derivative instruments at the reporting date, and the stipulated change taking place at the beginning of the financial year are held constant throughout the reporting period; and</w:t>
      </w:r>
    </w:p>
    <w:p w:rsidR="004E6C32" w:rsidRPr="006A75A2" w:rsidRDefault="004E6C32" w:rsidP="004B5CB1">
      <w:pPr>
        <w:pStyle w:val="BulletText"/>
      </w:pPr>
      <w:r w:rsidRPr="006A75A2">
        <w:t>based on historic movements, future expectations and management</w:t>
      </w:r>
      <w:r w:rsidR="00C96101" w:rsidRPr="006A75A2">
        <w:t>’</w:t>
      </w:r>
      <w:r w:rsidRPr="006A75A2">
        <w:t>s knowledge and experience of the foreign currency markets, the State has assessed that it may be exposed to an increase or decrease of 15 per cent against the Australian dollar (15 per cent in 2013).</w:t>
      </w:r>
    </w:p>
    <w:p w:rsidR="004E6C32" w:rsidRPr="006A75A2" w:rsidRDefault="004E6C32" w:rsidP="004B5CB1">
      <w:r w:rsidRPr="006A75A2">
        <w:t>With all other variables held constant, the impact of a 15 per cent increase or decrease in exchange rates on economic flows and net assets at 30 June 2014 is $123.8 million decrease/$157.9 million increase (</w:t>
      </w:r>
      <w:r w:rsidRPr="006A75A2">
        <w:rPr>
          <w:rFonts w:eastAsiaTheme="minorHAnsi" w:cs="Garamond"/>
          <w:szCs w:val="24"/>
        </w:rPr>
        <w:t>$111.5 million decrease/$143.3 million increase in 2013</w:t>
      </w:r>
      <w:r w:rsidRPr="006A75A2">
        <w:t>).</w:t>
      </w:r>
    </w:p>
    <w:p w:rsidR="004E6C32" w:rsidRPr="006A75A2" w:rsidRDefault="004E6C32" w:rsidP="004B5CB1">
      <w:r w:rsidRPr="006A75A2">
        <w:t>The State</w:t>
      </w:r>
      <w:r w:rsidR="00C96101" w:rsidRPr="006A75A2">
        <w:t>’</w:t>
      </w:r>
      <w:r w:rsidRPr="006A75A2">
        <w:t>s exposure to direct foreign currency risk has no material impact on the net result from transactions.</w:t>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(h)</w:t>
      </w:r>
      <w:r w:rsidRPr="006A75A2">
        <w:tab/>
        <w:t>Equity price risk</w:t>
      </w:r>
    </w:p>
    <w:p w:rsidR="004E6C32" w:rsidRPr="006A75A2" w:rsidRDefault="004E6C32" w:rsidP="0067336F">
      <w:pPr>
        <w:pStyle w:val="Heading5a"/>
      </w:pPr>
      <w:r w:rsidRPr="006A75A2">
        <w:t>Equity price risk management</w:t>
      </w:r>
    </w:p>
    <w:p w:rsidR="004E6C32" w:rsidRPr="006A75A2" w:rsidRDefault="004E6C32" w:rsidP="004B5CB1">
      <w:r w:rsidRPr="006A75A2">
        <w:t>The State is exposed to equity price risk from Australian and international investments in equities directly and indirectly via managed investment schemes or funds. These investments are selected as part of a diversified portfolio to match investment objectives appropriate to the State</w:t>
      </w:r>
      <w:r w:rsidR="00C96101" w:rsidRPr="006A75A2">
        <w:t>’</w:t>
      </w:r>
      <w:r w:rsidRPr="006A75A2">
        <w:t xml:space="preserve">s liabilities. The State limits its equity price risk through diversifying its investment portfolio. This is determined by VFMC and reflected in the Investment Risk Management Plan approved by the Treasurer, and in accordance with the </w:t>
      </w:r>
      <w:r w:rsidRPr="006A75A2">
        <w:rPr>
          <w:i/>
        </w:rPr>
        <w:t>Borrowing and Investments Powers Act 1987</w:t>
      </w:r>
      <w:r w:rsidRPr="006A75A2">
        <w:t xml:space="preserve"> (BIP Act) and the prudential supervisory policies and framework of the State.</w:t>
      </w:r>
    </w:p>
    <w:p w:rsidR="004E6C32" w:rsidRPr="006A75A2" w:rsidRDefault="004E6C32" w:rsidP="0067336F">
      <w:pPr>
        <w:pStyle w:val="Heading5a"/>
      </w:pPr>
      <w:r w:rsidRPr="006A75A2">
        <w:t>Equity price sensitivity analysis</w:t>
      </w:r>
    </w:p>
    <w:p w:rsidR="004E6C32" w:rsidRPr="006A75A2" w:rsidRDefault="004E6C32" w:rsidP="004B5CB1">
      <w:r w:rsidRPr="006A75A2">
        <w:t>The State has analysed the possible effects of feasible changes in equity prices on its financial position and result using the following assumptions:</w:t>
      </w:r>
    </w:p>
    <w:p w:rsidR="004E6C32" w:rsidRPr="006A75A2" w:rsidRDefault="004E6C32" w:rsidP="004B5CB1">
      <w:pPr>
        <w:pStyle w:val="BulletText"/>
      </w:pPr>
      <w:r w:rsidRPr="006A75A2">
        <w:t>exposure to equity securities for both derivative and non-derivative instruments at the reporting date, and the stipulated change taking place at the beginning of the financial year are held constant throughout the reporting period;</w:t>
      </w:r>
    </w:p>
    <w:p w:rsidR="004E6C32" w:rsidRPr="006A75A2" w:rsidRDefault="004E6C32" w:rsidP="004B5CB1">
      <w:pPr>
        <w:pStyle w:val="BulletText"/>
      </w:pPr>
      <w:r w:rsidRPr="006A75A2">
        <w:t>based on historic movements, future expectations and management</w:t>
      </w:r>
      <w:r w:rsidR="00C96101" w:rsidRPr="006A75A2">
        <w:t>’</w:t>
      </w:r>
      <w:r w:rsidRPr="006A75A2">
        <w:t>s knowledge and experience of the volatility of the equity markets, the State has assessed that it may be exposed to a reasonably possible increase or decrease of 15 per cent to equity prices (increase or decrease of 15 per cent in 2013); and</w:t>
      </w:r>
    </w:p>
    <w:p w:rsidR="004E6C32" w:rsidRPr="006A75A2" w:rsidRDefault="004E6C32" w:rsidP="004B5CB1">
      <w:pPr>
        <w:pStyle w:val="BulletText"/>
      </w:pPr>
      <w:r w:rsidRPr="006A75A2">
        <w:t>with all other variables held constant, the impact of a 15 per cent increase or decrease in listed equities on economic flows and net assets at 30 June 2014 is $505.7 million increase/$505.7 million decrease ($372 million increase/$372 million decrease in 2013) and from unlisted equities is $1 111.2 million increase/$1 204.2 million decrease (</w:t>
      </w:r>
      <w:r w:rsidRPr="006A75A2">
        <w:rPr>
          <w:rFonts w:eastAsiaTheme="minorHAnsi" w:cs="Garamond"/>
          <w:szCs w:val="24"/>
        </w:rPr>
        <w:t xml:space="preserve">$1 036.1 </w:t>
      </w:r>
      <w:r w:rsidRPr="006A75A2">
        <w:t xml:space="preserve">million </w:t>
      </w:r>
      <w:r w:rsidRPr="006A75A2">
        <w:rPr>
          <w:rFonts w:eastAsiaTheme="minorHAnsi" w:cs="Garamond"/>
          <w:szCs w:val="24"/>
        </w:rPr>
        <w:t xml:space="preserve">increase/ $1 136.2 million </w:t>
      </w:r>
      <w:r w:rsidRPr="006A75A2">
        <w:t>decrease in 2013).</w:t>
      </w:r>
    </w:p>
    <w:p w:rsidR="004E6C32" w:rsidRPr="006A75A2" w:rsidRDefault="004E6C32" w:rsidP="004B5CB1">
      <w:r w:rsidRPr="006A75A2">
        <w:t>The State</w:t>
      </w:r>
      <w:r w:rsidR="00C96101" w:rsidRPr="006A75A2">
        <w:t>’</w:t>
      </w:r>
      <w:r w:rsidRPr="006A75A2">
        <w:t>s exposure to equity price sensitivity has no direct impact on the net result from transactions.</w:t>
      </w:r>
    </w:p>
    <w:p w:rsidR="004E6C32" w:rsidRPr="006A75A2" w:rsidRDefault="004E6C32" w:rsidP="004B5CB1">
      <w:r w:rsidRPr="006A75A2">
        <w:t>There has been no material change in the State</w:t>
      </w:r>
      <w:r w:rsidR="00C96101" w:rsidRPr="006A75A2">
        <w:t>’</w:t>
      </w:r>
      <w:r w:rsidRPr="006A75A2">
        <w:t>s exposure to equity price risk or the manner in which it manages and measures the risk from the previous reporting period.</w:t>
      </w:r>
    </w:p>
    <w:p w:rsidR="004E6C32" w:rsidRPr="006A75A2" w:rsidRDefault="004E6C32" w:rsidP="0067336F">
      <w:pPr>
        <w:pStyle w:val="Heading5"/>
      </w:pPr>
      <w:r w:rsidRPr="006A75A2">
        <w:t>(i)</w:t>
      </w:r>
      <w:r w:rsidRPr="006A75A2">
        <w:tab/>
        <w:t>Credit risk</w:t>
      </w:r>
    </w:p>
    <w:p w:rsidR="004E6C32" w:rsidRPr="006A75A2" w:rsidRDefault="004E6C32" w:rsidP="004B5CB1">
      <w:r w:rsidRPr="006A75A2">
        <w:t>Credit risk refers to the possibility that a borrower will default on its financial obligations as and when they fall due. The State</w:t>
      </w:r>
      <w:r w:rsidR="00C96101" w:rsidRPr="006A75A2">
        <w:t>’</w:t>
      </w:r>
      <w:r w:rsidRPr="006A75A2">
        <w:t>s exposure to credit risk mainly arises through its investments in fixed interest instruments. Most of the State</w:t>
      </w:r>
      <w:r w:rsidR="00C96101" w:rsidRPr="006A75A2">
        <w:t>’</w:t>
      </w:r>
      <w:r w:rsidRPr="006A75A2">
        <w:t>s investments and derivatives are centrally managed by TCV and VFMC. Limits are set both in terms of the quality and amount of credit exposure in accordance with the BIP Act and the prudential supervisory policies and framework of the State.</w:t>
      </w:r>
    </w:p>
    <w:p w:rsidR="004E6C32" w:rsidRPr="006A75A2" w:rsidRDefault="004E6C32" w:rsidP="004B5CB1">
      <w:r w:rsidRPr="006A75A2">
        <w:t>The State does not have any significant credit risk exposure to any single counterparty or to any group of counterparties having similar characteristics.</w:t>
      </w:r>
    </w:p>
    <w:p w:rsidR="004E6C32" w:rsidRPr="006A75A2" w:rsidRDefault="004E6C32" w:rsidP="004B5CB1">
      <w:r w:rsidRPr="006A75A2">
        <w:t>The State</w:t>
      </w:r>
      <w:r w:rsidR="00C96101" w:rsidRPr="006A75A2">
        <w:t>’</w:t>
      </w:r>
      <w:r w:rsidRPr="006A75A2">
        <w:t>s maximum exposure to credit risk, without taking account of the value of any collateral obtained at the reporting date, in relation to each class of recognised financial asset, is the carrying amount of those assets as recognised in the balance sheet.</w:t>
      </w:r>
    </w:p>
    <w:p w:rsidR="004E6C32" w:rsidRPr="006A75A2" w:rsidRDefault="004E6C32" w:rsidP="004B5CB1">
      <w:r w:rsidRPr="006A75A2">
        <w:t>There has been no material change to the State</w:t>
      </w:r>
      <w:r w:rsidR="00C96101" w:rsidRPr="006A75A2">
        <w:t>’</w:t>
      </w:r>
      <w:r w:rsidRPr="006A75A2">
        <w:t>s credit risk profile in 2013-14.</w:t>
      </w:r>
    </w:p>
    <w:p w:rsidR="004E6C32" w:rsidRPr="006A75A2" w:rsidRDefault="004E6C32" w:rsidP="004B5CB1"/>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(j)</w:t>
      </w:r>
      <w:r w:rsidRPr="006A75A2">
        <w:tab/>
        <w:t>Liquidity risk</w:t>
      </w:r>
    </w:p>
    <w:p w:rsidR="004E6C32" w:rsidRPr="006A75A2" w:rsidRDefault="004E6C32" w:rsidP="004B5CB1">
      <w:r w:rsidRPr="006A75A2">
        <w:t>Liquidity risk arises from being unable to meet financial obligations as they fall due. The State is exposed to liquidity risk mainly through the maturity of its external borrowings raised by TCV and the requirement to fund cash deficits. Liquidity management policy has three main components as follows.</w:t>
      </w:r>
    </w:p>
    <w:p w:rsidR="004E6C32" w:rsidRPr="006A75A2" w:rsidRDefault="004E6C32" w:rsidP="0067336F">
      <w:pPr>
        <w:pStyle w:val="Heading5a"/>
      </w:pPr>
      <w:r w:rsidRPr="006A75A2">
        <w:t>Short</w:t>
      </w:r>
      <w:r w:rsidRPr="006A75A2">
        <w:noBreakHyphen/>
        <w:t>term liquidity management and control</w:t>
      </w:r>
    </w:p>
    <w:p w:rsidR="004E6C32" w:rsidRPr="006A75A2" w:rsidRDefault="004E6C32" w:rsidP="004B5CB1">
      <w:r w:rsidRPr="006A75A2">
        <w:t>The State</w:t>
      </w:r>
      <w:r w:rsidR="00C96101" w:rsidRPr="006A75A2">
        <w:t>’</w:t>
      </w:r>
      <w:r w:rsidRPr="006A75A2">
        <w:t>s central treasury, TCV, is responsible for ensuring that the State</w:t>
      </w:r>
      <w:r w:rsidR="00C96101" w:rsidRPr="006A75A2">
        <w:t>’</w:t>
      </w:r>
      <w:r w:rsidRPr="006A75A2">
        <w:t>s liquidity requirements can be met at all times.</w:t>
      </w:r>
    </w:p>
    <w:p w:rsidR="004E6C32" w:rsidRPr="006A75A2" w:rsidRDefault="004E6C32" w:rsidP="004B5CB1">
      <w:r w:rsidRPr="006A75A2">
        <w:t>From 1 June 2012 TCV introduced an enhanced liquidity policy to assist the Government to manage the whole of Victorian government liquidity strategy and improve TCV</w:t>
      </w:r>
      <w:r w:rsidR="00C96101" w:rsidRPr="006A75A2">
        <w:t>’</w:t>
      </w:r>
      <w:r w:rsidRPr="006A75A2">
        <w:t>s operational and medium to long</w:t>
      </w:r>
      <w:r w:rsidRPr="006A75A2">
        <w:noBreakHyphen/>
        <w:t>term liquidity management. The policy introduced daily measurement of the whole of Victorian government liquidity ratio which measures TCV</w:t>
      </w:r>
      <w:r w:rsidR="00C96101" w:rsidRPr="006A75A2">
        <w:t>’</w:t>
      </w:r>
      <w:r w:rsidRPr="006A75A2">
        <w:t>s liquid assets (after discounting to reflect potential loss of value in the event of a quick sale) versus 12 months of debt and interest obligations.</w:t>
      </w:r>
    </w:p>
    <w:p w:rsidR="004E6C32" w:rsidRPr="006A75A2" w:rsidRDefault="004E6C32" w:rsidP="004B5CB1">
      <w:r w:rsidRPr="006A75A2">
        <w:t xml:space="preserve">The new policy also introduced daily </w:t>
      </w:r>
      <w:r w:rsidR="00C96101" w:rsidRPr="006A75A2">
        <w:t>‘</w:t>
      </w:r>
      <w:r w:rsidRPr="006A75A2">
        <w:t>going concern</w:t>
      </w:r>
      <w:r w:rsidR="00C96101" w:rsidRPr="006A75A2">
        <w:t>’</w:t>
      </w:r>
      <w:r w:rsidRPr="006A75A2">
        <w:t xml:space="preserve"> net and cumulative cash flow limits to manage short-term liquidity exposures during normal operating liquidity conditions and the monitoring of </w:t>
      </w:r>
      <w:r w:rsidR="00C96101" w:rsidRPr="006A75A2">
        <w:t>‘</w:t>
      </w:r>
      <w:r w:rsidRPr="006A75A2">
        <w:t>going concern</w:t>
      </w:r>
      <w:r w:rsidR="00C96101" w:rsidRPr="006A75A2">
        <w:t>’</w:t>
      </w:r>
      <w:r w:rsidRPr="006A75A2">
        <w:t xml:space="preserve"> and </w:t>
      </w:r>
      <w:r w:rsidR="00C96101" w:rsidRPr="006A75A2">
        <w:t>‘</w:t>
      </w:r>
      <w:r w:rsidRPr="006A75A2">
        <w:t>liquidity stress</w:t>
      </w:r>
      <w:r w:rsidR="00C96101" w:rsidRPr="006A75A2">
        <w:t>’</w:t>
      </w:r>
      <w:r w:rsidRPr="006A75A2">
        <w:t xml:space="preserve"> scenario cash flows out to 12 months.</w:t>
      </w:r>
    </w:p>
    <w:p w:rsidR="004E6C32" w:rsidRPr="006A75A2" w:rsidRDefault="004E6C32" w:rsidP="004B5CB1">
      <w:r w:rsidRPr="006A75A2">
        <w:t>As at 30 June 2014, the whole of Victorian government liquidity ratio stood at 143 per cent against a limit of 80 per cent (117 per cent against a limit of 80 per cent in 2013).</w:t>
      </w:r>
    </w:p>
    <w:p w:rsidR="004E6C32" w:rsidRPr="006A75A2" w:rsidRDefault="004E6C32" w:rsidP="0067336F">
      <w:pPr>
        <w:pStyle w:val="Heading5a"/>
      </w:pPr>
      <w:r w:rsidRPr="006A75A2">
        <w:t>Long</w:t>
      </w:r>
      <w:r w:rsidRPr="006A75A2">
        <w:noBreakHyphen/>
        <w:t>term liquidity management monitoring</w:t>
      </w:r>
    </w:p>
    <w:p w:rsidR="004E6C32" w:rsidRPr="006A75A2" w:rsidRDefault="004E6C32" w:rsidP="004B5CB1">
      <w:r w:rsidRPr="006A75A2">
        <w:t>The State</w:t>
      </w:r>
      <w:r w:rsidR="00C96101" w:rsidRPr="006A75A2">
        <w:t>’</w:t>
      </w:r>
      <w:r w:rsidRPr="006A75A2">
        <w:t>s policy on long</w:t>
      </w:r>
      <w:r w:rsidRPr="006A75A2">
        <w:noBreakHyphen/>
        <w:t>term management of liquidity primarily focuses on the diversification of funding sources and maturities.</w:t>
      </w:r>
    </w:p>
    <w:p w:rsidR="004E6C32" w:rsidRPr="006A75A2" w:rsidRDefault="004E6C32" w:rsidP="0067336F">
      <w:pPr>
        <w:pStyle w:val="Heading5a"/>
      </w:pPr>
      <w:r w:rsidRPr="006A75A2">
        <w:t>Managing a liquidity crisis</w:t>
      </w:r>
    </w:p>
    <w:p w:rsidR="004E6C32" w:rsidRPr="006A75A2" w:rsidRDefault="004E6C32" w:rsidP="004B5CB1">
      <w:r w:rsidRPr="006A75A2">
        <w:t>In the event of a liquidity crisis, the State has in place liquidity crisis management plans to manage liquidity conditions. The liquidity crisis management plans are a set of protocols established to respond to specific conditions during a crisis.</w:t>
      </w:r>
    </w:p>
    <w:p w:rsidR="004E6C32" w:rsidRPr="006A75A2" w:rsidRDefault="004E6C32" w:rsidP="0067336F">
      <w:pPr>
        <w:pStyle w:val="Heading5a"/>
      </w:pPr>
      <w:r w:rsidRPr="006A75A2">
        <w:t>Maturity analysis of financial liabilities</w:t>
      </w:r>
    </w:p>
    <w:p w:rsidR="004E6C32" w:rsidRPr="006A75A2" w:rsidRDefault="004E6C32" w:rsidP="004B5CB1">
      <w:r w:rsidRPr="006A75A2">
        <w:t>Disclosed are details of the State</w:t>
      </w:r>
      <w:r w:rsidR="00C96101" w:rsidRPr="006A75A2">
        <w:t>’</w:t>
      </w:r>
      <w:r w:rsidRPr="006A75A2">
        <w:t>s maturity analysis for its derivative and non-derivative financial liabilities. The table includes both interest and principal cash flows, and has been based on the undiscounted cash flows of financial liabilities based on the earliest date on which the State may be required to pay.</w:t>
      </w:r>
    </w:p>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(k)</w:t>
      </w:r>
      <w:r w:rsidRPr="006A75A2">
        <w:tab/>
        <w:t>Undiscounted maturity analysis of financial liabilities</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2427"/>
        <w:gridCol w:w="975"/>
        <w:gridCol w:w="1010"/>
        <w:gridCol w:w="1121"/>
        <w:gridCol w:w="1161"/>
        <w:gridCol w:w="994"/>
        <w:gridCol w:w="1008"/>
        <w:gridCol w:w="944"/>
      </w:tblGrid>
      <w:tr w:rsidR="00AD1FBF" w:rsidRPr="006A75A2" w:rsidTr="00AD1FBF">
        <w:tc>
          <w:tcPr>
            <w:tcW w:w="2427" w:type="dxa"/>
            <w:tcBorders>
              <w:top w:val="single" w:sz="6" w:space="0" w:color="auto"/>
              <w:left w:val="single" w:sz="6" w:space="0" w:color="auto"/>
              <w:right w:val="nil"/>
            </w:tcBorders>
            <w:shd w:val="clear" w:color="000000" w:fill="000000"/>
          </w:tcPr>
          <w:p w:rsidR="00AD1FBF" w:rsidRPr="006A75A2" w:rsidRDefault="00AD1FBF" w:rsidP="00AD1FBF">
            <w:pPr>
              <w:pStyle w:val="TabletextheadingLeft"/>
              <w:rPr>
                <w:rFonts w:eastAsiaTheme="minorEastAsia"/>
                <w:lang w:eastAsia="en-AU"/>
              </w:rPr>
            </w:pPr>
            <w:r w:rsidRPr="006A75A2">
              <w:rPr>
                <w:rFonts w:eastAsiaTheme="minorEastAsia"/>
                <w:lang w:eastAsia="en-AU"/>
              </w:rPr>
              <w:t>State of Victoria</w:t>
            </w:r>
          </w:p>
        </w:tc>
        <w:tc>
          <w:tcPr>
            <w:tcW w:w="975" w:type="dxa"/>
            <w:tcBorders>
              <w:top w:val="single" w:sz="6" w:space="0" w:color="auto"/>
              <w:left w:val="nil"/>
              <w:right w:val="nil"/>
            </w:tcBorders>
            <w:shd w:val="clear" w:color="000000" w:fill="000000"/>
          </w:tcPr>
          <w:p w:rsidR="00AD1FBF" w:rsidRPr="006A75A2" w:rsidRDefault="00AD1FBF" w:rsidP="004B5CB1">
            <w:pPr>
              <w:pStyle w:val="TabletextheadingCentred"/>
              <w:rPr>
                <w:rFonts w:eastAsiaTheme="minorEastAsia"/>
                <w:lang w:eastAsia="en-AU"/>
              </w:rPr>
            </w:pPr>
            <w:r w:rsidRPr="006A75A2">
              <w:rPr>
                <w:rFonts w:eastAsiaTheme="minorEastAsia"/>
                <w:lang w:eastAsia="en-AU"/>
              </w:rPr>
              <w:t xml:space="preserve"> </w:t>
            </w:r>
          </w:p>
        </w:tc>
        <w:tc>
          <w:tcPr>
            <w:tcW w:w="1010" w:type="dxa"/>
            <w:tcBorders>
              <w:top w:val="single" w:sz="6" w:space="0" w:color="auto"/>
              <w:left w:val="nil"/>
              <w:right w:val="nil"/>
            </w:tcBorders>
            <w:shd w:val="clear" w:color="000000" w:fill="000000"/>
          </w:tcPr>
          <w:p w:rsidR="00AD1FBF" w:rsidRPr="006A75A2" w:rsidRDefault="00AD1FBF" w:rsidP="004B5CB1">
            <w:pPr>
              <w:pStyle w:val="TabletextheadingCentred"/>
              <w:rPr>
                <w:rFonts w:eastAsiaTheme="minorEastAsia"/>
                <w:lang w:eastAsia="en-AU"/>
              </w:rPr>
            </w:pPr>
            <w:r w:rsidRPr="006A75A2">
              <w:rPr>
                <w:rFonts w:eastAsiaTheme="minorEastAsia"/>
                <w:lang w:eastAsia="en-AU"/>
              </w:rPr>
              <w:t xml:space="preserve"> </w:t>
            </w:r>
          </w:p>
        </w:tc>
        <w:tc>
          <w:tcPr>
            <w:tcW w:w="5228" w:type="dxa"/>
            <w:gridSpan w:val="5"/>
            <w:tcBorders>
              <w:top w:val="single" w:sz="6" w:space="0" w:color="auto"/>
              <w:left w:val="nil"/>
              <w:right w:val="single" w:sz="6" w:space="0" w:color="auto"/>
            </w:tcBorders>
            <w:shd w:val="clear" w:color="000000" w:fill="000000"/>
          </w:tcPr>
          <w:p w:rsidR="00AD1FBF" w:rsidRPr="006A75A2" w:rsidRDefault="00AD1FBF" w:rsidP="00AD1FBF">
            <w:pPr>
              <w:pStyle w:val="TabletextheadingCentred"/>
              <w:rPr>
                <w:rFonts w:eastAsiaTheme="minorEastAsia"/>
                <w:lang w:eastAsia="en-AU"/>
              </w:rPr>
            </w:pPr>
            <w:r w:rsidRPr="006A75A2">
              <w:rPr>
                <w:rFonts w:eastAsiaTheme="minorEastAsia"/>
                <w:lang w:eastAsia="en-AU"/>
              </w:rPr>
              <w:t>Contractual maturity</w:t>
            </w:r>
          </w:p>
        </w:tc>
      </w:tr>
      <w:tr w:rsidR="004E6C32" w:rsidRPr="006A75A2" w:rsidTr="00AD1FBF">
        <w:tc>
          <w:tcPr>
            <w:tcW w:w="2427" w:type="dxa"/>
            <w:tcBorders>
              <w:top w:val="nil"/>
              <w:left w:val="single" w:sz="6" w:space="0" w:color="auto"/>
              <w:bottom w:val="single" w:sz="6" w:space="0" w:color="auto"/>
              <w:right w:val="nil"/>
            </w:tcBorders>
            <w:shd w:val="clear" w:color="000000" w:fill="000000"/>
            <w:vAlign w:val="bottom"/>
          </w:tcPr>
          <w:p w:rsidR="004E6C32" w:rsidRPr="006A75A2" w:rsidRDefault="004E6C32" w:rsidP="00AD1FBF">
            <w:pPr>
              <w:pStyle w:val="TabletextheadingLeft"/>
              <w:rPr>
                <w:rFonts w:eastAsiaTheme="minorEastAsia"/>
                <w:lang w:eastAsia="en-AU"/>
              </w:rPr>
            </w:pPr>
            <w:r w:rsidRPr="006A75A2">
              <w:rPr>
                <w:rFonts w:eastAsiaTheme="minorEastAsia"/>
                <w:lang w:eastAsia="en-AU"/>
              </w:rPr>
              <w:t>2014</w:t>
            </w:r>
          </w:p>
        </w:tc>
        <w:tc>
          <w:tcPr>
            <w:tcW w:w="97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Carrying</w:t>
            </w:r>
          </w:p>
          <w:p w:rsidR="004E6C32" w:rsidRPr="006A75A2" w:rsidRDefault="004E6C32" w:rsidP="004B5CB1">
            <w:pPr>
              <w:pStyle w:val="Tabletextheading"/>
              <w:rPr>
                <w:rFonts w:eastAsiaTheme="minorEastAsia"/>
                <w:lang w:eastAsia="en-AU"/>
              </w:rPr>
            </w:pPr>
            <w:r w:rsidRPr="006A75A2">
              <w:rPr>
                <w:rFonts w:eastAsiaTheme="minorEastAsia"/>
                <w:lang w:eastAsia="en-AU"/>
              </w:rPr>
              <w:t>amount</w:t>
            </w:r>
          </w:p>
        </w:tc>
        <w:tc>
          <w:tcPr>
            <w:tcW w:w="101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Nominal</w:t>
            </w:r>
          </w:p>
          <w:p w:rsidR="004E6C32" w:rsidRPr="006A75A2" w:rsidRDefault="004E6C32" w:rsidP="008708FF">
            <w:pPr>
              <w:pStyle w:val="Tabletextheading"/>
              <w:rPr>
                <w:rFonts w:eastAsiaTheme="minorEastAsia"/>
                <w:vertAlign w:val="superscript"/>
                <w:lang w:eastAsia="en-AU"/>
              </w:rPr>
            </w:pPr>
            <w:r w:rsidRPr="006A75A2">
              <w:rPr>
                <w:rFonts w:eastAsiaTheme="minorEastAsia"/>
                <w:lang w:eastAsia="en-AU"/>
              </w:rPr>
              <w:t>amount</w:t>
            </w:r>
            <w:r w:rsidRPr="006A75A2">
              <w:rPr>
                <w:rFonts w:eastAsiaTheme="minorEastAsia"/>
                <w:vertAlign w:val="superscript"/>
                <w:lang w:eastAsia="en-AU"/>
              </w:rPr>
              <w:t>(a)</w:t>
            </w:r>
          </w:p>
        </w:tc>
        <w:tc>
          <w:tcPr>
            <w:tcW w:w="1121"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0-3 months</w:t>
            </w:r>
          </w:p>
        </w:tc>
        <w:tc>
          <w:tcPr>
            <w:tcW w:w="1161" w:type="dxa"/>
            <w:tcBorders>
              <w:top w:val="nil"/>
              <w:left w:val="nil"/>
              <w:bottom w:val="single" w:sz="6" w:space="0" w:color="auto"/>
              <w:right w:val="nil"/>
            </w:tcBorders>
            <w:shd w:val="clear" w:color="000000" w:fill="000000"/>
          </w:tcPr>
          <w:p w:rsidR="004E6C32" w:rsidRPr="006A75A2" w:rsidRDefault="004E6C32" w:rsidP="008708FF">
            <w:pPr>
              <w:pStyle w:val="Tabletextheading"/>
              <w:rPr>
                <w:rFonts w:eastAsiaTheme="minorEastAsia"/>
                <w:lang w:eastAsia="en-AU"/>
              </w:rPr>
            </w:pPr>
            <w:r w:rsidRPr="006A75A2">
              <w:rPr>
                <w:rFonts w:eastAsiaTheme="minorEastAsia"/>
                <w:lang w:eastAsia="en-AU"/>
              </w:rPr>
              <w:t>3 months-</w:t>
            </w:r>
            <w:r w:rsidR="008708FF" w:rsidRPr="006A75A2">
              <w:rPr>
                <w:rFonts w:eastAsiaTheme="minorEastAsia"/>
                <w:lang w:eastAsia="en-AU"/>
              </w:rPr>
              <w:br/>
            </w:r>
            <w:r w:rsidRPr="006A75A2">
              <w:rPr>
                <w:rFonts w:eastAsiaTheme="minorEastAsia"/>
                <w:lang w:eastAsia="en-AU"/>
              </w:rPr>
              <w:t>1 year</w:t>
            </w:r>
          </w:p>
        </w:tc>
        <w:tc>
          <w:tcPr>
            <w:tcW w:w="994"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1-2 years</w:t>
            </w:r>
          </w:p>
        </w:tc>
        <w:tc>
          <w:tcPr>
            <w:tcW w:w="1008"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2-5 years</w:t>
            </w:r>
          </w:p>
        </w:tc>
        <w:tc>
          <w:tcPr>
            <w:tcW w:w="944"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5+ years</w:t>
            </w:r>
          </w:p>
        </w:tc>
      </w:tr>
      <w:tr w:rsidR="004E6C32" w:rsidRPr="006A75A2" w:rsidTr="004B5CB1">
        <w:tc>
          <w:tcPr>
            <w:tcW w:w="2427" w:type="dxa"/>
            <w:tcBorders>
              <w:top w:val="single" w:sz="6" w:space="0" w:color="auto"/>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Payables, deposits held</w:t>
            </w:r>
            <w:r w:rsidRPr="006A75A2">
              <w:rPr>
                <w:rFonts w:eastAsiaTheme="minorEastAsia" w:cs="Calibri"/>
                <w:szCs w:val="22"/>
                <w:lang w:eastAsia="en-AU"/>
              </w:rPr>
              <w:t xml:space="preserve"> and advances received</w:t>
            </w:r>
          </w:p>
        </w:tc>
        <w:tc>
          <w:tcPr>
            <w:tcW w:w="975"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w:t>
            </w:r>
            <w:r w:rsidRPr="006A75A2">
              <w:rPr>
                <w:rFonts w:eastAsiaTheme="minorEastAsia" w:cs="Calibri"/>
                <w:szCs w:val="22"/>
                <w:lang w:eastAsia="en-AU"/>
              </w:rPr>
              <w:t xml:space="preserve"> 636.2</w:t>
            </w:r>
          </w:p>
        </w:tc>
        <w:tc>
          <w:tcPr>
            <w:tcW w:w="101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w:t>
            </w:r>
            <w:r w:rsidRPr="006A75A2">
              <w:rPr>
                <w:rFonts w:eastAsiaTheme="minorEastAsia" w:cs="Calibri"/>
                <w:szCs w:val="22"/>
                <w:lang w:eastAsia="en-AU"/>
              </w:rPr>
              <w:t xml:space="preserve"> 636.2</w:t>
            </w:r>
          </w:p>
        </w:tc>
        <w:tc>
          <w:tcPr>
            <w:tcW w:w="1121"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w:t>
            </w:r>
            <w:r w:rsidRPr="006A75A2">
              <w:rPr>
                <w:rFonts w:eastAsiaTheme="minorEastAsia" w:cs="Calibri"/>
                <w:szCs w:val="22"/>
                <w:lang w:eastAsia="en-AU"/>
              </w:rPr>
              <w:t xml:space="preserve"> 960.9</w:t>
            </w:r>
          </w:p>
        </w:tc>
        <w:tc>
          <w:tcPr>
            <w:tcW w:w="1161"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525.8</w:t>
            </w:r>
          </w:p>
        </w:tc>
        <w:tc>
          <w:tcPr>
            <w:tcW w:w="994"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38.0</w:t>
            </w:r>
          </w:p>
        </w:tc>
        <w:tc>
          <w:tcPr>
            <w:tcW w:w="1008"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66.6</w:t>
            </w:r>
          </w:p>
        </w:tc>
        <w:tc>
          <w:tcPr>
            <w:tcW w:w="944"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44.9</w:t>
            </w:r>
          </w:p>
        </w:tc>
      </w:tr>
      <w:tr w:rsidR="00AD1FBF" w:rsidRPr="006A75A2" w:rsidTr="00AD1FBF">
        <w:tc>
          <w:tcPr>
            <w:tcW w:w="9640" w:type="dxa"/>
            <w:gridSpan w:val="8"/>
            <w:tcBorders>
              <w:top w:val="nil"/>
              <w:left w:val="nil"/>
              <w:bottom w:val="nil"/>
              <w:right w:val="nil"/>
            </w:tcBorders>
          </w:tcPr>
          <w:p w:rsidR="00AD1FBF" w:rsidRPr="006A75A2" w:rsidRDefault="00AD1FBF" w:rsidP="00AD1FBF">
            <w:pPr>
              <w:pStyle w:val="TableofFigures"/>
              <w:jc w:val="left"/>
              <w:rPr>
                <w:rFonts w:eastAsiaTheme="minorEastAsia"/>
                <w:b/>
                <w:lang w:eastAsia="en-AU"/>
              </w:rPr>
            </w:pPr>
            <w:r w:rsidRPr="006A75A2">
              <w:rPr>
                <w:rFonts w:eastAsiaTheme="minorEastAsia"/>
                <w:b/>
                <w:bCs/>
                <w:lang w:eastAsia="en-AU"/>
              </w:rPr>
              <w:t>Interest-bearing</w:t>
            </w:r>
            <w:r w:rsidRPr="006A75A2">
              <w:rPr>
                <w:rFonts w:eastAsiaTheme="minorEastAsia" w:cs="Calibri"/>
                <w:b/>
                <w:bCs/>
                <w:szCs w:val="22"/>
                <w:lang w:eastAsia="en-AU"/>
              </w:rPr>
              <w:t xml:space="preserve"> liabilities:</w:t>
            </w:r>
          </w:p>
        </w:tc>
      </w:tr>
      <w:tr w:rsidR="004E6C32" w:rsidRPr="006A75A2" w:rsidTr="004B5CB1">
        <w:tc>
          <w:tcPr>
            <w:tcW w:w="2427"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Domestic</w:t>
            </w:r>
            <w:r w:rsidRPr="006A75A2">
              <w:rPr>
                <w:rFonts w:eastAsiaTheme="minorEastAsia" w:cs="Calibri"/>
                <w:szCs w:val="22"/>
                <w:lang w:eastAsia="en-AU"/>
              </w:rPr>
              <w:t xml:space="preserve"> borrowings</w:t>
            </w:r>
          </w:p>
        </w:tc>
        <w:tc>
          <w:tcPr>
            <w:tcW w:w="9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41</w:t>
            </w:r>
            <w:r w:rsidRPr="006A75A2">
              <w:rPr>
                <w:rFonts w:eastAsiaTheme="minorEastAsia" w:cs="Calibri"/>
                <w:szCs w:val="22"/>
                <w:lang w:eastAsia="en-AU"/>
              </w:rPr>
              <w:t xml:space="preserve"> 617.6</w:t>
            </w:r>
          </w:p>
        </w:tc>
        <w:tc>
          <w:tcPr>
            <w:tcW w:w="101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50</w:t>
            </w:r>
            <w:r w:rsidRPr="006A75A2">
              <w:rPr>
                <w:rFonts w:eastAsiaTheme="minorEastAsia" w:cs="Calibri"/>
                <w:szCs w:val="22"/>
                <w:lang w:eastAsia="en-AU"/>
              </w:rPr>
              <w:t xml:space="preserve"> 789.0</w:t>
            </w:r>
          </w:p>
        </w:tc>
        <w:tc>
          <w:tcPr>
            <w:tcW w:w="112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60.6</w:t>
            </w:r>
          </w:p>
        </w:tc>
        <w:tc>
          <w:tcPr>
            <w:tcW w:w="116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651.5</w:t>
            </w:r>
          </w:p>
        </w:tc>
        <w:tc>
          <w:tcPr>
            <w:tcW w:w="99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175.5</w:t>
            </w:r>
          </w:p>
        </w:tc>
        <w:tc>
          <w:tcPr>
            <w:tcW w:w="10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w:t>
            </w:r>
            <w:r w:rsidRPr="006A75A2">
              <w:rPr>
                <w:rFonts w:eastAsiaTheme="minorEastAsia" w:cs="Calibri"/>
                <w:szCs w:val="22"/>
                <w:lang w:eastAsia="en-AU"/>
              </w:rPr>
              <w:t xml:space="preserve"> 183.4</w:t>
            </w:r>
          </w:p>
        </w:tc>
        <w:tc>
          <w:tcPr>
            <w:tcW w:w="94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25</w:t>
            </w:r>
            <w:r w:rsidRPr="006A75A2">
              <w:rPr>
                <w:rFonts w:eastAsiaTheme="minorEastAsia" w:cs="Calibri"/>
                <w:szCs w:val="22"/>
                <w:lang w:eastAsia="en-AU"/>
              </w:rPr>
              <w:t xml:space="preserve"> 717.9</w:t>
            </w:r>
          </w:p>
        </w:tc>
      </w:tr>
      <w:tr w:rsidR="004E6C32" w:rsidRPr="006A75A2" w:rsidTr="004B5CB1">
        <w:tc>
          <w:tcPr>
            <w:tcW w:w="2427"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Foreign</w:t>
            </w:r>
            <w:r w:rsidRPr="006A75A2">
              <w:rPr>
                <w:rFonts w:eastAsiaTheme="minorEastAsia" w:cs="Calibri"/>
                <w:szCs w:val="22"/>
                <w:lang w:eastAsia="en-AU"/>
              </w:rPr>
              <w:t xml:space="preserve"> currency borrowings</w:t>
            </w:r>
          </w:p>
        </w:tc>
        <w:tc>
          <w:tcPr>
            <w:tcW w:w="9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268.8</w:t>
            </w:r>
          </w:p>
        </w:tc>
        <w:tc>
          <w:tcPr>
            <w:tcW w:w="101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300.5</w:t>
            </w:r>
          </w:p>
        </w:tc>
        <w:tc>
          <w:tcPr>
            <w:tcW w:w="112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168.5</w:t>
            </w:r>
          </w:p>
        </w:tc>
        <w:tc>
          <w:tcPr>
            <w:tcW w:w="116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2.1</w:t>
            </w:r>
          </w:p>
        </w:tc>
        <w:tc>
          <w:tcPr>
            <w:tcW w:w="99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2.1</w:t>
            </w:r>
          </w:p>
        </w:tc>
        <w:tc>
          <w:tcPr>
            <w:tcW w:w="10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6.4</w:t>
            </w:r>
          </w:p>
        </w:tc>
        <w:tc>
          <w:tcPr>
            <w:tcW w:w="94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121.4</w:t>
            </w:r>
          </w:p>
        </w:tc>
      </w:tr>
      <w:tr w:rsidR="004E6C32" w:rsidRPr="006A75A2" w:rsidTr="004B5CB1">
        <w:tc>
          <w:tcPr>
            <w:tcW w:w="2427"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Finance lease liabilities</w:t>
            </w:r>
            <w:r w:rsidRPr="006A75A2">
              <w:rPr>
                <w:rFonts w:eastAsiaTheme="minorEastAsia" w:cs="Calibri"/>
                <w:szCs w:val="22"/>
                <w:lang w:eastAsia="en-AU"/>
              </w:rPr>
              <w:t xml:space="preserve"> </w:t>
            </w:r>
          </w:p>
        </w:tc>
        <w:tc>
          <w:tcPr>
            <w:tcW w:w="9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w:t>
            </w:r>
            <w:r w:rsidRPr="006A75A2">
              <w:rPr>
                <w:rFonts w:eastAsiaTheme="minorEastAsia" w:cs="Calibri"/>
                <w:szCs w:val="22"/>
                <w:lang w:eastAsia="en-AU"/>
              </w:rPr>
              <w:t xml:space="preserve"> 817.3</w:t>
            </w:r>
          </w:p>
        </w:tc>
        <w:tc>
          <w:tcPr>
            <w:tcW w:w="101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21</w:t>
            </w:r>
            <w:r w:rsidRPr="006A75A2">
              <w:rPr>
                <w:rFonts w:eastAsiaTheme="minorEastAsia" w:cs="Calibri"/>
                <w:szCs w:val="22"/>
                <w:lang w:eastAsia="en-AU"/>
              </w:rPr>
              <w:t xml:space="preserve"> 602.5</w:t>
            </w:r>
          </w:p>
        </w:tc>
        <w:tc>
          <w:tcPr>
            <w:tcW w:w="112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231.6</w:t>
            </w:r>
          </w:p>
        </w:tc>
        <w:tc>
          <w:tcPr>
            <w:tcW w:w="116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714.9</w:t>
            </w:r>
          </w:p>
        </w:tc>
        <w:tc>
          <w:tcPr>
            <w:tcW w:w="99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145.7</w:t>
            </w:r>
          </w:p>
        </w:tc>
        <w:tc>
          <w:tcPr>
            <w:tcW w:w="10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964.9</w:t>
            </w:r>
          </w:p>
        </w:tc>
        <w:tc>
          <w:tcPr>
            <w:tcW w:w="94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w:t>
            </w:r>
            <w:r w:rsidRPr="006A75A2">
              <w:rPr>
                <w:rFonts w:eastAsiaTheme="minorEastAsia" w:cs="Calibri"/>
                <w:szCs w:val="22"/>
                <w:lang w:eastAsia="en-AU"/>
              </w:rPr>
              <w:t xml:space="preserve"> 545.4</w:t>
            </w:r>
          </w:p>
        </w:tc>
      </w:tr>
      <w:tr w:rsidR="004E6C32" w:rsidRPr="006A75A2" w:rsidTr="004B5CB1">
        <w:tc>
          <w:tcPr>
            <w:tcW w:w="2427"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Derivative financial </w:t>
            </w:r>
            <w:r w:rsidRPr="006A75A2">
              <w:rPr>
                <w:rFonts w:eastAsiaTheme="minorEastAsia" w:cs="Calibri"/>
                <w:szCs w:val="22"/>
                <w:lang w:eastAsia="en-AU"/>
              </w:rPr>
              <w:t>liabilities</w:t>
            </w:r>
          </w:p>
        </w:tc>
        <w:tc>
          <w:tcPr>
            <w:tcW w:w="97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573.7</w:t>
            </w:r>
          </w:p>
        </w:tc>
        <w:tc>
          <w:tcPr>
            <w:tcW w:w="101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366.2</w:t>
            </w:r>
          </w:p>
        </w:tc>
        <w:tc>
          <w:tcPr>
            <w:tcW w:w="1121"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20.7</w:t>
            </w:r>
          </w:p>
        </w:tc>
        <w:tc>
          <w:tcPr>
            <w:tcW w:w="1161"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73.1</w:t>
            </w:r>
          </w:p>
        </w:tc>
        <w:tc>
          <w:tcPr>
            <w:tcW w:w="994"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90.5</w:t>
            </w:r>
          </w:p>
        </w:tc>
        <w:tc>
          <w:tcPr>
            <w:tcW w:w="1008"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67.2</w:t>
            </w:r>
          </w:p>
        </w:tc>
        <w:tc>
          <w:tcPr>
            <w:tcW w:w="944"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114.8</w:t>
            </w:r>
          </w:p>
        </w:tc>
      </w:tr>
      <w:tr w:rsidR="004E6C32" w:rsidRPr="006A75A2" w:rsidTr="004B5CB1">
        <w:tc>
          <w:tcPr>
            <w:tcW w:w="242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bCs/>
                <w:lang w:eastAsia="en-AU"/>
              </w:rPr>
              <w:t>Total</w:t>
            </w:r>
          </w:p>
        </w:tc>
        <w:tc>
          <w:tcPr>
            <w:tcW w:w="97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57</w:t>
            </w:r>
            <w:r w:rsidRPr="006A75A2">
              <w:rPr>
                <w:rFonts w:eastAsiaTheme="minorEastAsia" w:cs="Calibri"/>
                <w:b/>
                <w:bCs/>
                <w:szCs w:val="22"/>
                <w:lang w:eastAsia="en-AU"/>
              </w:rPr>
              <w:t xml:space="preserve"> 913.7</w:t>
            </w:r>
          </w:p>
        </w:tc>
        <w:tc>
          <w:tcPr>
            <w:tcW w:w="101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79</w:t>
            </w:r>
            <w:r w:rsidRPr="006A75A2">
              <w:rPr>
                <w:rFonts w:eastAsiaTheme="minorEastAsia" w:cs="Calibri"/>
                <w:b/>
                <w:bCs/>
                <w:szCs w:val="22"/>
                <w:lang w:eastAsia="en-AU"/>
              </w:rPr>
              <w:t xml:space="preserve"> 694.5</w:t>
            </w:r>
          </w:p>
        </w:tc>
        <w:tc>
          <w:tcPr>
            <w:tcW w:w="112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6</w:t>
            </w:r>
            <w:r w:rsidRPr="006A75A2">
              <w:rPr>
                <w:rFonts w:eastAsiaTheme="minorEastAsia" w:cs="Calibri"/>
                <w:b/>
                <w:bCs/>
                <w:szCs w:val="22"/>
                <w:lang w:eastAsia="en-AU"/>
              </w:rPr>
              <w:t xml:space="preserve"> 442.3</w:t>
            </w:r>
          </w:p>
        </w:tc>
        <w:tc>
          <w:tcPr>
            <w:tcW w:w="116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5</w:t>
            </w:r>
            <w:r w:rsidRPr="006A75A2">
              <w:rPr>
                <w:rFonts w:eastAsiaTheme="minorEastAsia" w:cs="Calibri"/>
                <w:b/>
                <w:bCs/>
                <w:szCs w:val="22"/>
                <w:lang w:eastAsia="en-AU"/>
              </w:rPr>
              <w:t xml:space="preserve"> 967.4</w:t>
            </w:r>
          </w:p>
        </w:tc>
        <w:tc>
          <w:tcPr>
            <w:tcW w:w="99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5</w:t>
            </w:r>
            <w:r w:rsidRPr="006A75A2">
              <w:rPr>
                <w:rFonts w:eastAsiaTheme="minorEastAsia" w:cs="Calibri"/>
                <w:b/>
                <w:bCs/>
                <w:szCs w:val="22"/>
                <w:lang w:eastAsia="en-AU"/>
              </w:rPr>
              <w:t xml:space="preserve"> 451.9</w:t>
            </w:r>
          </w:p>
        </w:tc>
        <w:tc>
          <w:tcPr>
            <w:tcW w:w="100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19</w:t>
            </w:r>
            <w:r w:rsidRPr="006A75A2">
              <w:rPr>
                <w:rFonts w:eastAsiaTheme="minorEastAsia" w:cs="Calibri"/>
                <w:b/>
                <w:bCs/>
                <w:szCs w:val="22"/>
                <w:lang w:eastAsia="en-AU"/>
              </w:rPr>
              <w:t xml:space="preserve"> 288.4</w:t>
            </w:r>
          </w:p>
        </w:tc>
        <w:tc>
          <w:tcPr>
            <w:tcW w:w="94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42</w:t>
            </w:r>
            <w:r w:rsidRPr="006A75A2">
              <w:rPr>
                <w:rFonts w:eastAsiaTheme="minorEastAsia" w:cs="Calibri"/>
                <w:b/>
                <w:bCs/>
                <w:szCs w:val="22"/>
                <w:lang w:eastAsia="en-AU"/>
              </w:rPr>
              <w:t xml:space="preserve"> 544.5</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2427"/>
        <w:gridCol w:w="82"/>
        <w:gridCol w:w="891"/>
        <w:gridCol w:w="1012"/>
        <w:gridCol w:w="1177"/>
        <w:gridCol w:w="1077"/>
        <w:gridCol w:w="1022"/>
        <w:gridCol w:w="1008"/>
        <w:gridCol w:w="944"/>
      </w:tblGrid>
      <w:tr w:rsidR="004E6C32" w:rsidRPr="006A75A2" w:rsidTr="004B5CB1">
        <w:tc>
          <w:tcPr>
            <w:tcW w:w="2427"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2013</w:t>
            </w:r>
          </w:p>
        </w:tc>
        <w:tc>
          <w:tcPr>
            <w:tcW w:w="973" w:type="dxa"/>
            <w:gridSpan w:val="2"/>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12"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17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7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22"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08"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944"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4E6C32" w:rsidRPr="006A75A2" w:rsidTr="004B5CB1">
        <w:tc>
          <w:tcPr>
            <w:tcW w:w="2509" w:type="dxa"/>
            <w:gridSpan w:val="2"/>
            <w:tcBorders>
              <w:top w:val="single" w:sz="6" w:space="0" w:color="auto"/>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Payables, deposits held</w:t>
            </w:r>
            <w:r w:rsidRPr="006A75A2">
              <w:rPr>
                <w:rFonts w:eastAsiaTheme="minorEastAsia" w:cs="Calibri"/>
                <w:szCs w:val="22"/>
                <w:lang w:eastAsia="en-AU"/>
              </w:rPr>
              <w:t xml:space="preserve"> and advances received</w:t>
            </w:r>
            <w:r w:rsidRPr="006A75A2">
              <w:rPr>
                <w:rFonts w:eastAsiaTheme="minorEastAsia" w:cs="Calibri"/>
                <w:szCs w:val="22"/>
                <w:vertAlign w:val="superscript"/>
                <w:lang w:eastAsia="en-AU"/>
              </w:rPr>
              <w:t>(b)</w:t>
            </w:r>
          </w:p>
        </w:tc>
        <w:tc>
          <w:tcPr>
            <w:tcW w:w="891"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6 976.4</w:t>
            </w:r>
          </w:p>
        </w:tc>
        <w:tc>
          <w:tcPr>
            <w:tcW w:w="1012"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7 015.4</w:t>
            </w:r>
          </w:p>
        </w:tc>
        <w:tc>
          <w:tcPr>
            <w:tcW w:w="117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6 224.6</w:t>
            </w:r>
          </w:p>
        </w:tc>
        <w:tc>
          <w:tcPr>
            <w:tcW w:w="107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568.4</w:t>
            </w:r>
          </w:p>
        </w:tc>
        <w:tc>
          <w:tcPr>
            <w:tcW w:w="1022"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68.4</w:t>
            </w:r>
          </w:p>
        </w:tc>
        <w:tc>
          <w:tcPr>
            <w:tcW w:w="1008"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74.4</w:t>
            </w:r>
          </w:p>
        </w:tc>
        <w:tc>
          <w:tcPr>
            <w:tcW w:w="944"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79.5</w:t>
            </w:r>
          </w:p>
        </w:tc>
      </w:tr>
      <w:tr w:rsidR="00AD1FBF" w:rsidRPr="006A75A2" w:rsidTr="00AD1FBF">
        <w:tc>
          <w:tcPr>
            <w:tcW w:w="9640" w:type="dxa"/>
            <w:gridSpan w:val="9"/>
            <w:tcBorders>
              <w:top w:val="nil"/>
              <w:left w:val="nil"/>
              <w:bottom w:val="nil"/>
              <w:right w:val="nil"/>
            </w:tcBorders>
          </w:tcPr>
          <w:p w:rsidR="00AD1FBF" w:rsidRPr="006A75A2" w:rsidRDefault="00AD1FBF" w:rsidP="00AD1FBF">
            <w:pPr>
              <w:pStyle w:val="Tabletext"/>
              <w:rPr>
                <w:rFonts w:eastAsiaTheme="minorEastAsia"/>
                <w:b/>
                <w:lang w:eastAsia="en-AU"/>
              </w:rPr>
            </w:pPr>
            <w:r w:rsidRPr="006A75A2">
              <w:rPr>
                <w:rFonts w:eastAsiaTheme="minorEastAsia"/>
                <w:b/>
                <w:bCs/>
                <w:lang w:eastAsia="en-AU"/>
              </w:rPr>
              <w:t>Interest-bearing liabilities:</w:t>
            </w:r>
          </w:p>
        </w:tc>
      </w:tr>
      <w:tr w:rsidR="004E6C32" w:rsidRPr="006A75A2" w:rsidTr="004B5CB1">
        <w:tc>
          <w:tcPr>
            <w:tcW w:w="2427" w:type="dxa"/>
            <w:tcBorders>
              <w:top w:val="nil"/>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Domestic borrowings</w:t>
            </w:r>
            <w:r w:rsidRPr="006A75A2">
              <w:rPr>
                <w:rFonts w:eastAsiaTheme="minorEastAsia" w:cs="Calibri"/>
                <w:szCs w:val="22"/>
                <w:vertAlign w:val="superscript"/>
                <w:lang w:eastAsia="en-AU"/>
              </w:rPr>
              <w:t>(b)</w:t>
            </w:r>
          </w:p>
        </w:tc>
        <w:tc>
          <w:tcPr>
            <w:tcW w:w="973"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36 996.7</w:t>
            </w:r>
          </w:p>
        </w:tc>
        <w:tc>
          <w:tcPr>
            <w:tcW w:w="101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47 271.2</w:t>
            </w:r>
          </w:p>
        </w:tc>
        <w:tc>
          <w:tcPr>
            <w:tcW w:w="11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63.1</w:t>
            </w:r>
          </w:p>
        </w:tc>
        <w:tc>
          <w:tcPr>
            <w:tcW w:w="10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2 814.3</w:t>
            </w:r>
          </w:p>
        </w:tc>
        <w:tc>
          <w:tcPr>
            <w:tcW w:w="102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4 928.0</w:t>
            </w:r>
          </w:p>
        </w:tc>
        <w:tc>
          <w:tcPr>
            <w:tcW w:w="100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10 973.9</w:t>
            </w:r>
          </w:p>
        </w:tc>
        <w:tc>
          <w:tcPr>
            <w:tcW w:w="94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28 491.9</w:t>
            </w:r>
          </w:p>
        </w:tc>
      </w:tr>
      <w:tr w:rsidR="004E6C32" w:rsidRPr="006A75A2" w:rsidTr="004B5CB1">
        <w:tc>
          <w:tcPr>
            <w:tcW w:w="242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Foreign currency borrowings</w:t>
            </w:r>
          </w:p>
        </w:tc>
        <w:tc>
          <w:tcPr>
            <w:tcW w:w="973"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531.0</w:t>
            </w:r>
          </w:p>
        </w:tc>
        <w:tc>
          <w:tcPr>
            <w:tcW w:w="101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579.8</w:t>
            </w:r>
          </w:p>
        </w:tc>
        <w:tc>
          <w:tcPr>
            <w:tcW w:w="11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439.8</w:t>
            </w:r>
          </w:p>
        </w:tc>
        <w:tc>
          <w:tcPr>
            <w:tcW w:w="10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w:t>
            </w:r>
          </w:p>
        </w:tc>
        <w:tc>
          <w:tcPr>
            <w:tcW w:w="102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w:t>
            </w:r>
          </w:p>
        </w:tc>
        <w:tc>
          <w:tcPr>
            <w:tcW w:w="100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w:t>
            </w:r>
          </w:p>
        </w:tc>
        <w:tc>
          <w:tcPr>
            <w:tcW w:w="94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128.8</w:t>
            </w:r>
          </w:p>
        </w:tc>
      </w:tr>
      <w:tr w:rsidR="004E6C32" w:rsidRPr="006A75A2" w:rsidTr="004B5CB1">
        <w:tc>
          <w:tcPr>
            <w:tcW w:w="2427" w:type="dxa"/>
            <w:tcBorders>
              <w:top w:val="nil"/>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Finance lease liabilities</w:t>
            </w:r>
            <w:r w:rsidRPr="006A75A2">
              <w:rPr>
                <w:rFonts w:eastAsiaTheme="minorEastAsia" w:cs="Calibri"/>
                <w:szCs w:val="22"/>
                <w:vertAlign w:val="superscript"/>
                <w:lang w:eastAsia="en-AU"/>
              </w:rPr>
              <w:t>(c)</w:t>
            </w:r>
          </w:p>
        </w:tc>
        <w:tc>
          <w:tcPr>
            <w:tcW w:w="973" w:type="dxa"/>
            <w:gridSpan w:val="2"/>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8 860.3</w:t>
            </w:r>
          </w:p>
        </w:tc>
        <w:tc>
          <w:tcPr>
            <w:tcW w:w="101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22 050.0</w:t>
            </w:r>
          </w:p>
        </w:tc>
        <w:tc>
          <w:tcPr>
            <w:tcW w:w="11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217.2</w:t>
            </w:r>
          </w:p>
        </w:tc>
        <w:tc>
          <w:tcPr>
            <w:tcW w:w="107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667.2</w:t>
            </w:r>
          </w:p>
        </w:tc>
        <w:tc>
          <w:tcPr>
            <w:tcW w:w="102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1 149.8</w:t>
            </w:r>
          </w:p>
        </w:tc>
        <w:tc>
          <w:tcPr>
            <w:tcW w:w="100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2 701.4</w:t>
            </w:r>
          </w:p>
        </w:tc>
        <w:tc>
          <w:tcPr>
            <w:tcW w:w="94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17 314.4</w:t>
            </w:r>
          </w:p>
        </w:tc>
      </w:tr>
      <w:tr w:rsidR="004E6C32" w:rsidRPr="006A75A2" w:rsidTr="004B5CB1">
        <w:tc>
          <w:tcPr>
            <w:tcW w:w="2427"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liabilities</w:t>
            </w:r>
          </w:p>
        </w:tc>
        <w:tc>
          <w:tcPr>
            <w:tcW w:w="973" w:type="dxa"/>
            <w:gridSpan w:val="2"/>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1 049.0</w:t>
            </w:r>
          </w:p>
        </w:tc>
        <w:tc>
          <w:tcPr>
            <w:tcW w:w="101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475.6</w:t>
            </w:r>
          </w:p>
        </w:tc>
        <w:tc>
          <w:tcPr>
            <w:tcW w:w="117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383.1</w:t>
            </w:r>
          </w:p>
        </w:tc>
        <w:tc>
          <w:tcPr>
            <w:tcW w:w="107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31.6</w:t>
            </w:r>
          </w:p>
        </w:tc>
        <w:tc>
          <w:tcPr>
            <w:tcW w:w="102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20.3</w:t>
            </w:r>
          </w:p>
        </w:tc>
        <w:tc>
          <w:tcPr>
            <w:tcW w:w="1008"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14.3</w:t>
            </w:r>
          </w:p>
        </w:tc>
        <w:tc>
          <w:tcPr>
            <w:tcW w:w="94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26.3</w:t>
            </w:r>
          </w:p>
        </w:tc>
      </w:tr>
      <w:tr w:rsidR="004E6C32" w:rsidRPr="006A75A2" w:rsidTr="004B5CB1">
        <w:tc>
          <w:tcPr>
            <w:tcW w:w="242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w:t>
            </w:r>
          </w:p>
        </w:tc>
        <w:tc>
          <w:tcPr>
            <w:tcW w:w="973"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54 413.4</w:t>
            </w:r>
          </w:p>
        </w:tc>
        <w:tc>
          <w:tcPr>
            <w:tcW w:w="101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77 391.9</w:t>
            </w:r>
          </w:p>
        </w:tc>
        <w:tc>
          <w:tcPr>
            <w:tcW w:w="117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7 327.8</w:t>
            </w:r>
          </w:p>
        </w:tc>
        <w:tc>
          <w:tcPr>
            <w:tcW w:w="107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4 083.8</w:t>
            </w:r>
          </w:p>
        </w:tc>
        <w:tc>
          <w:tcPr>
            <w:tcW w:w="102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6 168.7</w:t>
            </w:r>
          </w:p>
        </w:tc>
        <w:tc>
          <w:tcPr>
            <w:tcW w:w="100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13 770.7</w:t>
            </w:r>
          </w:p>
        </w:tc>
        <w:tc>
          <w:tcPr>
            <w:tcW w:w="94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46 040.9</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Represents undiscounted nominal amount.</w:t>
      </w:r>
    </w:p>
    <w:p w:rsidR="004E6C32" w:rsidRPr="006A75A2" w:rsidRDefault="004E6C32" w:rsidP="004B5CB1">
      <w:pPr>
        <w:pStyle w:val="Notes"/>
      </w:pPr>
      <w:r w:rsidRPr="006A75A2">
        <w:t>(b)</w:t>
      </w:r>
      <w:r w:rsidRPr="006A75A2">
        <w:tab/>
        <w:t>June 2013 comparative figures have been restated to reflect a reclassification from interest bearing liabilities to payables.</w:t>
      </w:r>
    </w:p>
    <w:p w:rsidR="004E6C32" w:rsidRPr="006A75A2" w:rsidRDefault="004E6C32" w:rsidP="004B5CB1">
      <w:pPr>
        <w:pStyle w:val="Notes"/>
      </w:pPr>
      <w:r w:rsidRPr="006A75A2">
        <w:t>(c)</w:t>
      </w:r>
      <w:r w:rsidRPr="006A75A2">
        <w:tab/>
        <w:t>June 2013 comparative figures have been restated to more accurately reflect the minimum lease payments and the future finance charges.</w:t>
      </w:r>
    </w:p>
    <w:p w:rsidR="004E6C32" w:rsidRPr="006A75A2" w:rsidRDefault="004E6C32" w:rsidP="004B5CB1"/>
    <w:p w:rsidR="004E6C32" w:rsidRPr="006A75A2" w:rsidRDefault="004E6C32" w:rsidP="004B5CB1"/>
    <w:p w:rsidR="004E6C32" w:rsidRPr="006A75A2" w:rsidRDefault="004E6C32" w:rsidP="004B5CB1"/>
    <w:p w:rsidR="004E6C32" w:rsidRPr="006A75A2" w:rsidRDefault="004E6C32" w:rsidP="004B5CB1">
      <w:pPr>
        <w:spacing w:after="0"/>
      </w:pPr>
    </w:p>
    <w:p w:rsidR="004E6C32" w:rsidRPr="006A75A2" w:rsidRDefault="004E6C32" w:rsidP="004B5CB1">
      <w:pPr>
        <w:spacing w:after="0"/>
      </w:pPr>
      <w:r w:rsidRPr="006A75A2">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2A6119" w:rsidRPr="006A75A2" w:rsidRDefault="002A6119" w:rsidP="002A6119">
      <w:pPr>
        <w:pStyle w:val="Heading5"/>
      </w:pPr>
      <w:r w:rsidRPr="006A75A2">
        <w:t>(k)</w:t>
      </w:r>
      <w:r w:rsidRPr="006A75A2">
        <w:tab/>
        <w:t xml:space="preserve">Undiscounted maturity analysis of financial liabilities </w:t>
      </w:r>
      <w:r w:rsidRPr="006A75A2">
        <w:rPr>
          <w:i/>
        </w:rPr>
        <w:t>(continued)</w:t>
      </w:r>
    </w:p>
    <w:p w:rsidR="004E6C32" w:rsidRPr="006A75A2" w:rsidRDefault="004E6C32" w:rsidP="004B5CB1">
      <w:pPr>
        <w:pStyle w:val="million"/>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2425"/>
        <w:gridCol w:w="952"/>
        <w:gridCol w:w="1022"/>
        <w:gridCol w:w="1190"/>
        <w:gridCol w:w="1077"/>
        <w:gridCol w:w="1022"/>
        <w:gridCol w:w="1008"/>
        <w:gridCol w:w="944"/>
      </w:tblGrid>
      <w:tr w:rsidR="00AD1FBF" w:rsidRPr="006A75A2" w:rsidTr="00AD1FBF">
        <w:tc>
          <w:tcPr>
            <w:tcW w:w="2425" w:type="dxa"/>
            <w:tcBorders>
              <w:top w:val="single" w:sz="6" w:space="0" w:color="auto"/>
              <w:left w:val="single" w:sz="6" w:space="0" w:color="auto"/>
              <w:right w:val="nil"/>
            </w:tcBorders>
            <w:shd w:val="clear" w:color="000000" w:fill="000000"/>
          </w:tcPr>
          <w:p w:rsidR="00AD1FBF" w:rsidRPr="006A75A2" w:rsidRDefault="00AD1FBF" w:rsidP="004B5CB1">
            <w:pPr>
              <w:pStyle w:val="TabletextheadingLeft"/>
              <w:rPr>
                <w:rFonts w:eastAsiaTheme="minorEastAsia"/>
                <w:lang w:eastAsia="en-AU"/>
              </w:rPr>
            </w:pPr>
            <w:r w:rsidRPr="006A75A2">
              <w:rPr>
                <w:rFonts w:eastAsiaTheme="minorEastAsia"/>
                <w:lang w:eastAsia="en-AU"/>
              </w:rPr>
              <w:t>General</w:t>
            </w:r>
          </w:p>
        </w:tc>
        <w:tc>
          <w:tcPr>
            <w:tcW w:w="952" w:type="dxa"/>
            <w:tcBorders>
              <w:top w:val="single" w:sz="6" w:space="0" w:color="auto"/>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tc>
        <w:tc>
          <w:tcPr>
            <w:tcW w:w="1022" w:type="dxa"/>
            <w:tcBorders>
              <w:top w:val="single" w:sz="6" w:space="0" w:color="auto"/>
              <w:left w:val="nil"/>
              <w:right w:val="nil"/>
            </w:tcBorders>
            <w:shd w:val="clear" w:color="000000" w:fill="000000"/>
          </w:tcPr>
          <w:p w:rsidR="00AD1FBF" w:rsidRPr="006A75A2" w:rsidRDefault="00AD1FBF" w:rsidP="004B5CB1">
            <w:pPr>
              <w:pStyle w:val="Tabletextheading"/>
              <w:rPr>
                <w:rFonts w:eastAsiaTheme="minorEastAsia"/>
                <w:lang w:eastAsia="en-AU"/>
              </w:rPr>
            </w:pPr>
            <w:r w:rsidRPr="006A75A2">
              <w:rPr>
                <w:rFonts w:eastAsiaTheme="minorEastAsia"/>
                <w:lang w:eastAsia="en-AU"/>
              </w:rPr>
              <w:t xml:space="preserve">  </w:t>
            </w:r>
          </w:p>
        </w:tc>
        <w:tc>
          <w:tcPr>
            <w:tcW w:w="5241" w:type="dxa"/>
            <w:gridSpan w:val="5"/>
            <w:tcBorders>
              <w:top w:val="single" w:sz="6" w:space="0" w:color="auto"/>
              <w:left w:val="nil"/>
              <w:right w:val="single" w:sz="6" w:space="0" w:color="auto"/>
            </w:tcBorders>
            <w:shd w:val="clear" w:color="000000" w:fill="000000"/>
          </w:tcPr>
          <w:p w:rsidR="00AD1FBF" w:rsidRPr="006A75A2" w:rsidRDefault="00AD1FBF" w:rsidP="00AD1FBF">
            <w:pPr>
              <w:pStyle w:val="TabletextheadingCentred"/>
              <w:rPr>
                <w:rFonts w:eastAsiaTheme="minorEastAsia"/>
                <w:lang w:eastAsia="en-AU"/>
              </w:rPr>
            </w:pPr>
            <w:r w:rsidRPr="006A75A2">
              <w:rPr>
                <w:rFonts w:eastAsiaTheme="minorEastAsia"/>
                <w:lang w:eastAsia="en-AU"/>
              </w:rPr>
              <w:t>Contractual maturity</w:t>
            </w:r>
          </w:p>
        </w:tc>
      </w:tr>
      <w:tr w:rsidR="004E6C32" w:rsidRPr="006A75A2" w:rsidTr="004B5CB1">
        <w:tc>
          <w:tcPr>
            <w:tcW w:w="2425"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 xml:space="preserve">government sector </w:t>
            </w:r>
          </w:p>
          <w:p w:rsidR="004E6C32" w:rsidRPr="006A75A2" w:rsidRDefault="004E6C32" w:rsidP="004B5CB1">
            <w:pPr>
              <w:pStyle w:val="TabletextheadingLeft"/>
              <w:rPr>
                <w:rFonts w:eastAsiaTheme="minorEastAsia"/>
                <w:lang w:eastAsia="en-AU"/>
              </w:rPr>
            </w:pPr>
            <w:r w:rsidRPr="006A75A2">
              <w:rPr>
                <w:rFonts w:eastAsiaTheme="minorEastAsia"/>
                <w:lang w:eastAsia="en-AU"/>
              </w:rPr>
              <w:t>2014</w:t>
            </w:r>
          </w:p>
        </w:tc>
        <w:tc>
          <w:tcPr>
            <w:tcW w:w="952"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Carrying</w:t>
            </w:r>
          </w:p>
          <w:p w:rsidR="004E6C32" w:rsidRPr="006A75A2" w:rsidRDefault="004E6C32" w:rsidP="004B5CB1">
            <w:pPr>
              <w:pStyle w:val="Tabletextheading"/>
              <w:rPr>
                <w:rFonts w:eastAsiaTheme="minorEastAsia"/>
                <w:lang w:eastAsia="en-AU"/>
              </w:rPr>
            </w:pPr>
            <w:r w:rsidRPr="006A75A2">
              <w:rPr>
                <w:rFonts w:eastAsiaTheme="minorEastAsia"/>
                <w:lang w:eastAsia="en-AU"/>
              </w:rPr>
              <w:t>amount</w:t>
            </w:r>
          </w:p>
        </w:tc>
        <w:tc>
          <w:tcPr>
            <w:tcW w:w="1022"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Nominal</w:t>
            </w:r>
          </w:p>
          <w:p w:rsidR="004E6C32" w:rsidRPr="006A75A2" w:rsidRDefault="004E6C32" w:rsidP="008708FF">
            <w:pPr>
              <w:pStyle w:val="Tabletextheading"/>
              <w:rPr>
                <w:rFonts w:eastAsiaTheme="minorEastAsia"/>
                <w:vertAlign w:val="superscript"/>
                <w:lang w:eastAsia="en-AU"/>
              </w:rPr>
            </w:pPr>
            <w:r w:rsidRPr="006A75A2">
              <w:rPr>
                <w:rFonts w:eastAsiaTheme="minorEastAsia"/>
                <w:lang w:eastAsia="en-AU"/>
              </w:rPr>
              <w:t>amount</w:t>
            </w:r>
            <w:r w:rsidRPr="006A75A2">
              <w:rPr>
                <w:rFonts w:eastAsiaTheme="minorEastAsia"/>
                <w:vertAlign w:val="superscript"/>
                <w:lang w:eastAsia="en-AU"/>
              </w:rPr>
              <w:t>(a)</w:t>
            </w:r>
          </w:p>
        </w:tc>
        <w:tc>
          <w:tcPr>
            <w:tcW w:w="119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0-3 months</w:t>
            </w:r>
          </w:p>
        </w:tc>
        <w:tc>
          <w:tcPr>
            <w:tcW w:w="1077" w:type="dxa"/>
            <w:tcBorders>
              <w:top w:val="nil"/>
              <w:left w:val="nil"/>
              <w:bottom w:val="single" w:sz="6" w:space="0" w:color="auto"/>
              <w:right w:val="nil"/>
            </w:tcBorders>
            <w:shd w:val="clear" w:color="000000" w:fill="000000"/>
          </w:tcPr>
          <w:p w:rsidR="004E6C32" w:rsidRPr="006A75A2" w:rsidRDefault="004E6C32" w:rsidP="008708FF">
            <w:pPr>
              <w:pStyle w:val="Tabletextheading"/>
              <w:rPr>
                <w:rFonts w:eastAsiaTheme="minorEastAsia" w:cs="Calibri"/>
                <w:iCs/>
                <w:szCs w:val="22"/>
                <w:lang w:eastAsia="en-AU"/>
              </w:rPr>
            </w:pPr>
            <w:r w:rsidRPr="006A75A2">
              <w:rPr>
                <w:rFonts w:eastAsiaTheme="minorEastAsia"/>
                <w:lang w:eastAsia="en-AU"/>
              </w:rPr>
              <w:t>3 months-</w:t>
            </w:r>
            <w:r w:rsidR="008708FF" w:rsidRPr="006A75A2">
              <w:rPr>
                <w:rFonts w:eastAsiaTheme="minorEastAsia"/>
                <w:lang w:eastAsia="en-AU"/>
              </w:rPr>
              <w:br/>
            </w:r>
            <w:r w:rsidRPr="006A75A2">
              <w:rPr>
                <w:rFonts w:eastAsiaTheme="minorEastAsia"/>
                <w:lang w:eastAsia="en-AU"/>
              </w:rPr>
              <w:t xml:space="preserve">1 </w:t>
            </w:r>
            <w:r w:rsidRPr="006A75A2">
              <w:rPr>
                <w:rFonts w:eastAsiaTheme="minorEastAsia" w:cs="Calibri"/>
                <w:iCs/>
                <w:szCs w:val="22"/>
                <w:lang w:eastAsia="en-AU"/>
              </w:rPr>
              <w:t>year</w:t>
            </w:r>
          </w:p>
        </w:tc>
        <w:tc>
          <w:tcPr>
            <w:tcW w:w="1022"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1-2 years</w:t>
            </w:r>
          </w:p>
        </w:tc>
        <w:tc>
          <w:tcPr>
            <w:tcW w:w="1008"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2-5 years</w:t>
            </w:r>
          </w:p>
        </w:tc>
        <w:tc>
          <w:tcPr>
            <w:tcW w:w="944"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5+ years</w:t>
            </w:r>
          </w:p>
        </w:tc>
      </w:tr>
      <w:tr w:rsidR="004E6C32" w:rsidRPr="006A75A2" w:rsidTr="004B5CB1">
        <w:tc>
          <w:tcPr>
            <w:tcW w:w="2425" w:type="dxa"/>
            <w:tcBorders>
              <w:top w:val="single" w:sz="6" w:space="0" w:color="auto"/>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Payables, deposits held</w:t>
            </w:r>
            <w:r w:rsidRPr="006A75A2">
              <w:rPr>
                <w:rFonts w:eastAsiaTheme="minorEastAsia" w:cs="Calibri"/>
                <w:szCs w:val="22"/>
                <w:lang w:eastAsia="en-AU"/>
              </w:rPr>
              <w:t xml:space="preserve"> and advances received</w:t>
            </w:r>
          </w:p>
        </w:tc>
        <w:tc>
          <w:tcPr>
            <w:tcW w:w="952"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075.2</w:t>
            </w:r>
          </w:p>
        </w:tc>
        <w:tc>
          <w:tcPr>
            <w:tcW w:w="1022"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075.2</w:t>
            </w:r>
          </w:p>
        </w:tc>
        <w:tc>
          <w:tcPr>
            <w:tcW w:w="119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w:t>
            </w:r>
            <w:r w:rsidRPr="006A75A2">
              <w:rPr>
                <w:rFonts w:eastAsiaTheme="minorEastAsia" w:cs="Calibri"/>
                <w:szCs w:val="22"/>
                <w:lang w:eastAsia="en-AU"/>
              </w:rPr>
              <w:t xml:space="preserve"> 437.7</w:t>
            </w:r>
          </w:p>
        </w:tc>
        <w:tc>
          <w:tcPr>
            <w:tcW w:w="1077"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549.0</w:t>
            </w:r>
          </w:p>
        </w:tc>
        <w:tc>
          <w:tcPr>
            <w:tcW w:w="1022"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33.9</w:t>
            </w:r>
          </w:p>
        </w:tc>
        <w:tc>
          <w:tcPr>
            <w:tcW w:w="1008"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30.7</w:t>
            </w:r>
          </w:p>
        </w:tc>
        <w:tc>
          <w:tcPr>
            <w:tcW w:w="944"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23.8</w:t>
            </w:r>
          </w:p>
        </w:tc>
      </w:tr>
      <w:tr w:rsidR="00AD1FBF" w:rsidRPr="006A75A2" w:rsidTr="00AD1FBF">
        <w:tc>
          <w:tcPr>
            <w:tcW w:w="9640" w:type="dxa"/>
            <w:gridSpan w:val="8"/>
            <w:tcBorders>
              <w:top w:val="nil"/>
              <w:left w:val="nil"/>
              <w:bottom w:val="nil"/>
              <w:right w:val="nil"/>
            </w:tcBorders>
          </w:tcPr>
          <w:p w:rsidR="00AD1FBF" w:rsidRPr="006A75A2" w:rsidRDefault="00AD1FBF" w:rsidP="00AD1FBF">
            <w:pPr>
              <w:pStyle w:val="TableofFigures"/>
              <w:jc w:val="left"/>
              <w:rPr>
                <w:rFonts w:eastAsiaTheme="minorEastAsia"/>
                <w:b/>
                <w:lang w:eastAsia="en-AU"/>
              </w:rPr>
            </w:pPr>
            <w:r w:rsidRPr="006A75A2">
              <w:rPr>
                <w:rFonts w:eastAsiaTheme="minorEastAsia"/>
                <w:b/>
                <w:bCs/>
                <w:lang w:eastAsia="en-AU"/>
              </w:rPr>
              <w:t>Interest-bearing</w:t>
            </w:r>
            <w:r w:rsidRPr="006A75A2">
              <w:rPr>
                <w:rFonts w:eastAsiaTheme="minorEastAsia" w:cs="Calibri"/>
                <w:b/>
                <w:bCs/>
                <w:szCs w:val="22"/>
                <w:lang w:eastAsia="en-AU"/>
              </w:rPr>
              <w:t xml:space="preserve"> liabilities:</w:t>
            </w:r>
          </w:p>
        </w:tc>
      </w:tr>
      <w:tr w:rsidR="004E6C32" w:rsidRPr="006A75A2" w:rsidTr="004B5CB1">
        <w:tc>
          <w:tcPr>
            <w:tcW w:w="2425"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Domestic</w:t>
            </w:r>
            <w:r w:rsidRPr="006A75A2">
              <w:rPr>
                <w:rFonts w:eastAsiaTheme="minorEastAsia" w:cs="Calibri"/>
                <w:szCs w:val="22"/>
                <w:lang w:eastAsia="en-AU"/>
              </w:rPr>
              <w:t xml:space="preserve"> borrowings</w:t>
            </w:r>
          </w:p>
        </w:tc>
        <w:tc>
          <w:tcPr>
            <w:tcW w:w="95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24</w:t>
            </w:r>
            <w:r w:rsidRPr="006A75A2">
              <w:rPr>
                <w:rFonts w:eastAsiaTheme="minorEastAsia" w:cs="Calibri"/>
                <w:szCs w:val="22"/>
                <w:lang w:eastAsia="en-AU"/>
              </w:rPr>
              <w:t xml:space="preserve"> 883.0</w:t>
            </w:r>
          </w:p>
        </w:tc>
        <w:tc>
          <w:tcPr>
            <w:tcW w:w="102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24</w:t>
            </w:r>
            <w:r w:rsidRPr="006A75A2">
              <w:rPr>
                <w:rFonts w:eastAsiaTheme="minorEastAsia" w:cs="Calibri"/>
                <w:szCs w:val="22"/>
                <w:lang w:eastAsia="en-AU"/>
              </w:rPr>
              <w:t xml:space="preserve"> 883.0</w:t>
            </w:r>
          </w:p>
        </w:tc>
        <w:tc>
          <w:tcPr>
            <w:tcW w:w="119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30.7</w:t>
            </w:r>
          </w:p>
        </w:tc>
        <w:tc>
          <w:tcPr>
            <w:tcW w:w="107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134.9</w:t>
            </w:r>
          </w:p>
        </w:tc>
        <w:tc>
          <w:tcPr>
            <w:tcW w:w="102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450.7</w:t>
            </w:r>
          </w:p>
        </w:tc>
        <w:tc>
          <w:tcPr>
            <w:tcW w:w="10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w:t>
            </w:r>
            <w:r w:rsidRPr="006A75A2">
              <w:rPr>
                <w:rFonts w:eastAsiaTheme="minorEastAsia" w:cs="Calibri"/>
                <w:szCs w:val="22"/>
                <w:lang w:eastAsia="en-AU"/>
              </w:rPr>
              <w:t xml:space="preserve"> 728.5</w:t>
            </w:r>
          </w:p>
        </w:tc>
        <w:tc>
          <w:tcPr>
            <w:tcW w:w="94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w:t>
            </w:r>
            <w:r w:rsidRPr="006A75A2">
              <w:rPr>
                <w:rFonts w:eastAsiaTheme="minorEastAsia" w:cs="Calibri"/>
                <w:szCs w:val="22"/>
                <w:lang w:eastAsia="en-AU"/>
              </w:rPr>
              <w:t xml:space="preserve"> 538.1</w:t>
            </w:r>
          </w:p>
        </w:tc>
      </w:tr>
      <w:tr w:rsidR="004E6C32" w:rsidRPr="006A75A2" w:rsidTr="004B5CB1">
        <w:tc>
          <w:tcPr>
            <w:tcW w:w="2425"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Foreign</w:t>
            </w:r>
            <w:r w:rsidRPr="006A75A2">
              <w:rPr>
                <w:rFonts w:eastAsiaTheme="minorEastAsia" w:cs="Calibri"/>
                <w:szCs w:val="22"/>
                <w:lang w:eastAsia="en-AU"/>
              </w:rPr>
              <w:t xml:space="preserve"> currency borrowings</w:t>
            </w:r>
          </w:p>
        </w:tc>
        <w:tc>
          <w:tcPr>
            <w:tcW w:w="95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02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19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07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02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0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94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r>
      <w:tr w:rsidR="004E6C32" w:rsidRPr="006A75A2" w:rsidTr="004B5CB1">
        <w:tc>
          <w:tcPr>
            <w:tcW w:w="2425"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Finance lease liabilities</w:t>
            </w:r>
          </w:p>
        </w:tc>
        <w:tc>
          <w:tcPr>
            <w:tcW w:w="95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w:t>
            </w:r>
            <w:r w:rsidRPr="006A75A2">
              <w:rPr>
                <w:rFonts w:eastAsiaTheme="minorEastAsia" w:cs="Calibri"/>
                <w:szCs w:val="22"/>
                <w:lang w:eastAsia="en-AU"/>
              </w:rPr>
              <w:t xml:space="preserve"> 049.8</w:t>
            </w:r>
          </w:p>
        </w:tc>
        <w:tc>
          <w:tcPr>
            <w:tcW w:w="102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20</w:t>
            </w:r>
            <w:r w:rsidRPr="006A75A2">
              <w:rPr>
                <w:rFonts w:eastAsiaTheme="minorEastAsia" w:cs="Calibri"/>
                <w:szCs w:val="22"/>
                <w:lang w:eastAsia="en-AU"/>
              </w:rPr>
              <w:t xml:space="preserve"> 813.4</w:t>
            </w:r>
          </w:p>
        </w:tc>
        <w:tc>
          <w:tcPr>
            <w:tcW w:w="119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213.8</w:t>
            </w:r>
          </w:p>
        </w:tc>
        <w:tc>
          <w:tcPr>
            <w:tcW w:w="107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657.8</w:t>
            </w:r>
          </w:p>
        </w:tc>
        <w:tc>
          <w:tcPr>
            <w:tcW w:w="102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072.3</w:t>
            </w:r>
          </w:p>
        </w:tc>
        <w:tc>
          <w:tcPr>
            <w:tcW w:w="10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573.6</w:t>
            </w:r>
          </w:p>
        </w:tc>
        <w:tc>
          <w:tcPr>
            <w:tcW w:w="94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16</w:t>
            </w:r>
            <w:r w:rsidRPr="006A75A2">
              <w:rPr>
                <w:rFonts w:eastAsiaTheme="minorEastAsia" w:cs="Calibri"/>
                <w:szCs w:val="22"/>
                <w:lang w:eastAsia="en-AU"/>
              </w:rPr>
              <w:t xml:space="preserve"> 295.8</w:t>
            </w:r>
          </w:p>
        </w:tc>
      </w:tr>
      <w:tr w:rsidR="004E6C32" w:rsidRPr="006A75A2" w:rsidTr="004B5CB1">
        <w:tc>
          <w:tcPr>
            <w:tcW w:w="2425"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Derivative financial </w:t>
            </w:r>
            <w:r w:rsidRPr="006A75A2">
              <w:rPr>
                <w:rFonts w:eastAsiaTheme="minorEastAsia" w:cs="Calibri"/>
                <w:szCs w:val="22"/>
                <w:lang w:eastAsia="en-AU"/>
              </w:rPr>
              <w:t>liabilities</w:t>
            </w:r>
          </w:p>
        </w:tc>
        <w:tc>
          <w:tcPr>
            <w:tcW w:w="952"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20.8</w:t>
            </w:r>
          </w:p>
        </w:tc>
        <w:tc>
          <w:tcPr>
            <w:tcW w:w="1022"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20.8</w:t>
            </w:r>
          </w:p>
        </w:tc>
        <w:tc>
          <w:tcPr>
            <w:tcW w:w="119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07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022"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008"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944"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20.8</w:t>
            </w:r>
          </w:p>
        </w:tc>
      </w:tr>
      <w:tr w:rsidR="004E6C32" w:rsidRPr="006A75A2" w:rsidTr="004B5CB1">
        <w:tc>
          <w:tcPr>
            <w:tcW w:w="242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bCs/>
                <w:lang w:eastAsia="en-AU"/>
              </w:rPr>
              <w:t>Total</w:t>
            </w:r>
            <w:r w:rsidRPr="006A75A2">
              <w:rPr>
                <w:rFonts w:eastAsiaTheme="minorEastAsia" w:cs="Calibri"/>
                <w:b/>
                <w:bCs/>
                <w:szCs w:val="22"/>
                <w:lang w:eastAsia="en-AU"/>
              </w:rPr>
              <w:t xml:space="preserve"> </w:t>
            </w:r>
          </w:p>
        </w:tc>
        <w:tc>
          <w:tcPr>
            <w:tcW w:w="95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37</w:t>
            </w:r>
            <w:r w:rsidRPr="006A75A2">
              <w:rPr>
                <w:rFonts w:eastAsiaTheme="minorEastAsia" w:cs="Calibri"/>
                <w:b/>
                <w:bCs/>
                <w:szCs w:val="22"/>
                <w:lang w:eastAsia="en-AU"/>
              </w:rPr>
              <w:t xml:space="preserve"> 028.8</w:t>
            </w:r>
          </w:p>
        </w:tc>
        <w:tc>
          <w:tcPr>
            <w:tcW w:w="102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49</w:t>
            </w:r>
            <w:r w:rsidRPr="006A75A2">
              <w:rPr>
                <w:rFonts w:eastAsiaTheme="minorEastAsia" w:cs="Calibri"/>
                <w:b/>
                <w:bCs/>
                <w:szCs w:val="22"/>
                <w:lang w:eastAsia="en-AU"/>
              </w:rPr>
              <w:t xml:space="preserve"> 792.4</w:t>
            </w:r>
          </w:p>
        </w:tc>
        <w:tc>
          <w:tcPr>
            <w:tcW w:w="119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w:t>
            </w:r>
            <w:r w:rsidRPr="006A75A2">
              <w:rPr>
                <w:rFonts w:eastAsiaTheme="minorEastAsia" w:cs="Calibri"/>
                <w:b/>
                <w:bCs/>
                <w:szCs w:val="22"/>
                <w:lang w:eastAsia="en-AU"/>
              </w:rPr>
              <w:t xml:space="preserve"> 682.3</w:t>
            </w:r>
          </w:p>
        </w:tc>
        <w:tc>
          <w:tcPr>
            <w:tcW w:w="107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w:t>
            </w:r>
            <w:r w:rsidRPr="006A75A2">
              <w:rPr>
                <w:rFonts w:eastAsiaTheme="minorEastAsia" w:cs="Calibri"/>
                <w:b/>
                <w:bCs/>
                <w:szCs w:val="22"/>
                <w:lang w:eastAsia="en-AU"/>
              </w:rPr>
              <w:t xml:space="preserve"> 341.8</w:t>
            </w:r>
          </w:p>
        </w:tc>
        <w:tc>
          <w:tcPr>
            <w:tcW w:w="102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2</w:t>
            </w:r>
            <w:r w:rsidRPr="006A75A2">
              <w:rPr>
                <w:rFonts w:eastAsiaTheme="minorEastAsia" w:cs="Calibri"/>
                <w:b/>
                <w:bCs/>
                <w:szCs w:val="22"/>
                <w:lang w:eastAsia="en-AU"/>
              </w:rPr>
              <w:t xml:space="preserve"> 557.0</w:t>
            </w:r>
          </w:p>
        </w:tc>
        <w:tc>
          <w:tcPr>
            <w:tcW w:w="100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8</w:t>
            </w:r>
            <w:r w:rsidRPr="006A75A2">
              <w:rPr>
                <w:rFonts w:eastAsiaTheme="minorEastAsia" w:cs="Calibri"/>
                <w:b/>
                <w:bCs/>
                <w:szCs w:val="22"/>
                <w:lang w:eastAsia="en-AU"/>
              </w:rPr>
              <w:t xml:space="preserve"> 332.9</w:t>
            </w:r>
          </w:p>
        </w:tc>
        <w:tc>
          <w:tcPr>
            <w:tcW w:w="94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32</w:t>
            </w:r>
            <w:r w:rsidRPr="006A75A2">
              <w:rPr>
                <w:rFonts w:eastAsiaTheme="minorEastAsia" w:cs="Calibri"/>
                <w:b/>
                <w:bCs/>
                <w:szCs w:val="22"/>
                <w:lang w:eastAsia="en-AU"/>
              </w:rPr>
              <w:t xml:space="preserve"> 878.5</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2360"/>
        <w:gridCol w:w="1003"/>
        <w:gridCol w:w="1036"/>
        <w:gridCol w:w="1190"/>
        <w:gridCol w:w="1063"/>
        <w:gridCol w:w="1036"/>
        <w:gridCol w:w="1008"/>
        <w:gridCol w:w="944"/>
      </w:tblGrid>
      <w:tr w:rsidR="004E6C32" w:rsidRPr="006A75A2" w:rsidTr="004B5CB1">
        <w:tc>
          <w:tcPr>
            <w:tcW w:w="236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2013</w:t>
            </w:r>
          </w:p>
        </w:tc>
        <w:tc>
          <w:tcPr>
            <w:tcW w:w="1003"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3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19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63"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3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008"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944"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4E6C32" w:rsidRPr="006A75A2" w:rsidTr="004B5CB1">
        <w:tc>
          <w:tcPr>
            <w:tcW w:w="2360" w:type="dxa"/>
            <w:tcBorders>
              <w:top w:val="single" w:sz="6" w:space="0" w:color="auto"/>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Payables, deposits held</w:t>
            </w:r>
            <w:r w:rsidRPr="006A75A2">
              <w:rPr>
                <w:rFonts w:eastAsiaTheme="minorEastAsia" w:cs="Calibri"/>
                <w:szCs w:val="22"/>
                <w:lang w:eastAsia="en-AU"/>
              </w:rPr>
              <w:t xml:space="preserve"> and advances received</w:t>
            </w:r>
          </w:p>
        </w:tc>
        <w:tc>
          <w:tcPr>
            <w:tcW w:w="1003"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4 062.0</w:t>
            </w:r>
          </w:p>
        </w:tc>
        <w:tc>
          <w:tcPr>
            <w:tcW w:w="103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4 457.2</w:t>
            </w:r>
          </w:p>
        </w:tc>
        <w:tc>
          <w:tcPr>
            <w:tcW w:w="119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3 513.7</w:t>
            </w:r>
          </w:p>
        </w:tc>
        <w:tc>
          <w:tcPr>
            <w:tcW w:w="1063"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468.9</w:t>
            </w:r>
          </w:p>
        </w:tc>
        <w:tc>
          <w:tcPr>
            <w:tcW w:w="103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117.6</w:t>
            </w:r>
          </w:p>
        </w:tc>
        <w:tc>
          <w:tcPr>
            <w:tcW w:w="1008"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226.0</w:t>
            </w:r>
          </w:p>
        </w:tc>
        <w:tc>
          <w:tcPr>
            <w:tcW w:w="944"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131.0</w:t>
            </w:r>
          </w:p>
        </w:tc>
      </w:tr>
      <w:tr w:rsidR="00AD1FBF" w:rsidRPr="006A75A2" w:rsidTr="00AD1FBF">
        <w:tc>
          <w:tcPr>
            <w:tcW w:w="9640" w:type="dxa"/>
            <w:gridSpan w:val="8"/>
            <w:tcBorders>
              <w:top w:val="nil"/>
              <w:left w:val="nil"/>
              <w:bottom w:val="nil"/>
              <w:right w:val="nil"/>
            </w:tcBorders>
          </w:tcPr>
          <w:p w:rsidR="00AD1FBF" w:rsidRPr="006A75A2" w:rsidRDefault="00AD1FBF" w:rsidP="00AD1FBF">
            <w:pPr>
              <w:pStyle w:val="Tabletext"/>
              <w:rPr>
                <w:rFonts w:eastAsiaTheme="minorEastAsia"/>
                <w:b/>
                <w:lang w:eastAsia="en-AU"/>
              </w:rPr>
            </w:pPr>
            <w:r w:rsidRPr="006A75A2">
              <w:rPr>
                <w:rFonts w:eastAsiaTheme="minorEastAsia"/>
                <w:b/>
                <w:bCs/>
                <w:lang w:eastAsia="en-AU"/>
              </w:rPr>
              <w:t>Interest-bearing liabilities:</w:t>
            </w:r>
          </w:p>
        </w:tc>
      </w:tr>
      <w:tr w:rsidR="004E6C32" w:rsidRPr="006A75A2" w:rsidTr="004B5CB1">
        <w:tc>
          <w:tcPr>
            <w:tcW w:w="23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Domestic borrowings</w:t>
            </w:r>
          </w:p>
        </w:tc>
        <w:tc>
          <w:tcPr>
            <w:tcW w:w="100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23 303.0</w:t>
            </w:r>
          </w:p>
        </w:tc>
        <w:tc>
          <w:tcPr>
            <w:tcW w:w="10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23 281.0</w:t>
            </w:r>
          </w:p>
        </w:tc>
        <w:tc>
          <w:tcPr>
            <w:tcW w:w="11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1 721.7</w:t>
            </w:r>
          </w:p>
        </w:tc>
        <w:tc>
          <w:tcPr>
            <w:tcW w:w="106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13.0</w:t>
            </w:r>
          </w:p>
        </w:tc>
        <w:tc>
          <w:tcPr>
            <w:tcW w:w="10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1 030.8</w:t>
            </w:r>
          </w:p>
        </w:tc>
        <w:tc>
          <w:tcPr>
            <w:tcW w:w="100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4 908.9</w:t>
            </w:r>
          </w:p>
        </w:tc>
        <w:tc>
          <w:tcPr>
            <w:tcW w:w="94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15 606.7</w:t>
            </w:r>
          </w:p>
        </w:tc>
      </w:tr>
      <w:tr w:rsidR="004E6C32" w:rsidRPr="006A75A2" w:rsidTr="004B5CB1">
        <w:tc>
          <w:tcPr>
            <w:tcW w:w="23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Foreign currency borrowings</w:t>
            </w:r>
          </w:p>
        </w:tc>
        <w:tc>
          <w:tcPr>
            <w:tcW w:w="100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6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0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94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360" w:type="dxa"/>
            <w:tcBorders>
              <w:top w:val="nil"/>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Finance lease liabilities</w:t>
            </w:r>
            <w:r w:rsidRPr="006A75A2">
              <w:rPr>
                <w:rFonts w:eastAsiaTheme="minorEastAsia" w:cs="Calibri"/>
                <w:szCs w:val="22"/>
                <w:vertAlign w:val="superscript"/>
                <w:lang w:eastAsia="en-AU"/>
              </w:rPr>
              <w:t>(b)</w:t>
            </w:r>
          </w:p>
        </w:tc>
        <w:tc>
          <w:tcPr>
            <w:tcW w:w="100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8 033.3</w:t>
            </w:r>
          </w:p>
        </w:tc>
        <w:tc>
          <w:tcPr>
            <w:tcW w:w="103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21 265.4</w:t>
            </w:r>
          </w:p>
        </w:tc>
        <w:tc>
          <w:tcPr>
            <w:tcW w:w="119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203.7</w:t>
            </w:r>
          </w:p>
        </w:tc>
        <w:tc>
          <w:tcPr>
            <w:tcW w:w="106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619.1</w:t>
            </w:r>
          </w:p>
        </w:tc>
        <w:tc>
          <w:tcPr>
            <w:tcW w:w="103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1 077.0</w:t>
            </w:r>
          </w:p>
        </w:tc>
        <w:tc>
          <w:tcPr>
            <w:tcW w:w="100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2 424.4</w:t>
            </w:r>
          </w:p>
        </w:tc>
        <w:tc>
          <w:tcPr>
            <w:tcW w:w="94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16 941.2</w:t>
            </w:r>
          </w:p>
        </w:tc>
      </w:tr>
      <w:tr w:rsidR="004E6C32" w:rsidRPr="006A75A2" w:rsidTr="004B5CB1">
        <w:tc>
          <w:tcPr>
            <w:tcW w:w="23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liabilities</w:t>
            </w:r>
          </w:p>
        </w:tc>
        <w:tc>
          <w:tcPr>
            <w:tcW w:w="100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w:t>
            </w:r>
          </w:p>
        </w:tc>
        <w:tc>
          <w:tcPr>
            <w:tcW w:w="103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w:t>
            </w:r>
          </w:p>
        </w:tc>
        <w:tc>
          <w:tcPr>
            <w:tcW w:w="119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06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3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08"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94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w:t>
            </w:r>
          </w:p>
        </w:tc>
      </w:tr>
      <w:tr w:rsidR="004E6C32" w:rsidRPr="006A75A2" w:rsidTr="004B5CB1">
        <w:tc>
          <w:tcPr>
            <w:tcW w:w="23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w:t>
            </w:r>
          </w:p>
        </w:tc>
        <w:tc>
          <w:tcPr>
            <w:tcW w:w="100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35 407.3</w:t>
            </w:r>
          </w:p>
        </w:tc>
        <w:tc>
          <w:tcPr>
            <w:tcW w:w="103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49 012.6</w:t>
            </w:r>
          </w:p>
        </w:tc>
        <w:tc>
          <w:tcPr>
            <w:tcW w:w="119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5 439.2</w:t>
            </w:r>
          </w:p>
        </w:tc>
        <w:tc>
          <w:tcPr>
            <w:tcW w:w="106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1 100.9</w:t>
            </w:r>
          </w:p>
        </w:tc>
        <w:tc>
          <w:tcPr>
            <w:tcW w:w="103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2 225.3</w:t>
            </w:r>
          </w:p>
        </w:tc>
        <w:tc>
          <w:tcPr>
            <w:tcW w:w="100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7 559.4</w:t>
            </w:r>
          </w:p>
        </w:tc>
        <w:tc>
          <w:tcPr>
            <w:tcW w:w="94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32 687.8</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Represents undiscounted nominal amount.</w:t>
      </w:r>
    </w:p>
    <w:p w:rsidR="004E6C32" w:rsidRPr="006A75A2" w:rsidRDefault="004E6C32" w:rsidP="004B5CB1">
      <w:pPr>
        <w:pStyle w:val="Notes"/>
      </w:pPr>
      <w:r w:rsidRPr="006A75A2">
        <w:t>(b)</w:t>
      </w:r>
      <w:r w:rsidRPr="006A75A2">
        <w:tab/>
        <w:t xml:space="preserve">June 2013 comparative figures have been restated to more accurately reflect the minimum lease payments and the future finance charges.  </w:t>
      </w:r>
    </w:p>
    <w:p w:rsidR="004E6C32" w:rsidRPr="006A75A2" w:rsidRDefault="004E6C32" w:rsidP="004B5CB1"/>
    <w:p w:rsidR="004E6C32" w:rsidRPr="006A75A2" w:rsidRDefault="004E6C32" w:rsidP="004B5CB1">
      <w:r w:rsidRPr="006A75A2">
        <w:t>Finance lease liabilities are payable as follows:</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D1FBF" w:rsidRPr="006A75A2" w:rsidTr="00AD1FBF">
        <w:tc>
          <w:tcPr>
            <w:tcW w:w="5160"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D1FBF" w:rsidRPr="006A75A2" w:rsidRDefault="00AD1FBF" w:rsidP="004B5CB1">
            <w:pPr>
              <w:pStyle w:val="TabletextheadingCentred"/>
              <w:rPr>
                <w:rFonts w:eastAsiaTheme="minorEastAsia"/>
                <w:lang w:eastAsia="en-AU"/>
              </w:rPr>
            </w:pPr>
          </w:p>
          <w:p w:rsidR="00AD1FBF" w:rsidRPr="006A75A2" w:rsidRDefault="00AD1FBF"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AD1FBF" w:rsidRPr="006A75A2" w:rsidRDefault="00AD1FBF" w:rsidP="00AD1FBF">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8708FF">
            <w:pPr>
              <w:pStyle w:val="Tabletextheading"/>
              <w:rPr>
                <w:rFonts w:eastAsiaTheme="minorEastAsia" w:cs="Calibri"/>
                <w:iCs/>
                <w:szCs w:val="22"/>
                <w:vertAlign w:val="superscript"/>
                <w:lang w:eastAsia="en-AU"/>
              </w:rPr>
            </w:pPr>
            <w:r w:rsidRPr="006A75A2">
              <w:rPr>
                <w:rFonts w:eastAsiaTheme="minorEastAsia"/>
                <w:lang w:eastAsia="en-AU"/>
              </w:rPr>
              <w:t>2013</w:t>
            </w:r>
            <w:r w:rsidRPr="006A75A2">
              <w:rPr>
                <w:rFonts w:eastAsiaTheme="minorEastAsia" w:cs="Calibri"/>
                <w:iCs/>
                <w:szCs w:val="22"/>
                <w:vertAlign w:val="superscript"/>
                <w:lang w:eastAsia="en-AU"/>
              </w:rPr>
              <w:t>(a)</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8708FF">
            <w:pPr>
              <w:pStyle w:val="Tabletextheading"/>
              <w:rPr>
                <w:rFonts w:eastAsiaTheme="minorEastAsia" w:cs="Calibri"/>
                <w:iCs/>
                <w:szCs w:val="22"/>
                <w:lang w:eastAsia="en-AU"/>
              </w:rPr>
            </w:pPr>
            <w:r w:rsidRPr="006A75A2">
              <w:rPr>
                <w:rFonts w:eastAsiaTheme="minorEastAsia"/>
                <w:lang w:eastAsia="en-AU"/>
              </w:rPr>
              <w:t>2013</w:t>
            </w:r>
            <w:r w:rsidRPr="006A75A2">
              <w:rPr>
                <w:rFonts w:eastAsiaTheme="minorEastAsia" w:cs="Calibri"/>
                <w:iCs/>
                <w:szCs w:val="22"/>
                <w:vertAlign w:val="superscript"/>
                <w:lang w:eastAsia="en-AU"/>
              </w:rPr>
              <w:t>(a)</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Less than 1 year</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946.5</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884.4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871.6</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822.8</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1 year but less than 5 years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4 110.6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3 851.2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3 645.9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3 501.3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5 years or more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16 545.4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17 314.4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16 295.8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16 941.2</w:t>
            </w:r>
          </w:p>
        </w:tc>
      </w:tr>
      <w:tr w:rsidR="004E6C32" w:rsidRPr="006A75A2" w:rsidTr="004B5CB1">
        <w:tc>
          <w:tcPr>
            <w:tcW w:w="516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Minimum lease payments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21 602.5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22 050.0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20 813.4</w:t>
            </w:r>
          </w:p>
        </w:tc>
        <w:tc>
          <w:tcPr>
            <w:tcW w:w="1120" w:type="dxa"/>
            <w:tcBorders>
              <w:top w:val="single" w:sz="6" w:space="0" w:color="auto"/>
              <w:left w:val="nil"/>
              <w:bottom w:val="nil"/>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21 265.4</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Future finance charges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12 785.2</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13 189.6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12 763.6</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13 232.1</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8708FF">
            <w:pPr>
              <w:pStyle w:val="Tabletext"/>
              <w:rPr>
                <w:rFonts w:eastAsiaTheme="minorEastAsia"/>
                <w:b/>
                <w:bCs/>
                <w:vertAlign w:val="superscript"/>
                <w:lang w:eastAsia="en-AU"/>
              </w:rPr>
            </w:pPr>
            <w:r w:rsidRPr="006A75A2">
              <w:rPr>
                <w:rFonts w:eastAsiaTheme="minorEastAsia"/>
                <w:b/>
                <w:bCs/>
                <w:lang w:eastAsia="en-AU"/>
              </w:rPr>
              <w:t>Total finance lease liabilities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8 817.3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8 860.3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8 049.8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8 033.3</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June 2013 comparative figures have been restated to more accurately reflect the minimum lease payments and the future finance charges.</w:t>
      </w:r>
    </w:p>
    <w:p w:rsidR="004E6C32" w:rsidRPr="006A75A2" w:rsidRDefault="004E6C32" w:rsidP="004B5CB1">
      <w:pPr>
        <w:pStyle w:val="Notes"/>
      </w:pPr>
    </w:p>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(l)</w:t>
      </w:r>
      <w:r w:rsidRPr="006A75A2">
        <w:tab/>
        <w:t>Fair value of financial instruments</w:t>
      </w:r>
    </w:p>
    <w:p w:rsidR="004E6C32" w:rsidRPr="006A75A2" w:rsidRDefault="004E6C32" w:rsidP="004B5CB1">
      <w:r w:rsidRPr="006A75A2">
        <w:t>The fair values of the State</w:t>
      </w:r>
      <w:r w:rsidR="00C96101" w:rsidRPr="006A75A2">
        <w:t>’</w:t>
      </w:r>
      <w:r w:rsidRPr="006A75A2">
        <w:t>s financial assets and liabilities are determined as follows:</w:t>
      </w:r>
    </w:p>
    <w:p w:rsidR="004E6C32" w:rsidRPr="006A75A2" w:rsidRDefault="004E6C32" w:rsidP="004B5CB1">
      <w:pPr>
        <w:pStyle w:val="BulletText"/>
      </w:pPr>
      <w:r w:rsidRPr="006A75A2">
        <w:t>the fair value of financial assets and financial liabilities with standard terms and conditions and traded in an active liquid market are determined with reference to quoted market prices. Financial instruments in this category include investments in equities, managed investment schemes and debt securities;</w:t>
      </w:r>
    </w:p>
    <w:p w:rsidR="004E6C32" w:rsidRPr="006A75A2" w:rsidRDefault="004E6C32" w:rsidP="004B5CB1">
      <w:pPr>
        <w:pStyle w:val="BulletText"/>
      </w:pPr>
      <w:r w:rsidRPr="006A75A2">
        <w:t>the fair value of other financial assets and financial liabilities (excluding derivative instruments) are determined in accordance with generally accepted pricing models based on discounted cash flow analysis, using prices from observable current market transactions; and</w:t>
      </w:r>
    </w:p>
    <w:p w:rsidR="004E6C32" w:rsidRPr="006A75A2" w:rsidRDefault="004E6C32" w:rsidP="004B5CB1">
      <w:pPr>
        <w:pStyle w:val="BulletText"/>
      </w:pPr>
      <w:r w:rsidRPr="006A75A2">
        <w:t>the fair value of derivative instruments, such as interest rate futures contracts, are calculated using quoted prices. Where such prices are not available, use is made of discounted cash flow analysis using the applicable yield curve for the duration of the instrument for non-optional derivatives, and option pricing models for optional derivatives.</w:t>
      </w:r>
    </w:p>
    <w:p w:rsidR="004E6C32" w:rsidRPr="006A75A2" w:rsidRDefault="004E6C32" w:rsidP="004B5CB1">
      <w:pPr>
        <w:rPr>
          <w:rFonts w:eastAsiaTheme="minorHAnsi"/>
        </w:rPr>
      </w:pPr>
      <w:r w:rsidRPr="006A75A2">
        <w:rPr>
          <w:rFonts w:eastAsiaTheme="minorHAnsi"/>
        </w:rPr>
        <w:t>Except as detailed in the following table, the carrying amounts of financial assets and financial liabilities recorded at amortised cost in the financial statements approximate their fair values.</w:t>
      </w:r>
    </w:p>
    <w:p w:rsidR="004E6C32" w:rsidRPr="006A75A2" w:rsidRDefault="004E6C32" w:rsidP="0067336F">
      <w:pPr>
        <w:pStyle w:val="Heading5a"/>
      </w:pPr>
      <w:r w:rsidRPr="006A75A2">
        <w:rPr>
          <w:rFonts w:eastAsiaTheme="minorHAnsi"/>
        </w:rPr>
        <w:t>Fair value of financial instruments at amortised cost</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D1FBF" w:rsidRPr="006A75A2" w:rsidTr="00AD1FBF">
        <w:tc>
          <w:tcPr>
            <w:tcW w:w="5160"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lang w:eastAsia="en-AU"/>
              </w:rPr>
            </w:pPr>
            <w:r w:rsidRPr="006A75A2">
              <w:rPr>
                <w:rFonts w:eastAsiaTheme="minorEastAsia"/>
                <w:i/>
                <w:iCs/>
                <w:lang w:eastAsia="en-AU"/>
              </w:rPr>
              <w:t>State of Victoria</w:t>
            </w: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D1FBF" w:rsidRPr="006A75A2" w:rsidRDefault="00AD1FBF" w:rsidP="004B5CB1">
            <w:pPr>
              <w:pStyle w:val="TabletextheadingCentred"/>
              <w:rPr>
                <w:rFonts w:eastAsiaTheme="minorEastAsia"/>
                <w:lang w:eastAsia="en-AU"/>
              </w:rPr>
            </w:pPr>
            <w:r w:rsidRPr="006A75A2">
              <w:rPr>
                <w:rFonts w:eastAsiaTheme="minorEastAsia"/>
                <w:lang w:eastAsia="en-AU"/>
              </w:rPr>
              <w:t>2014</w:t>
            </w:r>
          </w:p>
        </w:tc>
        <w:tc>
          <w:tcPr>
            <w:tcW w:w="2240" w:type="dxa"/>
            <w:gridSpan w:val="2"/>
            <w:tcBorders>
              <w:top w:val="single" w:sz="6" w:space="0" w:color="auto"/>
              <w:left w:val="nil"/>
              <w:bottom w:val="nil"/>
              <w:right w:val="single" w:sz="6" w:space="0" w:color="auto"/>
            </w:tcBorders>
            <w:shd w:val="clear" w:color="000000" w:fill="000000"/>
          </w:tcPr>
          <w:p w:rsidR="00AD1FBF" w:rsidRPr="006A75A2" w:rsidRDefault="00AD1FBF" w:rsidP="004B5CB1">
            <w:pPr>
              <w:pStyle w:val="TabletextheadingCentred"/>
              <w:rPr>
                <w:rFonts w:eastAsiaTheme="minorEastAsia"/>
                <w:lang w:eastAsia="en-AU"/>
              </w:rPr>
            </w:pPr>
            <w:r w:rsidRPr="006A75A2">
              <w:rPr>
                <w:rFonts w:eastAsiaTheme="minorEastAsia"/>
                <w:lang w:eastAsia="en-AU"/>
              </w:rPr>
              <w:t>2013</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lang w:eastAsia="en-AU"/>
              </w:rPr>
            </w:pPr>
          </w:p>
          <w:p w:rsidR="004E6C32" w:rsidRPr="006A75A2" w:rsidRDefault="004E6C32" w:rsidP="004B5CB1">
            <w:pPr>
              <w:pStyle w:val="Tabletext"/>
              <w:rPr>
                <w:rFonts w:eastAsiaTheme="minorEastAsia"/>
                <w:i/>
                <w:iCs/>
                <w:lang w:eastAsia="en-AU"/>
              </w:rPr>
            </w:pP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Carrying </w:t>
            </w:r>
          </w:p>
          <w:p w:rsidR="004E6C32" w:rsidRPr="006A75A2" w:rsidRDefault="004E6C32" w:rsidP="004B5CB1">
            <w:pPr>
              <w:pStyle w:val="Tabletextheading"/>
              <w:rPr>
                <w:rFonts w:eastAsiaTheme="minorEastAsia"/>
                <w:iCs/>
                <w:lang w:eastAsia="en-AU"/>
              </w:rPr>
            </w:pPr>
            <w:r w:rsidRPr="006A75A2">
              <w:rPr>
                <w:rFonts w:eastAsiaTheme="minorEastAsia"/>
                <w:iCs/>
                <w:lang w:eastAsia="en-AU"/>
              </w:rPr>
              <w:t>amount</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Fair </w:t>
            </w:r>
          </w:p>
          <w:p w:rsidR="004E6C32" w:rsidRPr="006A75A2" w:rsidRDefault="004E6C32" w:rsidP="004B5CB1">
            <w:pPr>
              <w:pStyle w:val="Tabletextheading"/>
              <w:rPr>
                <w:rFonts w:eastAsiaTheme="minorEastAsia"/>
                <w:iCs/>
                <w:lang w:eastAsia="en-AU"/>
              </w:rPr>
            </w:pPr>
            <w:r w:rsidRPr="006A75A2">
              <w:rPr>
                <w:rFonts w:eastAsiaTheme="minorEastAsia"/>
                <w:iCs/>
                <w:lang w:eastAsia="en-AU"/>
              </w:rPr>
              <w:t>value</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Carrying </w:t>
            </w:r>
          </w:p>
          <w:p w:rsidR="004E6C32" w:rsidRPr="006A75A2" w:rsidRDefault="004E6C32" w:rsidP="004B5CB1">
            <w:pPr>
              <w:pStyle w:val="Tabletextheading"/>
              <w:rPr>
                <w:rFonts w:eastAsiaTheme="minorEastAsia"/>
                <w:iCs/>
                <w:lang w:eastAsia="en-AU"/>
              </w:rPr>
            </w:pPr>
            <w:r w:rsidRPr="006A75A2">
              <w:rPr>
                <w:rFonts w:eastAsiaTheme="minorEastAsia"/>
                <w:iCs/>
                <w:lang w:eastAsia="en-AU"/>
              </w:rPr>
              <w:t>amount</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Fair </w:t>
            </w:r>
          </w:p>
          <w:p w:rsidR="004E6C32" w:rsidRPr="006A75A2" w:rsidRDefault="004E6C32" w:rsidP="004B5CB1">
            <w:pPr>
              <w:pStyle w:val="Tabletextheading"/>
              <w:rPr>
                <w:rFonts w:eastAsiaTheme="minorEastAsia"/>
                <w:iCs/>
                <w:lang w:eastAsia="en-AU"/>
              </w:rPr>
            </w:pPr>
            <w:r w:rsidRPr="006A75A2">
              <w:rPr>
                <w:rFonts w:eastAsiaTheme="minorEastAsia"/>
                <w:iCs/>
                <w:lang w:eastAsia="en-AU"/>
              </w:rPr>
              <w:t>value</w:t>
            </w:r>
          </w:p>
        </w:tc>
      </w:tr>
      <w:tr w:rsidR="00AC319F" w:rsidRPr="006A75A2" w:rsidTr="006E60A8">
        <w:tc>
          <w:tcPr>
            <w:tcW w:w="9640" w:type="dxa"/>
            <w:gridSpan w:val="5"/>
            <w:tcBorders>
              <w:top w:val="single" w:sz="6" w:space="0" w:color="auto"/>
              <w:left w:val="nil"/>
              <w:bottom w:val="nil"/>
              <w:right w:val="nil"/>
            </w:tcBorders>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assets</w:t>
            </w:r>
          </w:p>
        </w:tc>
      </w:tr>
      <w:tr w:rsidR="004E6C32" w:rsidRPr="006A75A2" w:rsidTr="004B5CB1">
        <w:tc>
          <w:tcPr>
            <w:tcW w:w="5160" w:type="dxa"/>
            <w:tcBorders>
              <w:top w:val="nil"/>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Non-current receivables</w:t>
            </w:r>
            <w:r w:rsidRPr="006A75A2">
              <w:rPr>
                <w:rFonts w:eastAsiaTheme="minorEastAsia" w:cs="Calibri"/>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117.5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174.6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23.1</w:t>
            </w:r>
          </w:p>
        </w:tc>
      </w:tr>
      <w:tr w:rsidR="00AC319F" w:rsidRPr="006A75A2" w:rsidTr="006E60A8">
        <w:tc>
          <w:tcPr>
            <w:tcW w:w="9640" w:type="dxa"/>
            <w:gridSpan w:val="5"/>
            <w:tcBorders>
              <w:top w:val="nil"/>
              <w:left w:val="nil"/>
              <w:right w:val="nil"/>
            </w:tcBorders>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liabilities</w:t>
            </w:r>
          </w:p>
        </w:tc>
      </w:tr>
      <w:tr w:rsidR="004E6C32" w:rsidRPr="006A75A2" w:rsidTr="004B5CB1">
        <w:tc>
          <w:tcPr>
            <w:tcW w:w="5160"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lang w:eastAsia="en-AU"/>
              </w:rPr>
            </w:pPr>
            <w:r w:rsidRPr="006A75A2">
              <w:rPr>
                <w:rFonts w:eastAsiaTheme="minorEastAsia"/>
                <w:lang w:eastAsia="en-AU"/>
              </w:rPr>
              <w:t>Finance lease liabilities</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8 817.3</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7 138.6</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8 860.3</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5 508.3</w:t>
            </w:r>
          </w:p>
        </w:tc>
      </w:tr>
    </w:tbl>
    <w:p w:rsidR="004E6C32" w:rsidRPr="006A75A2" w:rsidRDefault="004E6C32" w:rsidP="004B5CB1">
      <w:pPr>
        <w:pStyle w:val="million"/>
      </w:pPr>
    </w:p>
    <w:p w:rsidR="004E6C32" w:rsidRPr="006A75A2" w:rsidRDefault="004E6C32" w:rsidP="004B5CB1">
      <w:pPr>
        <w:pStyle w:val="million"/>
        <w:rPr>
          <w:rFonts w:ascii="Times New Roman" w:hAnsi="Times New Roman"/>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AD1FBF" w:rsidRPr="006A75A2" w:rsidTr="00AD1FBF">
        <w:tc>
          <w:tcPr>
            <w:tcW w:w="5160" w:type="dxa"/>
            <w:tcBorders>
              <w:top w:val="single" w:sz="6" w:space="0" w:color="auto"/>
              <w:left w:val="single" w:sz="6" w:space="0" w:color="auto"/>
              <w:bottom w:val="nil"/>
              <w:right w:val="nil"/>
            </w:tcBorders>
            <w:shd w:val="clear" w:color="000000" w:fill="000000"/>
          </w:tcPr>
          <w:p w:rsidR="00AD1FBF" w:rsidRPr="006A75A2" w:rsidRDefault="00AD1FBF" w:rsidP="004B5CB1">
            <w:pPr>
              <w:pStyle w:val="Tabletext"/>
              <w:rPr>
                <w:rFonts w:eastAsiaTheme="minorEastAsia"/>
                <w:lang w:eastAsia="en-AU"/>
              </w:rPr>
            </w:pPr>
            <w:r w:rsidRPr="006A75A2">
              <w:rPr>
                <w:rFonts w:eastAsiaTheme="minorEastAsia"/>
                <w:i/>
                <w:iCs/>
                <w:lang w:eastAsia="en-AU"/>
              </w:rPr>
              <w:t>General government sector</w:t>
            </w: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D1FBF" w:rsidRPr="006A75A2" w:rsidRDefault="00AD1FBF" w:rsidP="004B5CB1">
            <w:pPr>
              <w:pStyle w:val="Tabletextheading"/>
              <w:jc w:val="center"/>
              <w:rPr>
                <w:rFonts w:eastAsiaTheme="minorEastAsia"/>
                <w:iCs/>
                <w:lang w:eastAsia="en-AU"/>
              </w:rPr>
            </w:pPr>
            <w:r w:rsidRPr="006A75A2">
              <w:rPr>
                <w:rFonts w:eastAsiaTheme="minorEastAsia"/>
                <w:iCs/>
                <w:lang w:eastAsia="en-AU"/>
              </w:rPr>
              <w:t>2014</w:t>
            </w:r>
          </w:p>
        </w:tc>
        <w:tc>
          <w:tcPr>
            <w:tcW w:w="2240" w:type="dxa"/>
            <w:gridSpan w:val="2"/>
            <w:tcBorders>
              <w:top w:val="single" w:sz="6" w:space="0" w:color="auto"/>
              <w:left w:val="nil"/>
              <w:bottom w:val="nil"/>
              <w:right w:val="single" w:sz="6" w:space="0" w:color="auto"/>
            </w:tcBorders>
            <w:shd w:val="clear" w:color="000000" w:fill="000000"/>
          </w:tcPr>
          <w:p w:rsidR="00AD1FBF" w:rsidRPr="006A75A2" w:rsidRDefault="00AD1FBF" w:rsidP="004B5CB1">
            <w:pPr>
              <w:pStyle w:val="Tabletextheading"/>
              <w:jc w:val="center"/>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lang w:eastAsia="en-AU"/>
              </w:rPr>
            </w:pPr>
          </w:p>
          <w:p w:rsidR="004E6C32" w:rsidRPr="006A75A2" w:rsidRDefault="004E6C32" w:rsidP="004B5CB1">
            <w:pPr>
              <w:pStyle w:val="Tabletext"/>
              <w:rPr>
                <w:rFonts w:eastAsiaTheme="minorEastAsia"/>
                <w:i/>
                <w:iCs/>
                <w:lang w:eastAsia="en-AU"/>
              </w:rPr>
            </w:pP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Carrying </w:t>
            </w:r>
          </w:p>
          <w:p w:rsidR="004E6C32" w:rsidRPr="006A75A2" w:rsidRDefault="004E6C32" w:rsidP="004B5CB1">
            <w:pPr>
              <w:pStyle w:val="Tabletextheading"/>
              <w:rPr>
                <w:rFonts w:eastAsiaTheme="minorEastAsia"/>
                <w:iCs/>
                <w:lang w:eastAsia="en-AU"/>
              </w:rPr>
            </w:pPr>
            <w:r w:rsidRPr="006A75A2">
              <w:rPr>
                <w:rFonts w:eastAsiaTheme="minorEastAsia"/>
                <w:iCs/>
                <w:lang w:eastAsia="en-AU"/>
              </w:rPr>
              <w:t>amount</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Fair </w:t>
            </w:r>
          </w:p>
          <w:p w:rsidR="004E6C32" w:rsidRPr="006A75A2" w:rsidRDefault="004E6C32" w:rsidP="004B5CB1">
            <w:pPr>
              <w:pStyle w:val="Tabletextheading"/>
              <w:rPr>
                <w:rFonts w:eastAsiaTheme="minorEastAsia"/>
                <w:iCs/>
                <w:lang w:eastAsia="en-AU"/>
              </w:rPr>
            </w:pPr>
            <w:r w:rsidRPr="006A75A2">
              <w:rPr>
                <w:rFonts w:eastAsiaTheme="minorEastAsia"/>
                <w:iCs/>
                <w:lang w:eastAsia="en-AU"/>
              </w:rPr>
              <w:t>value</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Carrying </w:t>
            </w:r>
          </w:p>
          <w:p w:rsidR="004E6C32" w:rsidRPr="006A75A2" w:rsidRDefault="004E6C32" w:rsidP="004B5CB1">
            <w:pPr>
              <w:pStyle w:val="Tabletextheading"/>
              <w:rPr>
                <w:rFonts w:eastAsiaTheme="minorEastAsia"/>
                <w:iCs/>
                <w:lang w:eastAsia="en-AU"/>
              </w:rPr>
            </w:pPr>
            <w:r w:rsidRPr="006A75A2">
              <w:rPr>
                <w:rFonts w:eastAsiaTheme="minorEastAsia"/>
                <w:iCs/>
                <w:lang w:eastAsia="en-AU"/>
              </w:rPr>
              <w:t>amount</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 xml:space="preserve">Fair </w:t>
            </w:r>
          </w:p>
          <w:p w:rsidR="004E6C32" w:rsidRPr="006A75A2" w:rsidRDefault="004E6C32" w:rsidP="004B5CB1">
            <w:pPr>
              <w:pStyle w:val="Tabletextheading"/>
              <w:rPr>
                <w:rFonts w:eastAsiaTheme="minorEastAsia"/>
                <w:iCs/>
                <w:lang w:eastAsia="en-AU"/>
              </w:rPr>
            </w:pPr>
            <w:r w:rsidRPr="006A75A2">
              <w:rPr>
                <w:rFonts w:eastAsiaTheme="minorEastAsia"/>
                <w:iCs/>
                <w:lang w:eastAsia="en-AU"/>
              </w:rPr>
              <w:t>value</w:t>
            </w:r>
          </w:p>
        </w:tc>
      </w:tr>
      <w:tr w:rsidR="00AC319F" w:rsidRPr="006A75A2" w:rsidTr="006E60A8">
        <w:tc>
          <w:tcPr>
            <w:tcW w:w="9640" w:type="dxa"/>
            <w:gridSpan w:val="5"/>
            <w:tcBorders>
              <w:top w:val="single" w:sz="6" w:space="0" w:color="auto"/>
              <w:left w:val="nil"/>
              <w:bottom w:val="nil"/>
              <w:right w:val="nil"/>
            </w:tcBorders>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assets</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Non-current receivables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648.4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594.9</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706.0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w:t>
            </w:r>
          </w:p>
        </w:tc>
      </w:tr>
      <w:tr w:rsidR="00AC319F" w:rsidRPr="006A75A2" w:rsidTr="006E60A8">
        <w:tc>
          <w:tcPr>
            <w:tcW w:w="9640" w:type="dxa"/>
            <w:gridSpan w:val="5"/>
            <w:tcBorders>
              <w:top w:val="nil"/>
              <w:left w:val="nil"/>
              <w:right w:val="nil"/>
            </w:tcBorders>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liabilities</w:t>
            </w:r>
          </w:p>
        </w:tc>
      </w:tr>
      <w:tr w:rsidR="004E6C32" w:rsidRPr="006A75A2" w:rsidTr="004B5CB1">
        <w:tc>
          <w:tcPr>
            <w:tcW w:w="5160"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lang w:eastAsia="en-AU"/>
              </w:rPr>
            </w:pPr>
            <w:r w:rsidRPr="006A75A2">
              <w:rPr>
                <w:rFonts w:eastAsiaTheme="minorEastAsia"/>
                <w:lang w:eastAsia="en-AU"/>
              </w:rPr>
              <w:t>Finance lease liabilities</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8 049.8</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6 459.0</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8 033.3</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5 385.6</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June 2013 comparative figures have been restated to more accurately reflect non-current receivables.</w:t>
      </w:r>
    </w:p>
    <w:p w:rsidR="004E6C32" w:rsidRPr="006A75A2" w:rsidRDefault="004E6C32" w:rsidP="004B5CB1"/>
    <w:p w:rsidR="004E6C32" w:rsidRPr="006A75A2" w:rsidRDefault="004E6C32">
      <w:pPr>
        <w:spacing w:after="0"/>
        <w:rPr>
          <w:rFonts w:ascii="Calibri" w:hAnsi="Calibri"/>
          <w:i/>
          <w:sz w:val="23"/>
        </w:rPr>
      </w:pPr>
      <w:r w:rsidRPr="006A75A2">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2A6119" w:rsidRPr="006A75A2" w:rsidRDefault="002A6119" w:rsidP="002A6119">
      <w:pPr>
        <w:pStyle w:val="Heading5"/>
      </w:pPr>
      <w:r w:rsidRPr="006A75A2">
        <w:t>(l)</w:t>
      </w:r>
      <w:r w:rsidRPr="006A75A2">
        <w:tab/>
        <w:t xml:space="preserve">Fair value of financial instruments </w:t>
      </w:r>
      <w:r w:rsidRPr="006A75A2">
        <w:rPr>
          <w:i/>
        </w:rPr>
        <w:t>(continued)</w:t>
      </w:r>
    </w:p>
    <w:p w:rsidR="004E6C32" w:rsidRPr="006A75A2" w:rsidRDefault="004E6C32" w:rsidP="0067336F">
      <w:pPr>
        <w:pStyle w:val="Heading5a"/>
      </w:pPr>
      <w:r w:rsidRPr="006A75A2">
        <w:t>Credit quality of financial assets that are neither past due nor impaired</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412"/>
        <w:gridCol w:w="1275"/>
        <w:gridCol w:w="1418"/>
        <w:gridCol w:w="1276"/>
        <w:gridCol w:w="1259"/>
      </w:tblGrid>
      <w:tr w:rsidR="00AC319F" w:rsidRPr="006A75A2" w:rsidTr="006E60A8">
        <w:trPr>
          <w:trHeight w:val="821"/>
        </w:trPr>
        <w:tc>
          <w:tcPr>
            <w:tcW w:w="4412" w:type="dxa"/>
            <w:tcBorders>
              <w:top w:val="single" w:sz="6" w:space="0" w:color="000000"/>
              <w:left w:val="single" w:sz="6" w:space="0" w:color="000000"/>
              <w:right w:val="nil"/>
            </w:tcBorders>
            <w:shd w:val="clear" w:color="000000" w:fill="000000"/>
          </w:tcPr>
          <w:p w:rsidR="00AC319F" w:rsidRPr="006A75A2" w:rsidRDefault="00AC319F" w:rsidP="004B5CB1">
            <w:pPr>
              <w:pStyle w:val="Tabletext"/>
              <w:rPr>
                <w:rFonts w:eastAsiaTheme="minorEastAsia" w:cs="Calibri"/>
                <w:i/>
                <w:iCs/>
                <w:szCs w:val="22"/>
                <w:lang w:eastAsia="en-AU"/>
              </w:rPr>
            </w:pPr>
            <w:r w:rsidRPr="006A75A2">
              <w:rPr>
                <w:rFonts w:eastAsiaTheme="minorEastAsia" w:cs="Calibri"/>
                <w:i/>
                <w:iCs/>
                <w:szCs w:val="22"/>
                <w:lang w:eastAsia="en-AU"/>
              </w:rPr>
              <w:t>State of Victoria</w:t>
            </w:r>
          </w:p>
          <w:p w:rsidR="00AC319F" w:rsidRPr="006A75A2" w:rsidRDefault="00AC319F" w:rsidP="004B5CB1">
            <w:pPr>
              <w:pStyle w:val="Tabletext"/>
              <w:rPr>
                <w:rFonts w:eastAsiaTheme="minorEastAsia"/>
                <w:i/>
                <w:iCs/>
                <w:lang w:eastAsia="en-AU"/>
              </w:rPr>
            </w:pPr>
          </w:p>
          <w:p w:rsidR="00AC319F" w:rsidRPr="006A75A2" w:rsidRDefault="00AC319F" w:rsidP="00AD1FBF">
            <w:pPr>
              <w:pStyle w:val="Tabletext"/>
              <w:rPr>
                <w:rFonts w:eastAsiaTheme="minorEastAsia"/>
                <w:i/>
                <w:iCs/>
                <w:lang w:eastAsia="en-AU"/>
              </w:rPr>
            </w:pPr>
            <w:r w:rsidRPr="006A75A2">
              <w:rPr>
                <w:rFonts w:eastAsiaTheme="minorEastAsia"/>
                <w:i/>
                <w:iCs/>
                <w:lang w:eastAsia="en-AU"/>
              </w:rPr>
              <w:t>2014</w:t>
            </w:r>
          </w:p>
        </w:tc>
        <w:tc>
          <w:tcPr>
            <w:tcW w:w="1275" w:type="dxa"/>
            <w:tcBorders>
              <w:top w:val="single" w:sz="6" w:space="0" w:color="000000"/>
              <w:left w:val="nil"/>
              <w:right w:val="nil"/>
            </w:tcBorders>
            <w:shd w:val="clear" w:color="000000" w:fill="000000"/>
          </w:tcPr>
          <w:p w:rsidR="00AC319F" w:rsidRPr="006A75A2" w:rsidRDefault="00AC319F" w:rsidP="004B5CB1">
            <w:pPr>
              <w:pStyle w:val="Tabletextheading"/>
              <w:rPr>
                <w:rFonts w:eastAsiaTheme="minorEastAsia"/>
                <w:iCs/>
                <w:lang w:eastAsia="en-AU"/>
              </w:rPr>
            </w:pPr>
            <w:r w:rsidRPr="006A75A2">
              <w:rPr>
                <w:rFonts w:eastAsiaTheme="minorEastAsia"/>
                <w:iCs/>
                <w:lang w:eastAsia="en-AU"/>
              </w:rPr>
              <w:t xml:space="preserve"> </w:t>
            </w:r>
          </w:p>
          <w:p w:rsidR="00AC319F" w:rsidRPr="006A75A2" w:rsidRDefault="00AC319F" w:rsidP="00AD1FBF">
            <w:pPr>
              <w:pStyle w:val="Tabletextheading"/>
              <w:rPr>
                <w:rFonts w:eastAsiaTheme="minorEastAsia"/>
                <w:iCs/>
                <w:lang w:eastAsia="en-AU"/>
              </w:rPr>
            </w:pPr>
            <w:r w:rsidRPr="006A75A2">
              <w:rPr>
                <w:rFonts w:eastAsiaTheme="minorEastAsia"/>
                <w:iCs/>
                <w:lang w:eastAsia="en-AU"/>
              </w:rPr>
              <w:t>(AAA credit rating)</w:t>
            </w:r>
          </w:p>
        </w:tc>
        <w:tc>
          <w:tcPr>
            <w:tcW w:w="1418" w:type="dxa"/>
            <w:tcBorders>
              <w:top w:val="single" w:sz="6" w:space="0" w:color="000000"/>
              <w:left w:val="nil"/>
              <w:right w:val="nil"/>
            </w:tcBorders>
            <w:shd w:val="clear" w:color="000000" w:fill="000000"/>
          </w:tcPr>
          <w:p w:rsidR="00AC319F" w:rsidRPr="006A75A2" w:rsidRDefault="00AC319F" w:rsidP="004B5CB1">
            <w:pPr>
              <w:pStyle w:val="Tabletextheading"/>
              <w:rPr>
                <w:rFonts w:eastAsiaTheme="minorEastAsia"/>
                <w:iCs/>
                <w:lang w:eastAsia="en-AU"/>
              </w:rPr>
            </w:pPr>
            <w:r w:rsidRPr="006A75A2">
              <w:rPr>
                <w:rFonts w:eastAsiaTheme="minorEastAsia"/>
                <w:iCs/>
                <w:lang w:eastAsia="en-AU"/>
              </w:rPr>
              <w:t>Other</w:t>
            </w:r>
            <w:r w:rsidRPr="006A75A2">
              <w:rPr>
                <w:rFonts w:eastAsiaTheme="minorEastAsia"/>
                <w:iCs/>
                <w:lang w:eastAsia="en-AU"/>
              </w:rPr>
              <w:br/>
              <w:t xml:space="preserve">(min BBB </w:t>
            </w:r>
          </w:p>
          <w:p w:rsidR="00AC319F" w:rsidRPr="006A75A2" w:rsidRDefault="00AC319F" w:rsidP="00AD1FBF">
            <w:pPr>
              <w:pStyle w:val="Tabletextheading"/>
              <w:rPr>
                <w:rFonts w:eastAsiaTheme="minorEastAsia"/>
                <w:iCs/>
                <w:lang w:eastAsia="en-AU"/>
              </w:rPr>
            </w:pPr>
            <w:r w:rsidRPr="006A75A2">
              <w:rPr>
                <w:rFonts w:eastAsiaTheme="minorEastAsia"/>
                <w:iCs/>
                <w:lang w:eastAsia="en-AU"/>
              </w:rPr>
              <w:t>credit rating)</w:t>
            </w:r>
          </w:p>
        </w:tc>
        <w:tc>
          <w:tcPr>
            <w:tcW w:w="1276" w:type="dxa"/>
            <w:tcBorders>
              <w:top w:val="single" w:sz="6" w:space="0" w:color="000000"/>
              <w:left w:val="nil"/>
              <w:right w:val="nil"/>
            </w:tcBorders>
            <w:shd w:val="clear" w:color="000000" w:fill="000000"/>
          </w:tcPr>
          <w:p w:rsidR="00AC319F" w:rsidRPr="006A75A2" w:rsidRDefault="00AC319F" w:rsidP="004B5CB1">
            <w:pPr>
              <w:pStyle w:val="Tabletextheading"/>
              <w:rPr>
                <w:rFonts w:eastAsiaTheme="minorEastAsia"/>
                <w:iCs/>
                <w:lang w:eastAsia="en-AU"/>
              </w:rPr>
            </w:pPr>
          </w:p>
          <w:p w:rsidR="00AC319F" w:rsidRPr="006A75A2" w:rsidRDefault="00AC319F" w:rsidP="004B5CB1">
            <w:pPr>
              <w:pStyle w:val="Tabletextheading"/>
              <w:rPr>
                <w:rFonts w:eastAsiaTheme="minorEastAsia"/>
                <w:iCs/>
                <w:lang w:eastAsia="en-AU"/>
              </w:rPr>
            </w:pPr>
            <w:r w:rsidRPr="006A75A2">
              <w:rPr>
                <w:rFonts w:eastAsiaTheme="minorEastAsia"/>
                <w:iCs/>
                <w:lang w:eastAsia="en-AU"/>
              </w:rPr>
              <w:t>Other</w:t>
            </w:r>
          </w:p>
          <w:p w:rsidR="00AC319F" w:rsidRPr="006A75A2" w:rsidRDefault="00AC319F" w:rsidP="00AD1FBF">
            <w:pPr>
              <w:pStyle w:val="Tabletextheading"/>
              <w:rPr>
                <w:rFonts w:eastAsiaTheme="minorEastAsia"/>
                <w:iCs/>
                <w:lang w:eastAsia="en-AU"/>
              </w:rPr>
            </w:pPr>
            <w:r w:rsidRPr="006A75A2">
              <w:rPr>
                <w:rFonts w:eastAsiaTheme="minorEastAsia"/>
                <w:iCs/>
                <w:lang w:eastAsia="en-AU"/>
              </w:rPr>
              <w:t>(not rated)</w:t>
            </w:r>
          </w:p>
        </w:tc>
        <w:tc>
          <w:tcPr>
            <w:tcW w:w="1259" w:type="dxa"/>
            <w:tcBorders>
              <w:top w:val="single" w:sz="6" w:space="0" w:color="000000"/>
              <w:left w:val="nil"/>
              <w:right w:val="single" w:sz="6" w:space="0" w:color="000000"/>
            </w:tcBorders>
            <w:shd w:val="clear" w:color="000000" w:fill="000000"/>
          </w:tcPr>
          <w:p w:rsidR="00AC319F" w:rsidRPr="006A75A2" w:rsidRDefault="00AC319F" w:rsidP="004B5CB1">
            <w:pPr>
              <w:pStyle w:val="Tabletextheading"/>
              <w:rPr>
                <w:rFonts w:eastAsiaTheme="minorEastAsia"/>
                <w:iCs/>
                <w:lang w:eastAsia="en-AU"/>
              </w:rPr>
            </w:pPr>
            <w:r w:rsidRPr="006A75A2">
              <w:rPr>
                <w:rFonts w:eastAsiaTheme="minorEastAsia"/>
                <w:iCs/>
                <w:lang w:eastAsia="en-AU"/>
              </w:rPr>
              <w:t xml:space="preserve"> </w:t>
            </w:r>
          </w:p>
          <w:p w:rsidR="00AC319F" w:rsidRPr="006A75A2" w:rsidRDefault="00AC319F" w:rsidP="004B5CB1">
            <w:pPr>
              <w:pStyle w:val="Tabletextheading"/>
              <w:rPr>
                <w:rFonts w:eastAsiaTheme="minorEastAsia"/>
                <w:iCs/>
                <w:lang w:eastAsia="en-AU"/>
              </w:rPr>
            </w:pPr>
          </w:p>
          <w:p w:rsidR="00AC319F" w:rsidRPr="006A75A2" w:rsidRDefault="00AC319F" w:rsidP="00AD1FBF">
            <w:pPr>
              <w:pStyle w:val="Tabletextheading"/>
              <w:rPr>
                <w:rFonts w:eastAsiaTheme="minorEastAsia"/>
                <w:iCs/>
                <w:lang w:eastAsia="en-AU"/>
              </w:rPr>
            </w:pPr>
            <w:r w:rsidRPr="006A75A2">
              <w:rPr>
                <w:rFonts w:eastAsiaTheme="minorEastAsia"/>
                <w:iCs/>
                <w:lang w:eastAsia="en-AU"/>
              </w:rPr>
              <w:t>Total</w:t>
            </w:r>
            <w:r w:rsidRPr="006A75A2">
              <w:rPr>
                <w:rFonts w:eastAsiaTheme="minorEastAsia"/>
                <w:lang w:eastAsia="en-AU"/>
              </w:rPr>
              <w:t xml:space="preserve"> </w:t>
            </w:r>
          </w:p>
        </w:tc>
      </w:tr>
      <w:tr w:rsidR="00AC319F" w:rsidRPr="006A75A2" w:rsidTr="006E60A8">
        <w:tc>
          <w:tcPr>
            <w:tcW w:w="9640" w:type="dxa"/>
            <w:gridSpan w:val="5"/>
            <w:tcBorders>
              <w:top w:val="nil"/>
              <w:left w:val="nil"/>
              <w:bottom w:val="nil"/>
              <w:right w:val="nil"/>
            </w:tcBorders>
            <w:shd w:val="solid" w:color="FFFFFF" w:fill="auto"/>
          </w:tcPr>
          <w:p w:rsidR="00AC319F" w:rsidRPr="006A75A2" w:rsidRDefault="00AC319F" w:rsidP="00AC319F">
            <w:pPr>
              <w:pStyle w:val="Tabletext"/>
              <w:rPr>
                <w:rFonts w:eastAsiaTheme="minorEastAsia"/>
                <w:b/>
                <w:lang w:eastAsia="en-AU"/>
              </w:rPr>
            </w:pPr>
            <w:r w:rsidRPr="006A75A2">
              <w:rPr>
                <w:rFonts w:eastAsiaTheme="minorEastAsia"/>
                <w:b/>
                <w:lang w:eastAsia="en-AU"/>
              </w:rPr>
              <w:t>Financial assets</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w:t>
            </w:r>
            <w:r w:rsidRPr="006A75A2">
              <w:rPr>
                <w:rFonts w:eastAsiaTheme="minorEastAsia" w:cs="Calibri"/>
                <w:szCs w:val="22"/>
                <w:lang w:eastAsia="en-AU"/>
              </w:rPr>
              <w:t xml:space="preserve"> 481.5</w:t>
            </w:r>
          </w:p>
        </w:tc>
        <w:tc>
          <w:tcPr>
            <w:tcW w:w="14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880.0</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839.2</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w:t>
            </w:r>
            <w:r w:rsidRPr="006A75A2">
              <w:rPr>
                <w:rFonts w:eastAsiaTheme="minorEastAsia" w:cs="Calibri"/>
                <w:szCs w:val="22"/>
                <w:lang w:eastAsia="en-AU"/>
              </w:rPr>
              <w:t xml:space="preserve"> 200.7</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Receivables</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239.4</w:t>
            </w:r>
          </w:p>
        </w:tc>
        <w:tc>
          <w:tcPr>
            <w:tcW w:w="14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135.6</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048.6</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423.6</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Advances</w:t>
            </w:r>
            <w:r w:rsidRPr="006A75A2">
              <w:rPr>
                <w:rFonts w:eastAsiaTheme="minorEastAsia" w:cs="Calibri"/>
                <w:szCs w:val="22"/>
                <w:lang w:eastAsia="en-AU"/>
              </w:rPr>
              <w:t xml:space="preserve"> paid</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4.1</w:t>
            </w:r>
          </w:p>
        </w:tc>
        <w:tc>
          <w:tcPr>
            <w:tcW w:w="14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790.9</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795.1</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Term</w:t>
            </w:r>
            <w:r w:rsidRPr="006A75A2">
              <w:rPr>
                <w:rFonts w:eastAsiaTheme="minorEastAsia" w:cs="Calibri"/>
                <w:szCs w:val="22"/>
                <w:lang w:eastAsia="en-AU"/>
              </w:rPr>
              <w:t xml:space="preserve"> deposits</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563.0</w:t>
            </w:r>
          </w:p>
        </w:tc>
        <w:tc>
          <w:tcPr>
            <w:tcW w:w="14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294.4</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161.7</w:t>
            </w:r>
          </w:p>
        </w:tc>
        <w:tc>
          <w:tcPr>
            <w:tcW w:w="125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019.1</w:t>
            </w:r>
          </w:p>
        </w:tc>
      </w:tr>
      <w:tr w:rsidR="004E6C32" w:rsidRPr="006A75A2" w:rsidTr="004B5CB1">
        <w:tc>
          <w:tcPr>
            <w:tcW w:w="4412"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Debt </w:t>
            </w:r>
            <w:r w:rsidRPr="006A75A2">
              <w:rPr>
                <w:rFonts w:eastAsiaTheme="minorEastAsia" w:cs="Calibri"/>
                <w:szCs w:val="22"/>
                <w:lang w:eastAsia="en-AU"/>
              </w:rPr>
              <w:t>securities</w:t>
            </w:r>
          </w:p>
        </w:tc>
        <w:tc>
          <w:tcPr>
            <w:tcW w:w="127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3</w:t>
            </w:r>
            <w:r w:rsidRPr="006A75A2">
              <w:rPr>
                <w:rFonts w:eastAsiaTheme="minorEastAsia" w:cs="Calibri"/>
                <w:szCs w:val="22"/>
                <w:lang w:eastAsia="en-AU"/>
              </w:rPr>
              <w:t xml:space="preserve"> 057.9</w:t>
            </w:r>
          </w:p>
        </w:tc>
        <w:tc>
          <w:tcPr>
            <w:tcW w:w="1418"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8</w:t>
            </w:r>
            <w:r w:rsidRPr="006A75A2">
              <w:rPr>
                <w:rFonts w:eastAsiaTheme="minorEastAsia" w:cs="Calibri"/>
                <w:szCs w:val="22"/>
                <w:lang w:eastAsia="en-AU"/>
              </w:rPr>
              <w:t xml:space="preserve"> 002.4</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391.8</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w:t>
            </w:r>
            <w:r w:rsidRPr="006A75A2">
              <w:rPr>
                <w:rFonts w:eastAsiaTheme="minorEastAsia" w:cs="Calibri"/>
                <w:szCs w:val="22"/>
                <w:lang w:eastAsia="en-AU"/>
              </w:rPr>
              <w:t xml:space="preserve"> 452.1</w:t>
            </w:r>
          </w:p>
        </w:tc>
      </w:tr>
      <w:tr w:rsidR="004E6C32" w:rsidRPr="006A75A2" w:rsidTr="004B5CB1">
        <w:tc>
          <w:tcPr>
            <w:tcW w:w="441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lang w:eastAsia="en-AU"/>
              </w:rPr>
              <w:t>Total</w:t>
            </w:r>
            <w:r w:rsidRPr="006A75A2">
              <w:rPr>
                <w:rFonts w:eastAsiaTheme="minorEastAsia" w:cs="Calibri"/>
                <w:b/>
                <w:bCs/>
                <w:szCs w:val="22"/>
                <w:lang w:eastAsia="en-AU"/>
              </w:rPr>
              <w:t xml:space="preserve"> financial assets</w:t>
            </w:r>
          </w:p>
        </w:tc>
        <w:tc>
          <w:tcPr>
            <w:tcW w:w="1275"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9</w:t>
            </w:r>
            <w:r w:rsidRPr="006A75A2">
              <w:rPr>
                <w:rFonts w:eastAsiaTheme="minorEastAsia" w:cs="Calibri"/>
                <w:b/>
                <w:bCs/>
                <w:szCs w:val="22"/>
                <w:lang w:eastAsia="en-AU"/>
              </w:rPr>
              <w:t xml:space="preserve"> 346.0</w:t>
            </w:r>
          </w:p>
        </w:tc>
        <w:tc>
          <w:tcPr>
            <w:tcW w:w="1418"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10</w:t>
            </w:r>
            <w:r w:rsidRPr="006A75A2">
              <w:rPr>
                <w:rFonts w:eastAsiaTheme="minorEastAsia" w:cs="Calibri"/>
                <w:b/>
                <w:bCs/>
                <w:szCs w:val="22"/>
                <w:lang w:eastAsia="en-AU"/>
              </w:rPr>
              <w:t xml:space="preserve"> 312.4</w:t>
            </w:r>
          </w:p>
        </w:tc>
        <w:tc>
          <w:tcPr>
            <w:tcW w:w="127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4</w:t>
            </w:r>
            <w:r w:rsidRPr="006A75A2">
              <w:rPr>
                <w:rFonts w:eastAsiaTheme="minorEastAsia" w:cs="Calibri"/>
                <w:b/>
                <w:bCs/>
                <w:szCs w:val="22"/>
                <w:lang w:eastAsia="en-AU"/>
              </w:rPr>
              <w:t xml:space="preserve"> 232.2</w:t>
            </w:r>
          </w:p>
        </w:tc>
        <w:tc>
          <w:tcPr>
            <w:tcW w:w="1259"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23</w:t>
            </w:r>
            <w:r w:rsidRPr="006A75A2">
              <w:rPr>
                <w:rFonts w:eastAsiaTheme="minorEastAsia" w:cs="Calibri"/>
                <w:b/>
                <w:bCs/>
                <w:szCs w:val="22"/>
                <w:lang w:eastAsia="en-AU"/>
              </w:rPr>
              <w:t xml:space="preserve"> 890.6</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4412"/>
        <w:gridCol w:w="1275"/>
        <w:gridCol w:w="1418"/>
        <w:gridCol w:w="1276"/>
        <w:gridCol w:w="1259"/>
      </w:tblGrid>
      <w:tr w:rsidR="004E6C32" w:rsidRPr="006A75A2" w:rsidTr="004B5CB1">
        <w:tc>
          <w:tcPr>
            <w:tcW w:w="4412"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2013</w:t>
            </w:r>
          </w:p>
        </w:tc>
        <w:tc>
          <w:tcPr>
            <w:tcW w:w="1275"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418"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59"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r>
      <w:tr w:rsidR="00AC319F" w:rsidRPr="006A75A2" w:rsidTr="006E60A8">
        <w:tc>
          <w:tcPr>
            <w:tcW w:w="9640" w:type="dxa"/>
            <w:gridSpan w:val="5"/>
            <w:tcBorders>
              <w:top w:val="single" w:sz="6" w:space="0" w:color="auto"/>
              <w:left w:val="nil"/>
              <w:bottom w:val="nil"/>
              <w:right w:val="nil"/>
            </w:tcBorders>
            <w:shd w:val="solid" w:color="FFFFFF" w:fill="auto"/>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assets</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4 532.3</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1 321.1</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399.4</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6 252.9</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Receivables</w:t>
            </w:r>
            <w:r w:rsidRPr="006A75A2">
              <w:rPr>
                <w:rFonts w:eastAsiaTheme="minorEastAsia"/>
                <w:vertAlign w:val="superscript"/>
                <w:lang w:eastAsia="en-AU"/>
              </w:rPr>
              <w:t>(</w:t>
            </w:r>
            <w:r w:rsidRPr="006A75A2">
              <w:rPr>
                <w:rFonts w:eastAsiaTheme="minorEastAsia" w:cs="Calibri"/>
                <w:szCs w:val="22"/>
                <w:vertAlign w:val="superscript"/>
                <w:lang w:eastAsia="en-AU"/>
              </w:rPr>
              <w:t>a)</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1 059.1</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444.7</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1 164.6</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2 668.5</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Advances paid</w:t>
            </w:r>
          </w:p>
        </w:tc>
        <w:tc>
          <w:tcPr>
            <w:tcW w:w="127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4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1 726.3</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1 727.3</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Term deposits</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462.6</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511.0</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123.6</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1 097.2</w:t>
            </w:r>
          </w:p>
        </w:tc>
      </w:tr>
      <w:tr w:rsidR="004E6C32" w:rsidRPr="006A75A2" w:rsidTr="004B5CB1">
        <w:tc>
          <w:tcPr>
            <w:tcW w:w="4412" w:type="dxa"/>
            <w:tcBorders>
              <w:top w:val="nil"/>
              <w:left w:val="nil"/>
              <w:bottom w:val="single" w:sz="6" w:space="0" w:color="auto"/>
              <w:right w:val="nil"/>
            </w:tcBorders>
            <w:shd w:val="solid" w:color="FFFFFF" w:fill="auto"/>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Debt securities</w:t>
            </w:r>
            <w:r w:rsidRPr="006A75A2">
              <w:rPr>
                <w:rFonts w:eastAsiaTheme="minorEastAsia" w:cs="Calibri"/>
                <w:szCs w:val="22"/>
                <w:vertAlign w:val="superscript"/>
                <w:lang w:eastAsia="en-AU"/>
              </w:rPr>
              <w:t>(a)</w:t>
            </w:r>
          </w:p>
        </w:tc>
        <w:tc>
          <w:tcPr>
            <w:tcW w:w="1275"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2 582.8</w:t>
            </w:r>
          </w:p>
        </w:tc>
        <w:tc>
          <w:tcPr>
            <w:tcW w:w="1418"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6 356.1</w:t>
            </w:r>
          </w:p>
        </w:tc>
        <w:tc>
          <w:tcPr>
            <w:tcW w:w="127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239.9</w:t>
            </w:r>
          </w:p>
        </w:tc>
        <w:tc>
          <w:tcPr>
            <w:tcW w:w="1259"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9 178.7</w:t>
            </w:r>
          </w:p>
        </w:tc>
      </w:tr>
      <w:tr w:rsidR="004E6C32" w:rsidRPr="006A75A2" w:rsidTr="004B5CB1">
        <w:tc>
          <w:tcPr>
            <w:tcW w:w="441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financial assets</w:t>
            </w:r>
          </w:p>
        </w:tc>
        <w:tc>
          <w:tcPr>
            <w:tcW w:w="1275"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8 636.8</w:t>
            </w:r>
          </w:p>
        </w:tc>
        <w:tc>
          <w:tcPr>
            <w:tcW w:w="1418"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8 633.9</w:t>
            </w:r>
          </w:p>
        </w:tc>
        <w:tc>
          <w:tcPr>
            <w:tcW w:w="127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3 653.8</w:t>
            </w:r>
          </w:p>
        </w:tc>
        <w:tc>
          <w:tcPr>
            <w:tcW w:w="1259"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20 924.5</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 xml:space="preserve">June 2013 comparative figures have been restated to reflect the reallocation of investment sold but not yet settled. </w:t>
      </w:r>
    </w:p>
    <w:p w:rsidR="004E6C32" w:rsidRPr="006A75A2" w:rsidRDefault="004E6C32" w:rsidP="004B5CB1">
      <w:pPr>
        <w:pStyle w:val="Notes"/>
      </w:pPr>
    </w:p>
    <w:p w:rsidR="008708FF" w:rsidRPr="006A75A2" w:rsidRDefault="008708FF" w:rsidP="008708FF"/>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2144"/>
        <w:gridCol w:w="1417"/>
        <w:gridCol w:w="1276"/>
        <w:gridCol w:w="1276"/>
        <w:gridCol w:w="1275"/>
        <w:gridCol w:w="1134"/>
        <w:gridCol w:w="1118"/>
      </w:tblGrid>
      <w:tr w:rsidR="00AC319F" w:rsidRPr="006A75A2" w:rsidTr="006E60A8">
        <w:trPr>
          <w:trHeight w:val="1089"/>
        </w:trPr>
        <w:tc>
          <w:tcPr>
            <w:tcW w:w="2144" w:type="dxa"/>
            <w:tcBorders>
              <w:top w:val="single" w:sz="6" w:space="0" w:color="000000"/>
              <w:left w:val="single" w:sz="6" w:space="0" w:color="000000"/>
              <w:right w:val="nil"/>
            </w:tcBorders>
            <w:shd w:val="clear" w:color="000000" w:fill="000000"/>
          </w:tcPr>
          <w:p w:rsidR="00AC319F" w:rsidRPr="006A75A2" w:rsidRDefault="00AC319F" w:rsidP="00AC319F">
            <w:pPr>
              <w:pStyle w:val="Tabletext"/>
              <w:ind w:left="0" w:firstLine="0"/>
              <w:rPr>
                <w:rFonts w:eastAsiaTheme="minorEastAsia"/>
                <w:i/>
              </w:rPr>
            </w:pPr>
            <w:r w:rsidRPr="006A75A2">
              <w:rPr>
                <w:rFonts w:eastAsiaTheme="minorEastAsia"/>
                <w:i/>
              </w:rPr>
              <w:t xml:space="preserve">General </w:t>
            </w:r>
            <w:r w:rsidRPr="006A75A2">
              <w:rPr>
                <w:rFonts w:eastAsiaTheme="minorEastAsia"/>
                <w:i/>
              </w:rPr>
              <w:br/>
              <w:t>government sector</w:t>
            </w:r>
          </w:p>
          <w:p w:rsidR="00AC319F" w:rsidRPr="006A75A2" w:rsidRDefault="00AC319F" w:rsidP="00AC319F">
            <w:pPr>
              <w:pStyle w:val="Tabletext"/>
              <w:ind w:left="0" w:firstLine="0"/>
              <w:rPr>
                <w:rFonts w:eastAsiaTheme="minorEastAsia"/>
                <w:i/>
                <w:iCs/>
                <w:lang w:eastAsia="en-AU"/>
              </w:rPr>
            </w:pPr>
          </w:p>
          <w:p w:rsidR="00AC319F" w:rsidRPr="006A75A2" w:rsidRDefault="00AC319F" w:rsidP="00AC319F">
            <w:pPr>
              <w:pStyle w:val="Tabletext"/>
              <w:ind w:left="0" w:firstLine="0"/>
              <w:rPr>
                <w:rFonts w:eastAsiaTheme="minorEastAsia"/>
                <w:i/>
              </w:rPr>
            </w:pPr>
            <w:r w:rsidRPr="006A75A2">
              <w:rPr>
                <w:rFonts w:eastAsiaTheme="minorEastAsia"/>
                <w:i/>
                <w:iCs/>
                <w:lang w:eastAsia="en-AU"/>
              </w:rPr>
              <w:t>2014</w:t>
            </w:r>
          </w:p>
        </w:tc>
        <w:tc>
          <w:tcPr>
            <w:tcW w:w="1417" w:type="dxa"/>
            <w:tcBorders>
              <w:top w:val="single" w:sz="6" w:space="0" w:color="000000"/>
              <w:left w:val="nil"/>
              <w:right w:val="nil"/>
            </w:tcBorders>
            <w:shd w:val="clear" w:color="000000" w:fill="000000"/>
          </w:tcPr>
          <w:p w:rsidR="00AC319F" w:rsidRPr="006A75A2" w:rsidRDefault="00AC319F" w:rsidP="004B5CB1">
            <w:pPr>
              <w:pStyle w:val="Tabletextheading"/>
              <w:rPr>
                <w:rFonts w:eastAsiaTheme="minorEastAsia"/>
                <w:iCs/>
                <w:lang w:eastAsia="en-AU"/>
              </w:rPr>
            </w:pPr>
            <w:r w:rsidRPr="006A75A2">
              <w:rPr>
                <w:rFonts w:eastAsiaTheme="minorEastAsia"/>
                <w:iCs/>
                <w:lang w:eastAsia="en-AU"/>
              </w:rPr>
              <w:t>Government agencies</w:t>
            </w:r>
          </w:p>
          <w:p w:rsidR="00AC319F" w:rsidRPr="006A75A2" w:rsidRDefault="00AC319F" w:rsidP="004B5CB1">
            <w:pPr>
              <w:pStyle w:val="Tabletextheading"/>
              <w:rPr>
                <w:rFonts w:eastAsiaTheme="minorEastAsia"/>
                <w:iCs/>
                <w:lang w:eastAsia="en-AU"/>
              </w:rPr>
            </w:pPr>
            <w:r w:rsidRPr="006A75A2">
              <w:rPr>
                <w:rFonts w:eastAsiaTheme="minorEastAsia"/>
                <w:iCs/>
                <w:lang w:eastAsia="en-AU"/>
              </w:rPr>
              <w:t>(AAA credit rating)</w:t>
            </w:r>
          </w:p>
        </w:tc>
        <w:tc>
          <w:tcPr>
            <w:tcW w:w="1276" w:type="dxa"/>
            <w:tcBorders>
              <w:top w:val="single" w:sz="6" w:space="0" w:color="000000"/>
              <w:left w:val="nil"/>
              <w:right w:val="nil"/>
            </w:tcBorders>
            <w:shd w:val="clear" w:color="000000" w:fill="000000"/>
          </w:tcPr>
          <w:p w:rsidR="00AC319F" w:rsidRPr="006A75A2" w:rsidRDefault="00AC319F" w:rsidP="004B5CB1">
            <w:pPr>
              <w:pStyle w:val="Tabletextheading"/>
              <w:rPr>
                <w:rFonts w:eastAsiaTheme="minorEastAsia"/>
                <w:iCs/>
                <w:lang w:eastAsia="en-AU"/>
              </w:rPr>
            </w:pPr>
            <w:r w:rsidRPr="006A75A2">
              <w:rPr>
                <w:rFonts w:eastAsiaTheme="minorEastAsia"/>
                <w:iCs/>
                <w:lang w:eastAsia="en-AU"/>
              </w:rPr>
              <w:t>Government agencies</w:t>
            </w:r>
          </w:p>
          <w:p w:rsidR="00AC319F" w:rsidRPr="006A75A2" w:rsidRDefault="00AC319F" w:rsidP="004B5CB1">
            <w:pPr>
              <w:pStyle w:val="Tabletextheading"/>
              <w:rPr>
                <w:rFonts w:eastAsiaTheme="minorEastAsia"/>
                <w:iCs/>
                <w:lang w:eastAsia="en-AU"/>
              </w:rPr>
            </w:pPr>
            <w:r w:rsidRPr="006A75A2">
              <w:rPr>
                <w:rFonts w:eastAsiaTheme="minorEastAsia"/>
                <w:iCs/>
                <w:lang w:eastAsia="en-AU"/>
              </w:rPr>
              <w:t>(min BBB credit rating)</w:t>
            </w:r>
          </w:p>
        </w:tc>
        <w:tc>
          <w:tcPr>
            <w:tcW w:w="1276" w:type="dxa"/>
            <w:tcBorders>
              <w:top w:val="single" w:sz="6" w:space="0" w:color="000000"/>
              <w:left w:val="nil"/>
              <w:right w:val="nil"/>
            </w:tcBorders>
            <w:shd w:val="clear" w:color="000000" w:fill="000000"/>
          </w:tcPr>
          <w:p w:rsidR="00AC319F" w:rsidRPr="006A75A2" w:rsidRDefault="00AC319F" w:rsidP="004B5CB1">
            <w:pPr>
              <w:pStyle w:val="Tabletextheading"/>
              <w:rPr>
                <w:rFonts w:eastAsiaTheme="minorEastAsia"/>
                <w:iCs/>
                <w:lang w:eastAsia="en-AU"/>
              </w:rPr>
            </w:pPr>
            <w:r w:rsidRPr="006A75A2">
              <w:rPr>
                <w:rFonts w:eastAsiaTheme="minorEastAsia"/>
                <w:iCs/>
                <w:lang w:eastAsia="en-AU"/>
              </w:rPr>
              <w:t xml:space="preserve"> </w:t>
            </w:r>
          </w:p>
          <w:p w:rsidR="00AC319F" w:rsidRPr="006A75A2" w:rsidRDefault="00AC319F" w:rsidP="004B5CB1">
            <w:pPr>
              <w:pStyle w:val="Tabletextheading"/>
              <w:rPr>
                <w:rFonts w:eastAsiaTheme="minorEastAsia"/>
                <w:iCs/>
                <w:lang w:eastAsia="en-AU"/>
              </w:rPr>
            </w:pPr>
          </w:p>
          <w:p w:rsidR="00AC319F" w:rsidRPr="006A75A2" w:rsidRDefault="00AC319F" w:rsidP="004B5CB1">
            <w:pPr>
              <w:pStyle w:val="Tabletextheading"/>
              <w:rPr>
                <w:rFonts w:eastAsiaTheme="minorEastAsia"/>
                <w:iCs/>
                <w:lang w:eastAsia="en-AU"/>
              </w:rPr>
            </w:pPr>
            <w:r w:rsidRPr="006A75A2">
              <w:rPr>
                <w:rFonts w:eastAsiaTheme="minorEastAsia"/>
                <w:iCs/>
                <w:lang w:eastAsia="en-AU"/>
              </w:rPr>
              <w:t>(AAA credit rating)</w:t>
            </w:r>
          </w:p>
        </w:tc>
        <w:tc>
          <w:tcPr>
            <w:tcW w:w="1275" w:type="dxa"/>
            <w:tcBorders>
              <w:top w:val="single" w:sz="6" w:space="0" w:color="000000"/>
              <w:left w:val="nil"/>
              <w:right w:val="nil"/>
            </w:tcBorders>
            <w:shd w:val="clear" w:color="000000" w:fill="000000"/>
          </w:tcPr>
          <w:p w:rsidR="00AC319F" w:rsidRPr="006A75A2" w:rsidRDefault="00AC319F" w:rsidP="004B5CB1">
            <w:pPr>
              <w:pStyle w:val="Tabletextheading"/>
              <w:rPr>
                <w:rFonts w:eastAsiaTheme="minorEastAsia"/>
                <w:iCs/>
                <w:lang w:eastAsia="en-AU"/>
              </w:rPr>
            </w:pPr>
          </w:p>
          <w:p w:rsidR="00AC319F" w:rsidRPr="006A75A2" w:rsidRDefault="00AC319F" w:rsidP="004B5CB1">
            <w:pPr>
              <w:pStyle w:val="Tabletextheading"/>
              <w:rPr>
                <w:rFonts w:eastAsiaTheme="minorEastAsia"/>
                <w:iCs/>
                <w:lang w:eastAsia="en-AU"/>
              </w:rPr>
            </w:pPr>
            <w:r w:rsidRPr="006A75A2">
              <w:rPr>
                <w:rFonts w:eastAsiaTheme="minorEastAsia"/>
                <w:iCs/>
                <w:lang w:eastAsia="en-AU"/>
              </w:rPr>
              <w:t>Other</w:t>
            </w:r>
          </w:p>
          <w:p w:rsidR="00AC319F" w:rsidRPr="006A75A2" w:rsidRDefault="00AC319F" w:rsidP="004B5CB1">
            <w:pPr>
              <w:pStyle w:val="Tabletextheading"/>
              <w:rPr>
                <w:rFonts w:eastAsiaTheme="minorEastAsia"/>
                <w:iCs/>
                <w:lang w:eastAsia="en-AU"/>
              </w:rPr>
            </w:pPr>
            <w:r w:rsidRPr="006A75A2">
              <w:rPr>
                <w:rFonts w:eastAsiaTheme="minorEastAsia"/>
                <w:iCs/>
                <w:lang w:eastAsia="en-AU"/>
              </w:rPr>
              <w:t>(min BBB credit rating)</w:t>
            </w:r>
          </w:p>
        </w:tc>
        <w:tc>
          <w:tcPr>
            <w:tcW w:w="1134" w:type="dxa"/>
            <w:tcBorders>
              <w:top w:val="single" w:sz="6" w:space="0" w:color="000000"/>
              <w:left w:val="nil"/>
              <w:right w:val="nil"/>
            </w:tcBorders>
            <w:shd w:val="clear" w:color="000000" w:fill="000000"/>
          </w:tcPr>
          <w:p w:rsidR="00AC319F" w:rsidRPr="006A75A2" w:rsidRDefault="00AC319F" w:rsidP="004B5CB1">
            <w:pPr>
              <w:pStyle w:val="Tabletextheading"/>
              <w:rPr>
                <w:rFonts w:eastAsiaTheme="minorEastAsia"/>
                <w:iCs/>
                <w:lang w:eastAsia="en-AU"/>
              </w:rPr>
            </w:pPr>
            <w:r w:rsidRPr="006A75A2">
              <w:rPr>
                <w:rFonts w:eastAsiaTheme="minorEastAsia"/>
                <w:iCs/>
                <w:lang w:eastAsia="en-AU"/>
              </w:rPr>
              <w:t xml:space="preserve">  </w:t>
            </w:r>
          </w:p>
          <w:p w:rsidR="00AC319F" w:rsidRPr="006A75A2" w:rsidRDefault="00AC319F" w:rsidP="004B5CB1">
            <w:pPr>
              <w:pStyle w:val="Tabletextheading"/>
              <w:rPr>
                <w:rFonts w:eastAsiaTheme="minorEastAsia"/>
                <w:iCs/>
                <w:lang w:eastAsia="en-AU"/>
              </w:rPr>
            </w:pPr>
          </w:p>
          <w:p w:rsidR="00AC319F" w:rsidRPr="006A75A2" w:rsidRDefault="00AC319F" w:rsidP="004B5CB1">
            <w:pPr>
              <w:pStyle w:val="Tabletextheading"/>
              <w:rPr>
                <w:rFonts w:eastAsiaTheme="minorEastAsia"/>
                <w:iCs/>
                <w:lang w:eastAsia="en-AU"/>
              </w:rPr>
            </w:pPr>
          </w:p>
          <w:p w:rsidR="00AC319F" w:rsidRPr="006A75A2" w:rsidRDefault="00AC319F" w:rsidP="004B5CB1">
            <w:pPr>
              <w:pStyle w:val="Tabletextheading"/>
              <w:rPr>
                <w:rFonts w:eastAsiaTheme="minorEastAsia"/>
                <w:iCs/>
                <w:lang w:eastAsia="en-AU"/>
              </w:rPr>
            </w:pPr>
            <w:r w:rsidRPr="006A75A2">
              <w:rPr>
                <w:rFonts w:eastAsiaTheme="minorEastAsia"/>
                <w:iCs/>
                <w:lang w:eastAsia="en-AU"/>
              </w:rPr>
              <w:t>(not rated)</w:t>
            </w:r>
          </w:p>
        </w:tc>
        <w:tc>
          <w:tcPr>
            <w:tcW w:w="1118" w:type="dxa"/>
            <w:tcBorders>
              <w:top w:val="single" w:sz="6" w:space="0" w:color="000000"/>
              <w:left w:val="nil"/>
              <w:right w:val="single" w:sz="6" w:space="0" w:color="000000"/>
            </w:tcBorders>
            <w:shd w:val="clear" w:color="000000" w:fill="000000"/>
          </w:tcPr>
          <w:p w:rsidR="00AC319F" w:rsidRPr="006A75A2" w:rsidRDefault="00AC319F" w:rsidP="004B5CB1">
            <w:pPr>
              <w:pStyle w:val="Tabletextheading"/>
              <w:rPr>
                <w:rFonts w:eastAsiaTheme="minorEastAsia"/>
                <w:iCs/>
                <w:lang w:eastAsia="en-AU"/>
              </w:rPr>
            </w:pPr>
            <w:r w:rsidRPr="006A75A2">
              <w:rPr>
                <w:rFonts w:eastAsiaTheme="minorEastAsia"/>
                <w:iCs/>
                <w:lang w:eastAsia="en-AU"/>
              </w:rPr>
              <w:t xml:space="preserve"> </w:t>
            </w:r>
          </w:p>
          <w:p w:rsidR="00AC319F" w:rsidRPr="006A75A2" w:rsidRDefault="00AC319F" w:rsidP="004B5CB1">
            <w:pPr>
              <w:pStyle w:val="Tabletextheading"/>
              <w:rPr>
                <w:rFonts w:eastAsiaTheme="minorEastAsia"/>
                <w:iCs/>
                <w:lang w:eastAsia="en-AU"/>
              </w:rPr>
            </w:pPr>
          </w:p>
          <w:p w:rsidR="00AC319F" w:rsidRPr="006A75A2" w:rsidRDefault="00AC319F" w:rsidP="004B5CB1">
            <w:pPr>
              <w:pStyle w:val="Tabletextheading"/>
              <w:rPr>
                <w:rFonts w:eastAsiaTheme="minorEastAsia"/>
                <w:iCs/>
                <w:lang w:eastAsia="en-AU"/>
              </w:rPr>
            </w:pPr>
          </w:p>
          <w:p w:rsidR="00AC319F" w:rsidRPr="006A75A2" w:rsidRDefault="00AC319F" w:rsidP="004B5CB1">
            <w:pPr>
              <w:pStyle w:val="Tabletextheading"/>
              <w:rPr>
                <w:rFonts w:eastAsiaTheme="minorEastAsia"/>
                <w:iCs/>
                <w:lang w:eastAsia="en-AU"/>
              </w:rPr>
            </w:pPr>
            <w:r w:rsidRPr="006A75A2">
              <w:rPr>
                <w:rFonts w:eastAsiaTheme="minorEastAsia"/>
                <w:iCs/>
                <w:lang w:eastAsia="en-AU"/>
              </w:rPr>
              <w:t xml:space="preserve">Total </w:t>
            </w:r>
          </w:p>
        </w:tc>
      </w:tr>
      <w:tr w:rsidR="00AC319F" w:rsidRPr="006A75A2" w:rsidTr="006E60A8">
        <w:tc>
          <w:tcPr>
            <w:tcW w:w="9640" w:type="dxa"/>
            <w:gridSpan w:val="7"/>
            <w:tcBorders>
              <w:top w:val="single" w:sz="6" w:space="0" w:color="000000"/>
              <w:left w:val="nil"/>
              <w:bottom w:val="nil"/>
              <w:right w:val="nil"/>
            </w:tcBorders>
            <w:shd w:val="solid" w:color="FFFFFF" w:fill="auto"/>
          </w:tcPr>
          <w:p w:rsidR="00AC319F" w:rsidRPr="006A75A2" w:rsidRDefault="00AC319F" w:rsidP="00AC319F">
            <w:pPr>
              <w:pStyle w:val="Tabletext"/>
              <w:rPr>
                <w:rFonts w:eastAsiaTheme="minorEastAsia"/>
                <w:b/>
                <w:i/>
                <w:iCs/>
                <w:lang w:eastAsia="en-AU"/>
              </w:rPr>
            </w:pPr>
            <w:r w:rsidRPr="006A75A2">
              <w:rPr>
                <w:rFonts w:eastAsiaTheme="minorEastAsia"/>
                <w:b/>
                <w:lang w:eastAsia="en-AU"/>
              </w:rPr>
              <w:t>Financial assets</w:t>
            </w:r>
          </w:p>
        </w:tc>
      </w:tr>
      <w:tr w:rsidR="004E6C32" w:rsidRPr="006A75A2" w:rsidTr="004B5CB1">
        <w:tc>
          <w:tcPr>
            <w:tcW w:w="214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41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965.1</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355.2</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676.3</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504.3</w:t>
            </w:r>
          </w:p>
        </w:tc>
        <w:tc>
          <w:tcPr>
            <w:tcW w:w="11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500.9</w:t>
            </w:r>
          </w:p>
        </w:tc>
      </w:tr>
      <w:tr w:rsidR="004E6C32" w:rsidRPr="006A75A2" w:rsidTr="004B5CB1">
        <w:tc>
          <w:tcPr>
            <w:tcW w:w="2144"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Receivables</w:t>
            </w:r>
          </w:p>
        </w:tc>
        <w:tc>
          <w:tcPr>
            <w:tcW w:w="141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634.4</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196.3</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11.2</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356.9</w:t>
            </w:r>
          </w:p>
        </w:tc>
        <w:tc>
          <w:tcPr>
            <w:tcW w:w="11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198.9</w:t>
            </w:r>
          </w:p>
        </w:tc>
      </w:tr>
      <w:tr w:rsidR="004E6C32" w:rsidRPr="006A75A2" w:rsidTr="004B5CB1">
        <w:tc>
          <w:tcPr>
            <w:tcW w:w="2144"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Advances</w:t>
            </w:r>
            <w:r w:rsidRPr="006A75A2">
              <w:rPr>
                <w:rFonts w:eastAsiaTheme="minorEastAsia" w:cs="Calibri"/>
                <w:szCs w:val="22"/>
                <w:lang w:eastAsia="en-AU"/>
              </w:rPr>
              <w:t xml:space="preserve"> paid</w:t>
            </w:r>
          </w:p>
        </w:tc>
        <w:tc>
          <w:tcPr>
            <w:tcW w:w="141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554.8</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4.1</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28.0</w:t>
            </w:r>
          </w:p>
        </w:tc>
        <w:tc>
          <w:tcPr>
            <w:tcW w:w="11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4</w:t>
            </w:r>
            <w:r w:rsidRPr="006A75A2">
              <w:rPr>
                <w:rFonts w:eastAsiaTheme="minorEastAsia" w:cs="Calibri"/>
                <w:szCs w:val="22"/>
                <w:lang w:eastAsia="en-AU"/>
              </w:rPr>
              <w:t xml:space="preserve"> 586.9</w:t>
            </w:r>
          </w:p>
        </w:tc>
      </w:tr>
      <w:tr w:rsidR="004E6C32" w:rsidRPr="006A75A2" w:rsidTr="004B5CB1">
        <w:tc>
          <w:tcPr>
            <w:tcW w:w="2144"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Term</w:t>
            </w:r>
            <w:r w:rsidRPr="006A75A2">
              <w:rPr>
                <w:rFonts w:eastAsiaTheme="minorEastAsia" w:cs="Calibri"/>
                <w:szCs w:val="22"/>
                <w:lang w:eastAsia="en-AU"/>
              </w:rPr>
              <w:t xml:space="preserve"> deposits</w:t>
            </w:r>
          </w:p>
        </w:tc>
        <w:tc>
          <w:tcPr>
            <w:tcW w:w="1417"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w:t>
            </w:r>
            <w:r w:rsidRPr="006A75A2">
              <w:rPr>
                <w:rFonts w:eastAsiaTheme="minorEastAsia" w:cs="Calibri"/>
                <w:szCs w:val="22"/>
                <w:lang w:eastAsia="en-AU"/>
              </w:rPr>
              <w:t xml:space="preserve"> 184.8</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497.0</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286.8</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145.7</w:t>
            </w:r>
          </w:p>
        </w:tc>
        <w:tc>
          <w:tcPr>
            <w:tcW w:w="11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2</w:t>
            </w:r>
            <w:r w:rsidRPr="006A75A2">
              <w:rPr>
                <w:rFonts w:eastAsiaTheme="minorEastAsia" w:cs="Calibri"/>
                <w:szCs w:val="22"/>
                <w:lang w:eastAsia="en-AU"/>
              </w:rPr>
              <w:t xml:space="preserve"> 114.4</w:t>
            </w:r>
          </w:p>
        </w:tc>
      </w:tr>
      <w:tr w:rsidR="004E6C32" w:rsidRPr="006A75A2" w:rsidTr="004B5CB1">
        <w:tc>
          <w:tcPr>
            <w:tcW w:w="2144"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 xml:space="preserve">Debt </w:t>
            </w:r>
            <w:r w:rsidRPr="006A75A2">
              <w:rPr>
                <w:rFonts w:eastAsiaTheme="minorEastAsia" w:cs="Calibri"/>
                <w:szCs w:val="22"/>
                <w:lang w:eastAsia="en-AU"/>
              </w:rPr>
              <w:t>securities</w:t>
            </w:r>
          </w:p>
        </w:tc>
        <w:tc>
          <w:tcPr>
            <w:tcW w:w="1417"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49.0</w:t>
            </w:r>
          </w:p>
        </w:tc>
        <w:tc>
          <w:tcPr>
            <w:tcW w:w="1275"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1.5</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0.5</w:t>
            </w:r>
          </w:p>
        </w:tc>
        <w:tc>
          <w:tcPr>
            <w:tcW w:w="1118"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51.0</w:t>
            </w:r>
          </w:p>
        </w:tc>
      </w:tr>
      <w:tr w:rsidR="004E6C32" w:rsidRPr="006A75A2" w:rsidTr="004B5CB1">
        <w:tc>
          <w:tcPr>
            <w:tcW w:w="2144"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lang w:eastAsia="en-AU"/>
              </w:rPr>
              <w:t>Total</w:t>
            </w:r>
            <w:r w:rsidRPr="006A75A2">
              <w:rPr>
                <w:rFonts w:eastAsiaTheme="minorEastAsia" w:cs="Calibri"/>
                <w:b/>
                <w:bCs/>
                <w:szCs w:val="22"/>
                <w:lang w:eastAsia="en-AU"/>
              </w:rPr>
              <w:t xml:space="preserve"> financial assets</w:t>
            </w:r>
          </w:p>
        </w:tc>
        <w:tc>
          <w:tcPr>
            <w:tcW w:w="1417"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8</w:t>
            </w:r>
            <w:r w:rsidRPr="006A75A2">
              <w:rPr>
                <w:rFonts w:eastAsiaTheme="minorEastAsia" w:cs="Calibri"/>
                <w:b/>
                <w:bCs/>
                <w:szCs w:val="22"/>
                <w:lang w:eastAsia="en-AU"/>
              </w:rPr>
              <w:t xml:space="preserve"> 339.1</w:t>
            </w:r>
          </w:p>
        </w:tc>
        <w:tc>
          <w:tcPr>
            <w:tcW w:w="127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w:t>
            </w:r>
            <w:r w:rsidRPr="006A75A2">
              <w:rPr>
                <w:rFonts w:eastAsiaTheme="minorEastAsia" w:cs="Calibri"/>
                <w:b/>
                <w:bCs/>
                <w:szCs w:val="22"/>
                <w:lang w:eastAsia="en-AU"/>
              </w:rPr>
              <w:t>.</w:t>
            </w:r>
          </w:p>
        </w:tc>
        <w:tc>
          <w:tcPr>
            <w:tcW w:w="127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2</w:t>
            </w:r>
            <w:r w:rsidRPr="006A75A2">
              <w:rPr>
                <w:rFonts w:eastAsiaTheme="minorEastAsia" w:cs="Calibri"/>
                <w:b/>
                <w:bCs/>
                <w:szCs w:val="22"/>
                <w:lang w:eastAsia="en-AU"/>
              </w:rPr>
              <w:t xml:space="preserve"> 101.6</w:t>
            </w:r>
          </w:p>
        </w:tc>
        <w:tc>
          <w:tcPr>
            <w:tcW w:w="1275"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 xml:space="preserve"> </w:t>
            </w:r>
            <w:r w:rsidRPr="006A75A2">
              <w:rPr>
                <w:rFonts w:eastAsiaTheme="minorEastAsia" w:cs="Calibri"/>
                <w:b/>
                <w:bCs/>
                <w:szCs w:val="22"/>
                <w:lang w:eastAsia="en-AU"/>
              </w:rPr>
              <w:t>975.9</w:t>
            </w:r>
          </w:p>
        </w:tc>
        <w:tc>
          <w:tcPr>
            <w:tcW w:w="1134"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w:t>
            </w:r>
            <w:r w:rsidRPr="006A75A2">
              <w:rPr>
                <w:rFonts w:eastAsiaTheme="minorEastAsia" w:cs="Calibri"/>
                <w:b/>
                <w:bCs/>
                <w:szCs w:val="22"/>
                <w:lang w:eastAsia="en-AU"/>
              </w:rPr>
              <w:t xml:space="preserve"> 035.4</w:t>
            </w:r>
          </w:p>
        </w:tc>
        <w:tc>
          <w:tcPr>
            <w:tcW w:w="1118"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12</w:t>
            </w:r>
            <w:r w:rsidRPr="006A75A2">
              <w:rPr>
                <w:rFonts w:eastAsiaTheme="minorEastAsia" w:cs="Calibri"/>
                <w:b/>
                <w:bCs/>
                <w:szCs w:val="22"/>
                <w:lang w:eastAsia="en-AU"/>
              </w:rPr>
              <w:t xml:space="preserve"> 452.1</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2144"/>
        <w:gridCol w:w="1417"/>
        <w:gridCol w:w="1276"/>
        <w:gridCol w:w="1276"/>
        <w:gridCol w:w="1275"/>
        <w:gridCol w:w="1132"/>
        <w:gridCol w:w="1120"/>
      </w:tblGrid>
      <w:tr w:rsidR="004E6C32" w:rsidRPr="006A75A2" w:rsidTr="004B5CB1">
        <w:tc>
          <w:tcPr>
            <w:tcW w:w="2144"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2013</w:t>
            </w:r>
          </w:p>
        </w:tc>
        <w:tc>
          <w:tcPr>
            <w:tcW w:w="141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275"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w:t>
            </w:r>
          </w:p>
        </w:tc>
        <w:tc>
          <w:tcPr>
            <w:tcW w:w="1132"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tc>
      </w:tr>
      <w:tr w:rsidR="00AC319F" w:rsidRPr="006A75A2" w:rsidTr="006E60A8">
        <w:tc>
          <w:tcPr>
            <w:tcW w:w="9640" w:type="dxa"/>
            <w:gridSpan w:val="7"/>
            <w:tcBorders>
              <w:top w:val="single" w:sz="6" w:space="0" w:color="auto"/>
              <w:left w:val="nil"/>
              <w:bottom w:val="nil"/>
              <w:right w:val="nil"/>
            </w:tcBorders>
            <w:shd w:val="solid" w:color="FFFFFF" w:fill="auto"/>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assets</w:t>
            </w:r>
            <w:r w:rsidRPr="006A75A2">
              <w:rPr>
                <w:rFonts w:eastAsiaTheme="minorEastAsia"/>
                <w:b/>
                <w:lang w:eastAsia="en-AU"/>
              </w:rPr>
              <w:t xml:space="preserve"> </w:t>
            </w:r>
          </w:p>
        </w:tc>
      </w:tr>
      <w:tr w:rsidR="004E6C32" w:rsidRPr="006A75A2" w:rsidTr="004B5CB1">
        <w:tc>
          <w:tcPr>
            <w:tcW w:w="21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4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1 629.8</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1 479.5</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468.5</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384.1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3 962.0</w:t>
            </w:r>
          </w:p>
        </w:tc>
      </w:tr>
      <w:tr w:rsidR="004E6C32" w:rsidRPr="006A75A2" w:rsidTr="004B5CB1">
        <w:tc>
          <w:tcPr>
            <w:tcW w:w="2144" w:type="dxa"/>
            <w:tcBorders>
              <w:top w:val="nil"/>
              <w:left w:val="nil"/>
              <w:bottom w:val="nil"/>
              <w:right w:val="nil"/>
            </w:tcBorders>
            <w:shd w:val="solid" w:color="FFFFFF" w:fill="auto"/>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Receivables</w:t>
            </w:r>
            <w:r w:rsidRPr="006A75A2">
              <w:rPr>
                <w:rFonts w:eastAsiaTheme="minorEastAsia" w:cs="Calibri"/>
                <w:szCs w:val="22"/>
                <w:vertAlign w:val="superscript"/>
                <w:lang w:eastAsia="en-AU"/>
              </w:rPr>
              <w:t>(a)</w:t>
            </w:r>
          </w:p>
        </w:tc>
        <w:tc>
          <w:tcPr>
            <w:tcW w:w="14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864.3</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23.2</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29.5</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600.5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1 517.4</w:t>
            </w:r>
          </w:p>
        </w:tc>
      </w:tr>
      <w:tr w:rsidR="004E6C32" w:rsidRPr="006A75A2" w:rsidTr="004B5CB1">
        <w:tc>
          <w:tcPr>
            <w:tcW w:w="21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Advances paid</w:t>
            </w:r>
          </w:p>
        </w:tc>
        <w:tc>
          <w:tcPr>
            <w:tcW w:w="14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4 604.2</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4 626.8</w:t>
            </w:r>
          </w:p>
        </w:tc>
      </w:tr>
      <w:tr w:rsidR="004E6C32" w:rsidRPr="006A75A2" w:rsidTr="004B5CB1">
        <w:tc>
          <w:tcPr>
            <w:tcW w:w="2144"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Term deposits</w:t>
            </w:r>
          </w:p>
        </w:tc>
        <w:tc>
          <w:tcPr>
            <w:tcW w:w="14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1 753.3</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304.3</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489.3</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112.8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2 659.7</w:t>
            </w:r>
          </w:p>
        </w:tc>
      </w:tr>
      <w:tr w:rsidR="004E6C32" w:rsidRPr="006A75A2" w:rsidTr="004B5CB1">
        <w:tc>
          <w:tcPr>
            <w:tcW w:w="2144" w:type="dxa"/>
            <w:tcBorders>
              <w:top w:val="nil"/>
              <w:left w:val="nil"/>
              <w:bottom w:val="single" w:sz="6" w:space="0" w:color="auto"/>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Debt securities</w:t>
            </w:r>
          </w:p>
        </w:tc>
        <w:tc>
          <w:tcPr>
            <w:tcW w:w="141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76"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0.9</w:t>
            </w:r>
          </w:p>
        </w:tc>
        <w:tc>
          <w:tcPr>
            <w:tcW w:w="1275"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40.1</w:t>
            </w:r>
          </w:p>
        </w:tc>
        <w:tc>
          <w:tcPr>
            <w:tcW w:w="113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41.7</w:t>
            </w:r>
          </w:p>
        </w:tc>
      </w:tr>
      <w:tr w:rsidR="004E6C32" w:rsidRPr="006A75A2" w:rsidTr="004B5CB1">
        <w:tc>
          <w:tcPr>
            <w:tcW w:w="2144"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financial assets</w:t>
            </w:r>
          </w:p>
        </w:tc>
        <w:tc>
          <w:tcPr>
            <w:tcW w:w="1417"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8 851.6</w:t>
            </w:r>
          </w:p>
        </w:tc>
        <w:tc>
          <w:tcPr>
            <w:tcW w:w="127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w:t>
            </w:r>
          </w:p>
        </w:tc>
        <w:tc>
          <w:tcPr>
            <w:tcW w:w="127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1 808.0</w:t>
            </w:r>
          </w:p>
        </w:tc>
        <w:tc>
          <w:tcPr>
            <w:tcW w:w="1275"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1 027.4</w:t>
            </w:r>
          </w:p>
        </w:tc>
        <w:tc>
          <w:tcPr>
            <w:tcW w:w="113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1 120.7</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12 807.7</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June 2013 comparative figures have been restated to more accurately reflect the receivables that are neither past due nor impaired.</w:t>
      </w:r>
    </w:p>
    <w:p w:rsidR="004E6C32" w:rsidRPr="006A75A2" w:rsidRDefault="004E6C32" w:rsidP="004B5CB1"/>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2A6119" w:rsidRPr="006A75A2" w:rsidRDefault="002A6119" w:rsidP="002A6119">
      <w:pPr>
        <w:pStyle w:val="Heading5"/>
      </w:pPr>
      <w:r w:rsidRPr="006A75A2">
        <w:t>(l)</w:t>
      </w:r>
      <w:r w:rsidRPr="006A75A2">
        <w:tab/>
        <w:t xml:space="preserve">Fair value of financial instruments </w:t>
      </w:r>
      <w:r w:rsidRPr="006A75A2">
        <w:rPr>
          <w:i/>
        </w:rPr>
        <w:t>(continued)</w:t>
      </w:r>
    </w:p>
    <w:p w:rsidR="004E6C32" w:rsidRPr="006A75A2" w:rsidRDefault="004E6C32" w:rsidP="0067336F">
      <w:pPr>
        <w:pStyle w:val="Heading5a"/>
      </w:pPr>
      <w:r w:rsidRPr="006A75A2">
        <w:t>Financial assets measured at fair value</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412"/>
        <w:gridCol w:w="1275"/>
        <w:gridCol w:w="1276"/>
        <w:gridCol w:w="1418"/>
        <w:gridCol w:w="1259"/>
      </w:tblGrid>
      <w:tr w:rsidR="00AC319F" w:rsidRPr="006A75A2" w:rsidTr="006E60A8">
        <w:tc>
          <w:tcPr>
            <w:tcW w:w="4412" w:type="dxa"/>
            <w:vMerge w:val="restart"/>
            <w:tcBorders>
              <w:top w:val="single" w:sz="6" w:space="0" w:color="auto"/>
              <w:left w:val="single" w:sz="6" w:space="0" w:color="auto"/>
              <w:right w:val="nil"/>
            </w:tcBorders>
            <w:shd w:val="clear" w:color="000000" w:fill="000000"/>
          </w:tcPr>
          <w:p w:rsidR="00AC319F" w:rsidRPr="006A75A2" w:rsidRDefault="00AC319F" w:rsidP="004B5CB1">
            <w:pPr>
              <w:pStyle w:val="TabletextheadingLeft"/>
              <w:rPr>
                <w:rFonts w:eastAsiaTheme="minorEastAsia"/>
                <w:lang w:eastAsia="en-AU"/>
              </w:rPr>
            </w:pPr>
            <w:r w:rsidRPr="006A75A2">
              <w:rPr>
                <w:rFonts w:eastAsiaTheme="minorEastAsia"/>
                <w:lang w:eastAsia="en-AU"/>
              </w:rPr>
              <w:t xml:space="preserve">State of Victoria </w:t>
            </w:r>
          </w:p>
          <w:p w:rsidR="00AC319F" w:rsidRPr="006A75A2" w:rsidRDefault="00AC319F" w:rsidP="004B5CB1">
            <w:pPr>
              <w:pStyle w:val="TabletextheadingLeft"/>
              <w:rPr>
                <w:rFonts w:eastAsiaTheme="minorEastAsia"/>
                <w:lang w:eastAsia="en-AU"/>
              </w:rPr>
            </w:pPr>
          </w:p>
          <w:p w:rsidR="00AC319F" w:rsidRPr="006A75A2" w:rsidRDefault="00AC319F" w:rsidP="004B5CB1">
            <w:pPr>
              <w:pStyle w:val="TabletextheadingLeft"/>
              <w:rPr>
                <w:rFonts w:eastAsiaTheme="minorEastAsia"/>
                <w:lang w:eastAsia="en-AU"/>
              </w:rPr>
            </w:pPr>
            <w:r w:rsidRPr="006A75A2">
              <w:rPr>
                <w:rFonts w:eastAsiaTheme="minorEastAsia"/>
                <w:lang w:eastAsia="en-AU"/>
              </w:rPr>
              <w:t>2014</w:t>
            </w:r>
          </w:p>
        </w:tc>
        <w:tc>
          <w:tcPr>
            <w:tcW w:w="1275" w:type="dxa"/>
            <w:vMerge w:val="restart"/>
            <w:tcBorders>
              <w:top w:val="single" w:sz="6" w:space="0" w:color="auto"/>
              <w:left w:val="nil"/>
              <w:right w:val="nil"/>
            </w:tcBorders>
            <w:shd w:val="clear" w:color="000000" w:fill="000000"/>
          </w:tcPr>
          <w:p w:rsidR="00AC319F" w:rsidRPr="006A75A2" w:rsidRDefault="00AC319F" w:rsidP="004B5CB1">
            <w:pPr>
              <w:pStyle w:val="Tabletextheading"/>
              <w:rPr>
                <w:rFonts w:eastAsiaTheme="minorEastAsia"/>
                <w:lang w:eastAsia="en-AU"/>
              </w:rPr>
            </w:pPr>
            <w:r w:rsidRPr="006A75A2">
              <w:rPr>
                <w:rFonts w:eastAsiaTheme="minorEastAsia"/>
                <w:lang w:eastAsia="en-AU"/>
              </w:rPr>
              <w:t xml:space="preserve">Carrying </w:t>
            </w:r>
          </w:p>
          <w:p w:rsidR="00AC319F" w:rsidRPr="006A75A2" w:rsidRDefault="00AC319F" w:rsidP="00AC319F">
            <w:pPr>
              <w:pStyle w:val="Tabletextheading"/>
              <w:rPr>
                <w:rFonts w:eastAsiaTheme="minorEastAsia"/>
                <w:lang w:eastAsia="en-AU"/>
              </w:rPr>
            </w:pPr>
            <w:r w:rsidRPr="006A75A2">
              <w:rPr>
                <w:rFonts w:eastAsiaTheme="minorEastAsia"/>
                <w:lang w:eastAsia="en-AU"/>
              </w:rPr>
              <w:t xml:space="preserve">amount as at 30 June </w:t>
            </w:r>
          </w:p>
        </w:tc>
        <w:tc>
          <w:tcPr>
            <w:tcW w:w="3953" w:type="dxa"/>
            <w:gridSpan w:val="3"/>
            <w:tcBorders>
              <w:top w:val="single" w:sz="6" w:space="0" w:color="auto"/>
              <w:left w:val="nil"/>
              <w:bottom w:val="nil"/>
              <w:right w:val="single" w:sz="6" w:space="0" w:color="auto"/>
            </w:tcBorders>
            <w:shd w:val="clear" w:color="000000" w:fill="000000"/>
          </w:tcPr>
          <w:p w:rsidR="00AC319F" w:rsidRPr="006A75A2" w:rsidRDefault="00AC319F" w:rsidP="00AC319F">
            <w:pPr>
              <w:pStyle w:val="TabletextheadingCentred"/>
              <w:rPr>
                <w:rFonts w:eastAsiaTheme="minorEastAsia"/>
                <w:lang w:eastAsia="en-AU"/>
              </w:rPr>
            </w:pPr>
            <w:r w:rsidRPr="006A75A2">
              <w:rPr>
                <w:rFonts w:eastAsiaTheme="minorEastAsia"/>
                <w:lang w:eastAsia="en-AU"/>
              </w:rPr>
              <w:t xml:space="preserve">Fair value measurement at </w:t>
            </w:r>
            <w:r w:rsidRPr="006A75A2">
              <w:rPr>
                <w:rFonts w:eastAsiaTheme="minorEastAsia"/>
                <w:lang w:eastAsia="en-AU"/>
              </w:rPr>
              <w:br/>
              <w:t xml:space="preserve">end of reporting period using: </w:t>
            </w:r>
          </w:p>
        </w:tc>
      </w:tr>
      <w:tr w:rsidR="00AC319F" w:rsidRPr="006A75A2" w:rsidTr="006E60A8">
        <w:tc>
          <w:tcPr>
            <w:tcW w:w="4412" w:type="dxa"/>
            <w:vMerge/>
            <w:tcBorders>
              <w:left w:val="single" w:sz="6" w:space="0" w:color="auto"/>
              <w:bottom w:val="single" w:sz="6" w:space="0" w:color="auto"/>
              <w:right w:val="nil"/>
            </w:tcBorders>
            <w:shd w:val="clear" w:color="000000" w:fill="000000"/>
          </w:tcPr>
          <w:p w:rsidR="00AC319F" w:rsidRPr="006A75A2" w:rsidRDefault="00AC319F" w:rsidP="004B5CB1">
            <w:pPr>
              <w:pStyle w:val="TabletextheadingLeft"/>
              <w:rPr>
                <w:rFonts w:eastAsiaTheme="minorEastAsia"/>
                <w:lang w:eastAsia="en-AU"/>
              </w:rPr>
            </w:pPr>
          </w:p>
        </w:tc>
        <w:tc>
          <w:tcPr>
            <w:tcW w:w="1275" w:type="dxa"/>
            <w:vMerge/>
            <w:tcBorders>
              <w:left w:val="nil"/>
              <w:bottom w:val="single" w:sz="6" w:space="0" w:color="auto"/>
              <w:right w:val="nil"/>
            </w:tcBorders>
            <w:shd w:val="clear" w:color="000000" w:fill="000000"/>
          </w:tcPr>
          <w:p w:rsidR="00AC319F" w:rsidRPr="006A75A2" w:rsidRDefault="00AC319F" w:rsidP="004B5CB1">
            <w:pPr>
              <w:pStyle w:val="Tabletextheading"/>
              <w:rPr>
                <w:rFonts w:eastAsiaTheme="minorEastAsia"/>
                <w:lang w:eastAsia="en-AU"/>
              </w:rPr>
            </w:pPr>
          </w:p>
        </w:tc>
        <w:tc>
          <w:tcPr>
            <w:tcW w:w="1276" w:type="dxa"/>
            <w:tcBorders>
              <w:top w:val="nil"/>
              <w:left w:val="nil"/>
              <w:bottom w:val="single" w:sz="6" w:space="0" w:color="auto"/>
              <w:right w:val="nil"/>
            </w:tcBorders>
            <w:shd w:val="clear" w:color="000000" w:fill="000000"/>
          </w:tcPr>
          <w:p w:rsidR="00AC319F" w:rsidRPr="006A75A2" w:rsidRDefault="00AC319F" w:rsidP="008708FF">
            <w:pPr>
              <w:pStyle w:val="Tabletextheading"/>
              <w:rPr>
                <w:rFonts w:eastAsiaTheme="minorEastAsia"/>
                <w:vertAlign w:val="superscript"/>
                <w:lang w:eastAsia="en-AU"/>
              </w:rPr>
            </w:pPr>
            <w:r w:rsidRPr="006A75A2">
              <w:rPr>
                <w:rFonts w:eastAsiaTheme="minorEastAsia"/>
                <w:lang w:eastAsia="en-AU"/>
              </w:rPr>
              <w:t>Level 1</w:t>
            </w:r>
            <w:r w:rsidRPr="006A75A2">
              <w:rPr>
                <w:rFonts w:eastAsiaTheme="minorEastAsia"/>
                <w:vertAlign w:val="superscript"/>
                <w:lang w:eastAsia="en-AU"/>
              </w:rPr>
              <w:t>(a)</w:t>
            </w:r>
          </w:p>
        </w:tc>
        <w:tc>
          <w:tcPr>
            <w:tcW w:w="1418" w:type="dxa"/>
            <w:tcBorders>
              <w:top w:val="nil"/>
              <w:left w:val="nil"/>
              <w:bottom w:val="single" w:sz="6" w:space="0" w:color="auto"/>
              <w:right w:val="nil"/>
            </w:tcBorders>
            <w:shd w:val="clear" w:color="000000" w:fill="000000"/>
          </w:tcPr>
          <w:p w:rsidR="00AC319F" w:rsidRPr="006A75A2" w:rsidRDefault="00AC319F" w:rsidP="008708FF">
            <w:pPr>
              <w:pStyle w:val="Tabletextheading"/>
              <w:rPr>
                <w:rFonts w:eastAsiaTheme="minorEastAsia"/>
                <w:vertAlign w:val="superscript"/>
                <w:lang w:eastAsia="en-AU"/>
              </w:rPr>
            </w:pPr>
            <w:r w:rsidRPr="006A75A2">
              <w:rPr>
                <w:rFonts w:eastAsiaTheme="minorEastAsia"/>
                <w:lang w:eastAsia="en-AU"/>
              </w:rPr>
              <w:t>Level 2</w:t>
            </w:r>
            <w:r w:rsidRPr="006A75A2">
              <w:rPr>
                <w:rFonts w:eastAsiaTheme="minorEastAsia"/>
                <w:vertAlign w:val="superscript"/>
                <w:lang w:eastAsia="en-AU"/>
              </w:rPr>
              <w:t>(b)</w:t>
            </w:r>
          </w:p>
        </w:tc>
        <w:tc>
          <w:tcPr>
            <w:tcW w:w="1259" w:type="dxa"/>
            <w:tcBorders>
              <w:top w:val="nil"/>
              <w:left w:val="nil"/>
              <w:bottom w:val="single" w:sz="6" w:space="0" w:color="auto"/>
              <w:right w:val="single" w:sz="6" w:space="0" w:color="auto"/>
            </w:tcBorders>
            <w:shd w:val="clear" w:color="000000" w:fill="000000"/>
          </w:tcPr>
          <w:p w:rsidR="00AC319F" w:rsidRPr="006A75A2" w:rsidRDefault="00AC319F" w:rsidP="008708FF">
            <w:pPr>
              <w:pStyle w:val="Tabletextheading"/>
              <w:rPr>
                <w:rFonts w:eastAsiaTheme="minorEastAsia"/>
                <w:vertAlign w:val="superscript"/>
                <w:lang w:eastAsia="en-AU"/>
              </w:rPr>
            </w:pPr>
            <w:r w:rsidRPr="006A75A2">
              <w:rPr>
                <w:rFonts w:eastAsiaTheme="minorEastAsia"/>
                <w:lang w:eastAsia="en-AU"/>
              </w:rPr>
              <w:t>Level 3</w:t>
            </w:r>
            <w:r w:rsidRPr="006A75A2">
              <w:rPr>
                <w:rFonts w:eastAsiaTheme="minorEastAsia"/>
                <w:vertAlign w:val="superscript"/>
                <w:lang w:eastAsia="en-AU"/>
              </w:rPr>
              <w:t>(c)</w:t>
            </w:r>
          </w:p>
        </w:tc>
      </w:tr>
      <w:tr w:rsidR="00AC319F" w:rsidRPr="006A75A2" w:rsidTr="006E60A8">
        <w:tc>
          <w:tcPr>
            <w:tcW w:w="9640" w:type="dxa"/>
            <w:gridSpan w:val="5"/>
            <w:tcBorders>
              <w:top w:val="single" w:sz="6" w:space="0" w:color="auto"/>
              <w:left w:val="nil"/>
              <w:bottom w:val="nil"/>
              <w:right w:val="nil"/>
            </w:tcBorders>
            <w:shd w:val="solid" w:color="FFFFFF" w:fill="auto"/>
          </w:tcPr>
          <w:p w:rsidR="00AC319F" w:rsidRPr="006A75A2" w:rsidRDefault="00AC319F" w:rsidP="00AC319F">
            <w:pPr>
              <w:pStyle w:val="Tabletext"/>
              <w:rPr>
                <w:rFonts w:eastAsiaTheme="minorEastAsia"/>
                <w:b/>
                <w:lang w:eastAsia="en-AU"/>
              </w:rPr>
            </w:pPr>
            <w:r w:rsidRPr="006A75A2">
              <w:rPr>
                <w:rFonts w:eastAsiaTheme="minorEastAsia"/>
                <w:b/>
                <w:lang w:eastAsia="en-AU"/>
              </w:rPr>
              <w:t>Financial assets</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Cash</w:t>
            </w:r>
          </w:p>
        </w:tc>
        <w:tc>
          <w:tcPr>
            <w:tcW w:w="127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4 323.0</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4 323.0</w:t>
            </w:r>
          </w:p>
        </w:tc>
        <w:tc>
          <w:tcPr>
            <w:tcW w:w="14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Receivables held in investment schemes</w:t>
            </w:r>
          </w:p>
        </w:tc>
        <w:tc>
          <w:tcPr>
            <w:tcW w:w="127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59.1</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4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59.1</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assets</w:t>
            </w:r>
          </w:p>
        </w:tc>
        <w:tc>
          <w:tcPr>
            <w:tcW w:w="127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525.9</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14.4</w:t>
            </w:r>
          </w:p>
        </w:tc>
        <w:tc>
          <w:tcPr>
            <w:tcW w:w="14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511.0</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0.5</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Equities and managed investment schemes</w:t>
            </w:r>
          </w:p>
        </w:tc>
        <w:tc>
          <w:tcPr>
            <w:tcW w:w="127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16 771.7</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4 942.6</w:t>
            </w:r>
          </w:p>
        </w:tc>
        <w:tc>
          <w:tcPr>
            <w:tcW w:w="1418"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7 442.6</w:t>
            </w:r>
          </w:p>
        </w:tc>
        <w:tc>
          <w:tcPr>
            <w:tcW w:w="125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4 386.4</w:t>
            </w:r>
          </w:p>
        </w:tc>
      </w:tr>
      <w:tr w:rsidR="004E6C32" w:rsidRPr="006A75A2" w:rsidTr="004B5CB1">
        <w:tc>
          <w:tcPr>
            <w:tcW w:w="4412"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Debt securities at fair value</w:t>
            </w:r>
          </w:p>
        </w:tc>
        <w:tc>
          <w:tcPr>
            <w:tcW w:w="1275"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11 452.1</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2 038.0</w:t>
            </w:r>
          </w:p>
        </w:tc>
        <w:tc>
          <w:tcPr>
            <w:tcW w:w="1418"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9 170.7</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243.4</w:t>
            </w:r>
          </w:p>
        </w:tc>
      </w:tr>
      <w:tr w:rsidR="004E6C32" w:rsidRPr="006A75A2" w:rsidTr="004B5CB1">
        <w:tc>
          <w:tcPr>
            <w:tcW w:w="4412"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Total financial assets</w:t>
            </w:r>
          </w:p>
        </w:tc>
        <w:tc>
          <w:tcPr>
            <w:tcW w:w="1275"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33 131.7</w:t>
            </w:r>
          </w:p>
        </w:tc>
        <w:tc>
          <w:tcPr>
            <w:tcW w:w="1276"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11 318.0</w:t>
            </w:r>
          </w:p>
        </w:tc>
        <w:tc>
          <w:tcPr>
            <w:tcW w:w="1418"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17 183.3</w:t>
            </w:r>
          </w:p>
        </w:tc>
        <w:tc>
          <w:tcPr>
            <w:tcW w:w="1259"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4 630.4</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4412"/>
        <w:gridCol w:w="1275"/>
        <w:gridCol w:w="1276"/>
        <w:gridCol w:w="1418"/>
        <w:gridCol w:w="1259"/>
      </w:tblGrid>
      <w:tr w:rsidR="00AC319F" w:rsidRPr="006A75A2" w:rsidTr="006E60A8">
        <w:tc>
          <w:tcPr>
            <w:tcW w:w="9640" w:type="dxa"/>
            <w:gridSpan w:val="5"/>
            <w:tcBorders>
              <w:top w:val="single" w:sz="6" w:space="0" w:color="auto"/>
              <w:left w:val="single" w:sz="6" w:space="0" w:color="auto"/>
              <w:bottom w:val="single" w:sz="6" w:space="0" w:color="auto"/>
              <w:right w:val="single" w:sz="6" w:space="0" w:color="auto"/>
            </w:tcBorders>
            <w:shd w:val="clear" w:color="000000" w:fill="000000"/>
          </w:tcPr>
          <w:p w:rsidR="00AC319F" w:rsidRPr="006A75A2" w:rsidRDefault="00AC319F" w:rsidP="00AC319F">
            <w:pPr>
              <w:pStyle w:val="TabletextheadingLeft"/>
              <w:rPr>
                <w:rFonts w:eastAsiaTheme="minorEastAsia"/>
                <w:b/>
                <w:bCs/>
                <w:lang w:eastAsia="en-AU"/>
              </w:rPr>
            </w:pPr>
            <w:r w:rsidRPr="006A75A2">
              <w:rPr>
                <w:rFonts w:eastAsiaTheme="minorEastAsia"/>
                <w:lang w:eastAsia="en-AU"/>
              </w:rPr>
              <w:t>2013</w:t>
            </w:r>
          </w:p>
        </w:tc>
      </w:tr>
      <w:tr w:rsidR="00AC319F" w:rsidRPr="006A75A2" w:rsidTr="006E60A8">
        <w:tc>
          <w:tcPr>
            <w:tcW w:w="9640" w:type="dxa"/>
            <w:gridSpan w:val="5"/>
            <w:tcBorders>
              <w:top w:val="single" w:sz="6" w:space="0" w:color="auto"/>
              <w:left w:val="nil"/>
              <w:bottom w:val="nil"/>
              <w:right w:val="nil"/>
            </w:tcBorders>
            <w:shd w:val="solid" w:color="FFFFFF" w:fill="auto"/>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assets</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Cash</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3 008.2</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3 008.2</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Receivables held in investment schemes</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415.2</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395.0</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20.2</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Derivative assets</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713.8</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713.7</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Equities and managed investment schemes</w:t>
            </w:r>
            <w:r w:rsidRPr="006A75A2">
              <w:rPr>
                <w:rFonts w:eastAsiaTheme="minorEastAsia" w:cs="Calibri"/>
                <w:szCs w:val="22"/>
                <w:vertAlign w:val="superscript"/>
                <w:lang w:eastAsia="en-AU"/>
              </w:rPr>
              <w:t>(d)</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15 139.0</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4 394.0</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6 432.1</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4 312.9</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Debt securities at fair value</w:t>
            </w:r>
            <w:r w:rsidRPr="006A75A2">
              <w:rPr>
                <w:rFonts w:eastAsiaTheme="minorEastAsia" w:cs="Calibri"/>
                <w:szCs w:val="22"/>
                <w:vertAlign w:val="superscript"/>
                <w:lang w:eastAsia="en-AU"/>
              </w:rPr>
              <w:t>(d)</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9 178.7</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1 687.8</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7 374.9</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116.0</w:t>
            </w:r>
          </w:p>
        </w:tc>
      </w:tr>
      <w:tr w:rsidR="004E6C32" w:rsidRPr="006A75A2" w:rsidTr="004B5CB1">
        <w:tc>
          <w:tcPr>
            <w:tcW w:w="4412"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financial assets</w:t>
            </w:r>
          </w:p>
        </w:tc>
        <w:tc>
          <w:tcPr>
            <w:tcW w:w="1275"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28 454.9</w:t>
            </w:r>
          </w:p>
        </w:tc>
        <w:tc>
          <w:tcPr>
            <w:tcW w:w="1276"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9 485.0</w:t>
            </w:r>
          </w:p>
        </w:tc>
        <w:tc>
          <w:tcPr>
            <w:tcW w:w="1418"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14 540.9</w:t>
            </w:r>
          </w:p>
        </w:tc>
        <w:tc>
          <w:tcPr>
            <w:tcW w:w="1259"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4 428.9</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Quoted prices (unadjusted) in active markets for identical assets or liabilities.</w:t>
      </w:r>
    </w:p>
    <w:p w:rsidR="004E6C32" w:rsidRPr="006A75A2" w:rsidRDefault="004E6C32" w:rsidP="004B5CB1">
      <w:pPr>
        <w:pStyle w:val="Notes"/>
      </w:pPr>
      <w:r w:rsidRPr="006A75A2">
        <w:t>(b)</w:t>
      </w:r>
      <w:r w:rsidRPr="006A75A2">
        <w:tab/>
        <w:t>Inputs based on observable market data (either directly using prices or indirectly derived from prices).</w:t>
      </w:r>
    </w:p>
    <w:p w:rsidR="004E6C32" w:rsidRPr="006A75A2" w:rsidRDefault="004E6C32" w:rsidP="004B5CB1">
      <w:pPr>
        <w:pStyle w:val="Notes"/>
      </w:pPr>
      <w:r w:rsidRPr="006A75A2">
        <w:t>(c)</w:t>
      </w:r>
      <w:r w:rsidRPr="006A75A2">
        <w:tab/>
        <w:t>Inputs not based on observable market data.</w:t>
      </w:r>
    </w:p>
    <w:p w:rsidR="004E6C32" w:rsidRPr="006A75A2" w:rsidRDefault="004E6C32" w:rsidP="004B5CB1">
      <w:pPr>
        <w:pStyle w:val="Notes"/>
      </w:pPr>
      <w:r w:rsidRPr="006A75A2">
        <w:t>(d)</w:t>
      </w:r>
      <w:r w:rsidRPr="006A75A2">
        <w:tab/>
        <w:t>June 2013 comparative figures have been restated to reflect the reallocation of investment sold but not yet settled.</w:t>
      </w:r>
    </w:p>
    <w:p w:rsidR="004E6C32" w:rsidRPr="006A75A2" w:rsidRDefault="004E6C32" w:rsidP="004B5CB1"/>
    <w:p w:rsidR="004E6C32" w:rsidRPr="006A75A2" w:rsidRDefault="004E6C32" w:rsidP="004B5CB1">
      <w:pPr>
        <w:pStyle w:val="million"/>
        <w:rPr>
          <w:rFonts w:ascii="Times New Roman" w:hAnsi="Times New Roman"/>
          <w:lang w:eastAsia="en-AU"/>
        </w:rPr>
      </w:pPr>
      <w:r w:rsidRPr="006A75A2">
        <w:t>($ million)</w:t>
      </w:r>
    </w:p>
    <w:tbl>
      <w:tblPr>
        <w:tblW w:w="9664" w:type="dxa"/>
        <w:tblInd w:w="28" w:type="dxa"/>
        <w:tblLayout w:type="fixed"/>
        <w:tblCellMar>
          <w:left w:w="45" w:type="dxa"/>
          <w:right w:w="45" w:type="dxa"/>
        </w:tblCellMar>
        <w:tblLook w:val="0000" w:firstRow="0" w:lastRow="0" w:firstColumn="0" w:lastColumn="0" w:noHBand="0" w:noVBand="0"/>
      </w:tblPr>
      <w:tblGrid>
        <w:gridCol w:w="4412"/>
        <w:gridCol w:w="1275"/>
        <w:gridCol w:w="1276"/>
        <w:gridCol w:w="1418"/>
        <w:gridCol w:w="1283"/>
      </w:tblGrid>
      <w:tr w:rsidR="00AC319F" w:rsidRPr="006A75A2" w:rsidTr="006E60A8">
        <w:tc>
          <w:tcPr>
            <w:tcW w:w="4412" w:type="dxa"/>
            <w:vMerge w:val="restart"/>
            <w:tcBorders>
              <w:top w:val="single" w:sz="6" w:space="0" w:color="auto"/>
              <w:left w:val="single" w:sz="6" w:space="0" w:color="auto"/>
              <w:right w:val="nil"/>
            </w:tcBorders>
            <w:shd w:val="clear" w:color="000000" w:fill="000000"/>
          </w:tcPr>
          <w:p w:rsidR="00AC319F" w:rsidRPr="006A75A2" w:rsidRDefault="00AC319F" w:rsidP="004B5CB1">
            <w:pPr>
              <w:pStyle w:val="TabletextheadingLeft"/>
              <w:rPr>
                <w:rFonts w:eastAsiaTheme="minorEastAsia"/>
                <w:lang w:eastAsia="en-AU"/>
              </w:rPr>
            </w:pPr>
            <w:r w:rsidRPr="006A75A2">
              <w:rPr>
                <w:rFonts w:eastAsiaTheme="minorEastAsia"/>
                <w:lang w:eastAsia="en-AU"/>
              </w:rPr>
              <w:t>General government sector</w:t>
            </w:r>
          </w:p>
          <w:p w:rsidR="00AC319F" w:rsidRPr="006A75A2" w:rsidRDefault="00AC319F" w:rsidP="004B5CB1">
            <w:pPr>
              <w:pStyle w:val="TabletextheadingLeft"/>
              <w:rPr>
                <w:rFonts w:eastAsiaTheme="minorEastAsia"/>
                <w:lang w:eastAsia="en-AU"/>
              </w:rPr>
            </w:pPr>
          </w:p>
          <w:p w:rsidR="00AC319F" w:rsidRPr="006A75A2" w:rsidRDefault="00AC319F" w:rsidP="004B5CB1">
            <w:pPr>
              <w:pStyle w:val="TabletextheadingLeft"/>
              <w:rPr>
                <w:rFonts w:eastAsiaTheme="minorEastAsia"/>
                <w:lang w:eastAsia="en-AU"/>
              </w:rPr>
            </w:pPr>
            <w:r w:rsidRPr="006A75A2">
              <w:rPr>
                <w:rFonts w:eastAsiaTheme="minorEastAsia"/>
                <w:lang w:eastAsia="en-AU"/>
              </w:rPr>
              <w:t>2014</w:t>
            </w:r>
          </w:p>
        </w:tc>
        <w:tc>
          <w:tcPr>
            <w:tcW w:w="1275" w:type="dxa"/>
            <w:vMerge w:val="restart"/>
            <w:tcBorders>
              <w:top w:val="single" w:sz="6" w:space="0" w:color="auto"/>
              <w:left w:val="nil"/>
              <w:right w:val="nil"/>
            </w:tcBorders>
            <w:shd w:val="clear" w:color="000000" w:fill="000000"/>
          </w:tcPr>
          <w:p w:rsidR="00AC319F" w:rsidRPr="006A75A2" w:rsidRDefault="00AC319F" w:rsidP="004B5CB1">
            <w:pPr>
              <w:pStyle w:val="Tabletextheading"/>
              <w:rPr>
                <w:rFonts w:eastAsiaTheme="minorEastAsia"/>
                <w:lang w:eastAsia="en-AU"/>
              </w:rPr>
            </w:pPr>
            <w:r w:rsidRPr="006A75A2">
              <w:rPr>
                <w:rFonts w:eastAsiaTheme="minorEastAsia"/>
                <w:lang w:eastAsia="en-AU"/>
              </w:rPr>
              <w:t xml:space="preserve">Carrying </w:t>
            </w:r>
          </w:p>
          <w:p w:rsidR="00AC319F" w:rsidRPr="006A75A2" w:rsidRDefault="00AC319F" w:rsidP="004B5CB1">
            <w:pPr>
              <w:pStyle w:val="Tabletextheading"/>
              <w:rPr>
                <w:rFonts w:eastAsiaTheme="minorEastAsia"/>
                <w:lang w:eastAsia="en-AU"/>
              </w:rPr>
            </w:pPr>
            <w:r w:rsidRPr="006A75A2">
              <w:rPr>
                <w:rFonts w:eastAsiaTheme="minorEastAsia"/>
                <w:lang w:eastAsia="en-AU"/>
              </w:rPr>
              <w:t>amount as at</w:t>
            </w:r>
          </w:p>
          <w:p w:rsidR="00AC319F" w:rsidRPr="006A75A2" w:rsidRDefault="00AC319F" w:rsidP="004B5CB1">
            <w:pPr>
              <w:pStyle w:val="Tabletextheading"/>
              <w:rPr>
                <w:rFonts w:eastAsiaTheme="minorEastAsia"/>
                <w:lang w:eastAsia="en-AU"/>
              </w:rPr>
            </w:pPr>
            <w:r w:rsidRPr="006A75A2">
              <w:rPr>
                <w:rFonts w:eastAsiaTheme="minorEastAsia"/>
                <w:lang w:eastAsia="en-AU"/>
              </w:rPr>
              <w:t xml:space="preserve">30 June </w:t>
            </w:r>
          </w:p>
        </w:tc>
        <w:tc>
          <w:tcPr>
            <w:tcW w:w="3977" w:type="dxa"/>
            <w:gridSpan w:val="3"/>
            <w:tcBorders>
              <w:top w:val="single" w:sz="6" w:space="0" w:color="auto"/>
              <w:left w:val="nil"/>
              <w:bottom w:val="nil"/>
              <w:right w:val="single" w:sz="6" w:space="0" w:color="auto"/>
            </w:tcBorders>
            <w:shd w:val="clear" w:color="000000" w:fill="000000"/>
          </w:tcPr>
          <w:p w:rsidR="00AC319F" w:rsidRPr="006A75A2" w:rsidRDefault="00AC319F" w:rsidP="00AC319F">
            <w:pPr>
              <w:pStyle w:val="TabletextheadingCentred"/>
              <w:rPr>
                <w:rFonts w:eastAsiaTheme="minorEastAsia"/>
                <w:lang w:eastAsia="en-AU"/>
              </w:rPr>
            </w:pPr>
            <w:r w:rsidRPr="006A75A2">
              <w:rPr>
                <w:rFonts w:eastAsiaTheme="minorEastAsia"/>
                <w:lang w:eastAsia="en-AU"/>
              </w:rPr>
              <w:t>Fair value measurement at</w:t>
            </w:r>
            <w:r w:rsidRPr="006A75A2">
              <w:rPr>
                <w:rFonts w:eastAsiaTheme="minorEastAsia"/>
                <w:lang w:eastAsia="en-AU"/>
              </w:rPr>
              <w:br/>
              <w:t xml:space="preserve">end of reporting period using: </w:t>
            </w:r>
          </w:p>
        </w:tc>
      </w:tr>
      <w:tr w:rsidR="00AC319F" w:rsidRPr="006A75A2" w:rsidTr="006E60A8">
        <w:tc>
          <w:tcPr>
            <w:tcW w:w="4412" w:type="dxa"/>
            <w:vMerge/>
            <w:tcBorders>
              <w:left w:val="single" w:sz="6" w:space="0" w:color="auto"/>
              <w:bottom w:val="single" w:sz="6" w:space="0" w:color="auto"/>
              <w:right w:val="nil"/>
            </w:tcBorders>
            <w:shd w:val="clear" w:color="000000" w:fill="000000"/>
          </w:tcPr>
          <w:p w:rsidR="00AC319F" w:rsidRPr="006A75A2" w:rsidRDefault="00AC319F" w:rsidP="004B5CB1">
            <w:pPr>
              <w:pStyle w:val="TabletextheadingLeft"/>
              <w:rPr>
                <w:rFonts w:eastAsiaTheme="minorEastAsia"/>
                <w:lang w:eastAsia="en-AU"/>
              </w:rPr>
            </w:pPr>
          </w:p>
        </w:tc>
        <w:tc>
          <w:tcPr>
            <w:tcW w:w="1275" w:type="dxa"/>
            <w:vMerge/>
            <w:tcBorders>
              <w:left w:val="nil"/>
              <w:bottom w:val="single" w:sz="6" w:space="0" w:color="auto"/>
              <w:right w:val="nil"/>
            </w:tcBorders>
            <w:shd w:val="clear" w:color="000000" w:fill="000000"/>
          </w:tcPr>
          <w:p w:rsidR="00AC319F" w:rsidRPr="006A75A2" w:rsidRDefault="00AC319F" w:rsidP="004B5CB1">
            <w:pPr>
              <w:pStyle w:val="Tabletextheading"/>
              <w:rPr>
                <w:rFonts w:eastAsiaTheme="minorEastAsia"/>
                <w:lang w:eastAsia="en-AU"/>
              </w:rPr>
            </w:pPr>
          </w:p>
        </w:tc>
        <w:tc>
          <w:tcPr>
            <w:tcW w:w="1276" w:type="dxa"/>
            <w:tcBorders>
              <w:top w:val="nil"/>
              <w:left w:val="nil"/>
              <w:bottom w:val="single" w:sz="6" w:space="0" w:color="auto"/>
              <w:right w:val="nil"/>
            </w:tcBorders>
            <w:shd w:val="clear" w:color="000000" w:fill="000000"/>
          </w:tcPr>
          <w:p w:rsidR="00AC319F" w:rsidRPr="006A75A2" w:rsidRDefault="00AC319F" w:rsidP="008708FF">
            <w:pPr>
              <w:pStyle w:val="Tabletextheading"/>
              <w:rPr>
                <w:rFonts w:eastAsiaTheme="minorEastAsia"/>
                <w:vertAlign w:val="superscript"/>
                <w:lang w:eastAsia="en-AU"/>
              </w:rPr>
            </w:pPr>
            <w:r w:rsidRPr="006A75A2">
              <w:rPr>
                <w:rFonts w:eastAsiaTheme="minorEastAsia"/>
                <w:lang w:eastAsia="en-AU"/>
              </w:rPr>
              <w:t>Level 1</w:t>
            </w:r>
            <w:r w:rsidRPr="006A75A2">
              <w:rPr>
                <w:rFonts w:eastAsiaTheme="minorEastAsia"/>
                <w:vertAlign w:val="superscript"/>
                <w:lang w:eastAsia="en-AU"/>
              </w:rPr>
              <w:t>(a)</w:t>
            </w:r>
          </w:p>
        </w:tc>
        <w:tc>
          <w:tcPr>
            <w:tcW w:w="1418" w:type="dxa"/>
            <w:tcBorders>
              <w:top w:val="nil"/>
              <w:left w:val="nil"/>
              <w:bottom w:val="single" w:sz="6" w:space="0" w:color="auto"/>
              <w:right w:val="nil"/>
            </w:tcBorders>
            <w:shd w:val="clear" w:color="000000" w:fill="000000"/>
          </w:tcPr>
          <w:p w:rsidR="00AC319F" w:rsidRPr="006A75A2" w:rsidRDefault="00AC319F" w:rsidP="008708FF">
            <w:pPr>
              <w:pStyle w:val="Tabletextheading"/>
              <w:rPr>
                <w:rFonts w:eastAsiaTheme="minorEastAsia"/>
                <w:vertAlign w:val="superscript"/>
                <w:lang w:eastAsia="en-AU"/>
              </w:rPr>
            </w:pPr>
            <w:r w:rsidRPr="006A75A2">
              <w:rPr>
                <w:rFonts w:eastAsiaTheme="minorEastAsia"/>
                <w:lang w:eastAsia="en-AU"/>
              </w:rPr>
              <w:t>Level 2</w:t>
            </w:r>
            <w:r w:rsidRPr="006A75A2">
              <w:rPr>
                <w:rFonts w:eastAsiaTheme="minorEastAsia"/>
                <w:vertAlign w:val="superscript"/>
                <w:lang w:eastAsia="en-AU"/>
              </w:rPr>
              <w:t>(b)</w:t>
            </w:r>
          </w:p>
        </w:tc>
        <w:tc>
          <w:tcPr>
            <w:tcW w:w="1283" w:type="dxa"/>
            <w:tcBorders>
              <w:top w:val="nil"/>
              <w:left w:val="nil"/>
              <w:bottom w:val="single" w:sz="6" w:space="0" w:color="auto"/>
              <w:right w:val="single" w:sz="6" w:space="0" w:color="auto"/>
            </w:tcBorders>
            <w:shd w:val="clear" w:color="000000" w:fill="000000"/>
          </w:tcPr>
          <w:p w:rsidR="00AC319F" w:rsidRPr="006A75A2" w:rsidRDefault="00AC319F" w:rsidP="008708FF">
            <w:pPr>
              <w:pStyle w:val="Tabletextheading"/>
              <w:rPr>
                <w:rFonts w:eastAsiaTheme="minorEastAsia"/>
                <w:vertAlign w:val="superscript"/>
                <w:lang w:eastAsia="en-AU"/>
              </w:rPr>
            </w:pPr>
            <w:r w:rsidRPr="006A75A2">
              <w:rPr>
                <w:rFonts w:eastAsiaTheme="minorEastAsia"/>
                <w:lang w:eastAsia="en-AU"/>
              </w:rPr>
              <w:t>Level 3</w:t>
            </w:r>
            <w:r w:rsidRPr="006A75A2">
              <w:rPr>
                <w:rFonts w:eastAsiaTheme="minorEastAsia"/>
                <w:vertAlign w:val="superscript"/>
                <w:lang w:eastAsia="en-AU"/>
              </w:rPr>
              <w:t>(c)</w:t>
            </w:r>
          </w:p>
        </w:tc>
      </w:tr>
      <w:tr w:rsidR="00AC319F" w:rsidRPr="006A75A2" w:rsidTr="006E60A8">
        <w:tc>
          <w:tcPr>
            <w:tcW w:w="9664" w:type="dxa"/>
            <w:gridSpan w:val="5"/>
            <w:tcBorders>
              <w:top w:val="single" w:sz="6" w:space="0" w:color="auto"/>
              <w:left w:val="nil"/>
              <w:bottom w:val="nil"/>
              <w:right w:val="nil"/>
            </w:tcBorders>
            <w:shd w:val="solid" w:color="FFFFFF" w:fill="auto"/>
          </w:tcPr>
          <w:p w:rsidR="00AC319F" w:rsidRPr="006A75A2" w:rsidRDefault="00AC319F" w:rsidP="00AC319F">
            <w:pPr>
              <w:pStyle w:val="Tabletext"/>
              <w:rPr>
                <w:rFonts w:eastAsiaTheme="minorEastAsia"/>
                <w:b/>
                <w:lang w:eastAsia="en-AU"/>
              </w:rPr>
            </w:pPr>
            <w:r w:rsidRPr="006A75A2">
              <w:rPr>
                <w:rFonts w:eastAsiaTheme="minorEastAsia"/>
                <w:b/>
                <w:lang w:eastAsia="en-AU"/>
              </w:rPr>
              <w:t>Financial assets</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Equities</w:t>
            </w:r>
            <w:r w:rsidRPr="006A75A2">
              <w:rPr>
                <w:rFonts w:eastAsiaTheme="minorEastAsia" w:cs="Calibri"/>
                <w:szCs w:val="22"/>
                <w:lang w:eastAsia="en-AU"/>
              </w:rPr>
              <w:t xml:space="preserve"> and managed investment schemes</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952.2</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391.2</w:t>
            </w:r>
          </w:p>
        </w:tc>
        <w:tc>
          <w:tcPr>
            <w:tcW w:w="14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553.7</w:t>
            </w:r>
          </w:p>
        </w:tc>
        <w:tc>
          <w:tcPr>
            <w:tcW w:w="128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7.3</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Debt</w:t>
            </w:r>
            <w:r w:rsidRPr="006A75A2">
              <w:rPr>
                <w:rFonts w:eastAsiaTheme="minorEastAsia" w:cs="Calibri"/>
                <w:szCs w:val="22"/>
                <w:lang w:eastAsia="en-AU"/>
              </w:rPr>
              <w:t xml:space="preserve"> securities at fair value</w:t>
            </w:r>
          </w:p>
        </w:tc>
        <w:tc>
          <w:tcPr>
            <w:tcW w:w="1275"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51.0</w:t>
            </w:r>
          </w:p>
        </w:tc>
        <w:tc>
          <w:tcPr>
            <w:tcW w:w="1276"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50.5</w:t>
            </w:r>
          </w:p>
        </w:tc>
        <w:tc>
          <w:tcPr>
            <w:tcW w:w="14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r w:rsidRPr="006A75A2">
              <w:rPr>
                <w:rFonts w:eastAsiaTheme="minorEastAsia" w:cs="Calibri"/>
                <w:szCs w:val="22"/>
                <w:lang w:eastAsia="en-AU"/>
              </w:rPr>
              <w:t>.</w:t>
            </w:r>
          </w:p>
        </w:tc>
        <w:tc>
          <w:tcPr>
            <w:tcW w:w="1283"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w:t>
            </w:r>
            <w:r w:rsidRPr="006A75A2">
              <w:rPr>
                <w:rFonts w:eastAsiaTheme="minorEastAsia" w:cs="Calibri"/>
                <w:szCs w:val="22"/>
                <w:lang w:eastAsia="en-AU"/>
              </w:rPr>
              <w:t>0.5</w:t>
            </w:r>
          </w:p>
        </w:tc>
      </w:tr>
      <w:tr w:rsidR="004E6C32" w:rsidRPr="006A75A2" w:rsidTr="004B5CB1">
        <w:tc>
          <w:tcPr>
            <w:tcW w:w="4412"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text"/>
              <w:rPr>
                <w:rFonts w:eastAsiaTheme="minorEastAsia" w:cs="Calibri"/>
                <w:b/>
                <w:bCs/>
                <w:szCs w:val="22"/>
                <w:lang w:eastAsia="en-AU"/>
              </w:rPr>
            </w:pPr>
            <w:r w:rsidRPr="006A75A2">
              <w:rPr>
                <w:rFonts w:eastAsiaTheme="minorEastAsia"/>
                <w:b/>
                <w:lang w:eastAsia="en-AU"/>
              </w:rPr>
              <w:t>Total</w:t>
            </w:r>
            <w:r w:rsidRPr="006A75A2">
              <w:rPr>
                <w:rFonts w:eastAsiaTheme="minorEastAsia" w:cs="Calibri"/>
                <w:b/>
                <w:bCs/>
                <w:szCs w:val="22"/>
                <w:lang w:eastAsia="en-AU"/>
              </w:rPr>
              <w:t xml:space="preserve"> financial assets </w:t>
            </w:r>
          </w:p>
        </w:tc>
        <w:tc>
          <w:tcPr>
            <w:tcW w:w="1275"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1</w:t>
            </w:r>
            <w:r w:rsidRPr="006A75A2">
              <w:rPr>
                <w:rFonts w:eastAsiaTheme="minorEastAsia" w:cs="Calibri"/>
                <w:b/>
                <w:bCs/>
                <w:szCs w:val="22"/>
                <w:lang w:eastAsia="en-AU"/>
              </w:rPr>
              <w:t xml:space="preserve"> 003.2</w:t>
            </w:r>
          </w:p>
        </w:tc>
        <w:tc>
          <w:tcPr>
            <w:tcW w:w="1276"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 xml:space="preserve"> </w:t>
            </w:r>
            <w:r w:rsidRPr="006A75A2">
              <w:rPr>
                <w:rFonts w:eastAsiaTheme="minorEastAsia" w:cs="Calibri"/>
                <w:b/>
                <w:bCs/>
                <w:szCs w:val="22"/>
                <w:lang w:eastAsia="en-AU"/>
              </w:rPr>
              <w:t>441.7</w:t>
            </w:r>
          </w:p>
        </w:tc>
        <w:tc>
          <w:tcPr>
            <w:tcW w:w="1418"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 xml:space="preserve"> </w:t>
            </w:r>
            <w:r w:rsidRPr="006A75A2">
              <w:rPr>
                <w:rFonts w:eastAsiaTheme="minorEastAsia" w:cs="Calibri"/>
                <w:b/>
                <w:bCs/>
                <w:szCs w:val="22"/>
                <w:lang w:eastAsia="en-AU"/>
              </w:rPr>
              <w:t>553.7</w:t>
            </w:r>
          </w:p>
        </w:tc>
        <w:tc>
          <w:tcPr>
            <w:tcW w:w="1283"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lang w:eastAsia="en-AU"/>
              </w:rPr>
              <w:t xml:space="preserve"> </w:t>
            </w:r>
            <w:r w:rsidRPr="006A75A2">
              <w:rPr>
                <w:rFonts w:eastAsiaTheme="minorEastAsia" w:cs="Calibri"/>
                <w:b/>
                <w:bCs/>
                <w:szCs w:val="22"/>
                <w:lang w:eastAsia="en-AU"/>
              </w:rPr>
              <w:t>7.8</w:t>
            </w:r>
          </w:p>
        </w:tc>
      </w:tr>
    </w:tbl>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4412"/>
        <w:gridCol w:w="1275"/>
        <w:gridCol w:w="1276"/>
        <w:gridCol w:w="1418"/>
        <w:gridCol w:w="1259"/>
      </w:tblGrid>
      <w:tr w:rsidR="00AC319F" w:rsidRPr="006A75A2" w:rsidTr="006E60A8">
        <w:tc>
          <w:tcPr>
            <w:tcW w:w="9640" w:type="dxa"/>
            <w:gridSpan w:val="5"/>
            <w:tcBorders>
              <w:top w:val="single" w:sz="6" w:space="0" w:color="auto"/>
              <w:left w:val="single" w:sz="6" w:space="0" w:color="auto"/>
              <w:bottom w:val="single" w:sz="6" w:space="0" w:color="auto"/>
              <w:right w:val="single" w:sz="6" w:space="0" w:color="auto"/>
            </w:tcBorders>
            <w:shd w:val="clear" w:color="000000" w:fill="000000"/>
          </w:tcPr>
          <w:p w:rsidR="00AC319F" w:rsidRPr="006A75A2" w:rsidRDefault="00AC319F" w:rsidP="00AC319F">
            <w:pPr>
              <w:pStyle w:val="TabletextheadingLeft"/>
              <w:rPr>
                <w:rFonts w:eastAsiaTheme="minorEastAsia"/>
                <w:b/>
                <w:bCs/>
                <w:lang w:eastAsia="en-AU"/>
              </w:rPr>
            </w:pPr>
            <w:r w:rsidRPr="006A75A2">
              <w:rPr>
                <w:rFonts w:eastAsiaTheme="minorEastAsia"/>
                <w:lang w:eastAsia="en-AU"/>
              </w:rPr>
              <w:t>2013</w:t>
            </w:r>
          </w:p>
        </w:tc>
      </w:tr>
      <w:tr w:rsidR="00AC319F" w:rsidRPr="006A75A2" w:rsidTr="006E60A8">
        <w:tc>
          <w:tcPr>
            <w:tcW w:w="9640" w:type="dxa"/>
            <w:gridSpan w:val="5"/>
            <w:tcBorders>
              <w:top w:val="single" w:sz="6" w:space="0" w:color="auto"/>
              <w:left w:val="nil"/>
              <w:bottom w:val="nil"/>
              <w:right w:val="nil"/>
            </w:tcBorders>
            <w:shd w:val="solid" w:color="FFFFFF" w:fill="auto"/>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assets</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cs="Calibri"/>
                <w:sz w:val="15"/>
                <w:szCs w:val="15"/>
                <w:vertAlign w:val="superscript"/>
                <w:lang w:eastAsia="en-AU"/>
              </w:rPr>
            </w:pPr>
            <w:r w:rsidRPr="006A75A2">
              <w:rPr>
                <w:rFonts w:eastAsiaTheme="minorEastAsia"/>
                <w:lang w:eastAsia="en-AU"/>
              </w:rPr>
              <w:t xml:space="preserve">Equities and managed investment schemes </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681.9</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331.8</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307.0</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43.2</w:t>
            </w:r>
          </w:p>
        </w:tc>
      </w:tr>
      <w:tr w:rsidR="004E6C32" w:rsidRPr="006A75A2" w:rsidTr="004B5CB1">
        <w:tc>
          <w:tcPr>
            <w:tcW w:w="4412"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Debt securities at fair value</w:t>
            </w:r>
          </w:p>
        </w:tc>
        <w:tc>
          <w:tcPr>
            <w:tcW w:w="1275"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41.7</w:t>
            </w:r>
          </w:p>
        </w:tc>
        <w:tc>
          <w:tcPr>
            <w:tcW w:w="1276"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41.1</w:t>
            </w:r>
          </w:p>
        </w:tc>
        <w:tc>
          <w:tcPr>
            <w:tcW w:w="1418"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259"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0.6</w:t>
            </w:r>
          </w:p>
        </w:tc>
      </w:tr>
      <w:tr w:rsidR="004E6C32" w:rsidRPr="006A75A2" w:rsidTr="004B5CB1">
        <w:tc>
          <w:tcPr>
            <w:tcW w:w="4412"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financial assets</w:t>
            </w:r>
          </w:p>
        </w:tc>
        <w:tc>
          <w:tcPr>
            <w:tcW w:w="1275"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723.7</w:t>
            </w:r>
          </w:p>
        </w:tc>
        <w:tc>
          <w:tcPr>
            <w:tcW w:w="1276"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372.9</w:t>
            </w:r>
          </w:p>
        </w:tc>
        <w:tc>
          <w:tcPr>
            <w:tcW w:w="1418"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307.0</w:t>
            </w:r>
          </w:p>
        </w:tc>
        <w:tc>
          <w:tcPr>
            <w:tcW w:w="1259"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43.8</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Quoted prices (unadjusted) in active markets for identical assets or liabilities.</w:t>
      </w:r>
    </w:p>
    <w:p w:rsidR="004E6C32" w:rsidRPr="006A75A2" w:rsidRDefault="004E6C32" w:rsidP="004B5CB1">
      <w:pPr>
        <w:pStyle w:val="Notes"/>
      </w:pPr>
      <w:r w:rsidRPr="006A75A2">
        <w:t xml:space="preserve">(b) </w:t>
      </w:r>
      <w:r w:rsidRPr="006A75A2">
        <w:tab/>
        <w:t>Inputs based on observable market data (either directly using prices or indirectly derived from prices).</w:t>
      </w:r>
    </w:p>
    <w:p w:rsidR="004E6C32" w:rsidRPr="006A75A2" w:rsidRDefault="004E6C32" w:rsidP="004B5CB1">
      <w:pPr>
        <w:pStyle w:val="Notes"/>
      </w:pPr>
      <w:r w:rsidRPr="006A75A2">
        <w:t xml:space="preserve">(c) </w:t>
      </w:r>
      <w:r w:rsidRPr="006A75A2">
        <w:tab/>
        <w:t>Inputs not based on observable market data.</w:t>
      </w:r>
    </w:p>
    <w:p w:rsidR="004E6C32" w:rsidRPr="006A75A2" w:rsidRDefault="004E6C32" w:rsidP="004B5CB1">
      <w:pPr>
        <w:pStyle w:val="Notes"/>
      </w:pPr>
    </w:p>
    <w:p w:rsidR="004E6C32" w:rsidRPr="006A75A2" w:rsidRDefault="004E6C32" w:rsidP="0067336F">
      <w:pPr>
        <w:pStyle w:val="Heading5a"/>
      </w:pPr>
    </w:p>
    <w:p w:rsidR="004E6C32" w:rsidRPr="006A75A2" w:rsidRDefault="004E6C32" w:rsidP="0067336F">
      <w:pPr>
        <w:pStyle w:val="Heading5a"/>
      </w:pPr>
      <w:r w:rsidRPr="006A75A2">
        <w:t>Significant transfers between Level 1 and Level 2</w:t>
      </w:r>
    </w:p>
    <w:p w:rsidR="004E6C32" w:rsidRPr="006A75A2" w:rsidRDefault="004E6C32">
      <w:pPr>
        <w:spacing w:after="0"/>
        <w:rPr>
          <w:rFonts w:ascii="Calibri" w:hAnsi="Calibri"/>
          <w:i/>
          <w:sz w:val="23"/>
        </w:rPr>
      </w:pPr>
      <w:r w:rsidRPr="006A75A2">
        <w:t>There were no significant transfers identified between Levels 1 and 2.</w:t>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2A6119" w:rsidRPr="006A75A2" w:rsidRDefault="002A6119" w:rsidP="002A6119">
      <w:pPr>
        <w:pStyle w:val="Heading5"/>
      </w:pPr>
      <w:r w:rsidRPr="006A75A2">
        <w:t>(l)</w:t>
      </w:r>
      <w:r w:rsidRPr="006A75A2">
        <w:tab/>
        <w:t xml:space="preserve">Fair value of financial instruments </w:t>
      </w:r>
      <w:r w:rsidRPr="006A75A2">
        <w:rPr>
          <w:i/>
        </w:rPr>
        <w:t>(continued)</w:t>
      </w:r>
    </w:p>
    <w:p w:rsidR="004E6C32" w:rsidRPr="006A75A2" w:rsidRDefault="004E6C32" w:rsidP="0067336F">
      <w:pPr>
        <w:pStyle w:val="Heading5a"/>
      </w:pPr>
      <w:r w:rsidRPr="006A75A2">
        <w:t>Reconciliation of Level 3 fair value movements</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2920"/>
        <w:gridCol w:w="1120"/>
        <w:gridCol w:w="1120"/>
        <w:gridCol w:w="1120"/>
        <w:gridCol w:w="1120"/>
        <w:gridCol w:w="1120"/>
        <w:gridCol w:w="1120"/>
      </w:tblGrid>
      <w:tr w:rsidR="00AC319F" w:rsidRPr="006A75A2" w:rsidTr="006E60A8">
        <w:tc>
          <w:tcPr>
            <w:tcW w:w="2920" w:type="dxa"/>
            <w:tcBorders>
              <w:top w:val="single" w:sz="6" w:space="0" w:color="auto"/>
              <w:left w:val="single" w:sz="6" w:space="0" w:color="auto"/>
              <w:bottom w:val="nil"/>
              <w:right w:val="nil"/>
            </w:tcBorders>
            <w:shd w:val="clear" w:color="000000" w:fill="000000"/>
          </w:tcPr>
          <w:p w:rsidR="00AC319F" w:rsidRPr="006A75A2" w:rsidRDefault="00AC319F"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AC319F" w:rsidRPr="006A75A2" w:rsidRDefault="00AC319F" w:rsidP="004B5CB1">
            <w:pPr>
              <w:pStyle w:val="TabletextheadingCentred"/>
              <w:rPr>
                <w:rFonts w:eastAsiaTheme="minorEastAsia"/>
                <w:lang w:eastAsia="en-AU"/>
              </w:rPr>
            </w:pPr>
          </w:p>
          <w:p w:rsidR="00AC319F" w:rsidRPr="006A75A2" w:rsidRDefault="00AC319F" w:rsidP="004B5CB1">
            <w:pPr>
              <w:pStyle w:val="TabletextheadingCentred"/>
              <w:rPr>
                <w:rFonts w:eastAsiaTheme="minorEastAsia"/>
                <w:lang w:eastAsia="en-AU"/>
              </w:rPr>
            </w:pPr>
          </w:p>
          <w:p w:rsidR="00AC319F" w:rsidRPr="006A75A2" w:rsidRDefault="00AC319F" w:rsidP="004B5CB1">
            <w:pPr>
              <w:pStyle w:val="TabletextheadingCentred"/>
              <w:rPr>
                <w:rFonts w:eastAsiaTheme="minorEastAsia"/>
                <w:lang w:eastAsia="en-AU"/>
              </w:rPr>
            </w:pPr>
            <w:r w:rsidRPr="006A75A2">
              <w:rPr>
                <w:rFonts w:eastAsiaTheme="minorEastAsia"/>
                <w:lang w:eastAsia="en-AU"/>
              </w:rPr>
              <w:t>Derivative assets</w:t>
            </w:r>
          </w:p>
        </w:tc>
        <w:tc>
          <w:tcPr>
            <w:tcW w:w="2240" w:type="dxa"/>
            <w:gridSpan w:val="2"/>
            <w:tcBorders>
              <w:top w:val="single" w:sz="6" w:space="0" w:color="auto"/>
              <w:left w:val="nil"/>
              <w:bottom w:val="nil"/>
              <w:right w:val="nil"/>
            </w:tcBorders>
            <w:shd w:val="clear" w:color="000000" w:fill="000000"/>
          </w:tcPr>
          <w:p w:rsidR="00AC319F" w:rsidRPr="006A75A2" w:rsidRDefault="00AC319F" w:rsidP="00AC319F">
            <w:pPr>
              <w:pStyle w:val="TabletextheadingCentred"/>
              <w:rPr>
                <w:rFonts w:eastAsiaTheme="minorEastAsia"/>
                <w:lang w:eastAsia="en-AU"/>
              </w:rPr>
            </w:pPr>
            <w:r w:rsidRPr="006A75A2">
              <w:rPr>
                <w:rFonts w:eastAsiaTheme="minorEastAsia"/>
                <w:lang w:eastAsia="en-AU"/>
              </w:rPr>
              <w:t xml:space="preserve">Equities </w:t>
            </w:r>
            <w:r w:rsidRPr="006A75A2">
              <w:rPr>
                <w:rFonts w:eastAsiaTheme="minorEastAsia"/>
                <w:lang w:eastAsia="en-AU"/>
              </w:rPr>
              <w:br/>
              <w:t>and managed</w:t>
            </w:r>
            <w:r w:rsidRPr="006A75A2">
              <w:rPr>
                <w:rFonts w:eastAsiaTheme="minorEastAsia"/>
                <w:lang w:eastAsia="en-AU"/>
              </w:rPr>
              <w:br/>
              <w:t>investment schemes</w:t>
            </w:r>
          </w:p>
        </w:tc>
        <w:tc>
          <w:tcPr>
            <w:tcW w:w="2240" w:type="dxa"/>
            <w:gridSpan w:val="2"/>
            <w:tcBorders>
              <w:top w:val="single" w:sz="6" w:space="0" w:color="auto"/>
              <w:left w:val="nil"/>
              <w:bottom w:val="nil"/>
              <w:right w:val="single" w:sz="6" w:space="0" w:color="auto"/>
            </w:tcBorders>
            <w:shd w:val="clear" w:color="000000" w:fill="000000"/>
          </w:tcPr>
          <w:p w:rsidR="00AC319F" w:rsidRPr="006A75A2" w:rsidRDefault="00AC319F" w:rsidP="004B5CB1">
            <w:pPr>
              <w:pStyle w:val="TabletextheadingCentred"/>
              <w:rPr>
                <w:rFonts w:eastAsiaTheme="minorEastAsia"/>
                <w:lang w:eastAsia="en-AU"/>
              </w:rPr>
            </w:pPr>
          </w:p>
          <w:p w:rsidR="00AC319F" w:rsidRPr="006A75A2" w:rsidRDefault="00AC319F" w:rsidP="004B5CB1">
            <w:pPr>
              <w:pStyle w:val="TabletextheadingCentred"/>
              <w:rPr>
                <w:rFonts w:eastAsiaTheme="minorEastAsia"/>
                <w:lang w:eastAsia="en-AU"/>
              </w:rPr>
            </w:pPr>
            <w:r w:rsidRPr="006A75A2">
              <w:rPr>
                <w:rFonts w:eastAsiaTheme="minorEastAsia"/>
                <w:lang w:eastAsia="en-AU"/>
              </w:rPr>
              <w:t>Debt securities at fair value</w:t>
            </w:r>
          </w:p>
        </w:tc>
      </w:tr>
      <w:tr w:rsidR="004E6C32" w:rsidRPr="006A75A2" w:rsidTr="004B5CB1">
        <w:tc>
          <w:tcPr>
            <w:tcW w:w="2920" w:type="dxa"/>
            <w:tcBorders>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State of Victoria</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2920" w:type="dxa"/>
            <w:tcBorders>
              <w:top w:val="single" w:sz="6" w:space="0" w:color="auto"/>
              <w:left w:val="nil"/>
              <w:bottom w:val="nil"/>
              <w:right w:val="nil"/>
            </w:tcBorders>
          </w:tcPr>
          <w:p w:rsidR="004E6C32" w:rsidRPr="006A75A2" w:rsidRDefault="004E6C32" w:rsidP="004B5CB1">
            <w:pPr>
              <w:pStyle w:val="Tabletext"/>
              <w:rPr>
                <w:rFonts w:eastAsiaTheme="minorEastAsia"/>
                <w:b/>
                <w:lang w:eastAsia="en-AU"/>
              </w:rPr>
            </w:pPr>
            <w:r w:rsidRPr="006A75A2">
              <w:rPr>
                <w:rFonts w:eastAsiaTheme="minorEastAsia"/>
                <w:b/>
                <w:lang w:eastAsia="en-AU"/>
              </w:rPr>
              <w:t>Opening balance</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61.2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4 312.9</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550.8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116.0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107.2</w:t>
            </w:r>
          </w:p>
        </w:tc>
      </w:tr>
      <w:tr w:rsidR="00AC319F" w:rsidRPr="006A75A2" w:rsidTr="006E60A8">
        <w:tc>
          <w:tcPr>
            <w:tcW w:w="9640" w:type="dxa"/>
            <w:gridSpan w:val="7"/>
            <w:tcBorders>
              <w:top w:val="nil"/>
              <w:left w:val="nil"/>
              <w:bottom w:val="nil"/>
              <w:right w:val="nil"/>
            </w:tcBorders>
          </w:tcPr>
          <w:p w:rsidR="00AC319F" w:rsidRPr="006A75A2" w:rsidRDefault="00AC319F" w:rsidP="00AC319F">
            <w:pPr>
              <w:pStyle w:val="Tabletext"/>
              <w:rPr>
                <w:rFonts w:eastAsiaTheme="minorEastAsia"/>
                <w:lang w:eastAsia="en-AU"/>
              </w:rPr>
            </w:pPr>
            <w:r w:rsidRPr="006A75A2">
              <w:rPr>
                <w:rFonts w:eastAsiaTheme="minorEastAsia"/>
                <w:lang w:eastAsia="en-AU"/>
              </w:rPr>
              <w:t>Total gains and losses recognised in:</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(280.9)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Purchase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723.7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306.1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(325.6)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(113.7)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(59.4)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(0.2)</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Settlements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(22.3)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(8.2)</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Transfers from other levels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3 716.6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202.1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8.8</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Transfers out of Level 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(21.6)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(249.9)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(3.0)</w:t>
            </w:r>
          </w:p>
        </w:tc>
      </w:tr>
      <w:tr w:rsidR="004E6C32" w:rsidRPr="006A75A2" w:rsidTr="004B5CB1">
        <w:tc>
          <w:tcPr>
            <w:tcW w:w="2920" w:type="dxa"/>
            <w:tcBorders>
              <w:top w:val="single" w:sz="6" w:space="0" w:color="auto"/>
              <w:left w:val="nil"/>
              <w:bottom w:val="single" w:sz="12" w:space="0" w:color="auto"/>
              <w:right w:val="nil"/>
            </w:tcBorders>
            <w:shd w:val="solid" w:color="FFFFFF"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Closing balance</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0.5</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4 386.4</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4 312.9</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243.4</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116.0</w:t>
            </w:r>
          </w:p>
        </w:tc>
      </w:tr>
      <w:tr w:rsidR="004E6C32" w:rsidRPr="006A75A2" w:rsidTr="004B5CB1">
        <w:trPr>
          <w:trHeight w:hRule="exact" w:val="120"/>
        </w:trPr>
        <w:tc>
          <w:tcPr>
            <w:tcW w:w="2920" w:type="dxa"/>
            <w:tcBorders>
              <w:top w:val="nil"/>
              <w:left w:val="nil"/>
              <w:bottom w:val="nil"/>
              <w:right w:val="nil"/>
            </w:tcBorders>
          </w:tcPr>
          <w:p w:rsidR="004E6C32" w:rsidRPr="006A75A2" w:rsidRDefault="004E6C32" w:rsidP="004B5CB1">
            <w:pPr>
              <w:pStyle w:val="Tabletext"/>
              <w:rPr>
                <w:rFonts w:eastAsiaTheme="minorEastAsia"/>
                <w:i/>
                <w:iCs/>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r>
      <w:tr w:rsidR="00AC319F" w:rsidRPr="006A75A2" w:rsidTr="006E60A8">
        <w:tc>
          <w:tcPr>
            <w:tcW w:w="9640" w:type="dxa"/>
            <w:gridSpan w:val="7"/>
            <w:tcBorders>
              <w:top w:val="single" w:sz="6" w:space="0" w:color="auto"/>
              <w:left w:val="nil"/>
              <w:bottom w:val="single" w:sz="6" w:space="0" w:color="auto"/>
              <w:right w:val="nil"/>
            </w:tcBorders>
            <w:shd w:val="solid" w:color="000000" w:fill="auto"/>
          </w:tcPr>
          <w:p w:rsidR="00AC319F" w:rsidRPr="006A75A2" w:rsidRDefault="00AC319F" w:rsidP="00AC319F">
            <w:pPr>
              <w:pStyle w:val="Tabletext"/>
              <w:rPr>
                <w:rFonts w:eastAsiaTheme="minorEastAsia"/>
                <w:i/>
                <w:iCs/>
                <w:lang w:eastAsia="en-AU"/>
              </w:rPr>
            </w:pPr>
            <w:r w:rsidRPr="006A75A2">
              <w:rPr>
                <w:rFonts w:eastAsiaTheme="minorEastAsia"/>
                <w:i/>
                <w:iCs/>
                <w:lang w:eastAsia="en-AU"/>
              </w:rPr>
              <w:t>General government sector</w:t>
            </w:r>
          </w:p>
        </w:tc>
      </w:tr>
      <w:tr w:rsidR="004E6C32" w:rsidRPr="006A75A2" w:rsidTr="004B5CB1">
        <w:tc>
          <w:tcPr>
            <w:tcW w:w="2920" w:type="dxa"/>
            <w:tcBorders>
              <w:top w:val="nil"/>
              <w:left w:val="nil"/>
              <w:bottom w:val="nil"/>
              <w:right w:val="nil"/>
            </w:tcBorders>
            <w:shd w:val="solid" w:color="FFFFFF"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Opening balance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43.1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122.2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0.6</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0.8</w:t>
            </w:r>
          </w:p>
        </w:tc>
      </w:tr>
      <w:tr w:rsidR="00AC319F" w:rsidRPr="006A75A2" w:rsidTr="006E60A8">
        <w:tc>
          <w:tcPr>
            <w:tcW w:w="9640" w:type="dxa"/>
            <w:gridSpan w:val="7"/>
            <w:tcBorders>
              <w:top w:val="nil"/>
              <w:left w:val="nil"/>
              <w:bottom w:val="nil"/>
              <w:right w:val="nil"/>
            </w:tcBorders>
            <w:shd w:val="solid" w:color="FFFFFF" w:fill="auto"/>
          </w:tcPr>
          <w:p w:rsidR="00AC319F" w:rsidRPr="006A75A2" w:rsidRDefault="00AC319F" w:rsidP="00AC319F">
            <w:pPr>
              <w:pStyle w:val="Tabletext"/>
              <w:rPr>
                <w:rFonts w:eastAsiaTheme="minorEastAsia"/>
                <w:lang w:eastAsia="en-AU"/>
              </w:rPr>
            </w:pPr>
            <w:r w:rsidRPr="006A75A2">
              <w:rPr>
                <w:rFonts w:eastAsiaTheme="minorEastAsia"/>
                <w:lang w:eastAsia="en-AU"/>
              </w:rPr>
              <w:t>Total gains and losses recognised in:</w:t>
            </w:r>
          </w:p>
        </w:tc>
      </w:tr>
      <w:tr w:rsidR="004E6C32" w:rsidRPr="006A75A2" w:rsidTr="004B5CB1">
        <w:tc>
          <w:tcPr>
            <w:tcW w:w="292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Net result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Purchases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(41.4)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(0.2)</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Settlements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2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Transfers from other levels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2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Transfers out of Level 3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(41.3)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(63.6)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(0.1)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9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Closing balance</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single" w:sz="6" w:space="0" w:color="auto"/>
              <w:left w:val="nil"/>
              <w:bottom w:val="single" w:sz="12" w:space="0" w:color="000000"/>
              <w:right w:val="nil"/>
            </w:tcBorders>
            <w:shd w:val="solid" w:color="FFFFFF"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7.3</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43.1</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0.5</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0.6</w:t>
            </w:r>
          </w:p>
        </w:tc>
      </w:tr>
    </w:tbl>
    <w:p w:rsidR="004E6C32" w:rsidRPr="006A75A2" w:rsidRDefault="004E6C32" w:rsidP="004B5CB1">
      <w:pPr>
        <w:pStyle w:val="million"/>
      </w:pPr>
    </w:p>
    <w:p w:rsidR="004E6C32" w:rsidRPr="006A75A2" w:rsidRDefault="004E6C32" w:rsidP="0067336F">
      <w:pPr>
        <w:pStyle w:val="Heading5"/>
      </w:pPr>
      <w:r w:rsidRPr="006A75A2">
        <w:t xml:space="preserve">(m) </w:t>
      </w:r>
      <w:r w:rsidRPr="006A75A2">
        <w:tab/>
        <w:t>Description of Level 3 valuation techniques used and key inputs to valuation</w:t>
      </w:r>
    </w:p>
    <w:p w:rsidR="004E6C32" w:rsidRPr="006A75A2" w:rsidRDefault="004E6C32" w:rsidP="004B5CB1">
      <w:r w:rsidRPr="006A75A2">
        <w:t>The majority of the State</w:t>
      </w:r>
      <w:r w:rsidR="00C96101" w:rsidRPr="006A75A2">
        <w:t>’</w:t>
      </w:r>
      <w:r w:rsidRPr="006A75A2">
        <w:t>s Level 3 financial assets relate to equities and managed investment schemes that are managed by VFMC on behalf of the State</w:t>
      </w:r>
      <w:r w:rsidR="00C96101" w:rsidRPr="006A75A2">
        <w:t>’</w:t>
      </w:r>
      <w:r w:rsidRPr="006A75A2">
        <w:t>s insurance entities.</w:t>
      </w:r>
    </w:p>
    <w:p w:rsidR="004E6C32" w:rsidRPr="006A75A2" w:rsidRDefault="004E6C32" w:rsidP="004B5CB1">
      <w:r w:rsidRPr="006A75A2">
        <w:t>The disclosure below provides details of the inputs and assumptions used in the current valuation models. Further detailed information has been provided where available. Given that a significant majority of these investments are held via third party pooled investment vehicles, and the State is not privy to the detailed inputs and assumptions used to value the underlying investment assets, the State is not in a position to provide the sensitivity analysis pertaining to the fair value measurement due to changes in unobservable inputs.</w:t>
      </w:r>
    </w:p>
    <w:p w:rsidR="004E6C32" w:rsidRPr="006A75A2" w:rsidRDefault="004E6C32" w:rsidP="0067336F">
      <w:pPr>
        <w:pStyle w:val="Heading5"/>
      </w:pPr>
      <w:r w:rsidRPr="006A75A2">
        <w:t>Equities</w:t>
      </w:r>
    </w:p>
    <w:p w:rsidR="004E6C32" w:rsidRPr="006A75A2" w:rsidRDefault="004E6C32" w:rsidP="004B5CB1">
      <w:r w:rsidRPr="006A75A2">
        <w:t>The State</w:t>
      </w:r>
      <w:r w:rsidR="00C96101" w:rsidRPr="006A75A2">
        <w:t>’</w:t>
      </w:r>
      <w:r w:rsidRPr="006A75A2">
        <w:t>s equity investments comprise Australian and private equity investments. The former are equity investments that are currently on a trading halt or do not have recent trading activity and the latter are externally managed unlisted pooled vehicles and trusts.</w:t>
      </w:r>
    </w:p>
    <w:p w:rsidR="004E6C32" w:rsidRPr="006A75A2" w:rsidRDefault="004E6C32" w:rsidP="004B5CB1">
      <w:r w:rsidRPr="006A75A2">
        <w:t>The valuations of Australian equities are based on the last trading price of the securities. In contrast, private equity investments are based primarily on multiples of earnings, discounted cash flow, market equivalents and other market accepted methodologies. Key inputs and assumptions which are subject to estimation uncertainty include the identification of appropriate comparables, estimated future profits, risk free discount rate, risk premium, estimated future cash flows and future economic and regulatory conditions.</w:t>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67336F">
      <w:pPr>
        <w:pStyle w:val="Heading5"/>
      </w:pPr>
      <w:r w:rsidRPr="006A75A2">
        <w:t>Managed investment schemes</w:t>
      </w:r>
    </w:p>
    <w:p w:rsidR="004E6C32" w:rsidRPr="006A75A2" w:rsidRDefault="004E6C32" w:rsidP="004B5CB1">
      <w:r w:rsidRPr="006A75A2">
        <w:t>The State</w:t>
      </w:r>
      <w:r w:rsidR="00C96101" w:rsidRPr="006A75A2">
        <w:t>’</w:t>
      </w:r>
      <w:r w:rsidRPr="006A75A2">
        <w:t xml:space="preserve">s managed investment schemes include diversified fixed interest investments, infrastructure, non-traditional strategies and property investments. </w:t>
      </w:r>
    </w:p>
    <w:p w:rsidR="004E6C32" w:rsidRPr="006A75A2" w:rsidRDefault="004E6C32" w:rsidP="004B5CB1">
      <w:pPr>
        <w:rPr>
          <w:rFonts w:asciiTheme="minorHAnsi" w:hAnsiTheme="minorHAnsi" w:cstheme="minorHAnsi"/>
          <w:i/>
          <w:sz w:val="23"/>
          <w:szCs w:val="23"/>
        </w:rPr>
      </w:pPr>
      <w:r w:rsidRPr="006A75A2">
        <w:rPr>
          <w:rFonts w:asciiTheme="minorHAnsi" w:hAnsiTheme="minorHAnsi" w:cstheme="minorHAnsi"/>
          <w:i/>
          <w:sz w:val="23"/>
          <w:szCs w:val="23"/>
        </w:rPr>
        <w:t xml:space="preserve">Diversified fixed interest </w:t>
      </w:r>
    </w:p>
    <w:p w:rsidR="004E6C32" w:rsidRPr="006A75A2" w:rsidRDefault="004E6C32" w:rsidP="004B5CB1">
      <w:r w:rsidRPr="006A75A2">
        <w:t>The valuations of diversified fixed interest investments are based primarily on third party pricing servicers, brokers, market makers and valuation methodologies determined to be appropriate by the fund manager or their independent valuation agent. Such methodologies applied may include discounted cash flow, amortised cost and direct comparison.</w:t>
      </w:r>
    </w:p>
    <w:p w:rsidR="004E6C32" w:rsidRPr="006A75A2" w:rsidRDefault="004E6C32" w:rsidP="004B5CB1">
      <w:r w:rsidRPr="006A75A2">
        <w:t>Key inputs and assumptions which are subject to estimation uncertainty include the appropriate credit spread and other risk premium, risk free discount rate, future cash flows, identification of appropriate comparables and future economic and regulatory conditions.</w:t>
      </w:r>
    </w:p>
    <w:p w:rsidR="004E6C32" w:rsidRPr="006A75A2" w:rsidRDefault="004E6C32" w:rsidP="004B5CB1">
      <w:pPr>
        <w:rPr>
          <w:rFonts w:asciiTheme="minorHAnsi" w:hAnsiTheme="minorHAnsi" w:cstheme="minorHAnsi"/>
          <w:i/>
          <w:sz w:val="23"/>
          <w:szCs w:val="23"/>
        </w:rPr>
      </w:pPr>
      <w:r w:rsidRPr="006A75A2">
        <w:rPr>
          <w:rFonts w:asciiTheme="minorHAnsi" w:hAnsiTheme="minorHAnsi" w:cstheme="minorHAnsi"/>
          <w:i/>
          <w:sz w:val="23"/>
          <w:szCs w:val="23"/>
        </w:rPr>
        <w:t>Infrastructure</w:t>
      </w:r>
    </w:p>
    <w:p w:rsidR="004E6C32" w:rsidRPr="006A75A2" w:rsidRDefault="004E6C32" w:rsidP="004B5CB1">
      <w:r w:rsidRPr="006A75A2">
        <w:t>The valuations of unlisted infrastructure investments are based primarily on the discounted cash flow methodology. Key inputs and assumptions which are subject to estimation uncertainty include the choice of risk free discount rates, in the main ranging between 8.0 per cent a year and 15.0 per cent a year (between 8.8 per cent a year and 11.3 per cent a year in 2013), risk premium, asset utilisation rates, capital expenditure and operating cost forecasts and other estimated future cash flows dependent on the longer term general economic forecasts and the forecast performance of applicable underlying assets.</w:t>
      </w:r>
    </w:p>
    <w:p w:rsidR="004E6C32" w:rsidRPr="006A75A2" w:rsidRDefault="004E6C32" w:rsidP="004B5CB1">
      <w:pPr>
        <w:rPr>
          <w:rFonts w:asciiTheme="minorHAnsi" w:hAnsiTheme="minorHAnsi" w:cstheme="minorHAnsi"/>
          <w:i/>
          <w:sz w:val="23"/>
          <w:szCs w:val="23"/>
        </w:rPr>
      </w:pPr>
      <w:r w:rsidRPr="006A75A2">
        <w:rPr>
          <w:rFonts w:asciiTheme="minorHAnsi" w:hAnsiTheme="minorHAnsi" w:cstheme="minorHAnsi"/>
          <w:i/>
          <w:sz w:val="23"/>
          <w:szCs w:val="23"/>
        </w:rPr>
        <w:t>Insurance investments</w:t>
      </w:r>
    </w:p>
    <w:p w:rsidR="004E6C32" w:rsidRPr="006A75A2" w:rsidRDefault="004E6C32" w:rsidP="004B5CB1">
      <w:r w:rsidRPr="006A75A2">
        <w:t>The valuation of insurance investments is based on the discounted cash flow methodology, with key assumptions of insures</w:t>
      </w:r>
      <w:r w:rsidR="00C96101" w:rsidRPr="006A75A2">
        <w:t>’</w:t>
      </w:r>
      <w:r w:rsidRPr="006A75A2">
        <w:t xml:space="preserve"> mortality and premium payments on the valuation date. Other assumptions and interdependencies include the weighted average discount rate of 16.4 per cent a year (16.4 per cent a year in 2013), life expectancy estimates obtained from qualified providers and expected premium payments based on the back solving premiums optimisation method.</w:t>
      </w:r>
    </w:p>
    <w:p w:rsidR="004E6C32" w:rsidRPr="006A75A2" w:rsidRDefault="004E6C32" w:rsidP="004B5CB1">
      <w:pPr>
        <w:rPr>
          <w:rFonts w:asciiTheme="minorHAnsi" w:hAnsiTheme="minorHAnsi" w:cstheme="minorHAnsi"/>
          <w:i/>
          <w:sz w:val="23"/>
          <w:szCs w:val="23"/>
        </w:rPr>
      </w:pPr>
      <w:r w:rsidRPr="006A75A2">
        <w:rPr>
          <w:rFonts w:asciiTheme="minorHAnsi" w:hAnsiTheme="minorHAnsi" w:cstheme="minorHAnsi"/>
          <w:i/>
          <w:sz w:val="23"/>
          <w:szCs w:val="23"/>
        </w:rPr>
        <w:t>Fixed interest investments</w:t>
      </w:r>
    </w:p>
    <w:p w:rsidR="004E6C32" w:rsidRPr="006A75A2" w:rsidRDefault="004E6C32" w:rsidP="004B5CB1">
      <w:pPr>
        <w:rPr>
          <w:rFonts w:asciiTheme="minorHAnsi" w:hAnsiTheme="minorHAnsi" w:cstheme="minorHAnsi"/>
          <w:i/>
          <w:sz w:val="23"/>
          <w:szCs w:val="23"/>
        </w:rPr>
      </w:pPr>
      <w:r w:rsidRPr="006A75A2">
        <w:t>The valuation of fixed interest investments</w:t>
      </w:r>
      <w:r w:rsidRPr="006A75A2">
        <w:rPr>
          <w:rFonts w:asciiTheme="minorHAnsi" w:hAnsiTheme="minorHAnsi" w:cstheme="minorHAnsi"/>
          <w:sz w:val="23"/>
          <w:szCs w:val="23"/>
        </w:rPr>
        <w:t xml:space="preserve"> </w:t>
      </w:r>
      <w:r w:rsidRPr="006A75A2">
        <w:t>are based primarily on prices quoted on an exchange or traded in a dealer market. For less liquid securities, valuation methodologies are set out by each manager. Depending on the investment, the methodologies applied include discounted cash flow, amortised cost, direct comparison and other market accepted methodologies. The fund manager may choose to appoint independent valuation agents to seek independent price verification. Key inputs and assumptions which are subject to estimation uncertainty include the appropriate credit spread and other risk premium, risk free discount rate, future cash flows, identification of appropriate comparables and future economic and regulatory conditions.</w:t>
      </w:r>
    </w:p>
    <w:p w:rsidR="004E6C32" w:rsidRPr="006A75A2" w:rsidRDefault="004E6C32">
      <w:pPr>
        <w:spacing w:after="0"/>
        <w:rPr>
          <w:rFonts w:asciiTheme="minorHAnsi" w:hAnsiTheme="minorHAnsi" w:cstheme="minorHAnsi"/>
          <w:i/>
          <w:sz w:val="23"/>
          <w:szCs w:val="23"/>
        </w:rPr>
      </w:pPr>
      <w:r w:rsidRPr="006A75A2">
        <w:rPr>
          <w:rFonts w:asciiTheme="minorHAnsi" w:hAnsiTheme="minorHAnsi" w:cstheme="minorHAnsi"/>
          <w:i/>
          <w:sz w:val="23"/>
          <w:szCs w:val="23"/>
        </w:rPr>
        <w:br w:type="page"/>
      </w:r>
    </w:p>
    <w:p w:rsidR="004E6C32" w:rsidRPr="006A75A2" w:rsidRDefault="004E6C32" w:rsidP="004B5CB1">
      <w:pPr>
        <w:pStyle w:val="Heading2NotesContd"/>
        <w:rPr>
          <w:kern w:val="0"/>
        </w:rPr>
      </w:pPr>
      <w:r w:rsidRPr="006A75A2">
        <w:rPr>
          <w:kern w:val="0"/>
        </w:rPr>
        <w:lastRenderedPageBreak/>
        <w:t>Note 33:</w:t>
      </w:r>
      <w:r w:rsidRPr="006A75A2">
        <w:rPr>
          <w:kern w:val="0"/>
        </w:rPr>
        <w:tab/>
        <w:t xml:space="preserve">Financial instruments </w:t>
      </w:r>
      <w:r w:rsidRPr="006A75A2">
        <w:rPr>
          <w:i/>
          <w:kern w:val="0"/>
        </w:rPr>
        <w:t>(continued)</w:t>
      </w:r>
    </w:p>
    <w:p w:rsidR="004E6C32" w:rsidRPr="006A75A2" w:rsidRDefault="004E6C32" w:rsidP="004B5CB1">
      <w:pPr>
        <w:rPr>
          <w:rFonts w:asciiTheme="minorHAnsi" w:hAnsiTheme="minorHAnsi" w:cstheme="minorHAnsi"/>
          <w:i/>
          <w:sz w:val="23"/>
          <w:szCs w:val="23"/>
        </w:rPr>
      </w:pPr>
      <w:r w:rsidRPr="006A75A2">
        <w:rPr>
          <w:rFonts w:asciiTheme="minorHAnsi" w:hAnsiTheme="minorHAnsi" w:cstheme="minorHAnsi"/>
          <w:i/>
          <w:sz w:val="23"/>
          <w:szCs w:val="23"/>
        </w:rPr>
        <w:t>Property investments</w:t>
      </w:r>
    </w:p>
    <w:p w:rsidR="004E6C32" w:rsidRPr="006A75A2" w:rsidRDefault="004E6C32" w:rsidP="004B5CB1">
      <w:r w:rsidRPr="006A75A2">
        <w:t xml:space="preserve">Property investments comprise externally managed unlisted property trusts with exposure to domestic and international commercial, industrial, retail and development property market. </w:t>
      </w:r>
    </w:p>
    <w:p w:rsidR="004E6C32" w:rsidRPr="006A75A2" w:rsidRDefault="004E6C32" w:rsidP="004B5CB1">
      <w:r w:rsidRPr="006A75A2">
        <w:t>The valuations of unlisted property investments are primarily based on discounted cash flow, capitalisation and direct comparison methodologies. Assumptions which may be subject to estimation uncertainty would include the identification of appropriate comparables, estimated future profits, risk free rate, risk premium, estimated future cash flows and future economic and regulatory conditions.</w:t>
      </w:r>
    </w:p>
    <w:p w:rsidR="004E6C32" w:rsidRPr="006A75A2" w:rsidRDefault="004E6C32" w:rsidP="004B5CB1">
      <w:pPr>
        <w:rPr>
          <w:rFonts w:ascii="Calibri" w:hAnsi="Calibri"/>
          <w:b/>
        </w:rPr>
      </w:pPr>
      <w:r w:rsidRPr="006A75A2">
        <w:rPr>
          <w:rFonts w:ascii="Calibri" w:hAnsi="Calibri"/>
          <w:b/>
        </w:rPr>
        <w:t>(n)</w:t>
      </w:r>
      <w:r w:rsidRPr="006A75A2">
        <w:rPr>
          <w:rFonts w:ascii="Calibri" w:hAnsi="Calibri"/>
          <w:b/>
        </w:rPr>
        <w:tab/>
        <w:t>Master netting or similar arrangements</w:t>
      </w:r>
    </w:p>
    <w:p w:rsidR="004E6C32" w:rsidRPr="006A75A2" w:rsidRDefault="004E6C32" w:rsidP="004B5CB1">
      <w:r w:rsidRPr="006A75A2">
        <w:t xml:space="preserve">Certain financial assets and financial liabilities are presented on a net basis in the consolidated balance sheet where they meet the offsetting criteria (see Note 1(K) </w:t>
      </w:r>
      <w:r w:rsidRPr="006A75A2">
        <w:rPr>
          <w:i/>
        </w:rPr>
        <w:t>Financial instruments</w:t>
      </w:r>
      <w:r w:rsidRPr="006A75A2">
        <w:t xml:space="preserve">). </w:t>
      </w:r>
    </w:p>
    <w:p w:rsidR="004E6C32" w:rsidRPr="006A75A2" w:rsidRDefault="004E6C32" w:rsidP="004B5CB1">
      <w:r w:rsidRPr="006A75A2">
        <w:t xml:space="preserve">The following table provides information on the impact of offsetting on the consolidated balance sheet and the financial impact of netting for instruments subject to an enforceable master netting arrangement or similar agreement. It also includes available cash and financial instrument collateral. </w:t>
      </w:r>
    </w:p>
    <w:p w:rsidR="004E6C32" w:rsidRPr="006A75A2" w:rsidRDefault="004E6C32" w:rsidP="004B5CB1">
      <w:r w:rsidRPr="006A75A2">
        <w:t>The gross and net positions of financial assets and liabilities that have been offset in the consolidated balance sheet as at 30 June are disclosed on the first three columns of the table below.</w:t>
      </w:r>
    </w:p>
    <w:p w:rsidR="004E6C32" w:rsidRPr="006A75A2" w:rsidRDefault="004E6C32" w:rsidP="004B5CB1">
      <w:r w:rsidRPr="006A75A2">
        <w:t xml:space="preserve">The fourth column represents the related amounts that do not meet the criteria for offsetting in a normal course of business, but can be offset in certain circumstances, such as bankruptcy, default or insolvency or when the rights to offset is conditional upon the default of the counterparty. The last column </w:t>
      </w:r>
      <w:r w:rsidR="00C96101" w:rsidRPr="006A75A2">
        <w:t>‘</w:t>
      </w:r>
      <w:r w:rsidRPr="006A75A2">
        <w:t>Net amount</w:t>
      </w:r>
      <w:r w:rsidR="00C96101" w:rsidRPr="006A75A2">
        <w:t>’</w:t>
      </w:r>
      <w:r w:rsidRPr="006A75A2">
        <w:t xml:space="preserve"> shows the net impact on the State</w:t>
      </w:r>
      <w:r w:rsidR="00C96101" w:rsidRPr="006A75A2">
        <w:t>’</w:t>
      </w:r>
      <w:r w:rsidRPr="006A75A2">
        <w:t>s Consolidated Balance Sheet if all existing rights of offset were exercised.</w:t>
      </w:r>
    </w:p>
    <w:p w:rsidR="004E6C32" w:rsidRPr="006A75A2" w:rsidRDefault="004E6C32" w:rsidP="004B5CB1">
      <w:pPr>
        <w:rPr>
          <w:rFonts w:ascii="Times New Roman" w:hAnsi="Times New Roman"/>
          <w:sz w:val="20"/>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3278"/>
        <w:gridCol w:w="925"/>
        <w:gridCol w:w="1679"/>
        <w:gridCol w:w="1750"/>
        <w:gridCol w:w="1032"/>
        <w:gridCol w:w="976"/>
      </w:tblGrid>
      <w:tr w:rsidR="00AC319F" w:rsidRPr="006A75A2" w:rsidTr="006E60A8">
        <w:tc>
          <w:tcPr>
            <w:tcW w:w="3278" w:type="dxa"/>
            <w:tcBorders>
              <w:top w:val="single" w:sz="6" w:space="0" w:color="auto"/>
              <w:left w:val="single" w:sz="6" w:space="0" w:color="auto"/>
              <w:bottom w:val="nil"/>
              <w:right w:val="nil"/>
            </w:tcBorders>
            <w:shd w:val="clear" w:color="000000" w:fill="000000"/>
          </w:tcPr>
          <w:p w:rsidR="00AC319F" w:rsidRPr="006A75A2" w:rsidRDefault="00AC319F" w:rsidP="004B5CB1">
            <w:pPr>
              <w:pStyle w:val="Tabletext"/>
              <w:rPr>
                <w:rFonts w:eastAsiaTheme="minorEastAsia"/>
                <w:i/>
                <w:lang w:eastAsia="en-AU"/>
              </w:rPr>
            </w:pPr>
            <w:r w:rsidRPr="006A75A2">
              <w:rPr>
                <w:rFonts w:eastAsiaTheme="minorEastAsia" w:cs="Calibri"/>
                <w:bCs/>
                <w:i/>
                <w:iCs/>
                <w:szCs w:val="22"/>
                <w:lang w:eastAsia="en-AU"/>
              </w:rPr>
              <w:t>State of Victoria</w:t>
            </w:r>
          </w:p>
        </w:tc>
        <w:tc>
          <w:tcPr>
            <w:tcW w:w="6362" w:type="dxa"/>
            <w:gridSpan w:val="5"/>
            <w:tcBorders>
              <w:top w:val="single" w:sz="6" w:space="0" w:color="auto"/>
              <w:left w:val="nil"/>
              <w:bottom w:val="nil"/>
              <w:right w:val="single" w:sz="6" w:space="0" w:color="auto"/>
            </w:tcBorders>
            <w:shd w:val="clear" w:color="000000" w:fill="000000"/>
          </w:tcPr>
          <w:p w:rsidR="00AC319F" w:rsidRPr="006A75A2" w:rsidRDefault="00AC319F" w:rsidP="00AC319F">
            <w:pPr>
              <w:pStyle w:val="TabletextheadingCentred"/>
              <w:rPr>
                <w:rFonts w:eastAsiaTheme="minorEastAsia"/>
                <w:lang w:eastAsia="en-AU"/>
              </w:rPr>
            </w:pPr>
            <w:r w:rsidRPr="006A75A2">
              <w:rPr>
                <w:rFonts w:eastAsiaTheme="minorEastAsia"/>
                <w:lang w:eastAsia="en-AU"/>
              </w:rPr>
              <w:t>Effects of offsetting on the statement of financial position</w:t>
            </w:r>
          </w:p>
        </w:tc>
      </w:tr>
      <w:tr w:rsidR="004E6C32" w:rsidRPr="006A75A2" w:rsidTr="004B5CB1">
        <w:tc>
          <w:tcPr>
            <w:tcW w:w="3278" w:type="dxa"/>
            <w:tcBorders>
              <w:top w:val="nil"/>
              <w:left w:val="single" w:sz="6" w:space="0" w:color="auto"/>
              <w:bottom w:val="nil"/>
              <w:right w:val="nil"/>
            </w:tcBorders>
            <w:shd w:val="clear" w:color="000000" w:fill="000000"/>
          </w:tcPr>
          <w:p w:rsidR="00AC319F" w:rsidRPr="006A75A2" w:rsidRDefault="00AC319F" w:rsidP="004B5CB1">
            <w:pPr>
              <w:pStyle w:val="TabletextheadingLeft"/>
              <w:rPr>
                <w:rFonts w:eastAsiaTheme="minorEastAsia"/>
                <w:lang w:eastAsia="en-AU"/>
              </w:rPr>
            </w:pPr>
          </w:p>
          <w:p w:rsidR="00AC319F" w:rsidRPr="006A75A2" w:rsidRDefault="00AC319F" w:rsidP="004B5CB1">
            <w:pPr>
              <w:pStyle w:val="TabletextheadingLeft"/>
              <w:rPr>
                <w:rFonts w:eastAsiaTheme="minorEastAsia"/>
                <w:lang w:eastAsia="en-AU"/>
              </w:rPr>
            </w:pPr>
          </w:p>
          <w:p w:rsidR="00AC319F" w:rsidRPr="006A75A2" w:rsidRDefault="00AC319F" w:rsidP="004B5CB1">
            <w:pPr>
              <w:pStyle w:val="TabletextheadingLeft"/>
              <w:rPr>
                <w:rFonts w:eastAsiaTheme="minorEastAsia"/>
                <w:lang w:eastAsia="en-AU"/>
              </w:rPr>
            </w:pPr>
          </w:p>
          <w:p w:rsidR="004E6C32" w:rsidRPr="006A75A2" w:rsidRDefault="00AC319F" w:rsidP="004B5CB1">
            <w:pPr>
              <w:pStyle w:val="TabletextheadingLeft"/>
              <w:rPr>
                <w:rFonts w:eastAsiaTheme="minorEastAsia" w:cs="Calibri"/>
                <w:b/>
                <w:bCs/>
                <w:iCs/>
                <w:szCs w:val="22"/>
                <w:lang w:eastAsia="en-AU"/>
              </w:rPr>
            </w:pPr>
            <w:r w:rsidRPr="006A75A2">
              <w:rPr>
                <w:rFonts w:eastAsiaTheme="minorEastAsia"/>
                <w:lang w:eastAsia="en-AU"/>
              </w:rPr>
              <w:t>2014</w:t>
            </w:r>
          </w:p>
        </w:tc>
        <w:tc>
          <w:tcPr>
            <w:tcW w:w="925" w:type="dxa"/>
            <w:tcBorders>
              <w:top w:val="nil"/>
              <w:left w:val="nil"/>
              <w:bottom w:val="nil"/>
              <w:right w:val="nil"/>
            </w:tcBorders>
            <w:shd w:val="clear" w:color="000000" w:fill="000000"/>
          </w:tcPr>
          <w:p w:rsidR="00AC319F" w:rsidRPr="006A75A2" w:rsidRDefault="00AC319F" w:rsidP="004B5CB1">
            <w:pPr>
              <w:pStyle w:val="Tabletextheading"/>
            </w:pPr>
          </w:p>
          <w:p w:rsidR="00AC319F" w:rsidRPr="006A75A2" w:rsidRDefault="00AC319F" w:rsidP="004B5CB1">
            <w:pPr>
              <w:pStyle w:val="Tabletextheading"/>
            </w:pPr>
          </w:p>
          <w:p w:rsidR="004E6C32" w:rsidRPr="006A75A2" w:rsidRDefault="004E6C32" w:rsidP="004B5CB1">
            <w:pPr>
              <w:pStyle w:val="Tabletextheading"/>
            </w:pPr>
            <w:r w:rsidRPr="006A75A2">
              <w:t xml:space="preserve">Gross amounts </w:t>
            </w:r>
          </w:p>
        </w:tc>
        <w:tc>
          <w:tcPr>
            <w:tcW w:w="1679" w:type="dxa"/>
            <w:tcBorders>
              <w:top w:val="nil"/>
              <w:left w:val="nil"/>
              <w:bottom w:val="nil"/>
              <w:right w:val="nil"/>
            </w:tcBorders>
            <w:shd w:val="clear" w:color="000000" w:fill="000000"/>
          </w:tcPr>
          <w:p w:rsidR="004E6C32" w:rsidRPr="006A75A2" w:rsidRDefault="004E6C32" w:rsidP="004B5CB1">
            <w:pPr>
              <w:pStyle w:val="Tabletextheading"/>
            </w:pPr>
            <w:r w:rsidRPr="006A75A2">
              <w:t>Gross amounts set off in the consolidated balance sheet</w:t>
            </w:r>
          </w:p>
        </w:tc>
        <w:tc>
          <w:tcPr>
            <w:tcW w:w="1750" w:type="dxa"/>
            <w:tcBorders>
              <w:top w:val="nil"/>
              <w:left w:val="nil"/>
              <w:bottom w:val="nil"/>
              <w:right w:val="nil"/>
            </w:tcBorders>
            <w:shd w:val="clear" w:color="000000" w:fill="000000"/>
          </w:tcPr>
          <w:p w:rsidR="004E6C32" w:rsidRPr="006A75A2" w:rsidRDefault="004E6C32" w:rsidP="004B5CB1">
            <w:pPr>
              <w:pStyle w:val="Tabletextheading"/>
            </w:pPr>
            <w:r w:rsidRPr="006A75A2">
              <w:t>Net amounts presented in the consolidated balance sheet</w:t>
            </w:r>
          </w:p>
        </w:tc>
        <w:tc>
          <w:tcPr>
            <w:tcW w:w="1032" w:type="dxa"/>
            <w:tcBorders>
              <w:top w:val="nil"/>
              <w:left w:val="nil"/>
              <w:bottom w:val="nil"/>
              <w:right w:val="nil"/>
            </w:tcBorders>
            <w:shd w:val="clear" w:color="000000" w:fill="000000"/>
          </w:tcPr>
          <w:p w:rsidR="00AC319F" w:rsidRPr="006A75A2" w:rsidRDefault="00AC319F" w:rsidP="004B5CB1">
            <w:pPr>
              <w:pStyle w:val="Tabletextheading"/>
            </w:pPr>
          </w:p>
          <w:p w:rsidR="004E6C32" w:rsidRPr="006A75A2" w:rsidRDefault="004E6C32" w:rsidP="004B5CB1">
            <w:pPr>
              <w:pStyle w:val="Tabletextheading"/>
            </w:pPr>
            <w:r w:rsidRPr="006A75A2">
              <w:t>Related amounts not offset</w:t>
            </w:r>
          </w:p>
        </w:tc>
        <w:tc>
          <w:tcPr>
            <w:tcW w:w="976" w:type="dxa"/>
            <w:tcBorders>
              <w:top w:val="nil"/>
              <w:left w:val="nil"/>
              <w:bottom w:val="nil"/>
              <w:right w:val="single" w:sz="6" w:space="0" w:color="auto"/>
            </w:tcBorders>
            <w:shd w:val="clear" w:color="000000" w:fill="000000"/>
          </w:tcPr>
          <w:p w:rsidR="00AC319F" w:rsidRPr="006A75A2" w:rsidRDefault="00AC319F" w:rsidP="004B5CB1">
            <w:pPr>
              <w:pStyle w:val="Tabletextheading"/>
            </w:pPr>
          </w:p>
          <w:p w:rsidR="00AC319F" w:rsidRPr="006A75A2" w:rsidRDefault="00AC319F" w:rsidP="004B5CB1">
            <w:pPr>
              <w:pStyle w:val="Tabletextheading"/>
            </w:pPr>
          </w:p>
          <w:p w:rsidR="004E6C32" w:rsidRPr="006A75A2" w:rsidRDefault="004E6C32" w:rsidP="004B5CB1">
            <w:pPr>
              <w:pStyle w:val="Tabletextheading"/>
            </w:pPr>
            <w:r w:rsidRPr="006A75A2">
              <w:t>Net amount</w:t>
            </w:r>
          </w:p>
        </w:tc>
      </w:tr>
      <w:tr w:rsidR="00AC319F" w:rsidRPr="006A75A2" w:rsidTr="006E60A8">
        <w:tc>
          <w:tcPr>
            <w:tcW w:w="9640" w:type="dxa"/>
            <w:gridSpan w:val="6"/>
            <w:tcBorders>
              <w:top w:val="single" w:sz="6" w:space="0" w:color="auto"/>
              <w:left w:val="nil"/>
              <w:bottom w:val="nil"/>
              <w:right w:val="nil"/>
            </w:tcBorders>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assets</w:t>
            </w:r>
          </w:p>
        </w:tc>
      </w:tr>
      <w:tr w:rsidR="004E6C32" w:rsidRPr="006A75A2" w:rsidTr="004B5CB1">
        <w:tc>
          <w:tcPr>
            <w:tcW w:w="327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Cash and cash equivalents </w:t>
            </w:r>
          </w:p>
        </w:tc>
        <w:tc>
          <w:tcPr>
            <w:tcW w:w="92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8 200.7</w:t>
            </w:r>
          </w:p>
        </w:tc>
        <w:tc>
          <w:tcPr>
            <w:tcW w:w="1679"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7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8 200.7</w:t>
            </w:r>
          </w:p>
        </w:tc>
        <w:tc>
          <w:tcPr>
            <w:tcW w:w="10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(1 090.0)</w:t>
            </w:r>
          </w:p>
        </w:tc>
        <w:tc>
          <w:tcPr>
            <w:tcW w:w="9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7 110.8</w:t>
            </w:r>
          </w:p>
        </w:tc>
      </w:tr>
      <w:tr w:rsidR="004E6C32" w:rsidRPr="006A75A2" w:rsidTr="004B5CB1">
        <w:tc>
          <w:tcPr>
            <w:tcW w:w="327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92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2 300.8</w:t>
            </w:r>
          </w:p>
        </w:tc>
        <w:tc>
          <w:tcPr>
            <w:tcW w:w="167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(1 774.9)</w:t>
            </w:r>
          </w:p>
        </w:tc>
        <w:tc>
          <w:tcPr>
            <w:tcW w:w="17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525.9</w:t>
            </w:r>
          </w:p>
        </w:tc>
        <w:tc>
          <w:tcPr>
            <w:tcW w:w="10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(407.3)</w:t>
            </w:r>
          </w:p>
        </w:tc>
        <w:tc>
          <w:tcPr>
            <w:tcW w:w="9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118.5</w:t>
            </w:r>
          </w:p>
        </w:tc>
      </w:tr>
      <w:tr w:rsidR="00AC319F" w:rsidRPr="006A75A2" w:rsidTr="006E60A8">
        <w:tc>
          <w:tcPr>
            <w:tcW w:w="9640" w:type="dxa"/>
            <w:gridSpan w:val="6"/>
            <w:tcBorders>
              <w:top w:val="nil"/>
              <w:left w:val="nil"/>
              <w:right w:val="nil"/>
            </w:tcBorders>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liabilities</w:t>
            </w:r>
          </w:p>
        </w:tc>
      </w:tr>
      <w:tr w:rsidR="004E6C32" w:rsidRPr="006A75A2" w:rsidTr="004B5CB1">
        <w:tc>
          <w:tcPr>
            <w:tcW w:w="3278" w:type="dxa"/>
            <w:tcBorders>
              <w:top w:val="nil"/>
              <w:left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925"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2 348.6</w:t>
            </w:r>
          </w:p>
        </w:tc>
        <w:tc>
          <w:tcPr>
            <w:tcW w:w="1679"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(1 774.9)</w:t>
            </w:r>
          </w:p>
        </w:tc>
        <w:tc>
          <w:tcPr>
            <w:tcW w:w="175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573.7</w:t>
            </w:r>
          </w:p>
        </w:tc>
        <w:tc>
          <w:tcPr>
            <w:tcW w:w="1032"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(409.9)</w:t>
            </w:r>
          </w:p>
        </w:tc>
        <w:tc>
          <w:tcPr>
            <w:tcW w:w="976"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163.8</w:t>
            </w:r>
          </w:p>
        </w:tc>
      </w:tr>
      <w:tr w:rsidR="004E6C32" w:rsidRPr="006A75A2" w:rsidTr="004B5CB1">
        <w:tc>
          <w:tcPr>
            <w:tcW w:w="3278" w:type="dxa"/>
            <w:tcBorders>
              <w:left w:val="nil"/>
              <w:bottom w:val="single" w:sz="12"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bearing liabilities</w:t>
            </w:r>
          </w:p>
        </w:tc>
        <w:tc>
          <w:tcPr>
            <w:tcW w:w="925" w:type="dxa"/>
            <w:tcBorders>
              <w:left w:val="nil"/>
              <w:bottom w:val="single" w:sz="12"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41 886.4</w:t>
            </w:r>
          </w:p>
        </w:tc>
        <w:tc>
          <w:tcPr>
            <w:tcW w:w="1679" w:type="dxa"/>
            <w:tcBorders>
              <w:left w:val="nil"/>
              <w:bottom w:val="single" w:sz="12"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1750" w:type="dxa"/>
            <w:tcBorders>
              <w:left w:val="nil"/>
              <w:bottom w:val="single" w:sz="12"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41 886.4</w:t>
            </w:r>
          </w:p>
        </w:tc>
        <w:tc>
          <w:tcPr>
            <w:tcW w:w="1032" w:type="dxa"/>
            <w:tcBorders>
              <w:left w:val="nil"/>
              <w:bottom w:val="single" w:sz="12"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w:t>
            </w:r>
          </w:p>
        </w:tc>
        <w:tc>
          <w:tcPr>
            <w:tcW w:w="976" w:type="dxa"/>
            <w:tcBorders>
              <w:left w:val="nil"/>
              <w:bottom w:val="single" w:sz="12"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41 886.4</w:t>
            </w:r>
          </w:p>
        </w:tc>
      </w:tr>
      <w:tr w:rsidR="004E6C32" w:rsidRPr="006A75A2" w:rsidTr="004B5CB1">
        <w:trPr>
          <w:trHeight w:hRule="exact" w:val="120"/>
        </w:trPr>
        <w:tc>
          <w:tcPr>
            <w:tcW w:w="3278" w:type="dxa"/>
            <w:tcBorders>
              <w:top w:val="nil"/>
              <w:left w:val="nil"/>
              <w:bottom w:val="nil"/>
              <w:right w:val="nil"/>
            </w:tcBorders>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 xml:space="preserve"> </w:t>
            </w:r>
          </w:p>
        </w:tc>
        <w:tc>
          <w:tcPr>
            <w:tcW w:w="925"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679"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75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032"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r>
      <w:tr w:rsidR="004E6C32" w:rsidRPr="006A75A2" w:rsidTr="004B5CB1">
        <w:trPr>
          <w:trHeight w:hRule="exact" w:val="120"/>
        </w:trPr>
        <w:tc>
          <w:tcPr>
            <w:tcW w:w="3278" w:type="dxa"/>
            <w:tcBorders>
              <w:top w:val="nil"/>
              <w:left w:val="nil"/>
              <w:right w:val="nil"/>
            </w:tcBorders>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 xml:space="preserve"> </w:t>
            </w:r>
          </w:p>
        </w:tc>
        <w:tc>
          <w:tcPr>
            <w:tcW w:w="925" w:type="dxa"/>
            <w:tcBorders>
              <w:top w:val="nil"/>
              <w:left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679" w:type="dxa"/>
            <w:tcBorders>
              <w:top w:val="nil"/>
              <w:left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750" w:type="dxa"/>
            <w:tcBorders>
              <w:top w:val="nil"/>
              <w:left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032" w:type="dxa"/>
            <w:tcBorders>
              <w:top w:val="nil"/>
              <w:left w:val="nil"/>
              <w:right w:val="nil"/>
            </w:tcBorders>
          </w:tcPr>
          <w:p w:rsidR="004E6C32" w:rsidRPr="006A75A2" w:rsidRDefault="004E6C32" w:rsidP="004B5CB1">
            <w:pPr>
              <w:pStyle w:val="TableofFigures"/>
              <w:rPr>
                <w:rFonts w:eastAsiaTheme="minorEastAsia"/>
                <w:sz w:val="20"/>
                <w:lang w:eastAsia="en-AU"/>
              </w:rPr>
            </w:pPr>
          </w:p>
        </w:tc>
        <w:tc>
          <w:tcPr>
            <w:tcW w:w="976" w:type="dxa"/>
            <w:tcBorders>
              <w:top w:val="nil"/>
              <w:left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r>
      <w:tr w:rsidR="004E6C32" w:rsidRPr="006A75A2" w:rsidTr="004B5CB1">
        <w:tc>
          <w:tcPr>
            <w:tcW w:w="3278" w:type="dxa"/>
            <w:tcBorders>
              <w:top w:val="nil"/>
              <w:left w:val="single" w:sz="6" w:space="0" w:color="auto"/>
              <w:right w:val="nil"/>
            </w:tcBorders>
            <w:shd w:val="solid" w:color="000000" w:fill="auto"/>
          </w:tcPr>
          <w:p w:rsidR="004E6C32" w:rsidRPr="006A75A2" w:rsidRDefault="004E6C32" w:rsidP="004B5CB1">
            <w:pPr>
              <w:pStyle w:val="TabletextheadingLeft"/>
              <w:rPr>
                <w:rFonts w:eastAsiaTheme="minorEastAsia"/>
                <w:lang w:eastAsia="en-AU"/>
              </w:rPr>
            </w:pPr>
            <w:r w:rsidRPr="006A75A2">
              <w:rPr>
                <w:rFonts w:eastAsiaTheme="minorEastAsia"/>
                <w:lang w:eastAsia="en-AU"/>
              </w:rPr>
              <w:t>2013</w:t>
            </w:r>
          </w:p>
        </w:tc>
        <w:tc>
          <w:tcPr>
            <w:tcW w:w="925" w:type="dxa"/>
            <w:tcBorders>
              <w:top w:val="nil"/>
              <w:left w:val="nil"/>
              <w:right w:val="nil"/>
            </w:tcBorders>
            <w:shd w:val="solid" w:color="000000" w:fill="auto"/>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679" w:type="dxa"/>
            <w:tcBorders>
              <w:top w:val="nil"/>
              <w:left w:val="nil"/>
              <w:right w:val="nil"/>
            </w:tcBorders>
            <w:shd w:val="solid" w:color="000000" w:fill="auto"/>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750" w:type="dxa"/>
            <w:tcBorders>
              <w:top w:val="nil"/>
              <w:left w:val="nil"/>
              <w:right w:val="nil"/>
            </w:tcBorders>
            <w:shd w:val="solid" w:color="000000" w:fill="auto"/>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032" w:type="dxa"/>
            <w:tcBorders>
              <w:top w:val="nil"/>
              <w:left w:val="nil"/>
              <w:right w:val="nil"/>
            </w:tcBorders>
            <w:shd w:val="solid" w:color="000000" w:fill="auto"/>
          </w:tcPr>
          <w:p w:rsidR="004E6C32" w:rsidRPr="006A75A2" w:rsidRDefault="004E6C32" w:rsidP="004B5CB1">
            <w:pPr>
              <w:pStyle w:val="TableofFigures"/>
              <w:rPr>
                <w:rFonts w:eastAsiaTheme="minorEastAsia"/>
                <w:sz w:val="20"/>
                <w:lang w:eastAsia="en-AU"/>
              </w:rPr>
            </w:pPr>
          </w:p>
        </w:tc>
        <w:tc>
          <w:tcPr>
            <w:tcW w:w="976" w:type="dxa"/>
            <w:tcBorders>
              <w:top w:val="nil"/>
              <w:left w:val="nil"/>
              <w:right w:val="nil"/>
            </w:tcBorders>
            <w:shd w:val="solid" w:color="000000" w:fill="auto"/>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r>
      <w:tr w:rsidR="00AC319F" w:rsidRPr="006A75A2" w:rsidTr="006E60A8">
        <w:tc>
          <w:tcPr>
            <w:tcW w:w="9640" w:type="dxa"/>
            <w:gridSpan w:val="6"/>
            <w:tcBorders>
              <w:left w:val="nil"/>
              <w:bottom w:val="nil"/>
              <w:right w:val="nil"/>
            </w:tcBorders>
          </w:tcPr>
          <w:p w:rsidR="00AC319F" w:rsidRPr="006A75A2" w:rsidRDefault="00AC319F" w:rsidP="00AC319F">
            <w:pPr>
              <w:pStyle w:val="Tabletext"/>
              <w:rPr>
                <w:rFonts w:eastAsiaTheme="minorEastAsia"/>
                <w:b/>
                <w:sz w:val="20"/>
                <w:lang w:eastAsia="en-AU"/>
              </w:rPr>
            </w:pPr>
            <w:r w:rsidRPr="006A75A2">
              <w:rPr>
                <w:rFonts w:eastAsiaTheme="minorEastAsia"/>
                <w:b/>
                <w:bCs/>
                <w:lang w:eastAsia="en-AU"/>
              </w:rPr>
              <w:t>Financial assets</w:t>
            </w:r>
          </w:p>
        </w:tc>
      </w:tr>
      <w:tr w:rsidR="004E6C32" w:rsidRPr="006A75A2" w:rsidTr="004B5CB1">
        <w:tc>
          <w:tcPr>
            <w:tcW w:w="327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Cash and cash equivalents </w:t>
            </w:r>
          </w:p>
        </w:tc>
        <w:tc>
          <w:tcPr>
            <w:tcW w:w="92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6 252.9</w:t>
            </w:r>
          </w:p>
        </w:tc>
        <w:tc>
          <w:tcPr>
            <w:tcW w:w="167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6 252.9</w:t>
            </w:r>
          </w:p>
        </w:tc>
        <w:tc>
          <w:tcPr>
            <w:tcW w:w="10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9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6 252.9</w:t>
            </w:r>
          </w:p>
        </w:tc>
      </w:tr>
      <w:tr w:rsidR="004E6C32" w:rsidRPr="006A75A2" w:rsidTr="004B5CB1">
        <w:tc>
          <w:tcPr>
            <w:tcW w:w="3278"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92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2 678.4</w:t>
            </w:r>
          </w:p>
        </w:tc>
        <w:tc>
          <w:tcPr>
            <w:tcW w:w="167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(1 964.6)</w:t>
            </w:r>
          </w:p>
        </w:tc>
        <w:tc>
          <w:tcPr>
            <w:tcW w:w="17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713.8</w:t>
            </w:r>
          </w:p>
        </w:tc>
        <w:tc>
          <w:tcPr>
            <w:tcW w:w="103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(673.5)</w:t>
            </w:r>
          </w:p>
        </w:tc>
        <w:tc>
          <w:tcPr>
            <w:tcW w:w="9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40.3</w:t>
            </w:r>
          </w:p>
        </w:tc>
      </w:tr>
      <w:tr w:rsidR="00AC319F" w:rsidRPr="006A75A2" w:rsidTr="006E60A8">
        <w:tc>
          <w:tcPr>
            <w:tcW w:w="9640" w:type="dxa"/>
            <w:gridSpan w:val="6"/>
            <w:tcBorders>
              <w:top w:val="nil"/>
              <w:left w:val="nil"/>
              <w:bottom w:val="nil"/>
              <w:right w:val="nil"/>
            </w:tcBorders>
          </w:tcPr>
          <w:p w:rsidR="00AC319F" w:rsidRPr="006A75A2" w:rsidRDefault="00AC319F" w:rsidP="00AC319F">
            <w:pPr>
              <w:pStyle w:val="Tabletext"/>
              <w:rPr>
                <w:rFonts w:eastAsiaTheme="minorEastAsia"/>
                <w:b/>
                <w:lang w:eastAsia="en-AU"/>
              </w:rPr>
            </w:pPr>
            <w:r w:rsidRPr="006A75A2">
              <w:rPr>
                <w:rFonts w:eastAsiaTheme="minorEastAsia"/>
                <w:b/>
                <w:bCs/>
                <w:lang w:eastAsia="en-AU"/>
              </w:rPr>
              <w:t>Financial liabilities</w:t>
            </w:r>
          </w:p>
        </w:tc>
      </w:tr>
      <w:tr w:rsidR="004E6C32" w:rsidRPr="006A75A2" w:rsidTr="004B5CB1">
        <w:tc>
          <w:tcPr>
            <w:tcW w:w="3278" w:type="dxa"/>
            <w:tcBorders>
              <w:top w:val="nil"/>
              <w:left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Derivative financial instruments</w:t>
            </w:r>
          </w:p>
        </w:tc>
        <w:tc>
          <w:tcPr>
            <w:tcW w:w="925"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2 990.2</w:t>
            </w:r>
          </w:p>
        </w:tc>
        <w:tc>
          <w:tcPr>
            <w:tcW w:w="1679"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(1 941.2)</w:t>
            </w:r>
          </w:p>
        </w:tc>
        <w:tc>
          <w:tcPr>
            <w:tcW w:w="175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1 049.0</w:t>
            </w:r>
          </w:p>
        </w:tc>
        <w:tc>
          <w:tcPr>
            <w:tcW w:w="1032" w:type="dxa"/>
            <w:tcBorders>
              <w:top w:val="nil"/>
              <w:left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(625.0)</w:t>
            </w:r>
          </w:p>
        </w:tc>
        <w:tc>
          <w:tcPr>
            <w:tcW w:w="976"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424.0</w:t>
            </w:r>
          </w:p>
        </w:tc>
      </w:tr>
      <w:tr w:rsidR="004E6C32" w:rsidRPr="006A75A2" w:rsidTr="004B5CB1">
        <w:tc>
          <w:tcPr>
            <w:tcW w:w="3278"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lang w:eastAsia="en-AU"/>
              </w:rPr>
            </w:pPr>
            <w:r w:rsidRPr="006A75A2">
              <w:rPr>
                <w:rFonts w:eastAsiaTheme="minorEastAsia"/>
                <w:lang w:eastAsia="en-AU"/>
              </w:rPr>
              <w:t>Interest bearing liabilities</w:t>
            </w:r>
          </w:p>
        </w:tc>
        <w:tc>
          <w:tcPr>
            <w:tcW w:w="925"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37 527.7</w:t>
            </w:r>
          </w:p>
        </w:tc>
        <w:tc>
          <w:tcPr>
            <w:tcW w:w="1679"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75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37 527.7</w:t>
            </w:r>
          </w:p>
        </w:tc>
        <w:tc>
          <w:tcPr>
            <w:tcW w:w="1032"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(11.1)</w:t>
            </w:r>
          </w:p>
        </w:tc>
        <w:tc>
          <w:tcPr>
            <w:tcW w:w="976"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37 516.6</w:t>
            </w:r>
          </w:p>
        </w:tc>
      </w:tr>
    </w:tbl>
    <w:p w:rsidR="004E6C32" w:rsidRPr="006A75A2" w:rsidRDefault="004E6C32" w:rsidP="004B5CB1"/>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65" w:name="_Toc400040281"/>
      <w:r w:rsidRPr="006A75A2">
        <w:rPr>
          <w:kern w:val="0"/>
        </w:rPr>
        <w:lastRenderedPageBreak/>
        <w:t>Note 34:</w:t>
      </w:r>
      <w:r w:rsidRPr="006A75A2">
        <w:rPr>
          <w:kern w:val="0"/>
        </w:rPr>
        <w:tab/>
        <w:t>Commitments</w:t>
      </w:r>
      <w:bookmarkEnd w:id="65"/>
    </w:p>
    <w:p w:rsidR="004E6C32" w:rsidRPr="006A75A2" w:rsidRDefault="004E6C32" w:rsidP="0067336F">
      <w:pPr>
        <w:pStyle w:val="Heading5"/>
      </w:pPr>
      <w:r w:rsidRPr="006A75A2">
        <w:t>(a)</w:t>
      </w:r>
      <w:r w:rsidRPr="006A75A2">
        <w:tab/>
        <w:t>Non-public private partnerships</w:t>
      </w:r>
      <w:r w:rsidRPr="006A75A2">
        <w:rPr>
          <w:vertAlign w:val="superscript"/>
        </w:rPr>
        <w:t>(a)(b)</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049"/>
        <w:gridCol w:w="252"/>
        <w:gridCol w:w="1162"/>
        <w:gridCol w:w="1497"/>
        <w:gridCol w:w="1358"/>
        <w:gridCol w:w="1322"/>
      </w:tblGrid>
      <w:tr w:rsidR="004E6C32" w:rsidRPr="006A75A2" w:rsidTr="004B5CB1">
        <w:tc>
          <w:tcPr>
            <w:tcW w:w="4049" w:type="dxa"/>
            <w:tcBorders>
              <w:top w:val="single" w:sz="6" w:space="0" w:color="auto"/>
              <w:left w:val="single" w:sz="6" w:space="0" w:color="auto"/>
              <w:bottom w:val="nil"/>
              <w:right w:val="nil"/>
            </w:tcBorders>
            <w:shd w:val="clear" w:color="000000" w:fill="000000"/>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 xml:space="preserve"> </w:t>
            </w:r>
          </w:p>
        </w:tc>
        <w:tc>
          <w:tcPr>
            <w:tcW w:w="1414" w:type="dxa"/>
            <w:gridSpan w:val="2"/>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iCs/>
                <w:sz w:val="21"/>
                <w:lang w:eastAsia="en-AU"/>
              </w:rPr>
            </w:pPr>
          </w:p>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State of Victoria</w:t>
            </w:r>
          </w:p>
        </w:tc>
        <w:tc>
          <w:tcPr>
            <w:tcW w:w="1497"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General government sector</w:t>
            </w:r>
          </w:p>
        </w:tc>
        <w:tc>
          <w:tcPr>
            <w:tcW w:w="1358" w:type="dxa"/>
            <w:tcBorders>
              <w:top w:val="single" w:sz="6" w:space="0" w:color="auto"/>
              <w:left w:val="nil"/>
              <w:bottom w:val="nil"/>
              <w:right w:val="nil"/>
            </w:tcBorders>
            <w:shd w:val="clear" w:color="000000" w:fill="000000"/>
          </w:tcPr>
          <w:p w:rsidR="004E6C32" w:rsidRPr="006A75A2" w:rsidRDefault="004E6C32" w:rsidP="004B5CB1">
            <w:pPr>
              <w:pStyle w:val="Tabletextheading"/>
              <w:rPr>
                <w:rFonts w:eastAsiaTheme="minorEastAsia"/>
                <w:iCs/>
                <w:sz w:val="21"/>
                <w:lang w:eastAsia="en-AU"/>
              </w:rPr>
            </w:pPr>
          </w:p>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State of Victoria</w:t>
            </w:r>
          </w:p>
        </w:tc>
        <w:tc>
          <w:tcPr>
            <w:tcW w:w="1322" w:type="dxa"/>
            <w:tcBorders>
              <w:top w:val="single" w:sz="6" w:space="0" w:color="auto"/>
              <w:left w:val="nil"/>
              <w:bottom w:val="nil"/>
              <w:right w:val="single" w:sz="6" w:space="0" w:color="auto"/>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General government sector</w:t>
            </w:r>
          </w:p>
        </w:tc>
      </w:tr>
      <w:tr w:rsidR="004E6C32" w:rsidRPr="006A75A2" w:rsidTr="004B5CB1">
        <w:tc>
          <w:tcPr>
            <w:tcW w:w="4049" w:type="dxa"/>
            <w:tcBorders>
              <w:top w:val="nil"/>
              <w:left w:val="single" w:sz="6" w:space="0" w:color="auto"/>
              <w:bottom w:val="nil"/>
              <w:right w:val="nil"/>
            </w:tcBorders>
            <w:shd w:val="clear" w:color="000000" w:fill="000000"/>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 xml:space="preserve"> </w:t>
            </w:r>
          </w:p>
        </w:tc>
        <w:tc>
          <w:tcPr>
            <w:tcW w:w="1414" w:type="dxa"/>
            <w:gridSpan w:val="2"/>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2014</w:t>
            </w:r>
          </w:p>
        </w:tc>
        <w:tc>
          <w:tcPr>
            <w:tcW w:w="1497"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2014</w:t>
            </w:r>
          </w:p>
        </w:tc>
        <w:tc>
          <w:tcPr>
            <w:tcW w:w="1358"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2013</w:t>
            </w:r>
          </w:p>
        </w:tc>
        <w:tc>
          <w:tcPr>
            <w:tcW w:w="1322" w:type="dxa"/>
            <w:tcBorders>
              <w:top w:val="nil"/>
              <w:left w:val="nil"/>
              <w:bottom w:val="nil"/>
              <w:right w:val="single" w:sz="6" w:space="0" w:color="auto"/>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2013</w:t>
            </w:r>
          </w:p>
        </w:tc>
      </w:tr>
      <w:tr w:rsidR="004E6C32" w:rsidRPr="006A75A2" w:rsidTr="004B5CB1">
        <w:tc>
          <w:tcPr>
            <w:tcW w:w="4049"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sz w:val="21"/>
                <w:lang w:eastAsia="en-AU"/>
              </w:rPr>
            </w:pPr>
            <w:r w:rsidRPr="006A75A2">
              <w:rPr>
                <w:rFonts w:eastAsiaTheme="minorEastAsia"/>
                <w:i/>
                <w:iCs/>
                <w:sz w:val="21"/>
                <w:lang w:eastAsia="en-AU"/>
              </w:rPr>
              <w:t xml:space="preserve"> </w:t>
            </w:r>
          </w:p>
        </w:tc>
        <w:tc>
          <w:tcPr>
            <w:tcW w:w="1414" w:type="dxa"/>
            <w:gridSpan w:val="2"/>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Nominal value</w:t>
            </w:r>
          </w:p>
        </w:tc>
        <w:tc>
          <w:tcPr>
            <w:tcW w:w="1497"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Nominal value</w:t>
            </w:r>
          </w:p>
        </w:tc>
        <w:tc>
          <w:tcPr>
            <w:tcW w:w="1358"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Nominal value</w:t>
            </w:r>
          </w:p>
        </w:tc>
        <w:tc>
          <w:tcPr>
            <w:tcW w:w="1322"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sz w:val="21"/>
                <w:lang w:eastAsia="en-AU"/>
              </w:rPr>
            </w:pPr>
            <w:r w:rsidRPr="006A75A2">
              <w:rPr>
                <w:rFonts w:eastAsiaTheme="minorEastAsia"/>
                <w:iCs/>
                <w:sz w:val="21"/>
                <w:lang w:eastAsia="en-AU"/>
              </w:rPr>
              <w:t>Nominal value</w:t>
            </w:r>
          </w:p>
        </w:tc>
      </w:tr>
      <w:tr w:rsidR="00AC319F" w:rsidRPr="006A75A2" w:rsidTr="006E60A8">
        <w:tc>
          <w:tcPr>
            <w:tcW w:w="9640" w:type="dxa"/>
            <w:gridSpan w:val="6"/>
            <w:tcBorders>
              <w:top w:val="single" w:sz="6" w:space="0" w:color="auto"/>
              <w:left w:val="nil"/>
              <w:bottom w:val="nil"/>
              <w:right w:val="nil"/>
            </w:tcBorders>
          </w:tcPr>
          <w:p w:rsidR="00AC319F" w:rsidRPr="006A75A2" w:rsidRDefault="00AC319F" w:rsidP="006E60A8">
            <w:pPr>
              <w:pStyle w:val="Tabletext"/>
              <w:rPr>
                <w:rFonts w:eastAsiaTheme="minorEastAsia"/>
                <w:b/>
                <w:sz w:val="21"/>
                <w:lang w:eastAsia="en-AU"/>
              </w:rPr>
            </w:pPr>
            <w:r w:rsidRPr="006A75A2">
              <w:rPr>
                <w:rFonts w:eastAsiaTheme="minorEastAsia"/>
                <w:b/>
                <w:bCs/>
                <w:sz w:val="21"/>
                <w:lang w:eastAsia="en-AU"/>
              </w:rPr>
              <w:t>Capital expenditure commitments</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Land and buildings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881.1</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750.3</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1 185.7</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1 069.2</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Plant, equipment and vehicles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282.0</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218.4</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332.0</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241.2</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Infrastructure systems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lang w:eastAsia="en-AU"/>
              </w:rPr>
              <w:t>1 100.6</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235.5</w:t>
            </w:r>
          </w:p>
        </w:tc>
        <w:tc>
          <w:tcPr>
            <w:tcW w:w="1358"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lang w:eastAsia="en-AU"/>
              </w:rPr>
              <w:t>1 384.6</w:t>
            </w:r>
          </w:p>
        </w:tc>
        <w:tc>
          <w:tcPr>
            <w:tcW w:w="1322"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lang w:eastAsia="en-AU"/>
              </w:rPr>
              <w:t>1 052.6</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Road networks and earthworks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636.1</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636.1</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792.6</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791.4</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Other</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1 328.9</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1 304.2</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946.7</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943.7</w:t>
            </w:r>
          </w:p>
        </w:tc>
      </w:tr>
      <w:tr w:rsidR="004E6C32" w:rsidRPr="006A75A2" w:rsidTr="004B5CB1">
        <w:tc>
          <w:tcPr>
            <w:tcW w:w="4049"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1"/>
                <w:lang w:eastAsia="en-AU"/>
              </w:rPr>
            </w:pPr>
            <w:r w:rsidRPr="006A75A2">
              <w:rPr>
                <w:rFonts w:eastAsiaTheme="minorEastAsia"/>
                <w:b/>
                <w:bCs/>
                <w:sz w:val="21"/>
                <w:lang w:eastAsia="en-AU"/>
              </w:rPr>
              <w:t>Total capital expenditure commitments</w:t>
            </w:r>
          </w:p>
        </w:tc>
        <w:tc>
          <w:tcPr>
            <w:tcW w:w="1414"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4 228.6</w:t>
            </w:r>
          </w:p>
        </w:tc>
        <w:tc>
          <w:tcPr>
            <w:tcW w:w="149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3 144.5</w:t>
            </w:r>
          </w:p>
        </w:tc>
        <w:tc>
          <w:tcPr>
            <w:tcW w:w="135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4 641.6</w:t>
            </w:r>
          </w:p>
        </w:tc>
        <w:tc>
          <w:tcPr>
            <w:tcW w:w="132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4 098.0</w:t>
            </w:r>
          </w:p>
        </w:tc>
      </w:tr>
      <w:tr w:rsidR="004E6C32" w:rsidRPr="006A75A2" w:rsidTr="004B5CB1">
        <w:trPr>
          <w:trHeight w:hRule="exact" w:val="120"/>
        </w:trPr>
        <w:tc>
          <w:tcPr>
            <w:tcW w:w="4049" w:type="dxa"/>
            <w:tcBorders>
              <w:top w:val="nil"/>
              <w:left w:val="nil"/>
              <w:bottom w:val="nil"/>
              <w:right w:val="nil"/>
            </w:tcBorders>
          </w:tcPr>
          <w:p w:rsidR="004E6C32" w:rsidRPr="006A75A2" w:rsidRDefault="004E6C32" w:rsidP="004B5CB1">
            <w:pPr>
              <w:pStyle w:val="Tabletext"/>
              <w:rPr>
                <w:rFonts w:eastAsiaTheme="minorEastAsia"/>
                <w:b/>
                <w:bCs/>
                <w:sz w:val="21"/>
                <w:lang w:eastAsia="en-AU"/>
              </w:rPr>
            </w:pPr>
            <w:r w:rsidRPr="006A75A2">
              <w:rPr>
                <w:rFonts w:eastAsiaTheme="minorEastAsia"/>
                <w:b/>
                <w:bCs/>
                <w:sz w:val="21"/>
                <w:lang w:eastAsia="en-AU"/>
              </w:rPr>
              <w:t xml:space="preserve"> </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b/>
                <w:bCs/>
                <w:sz w:val="21"/>
                <w:lang w:eastAsia="en-AU"/>
              </w:rPr>
            </w:pPr>
          </w:p>
        </w:tc>
        <w:tc>
          <w:tcPr>
            <w:tcW w:w="1497" w:type="dxa"/>
            <w:tcBorders>
              <w:top w:val="nil"/>
              <w:left w:val="nil"/>
              <w:bottom w:val="nil"/>
              <w:right w:val="nil"/>
            </w:tcBorders>
          </w:tcPr>
          <w:p w:rsidR="004E6C32" w:rsidRPr="006A75A2" w:rsidRDefault="004E6C32" w:rsidP="004B5CB1">
            <w:pPr>
              <w:pStyle w:val="TableofFigures"/>
              <w:rPr>
                <w:rFonts w:eastAsiaTheme="minorEastAsia"/>
                <w:b/>
                <w:bCs/>
                <w:sz w:val="21"/>
                <w:lang w:eastAsia="en-AU"/>
              </w:rPr>
            </w:pPr>
          </w:p>
        </w:tc>
        <w:tc>
          <w:tcPr>
            <w:tcW w:w="1358" w:type="dxa"/>
            <w:tcBorders>
              <w:top w:val="nil"/>
              <w:left w:val="nil"/>
              <w:bottom w:val="nil"/>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 xml:space="preserve"> </w:t>
            </w:r>
          </w:p>
        </w:tc>
        <w:tc>
          <w:tcPr>
            <w:tcW w:w="1322" w:type="dxa"/>
            <w:tcBorders>
              <w:top w:val="nil"/>
              <w:left w:val="nil"/>
              <w:bottom w:val="nil"/>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 xml:space="preserve"> </w:t>
            </w:r>
          </w:p>
        </w:tc>
      </w:tr>
      <w:tr w:rsidR="00AC319F" w:rsidRPr="006A75A2" w:rsidTr="006E60A8">
        <w:tc>
          <w:tcPr>
            <w:tcW w:w="9640" w:type="dxa"/>
            <w:gridSpan w:val="6"/>
            <w:tcBorders>
              <w:top w:val="nil"/>
              <w:left w:val="nil"/>
              <w:bottom w:val="nil"/>
              <w:right w:val="nil"/>
            </w:tcBorders>
          </w:tcPr>
          <w:p w:rsidR="00AC319F" w:rsidRPr="006A75A2" w:rsidRDefault="00AC319F" w:rsidP="006E60A8">
            <w:pPr>
              <w:pStyle w:val="Tabletext"/>
              <w:rPr>
                <w:rFonts w:eastAsiaTheme="minorEastAsia"/>
                <w:b/>
                <w:sz w:val="21"/>
                <w:lang w:eastAsia="en-AU"/>
              </w:rPr>
            </w:pPr>
            <w:r w:rsidRPr="006A75A2">
              <w:rPr>
                <w:rFonts w:eastAsiaTheme="minorEastAsia"/>
                <w:b/>
                <w:bCs/>
                <w:sz w:val="21"/>
                <w:lang w:eastAsia="en-AU"/>
              </w:rPr>
              <w:t>Operating and lease commitments</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Rail services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4 559.9</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4 559.9</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4 807.4</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4 807.4</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Bus services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3 473.9</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3 473.9</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4 346.7</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4 346.7</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Other</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2 548.7</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1 632.1</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3 144.1</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2 213.8</w:t>
            </w:r>
          </w:p>
        </w:tc>
      </w:tr>
      <w:tr w:rsidR="004E6C32" w:rsidRPr="006A75A2" w:rsidTr="004B5CB1">
        <w:tc>
          <w:tcPr>
            <w:tcW w:w="4049"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1"/>
                <w:lang w:eastAsia="en-AU"/>
              </w:rPr>
            </w:pPr>
            <w:r w:rsidRPr="006A75A2">
              <w:rPr>
                <w:rFonts w:eastAsiaTheme="minorEastAsia"/>
                <w:b/>
                <w:bCs/>
                <w:sz w:val="21"/>
                <w:lang w:eastAsia="en-AU"/>
              </w:rPr>
              <w:t>Total operating and lease commitments</w:t>
            </w:r>
          </w:p>
        </w:tc>
        <w:tc>
          <w:tcPr>
            <w:tcW w:w="1414"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10 582.5</w:t>
            </w:r>
          </w:p>
        </w:tc>
        <w:tc>
          <w:tcPr>
            <w:tcW w:w="149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9 665.9</w:t>
            </w:r>
          </w:p>
        </w:tc>
        <w:tc>
          <w:tcPr>
            <w:tcW w:w="135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12 298.2</w:t>
            </w:r>
          </w:p>
        </w:tc>
        <w:tc>
          <w:tcPr>
            <w:tcW w:w="132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11 367.9</w:t>
            </w:r>
          </w:p>
        </w:tc>
      </w:tr>
      <w:tr w:rsidR="004E6C32" w:rsidRPr="006A75A2" w:rsidTr="004B5CB1">
        <w:trPr>
          <w:trHeight w:hRule="exact" w:val="120"/>
        </w:trPr>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 xml:space="preserve"> </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b/>
                <w:bCs/>
                <w:sz w:val="21"/>
                <w:lang w:eastAsia="en-AU"/>
              </w:rPr>
            </w:pPr>
          </w:p>
        </w:tc>
        <w:tc>
          <w:tcPr>
            <w:tcW w:w="1497" w:type="dxa"/>
            <w:tcBorders>
              <w:top w:val="nil"/>
              <w:left w:val="nil"/>
              <w:bottom w:val="nil"/>
              <w:right w:val="nil"/>
            </w:tcBorders>
          </w:tcPr>
          <w:p w:rsidR="004E6C32" w:rsidRPr="006A75A2" w:rsidRDefault="004E6C32" w:rsidP="004B5CB1">
            <w:pPr>
              <w:pStyle w:val="TableofFigures"/>
              <w:rPr>
                <w:rFonts w:eastAsiaTheme="minorEastAsia"/>
                <w:b/>
                <w:bCs/>
                <w:sz w:val="21"/>
                <w:lang w:eastAsia="en-AU"/>
              </w:rPr>
            </w:pPr>
          </w:p>
        </w:tc>
        <w:tc>
          <w:tcPr>
            <w:tcW w:w="1358" w:type="dxa"/>
            <w:tcBorders>
              <w:top w:val="nil"/>
              <w:left w:val="nil"/>
              <w:bottom w:val="nil"/>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 xml:space="preserve"> </w:t>
            </w:r>
          </w:p>
        </w:tc>
        <w:tc>
          <w:tcPr>
            <w:tcW w:w="1322" w:type="dxa"/>
            <w:tcBorders>
              <w:top w:val="nil"/>
              <w:left w:val="nil"/>
              <w:bottom w:val="nil"/>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 xml:space="preserve"> </w:t>
            </w:r>
          </w:p>
        </w:tc>
      </w:tr>
      <w:tr w:rsidR="00AC319F" w:rsidRPr="006A75A2" w:rsidTr="006E60A8">
        <w:tc>
          <w:tcPr>
            <w:tcW w:w="9640" w:type="dxa"/>
            <w:gridSpan w:val="6"/>
            <w:tcBorders>
              <w:top w:val="nil"/>
              <w:left w:val="nil"/>
              <w:bottom w:val="nil"/>
              <w:right w:val="nil"/>
            </w:tcBorders>
          </w:tcPr>
          <w:p w:rsidR="00AC319F" w:rsidRPr="006A75A2" w:rsidRDefault="00AC319F" w:rsidP="006E60A8">
            <w:pPr>
              <w:pStyle w:val="Tabletext"/>
              <w:rPr>
                <w:rFonts w:eastAsiaTheme="minorEastAsia"/>
                <w:b/>
                <w:sz w:val="21"/>
                <w:lang w:eastAsia="en-AU"/>
              </w:rPr>
            </w:pPr>
            <w:r w:rsidRPr="006A75A2">
              <w:rPr>
                <w:rFonts w:eastAsiaTheme="minorEastAsia"/>
                <w:b/>
                <w:bCs/>
                <w:sz w:val="21"/>
                <w:lang w:eastAsia="en-AU"/>
              </w:rPr>
              <w:t>Other commitments</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Building occupancy services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72.4</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78.0</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Capital investment commitments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37.9</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66.7</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Commercial contracts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137.4</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136.2</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122.1</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116.5</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Debt collection services (Traffic camera office)</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76.3</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76.3</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122.7</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122.7</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Emergency Alert System</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51.4</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51.4</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80.3</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80.3</w:t>
            </w:r>
          </w:p>
        </w:tc>
      </w:tr>
      <w:tr w:rsidR="004E6C32" w:rsidRPr="006A75A2" w:rsidTr="004B5CB1">
        <w:tc>
          <w:tcPr>
            <w:tcW w:w="4301" w:type="dxa"/>
            <w:gridSpan w:val="2"/>
            <w:tcBorders>
              <w:top w:val="nil"/>
              <w:left w:val="nil"/>
              <w:bottom w:val="nil"/>
              <w:right w:val="nil"/>
            </w:tcBorders>
          </w:tcPr>
          <w:p w:rsidR="004E6C32" w:rsidRPr="006A75A2" w:rsidRDefault="004E6C32" w:rsidP="008708FF">
            <w:pPr>
              <w:pStyle w:val="Tabletext"/>
              <w:rPr>
                <w:rFonts w:eastAsiaTheme="minorEastAsia"/>
                <w:sz w:val="21"/>
                <w:vertAlign w:val="superscript"/>
                <w:lang w:eastAsia="en-AU"/>
              </w:rPr>
            </w:pPr>
            <w:r w:rsidRPr="006A75A2">
              <w:rPr>
                <w:rFonts w:eastAsiaTheme="minorEastAsia"/>
                <w:sz w:val="21"/>
                <w:lang w:eastAsia="en-AU"/>
              </w:rPr>
              <w:t>Goulburn-Murray Water Connections Project</w:t>
            </w:r>
            <w:r w:rsidRPr="006A75A2">
              <w:rPr>
                <w:rFonts w:eastAsiaTheme="minorEastAsia"/>
                <w:sz w:val="21"/>
                <w:vertAlign w:val="superscript"/>
                <w:lang w:eastAsia="en-AU"/>
              </w:rPr>
              <w:t>(c)</w:t>
            </w:r>
          </w:p>
        </w:tc>
        <w:tc>
          <w:tcPr>
            <w:tcW w:w="116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34.8</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976.9</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23.8</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1 187.1</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Hopkins correctional centre</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446.4</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446.4</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454.4</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454.4</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Information technology</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43.1</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35.3</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101.5</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81.2</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New ticketing solution (</w:t>
            </w:r>
            <w:r w:rsidRPr="006A75A2">
              <w:rPr>
                <w:rFonts w:eastAsiaTheme="minorEastAsia"/>
                <w:i/>
                <w:sz w:val="21"/>
                <w:lang w:eastAsia="en-AU"/>
              </w:rPr>
              <w:t>myki</w:t>
            </w:r>
            <w:r w:rsidRPr="006A75A2">
              <w:rPr>
                <w:rFonts w:eastAsiaTheme="minorEastAsia"/>
                <w:sz w:val="21"/>
                <w:lang w:eastAsia="en-AU"/>
              </w:rPr>
              <w:t>)</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208.1</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208.1</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225.6</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225.6</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Outsourcing of services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363.1</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213.0</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419.8</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241.0</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Policing services</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76.9</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76.9</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134.7</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134.7</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Traffic camera services (Traffic camera office)</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76.7</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76.7</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98.3</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98.3</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Transport Accident Commission funded medical research</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35.3</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 xml:space="preserve"> 47.6</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w:t>
            </w:r>
          </w:p>
        </w:tc>
      </w:tr>
      <w:tr w:rsidR="004E6C32" w:rsidRPr="006A75A2" w:rsidTr="004B5CB1">
        <w:tc>
          <w:tcPr>
            <w:tcW w:w="4049" w:type="dxa"/>
            <w:tcBorders>
              <w:top w:val="nil"/>
              <w:left w:val="nil"/>
              <w:bottom w:val="nil"/>
              <w:right w:val="nil"/>
            </w:tcBorders>
          </w:tcPr>
          <w:p w:rsidR="004E6C32" w:rsidRPr="006A75A2" w:rsidRDefault="004E6C32" w:rsidP="004B5CB1">
            <w:pPr>
              <w:pStyle w:val="Tabletext"/>
              <w:rPr>
                <w:rFonts w:eastAsiaTheme="minorEastAsia"/>
                <w:sz w:val="21"/>
                <w:lang w:eastAsia="en-AU"/>
              </w:rPr>
            </w:pPr>
            <w:r w:rsidRPr="006A75A2">
              <w:rPr>
                <w:rFonts w:eastAsiaTheme="minorEastAsia"/>
                <w:sz w:val="21"/>
                <w:lang w:eastAsia="en-AU"/>
              </w:rPr>
              <w:t>Other</w:t>
            </w:r>
          </w:p>
        </w:tc>
        <w:tc>
          <w:tcPr>
            <w:tcW w:w="1414" w:type="dxa"/>
            <w:gridSpan w:val="2"/>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2 066.2</w:t>
            </w:r>
          </w:p>
        </w:tc>
        <w:tc>
          <w:tcPr>
            <w:tcW w:w="1497"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1 905.8</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1 940.0</w:t>
            </w:r>
          </w:p>
        </w:tc>
        <w:tc>
          <w:tcPr>
            <w:tcW w:w="1322" w:type="dxa"/>
            <w:tcBorders>
              <w:top w:val="nil"/>
              <w:left w:val="nil"/>
              <w:bottom w:val="nil"/>
              <w:right w:val="nil"/>
            </w:tcBorders>
          </w:tcPr>
          <w:p w:rsidR="004E6C32" w:rsidRPr="006A75A2" w:rsidRDefault="004E6C32" w:rsidP="004B5CB1">
            <w:pPr>
              <w:pStyle w:val="TableofFigures"/>
              <w:rPr>
                <w:rFonts w:eastAsiaTheme="minorEastAsia"/>
                <w:sz w:val="21"/>
                <w:lang w:eastAsia="en-AU"/>
              </w:rPr>
            </w:pPr>
            <w:r w:rsidRPr="006A75A2">
              <w:rPr>
                <w:rFonts w:eastAsiaTheme="minorEastAsia"/>
                <w:sz w:val="21"/>
                <w:lang w:eastAsia="en-AU"/>
              </w:rPr>
              <w:t>1 836.1</w:t>
            </w:r>
          </w:p>
        </w:tc>
      </w:tr>
      <w:tr w:rsidR="004E6C32" w:rsidRPr="006A75A2" w:rsidTr="004B5CB1">
        <w:tc>
          <w:tcPr>
            <w:tcW w:w="4049"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1"/>
                <w:lang w:eastAsia="en-AU"/>
              </w:rPr>
            </w:pPr>
            <w:r w:rsidRPr="006A75A2">
              <w:rPr>
                <w:rFonts w:eastAsiaTheme="minorEastAsia"/>
                <w:b/>
                <w:bCs/>
                <w:sz w:val="21"/>
                <w:lang w:eastAsia="en-AU"/>
              </w:rPr>
              <w:t>Total other commitments</w:t>
            </w:r>
          </w:p>
        </w:tc>
        <w:tc>
          <w:tcPr>
            <w:tcW w:w="1414"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3 653.5</w:t>
            </w:r>
          </w:p>
        </w:tc>
        <w:tc>
          <w:tcPr>
            <w:tcW w:w="149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4 275.3</w:t>
            </w:r>
          </w:p>
        </w:tc>
        <w:tc>
          <w:tcPr>
            <w:tcW w:w="135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3 837.5</w:t>
            </w:r>
          </w:p>
        </w:tc>
        <w:tc>
          <w:tcPr>
            <w:tcW w:w="132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4 655.7</w:t>
            </w:r>
          </w:p>
        </w:tc>
      </w:tr>
      <w:tr w:rsidR="004E6C32" w:rsidRPr="006A75A2" w:rsidTr="004B5CB1">
        <w:tc>
          <w:tcPr>
            <w:tcW w:w="404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1"/>
                <w:lang w:eastAsia="en-AU"/>
              </w:rPr>
            </w:pPr>
            <w:r w:rsidRPr="006A75A2">
              <w:rPr>
                <w:rFonts w:eastAsiaTheme="minorEastAsia"/>
                <w:b/>
                <w:bCs/>
                <w:sz w:val="21"/>
                <w:lang w:eastAsia="en-AU"/>
              </w:rPr>
              <w:t>Total commitments</w:t>
            </w:r>
          </w:p>
        </w:tc>
        <w:tc>
          <w:tcPr>
            <w:tcW w:w="1414"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18 464.5</w:t>
            </w:r>
          </w:p>
        </w:tc>
        <w:tc>
          <w:tcPr>
            <w:tcW w:w="149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17 085.7</w:t>
            </w:r>
          </w:p>
        </w:tc>
        <w:tc>
          <w:tcPr>
            <w:tcW w:w="135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20 777.3</w:t>
            </w:r>
          </w:p>
        </w:tc>
        <w:tc>
          <w:tcPr>
            <w:tcW w:w="132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1"/>
                <w:lang w:eastAsia="en-AU"/>
              </w:rPr>
            </w:pPr>
            <w:r w:rsidRPr="006A75A2">
              <w:rPr>
                <w:rFonts w:eastAsiaTheme="minorEastAsia"/>
                <w:b/>
                <w:bCs/>
                <w:sz w:val="21"/>
                <w:lang w:eastAsia="en-AU"/>
              </w:rPr>
              <w:t>20 121.5</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The figures presented are inclusive of GST.</w:t>
      </w:r>
    </w:p>
    <w:p w:rsidR="004E6C32" w:rsidRPr="006A75A2" w:rsidRDefault="004E6C32" w:rsidP="004B5CB1">
      <w:pPr>
        <w:pStyle w:val="Notes"/>
      </w:pPr>
      <w:r w:rsidRPr="006A75A2">
        <w:t xml:space="preserve">(b) </w:t>
      </w:r>
      <w:r w:rsidRPr="006A75A2">
        <w:tab/>
        <w:t>A number of the 2013 comparatives have been restated to reflect the most current information.</w:t>
      </w:r>
    </w:p>
    <w:p w:rsidR="004E6C32" w:rsidRPr="006A75A2" w:rsidRDefault="004E6C32" w:rsidP="004B5CB1">
      <w:pPr>
        <w:pStyle w:val="Notes"/>
      </w:pPr>
      <w:r w:rsidRPr="006A75A2">
        <w:t xml:space="preserve">(c) </w:t>
      </w:r>
      <w:r w:rsidRPr="006A75A2">
        <w:tab/>
        <w:t>The Goulburn-Murray Water Connections Project was formally known as the Northern Victoria Irrigation Renewal Project.</w:t>
      </w: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i/>
          <w:kern w:val="0"/>
        </w:rPr>
      </w:pPr>
      <w:r w:rsidRPr="006A75A2">
        <w:rPr>
          <w:kern w:val="0"/>
        </w:rPr>
        <w:lastRenderedPageBreak/>
        <w:t>Note 34:</w:t>
      </w:r>
      <w:r w:rsidRPr="006A75A2">
        <w:rPr>
          <w:kern w:val="0"/>
        </w:rPr>
        <w:tab/>
        <w:t xml:space="preserve">Commitments </w:t>
      </w:r>
      <w:r w:rsidRPr="006A75A2">
        <w:rPr>
          <w:i/>
          <w:kern w:val="0"/>
        </w:rPr>
        <w:t>(continued)</w:t>
      </w:r>
    </w:p>
    <w:p w:rsidR="004E6C32" w:rsidRPr="006A75A2" w:rsidRDefault="004E6C32" w:rsidP="0067336F">
      <w:pPr>
        <w:pStyle w:val="Heading5"/>
      </w:pPr>
      <w:r w:rsidRPr="006A75A2">
        <w:t>(b)</w:t>
      </w:r>
      <w:r w:rsidRPr="006A75A2">
        <w:tab/>
        <w:t>Public private partnerships</w:t>
      </w:r>
      <w:r w:rsidRPr="006A75A2">
        <w:rPr>
          <w:vertAlign w:val="superscript"/>
        </w:rPr>
        <w:t>(a)(b)(c)</w:t>
      </w:r>
    </w:p>
    <w:p w:rsidR="004E6C32" w:rsidRPr="006A75A2" w:rsidRDefault="004E6C32" w:rsidP="004B5CB1">
      <w:pPr>
        <w:pStyle w:val="million"/>
        <w:rPr>
          <w:rFonts w:ascii="Times New Roman" w:hAnsi="Times New Roman"/>
          <w:lang w:eastAsia="en-AU"/>
        </w:rPr>
      </w:pPr>
      <w:r w:rsidRPr="006A75A2">
        <w:t>($ million)</w:t>
      </w:r>
    </w:p>
    <w:tbl>
      <w:tblPr>
        <w:tblW w:w="9676" w:type="dxa"/>
        <w:tblInd w:w="28" w:type="dxa"/>
        <w:tblLayout w:type="fixed"/>
        <w:tblCellMar>
          <w:left w:w="45" w:type="dxa"/>
          <w:right w:w="45" w:type="dxa"/>
        </w:tblCellMar>
        <w:tblLook w:val="0000" w:firstRow="0" w:lastRow="0" w:firstColumn="0" w:lastColumn="0" w:noHBand="0" w:noVBand="0"/>
      </w:tblPr>
      <w:tblGrid>
        <w:gridCol w:w="3794"/>
        <w:gridCol w:w="1074"/>
        <w:gridCol w:w="1178"/>
        <w:gridCol w:w="1346"/>
        <w:gridCol w:w="1103"/>
        <w:gridCol w:w="1181"/>
      </w:tblGrid>
      <w:tr w:rsidR="006E60A8" w:rsidRPr="006A75A2" w:rsidTr="006E60A8">
        <w:tc>
          <w:tcPr>
            <w:tcW w:w="3795" w:type="dxa"/>
            <w:vMerge w:val="restart"/>
            <w:tcBorders>
              <w:top w:val="single" w:sz="6" w:space="0" w:color="auto"/>
              <w:left w:val="single" w:sz="6" w:space="0" w:color="auto"/>
              <w:right w:val="nil"/>
            </w:tcBorders>
            <w:shd w:val="clear" w:color="000000" w:fill="000000"/>
          </w:tcPr>
          <w:p w:rsidR="006E60A8" w:rsidRPr="006A75A2" w:rsidRDefault="006E60A8" w:rsidP="006E60A8">
            <w:pPr>
              <w:pStyle w:val="Tabletext"/>
              <w:rPr>
                <w:rFonts w:eastAsiaTheme="minorEastAsia"/>
                <w:sz w:val="17"/>
                <w:szCs w:val="17"/>
                <w:lang w:eastAsia="en-AU"/>
              </w:rPr>
            </w:pPr>
          </w:p>
        </w:tc>
        <w:tc>
          <w:tcPr>
            <w:tcW w:w="2254" w:type="dxa"/>
            <w:gridSpan w:val="2"/>
            <w:tcBorders>
              <w:top w:val="single" w:sz="6" w:space="0" w:color="auto"/>
              <w:left w:val="nil"/>
              <w:bottom w:val="nil"/>
              <w:right w:val="nil"/>
            </w:tcBorders>
            <w:shd w:val="clear" w:color="000000" w:fill="000000"/>
          </w:tcPr>
          <w:p w:rsidR="006E60A8" w:rsidRPr="006A75A2" w:rsidRDefault="006E60A8" w:rsidP="004B5CB1">
            <w:pPr>
              <w:pStyle w:val="TabletextheadingCentred"/>
              <w:rPr>
                <w:rFonts w:eastAsiaTheme="minorEastAsia"/>
                <w:sz w:val="17"/>
                <w:szCs w:val="17"/>
                <w:lang w:eastAsia="en-AU"/>
              </w:rPr>
            </w:pPr>
            <w:r w:rsidRPr="006A75A2">
              <w:rPr>
                <w:rFonts w:eastAsiaTheme="minorEastAsia"/>
                <w:sz w:val="17"/>
                <w:szCs w:val="17"/>
                <w:lang w:eastAsia="en-AU"/>
              </w:rPr>
              <w:t>State of Victoria</w:t>
            </w:r>
          </w:p>
        </w:tc>
        <w:tc>
          <w:tcPr>
            <w:tcW w:w="1347" w:type="dxa"/>
            <w:vMerge w:val="restart"/>
            <w:tcBorders>
              <w:top w:val="single" w:sz="6" w:space="0" w:color="auto"/>
              <w:left w:val="nil"/>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2280" w:type="dxa"/>
            <w:gridSpan w:val="2"/>
            <w:tcBorders>
              <w:top w:val="single" w:sz="6" w:space="0" w:color="auto"/>
              <w:left w:val="nil"/>
              <w:bottom w:val="nil"/>
              <w:right w:val="single" w:sz="6" w:space="0" w:color="auto"/>
            </w:tcBorders>
            <w:shd w:val="clear" w:color="000000" w:fill="000000"/>
          </w:tcPr>
          <w:p w:rsidR="006E60A8" w:rsidRPr="006A75A2" w:rsidRDefault="006E60A8" w:rsidP="006E60A8">
            <w:pPr>
              <w:pStyle w:val="TabletextheadingCentred"/>
              <w:rPr>
                <w:rFonts w:eastAsiaTheme="minorEastAsia"/>
                <w:iCs/>
                <w:sz w:val="17"/>
                <w:szCs w:val="17"/>
                <w:lang w:eastAsia="en-AU"/>
              </w:rPr>
            </w:pPr>
            <w:r w:rsidRPr="006A75A2">
              <w:rPr>
                <w:rFonts w:eastAsiaTheme="minorEastAsia"/>
                <w:sz w:val="17"/>
                <w:szCs w:val="17"/>
                <w:lang w:eastAsia="en-AU"/>
              </w:rPr>
              <w:t>General government sector</w:t>
            </w:r>
          </w:p>
        </w:tc>
      </w:tr>
      <w:tr w:rsidR="006E60A8" w:rsidRPr="006A75A2" w:rsidTr="006E60A8">
        <w:tc>
          <w:tcPr>
            <w:tcW w:w="3795" w:type="dxa"/>
            <w:vMerge/>
            <w:tcBorders>
              <w:left w:val="single" w:sz="6" w:space="0" w:color="auto"/>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2254" w:type="dxa"/>
            <w:gridSpan w:val="2"/>
            <w:tcBorders>
              <w:top w:val="nil"/>
              <w:left w:val="nil"/>
              <w:bottom w:val="nil"/>
              <w:right w:val="nil"/>
            </w:tcBorders>
            <w:shd w:val="clear" w:color="000000" w:fill="000000"/>
          </w:tcPr>
          <w:p w:rsidR="006E60A8" w:rsidRPr="006A75A2" w:rsidRDefault="006E60A8" w:rsidP="004B5CB1">
            <w:pPr>
              <w:pStyle w:val="TabletextheadingCentred"/>
              <w:rPr>
                <w:rFonts w:eastAsiaTheme="minorEastAsia"/>
                <w:sz w:val="17"/>
                <w:szCs w:val="17"/>
                <w:lang w:eastAsia="en-AU"/>
              </w:rPr>
            </w:pPr>
            <w:r w:rsidRPr="006A75A2">
              <w:rPr>
                <w:rFonts w:eastAsiaTheme="minorEastAsia"/>
                <w:sz w:val="17"/>
                <w:szCs w:val="17"/>
                <w:lang w:eastAsia="en-AU"/>
              </w:rPr>
              <w:t>2014</w:t>
            </w:r>
          </w:p>
        </w:tc>
        <w:tc>
          <w:tcPr>
            <w:tcW w:w="1347" w:type="dxa"/>
            <w:vMerge/>
            <w:tcBorders>
              <w:left w:val="nil"/>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2280" w:type="dxa"/>
            <w:gridSpan w:val="2"/>
            <w:tcBorders>
              <w:top w:val="nil"/>
              <w:left w:val="nil"/>
              <w:bottom w:val="nil"/>
              <w:right w:val="single" w:sz="6" w:space="0" w:color="auto"/>
            </w:tcBorders>
            <w:shd w:val="clear" w:color="000000" w:fill="000000"/>
          </w:tcPr>
          <w:p w:rsidR="006E60A8" w:rsidRPr="006A75A2" w:rsidRDefault="006E60A8" w:rsidP="006E60A8">
            <w:pPr>
              <w:pStyle w:val="TabletextheadingCentred"/>
              <w:rPr>
                <w:rFonts w:eastAsiaTheme="minorEastAsia"/>
                <w:iCs/>
                <w:sz w:val="17"/>
                <w:szCs w:val="17"/>
                <w:lang w:eastAsia="en-AU"/>
              </w:rPr>
            </w:pPr>
            <w:r w:rsidRPr="006A75A2">
              <w:rPr>
                <w:rFonts w:eastAsiaTheme="minorEastAsia"/>
                <w:sz w:val="17"/>
                <w:szCs w:val="17"/>
                <w:lang w:eastAsia="en-AU"/>
              </w:rPr>
              <w:t>2014</w:t>
            </w:r>
          </w:p>
        </w:tc>
      </w:tr>
      <w:tr w:rsidR="006E60A8" w:rsidRPr="006A75A2" w:rsidTr="006E60A8">
        <w:tc>
          <w:tcPr>
            <w:tcW w:w="3795" w:type="dxa"/>
            <w:vMerge/>
            <w:tcBorders>
              <w:left w:val="single" w:sz="6" w:space="0" w:color="auto"/>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2254" w:type="dxa"/>
            <w:gridSpan w:val="2"/>
            <w:tcBorders>
              <w:top w:val="nil"/>
              <w:left w:val="nil"/>
              <w:bottom w:val="nil"/>
              <w:right w:val="nil"/>
            </w:tcBorders>
            <w:shd w:val="clear" w:color="000000" w:fill="000000"/>
          </w:tcPr>
          <w:p w:rsidR="006E60A8" w:rsidRPr="006A75A2" w:rsidRDefault="006E60A8" w:rsidP="004B5CB1">
            <w:pPr>
              <w:pStyle w:val="TabletextheadingCentred"/>
              <w:rPr>
                <w:rFonts w:eastAsiaTheme="minorEastAsia"/>
                <w:sz w:val="17"/>
                <w:szCs w:val="17"/>
                <w:lang w:eastAsia="en-AU"/>
              </w:rPr>
            </w:pPr>
            <w:r w:rsidRPr="006A75A2">
              <w:rPr>
                <w:rFonts w:eastAsiaTheme="minorEastAsia"/>
                <w:sz w:val="17"/>
                <w:szCs w:val="17"/>
                <w:lang w:eastAsia="en-AU"/>
              </w:rPr>
              <w:t>Other commitments</w:t>
            </w:r>
          </w:p>
        </w:tc>
        <w:tc>
          <w:tcPr>
            <w:tcW w:w="1347" w:type="dxa"/>
            <w:vMerge/>
            <w:tcBorders>
              <w:left w:val="nil"/>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2280" w:type="dxa"/>
            <w:gridSpan w:val="2"/>
            <w:tcBorders>
              <w:top w:val="nil"/>
              <w:left w:val="nil"/>
              <w:bottom w:val="nil"/>
              <w:right w:val="single" w:sz="6" w:space="0" w:color="auto"/>
            </w:tcBorders>
            <w:shd w:val="clear" w:color="000000" w:fill="000000"/>
          </w:tcPr>
          <w:p w:rsidR="006E60A8" w:rsidRPr="006A75A2" w:rsidRDefault="006E60A8" w:rsidP="004B5CB1">
            <w:pPr>
              <w:pStyle w:val="TabletextheadingCentred"/>
              <w:rPr>
                <w:rFonts w:eastAsiaTheme="minorEastAsia"/>
                <w:iCs/>
                <w:sz w:val="17"/>
                <w:szCs w:val="17"/>
                <w:lang w:eastAsia="en-AU"/>
              </w:rPr>
            </w:pPr>
            <w:r w:rsidRPr="006A75A2">
              <w:rPr>
                <w:rFonts w:eastAsiaTheme="minorEastAsia"/>
                <w:sz w:val="17"/>
                <w:szCs w:val="17"/>
                <w:lang w:eastAsia="en-AU"/>
              </w:rPr>
              <w:t>Other commitments</w:t>
            </w:r>
            <w:r w:rsidRPr="006A75A2">
              <w:rPr>
                <w:rFonts w:eastAsiaTheme="minorEastAsia"/>
                <w:iCs/>
                <w:sz w:val="17"/>
                <w:szCs w:val="17"/>
                <w:lang w:eastAsia="en-AU"/>
              </w:rPr>
              <w:t xml:space="preserve"> </w:t>
            </w:r>
          </w:p>
        </w:tc>
      </w:tr>
      <w:tr w:rsidR="006E60A8" w:rsidRPr="006A75A2" w:rsidTr="006E60A8">
        <w:tc>
          <w:tcPr>
            <w:tcW w:w="3795" w:type="dxa"/>
            <w:vMerge/>
            <w:tcBorders>
              <w:left w:val="single" w:sz="6" w:space="0" w:color="auto"/>
              <w:bottom w:val="single" w:sz="6" w:space="0" w:color="auto"/>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1075" w:type="dxa"/>
            <w:tcBorders>
              <w:top w:val="nil"/>
              <w:left w:val="nil"/>
              <w:bottom w:val="single" w:sz="6" w:space="0" w:color="auto"/>
              <w:right w:val="nil"/>
            </w:tcBorders>
            <w:shd w:val="clear" w:color="000000" w:fill="000000"/>
          </w:tcPr>
          <w:p w:rsidR="006E60A8" w:rsidRPr="006A75A2" w:rsidRDefault="006E60A8" w:rsidP="004B5CB1">
            <w:pPr>
              <w:pStyle w:val="Tabletextheading"/>
              <w:rPr>
                <w:rFonts w:eastAsiaTheme="minorEastAsia"/>
                <w:iCs/>
                <w:sz w:val="17"/>
                <w:szCs w:val="17"/>
                <w:lang w:eastAsia="en-AU"/>
              </w:rPr>
            </w:pPr>
            <w:r w:rsidRPr="006A75A2">
              <w:rPr>
                <w:rFonts w:eastAsiaTheme="minorEastAsia"/>
                <w:iCs/>
                <w:sz w:val="17"/>
                <w:szCs w:val="17"/>
                <w:lang w:eastAsia="en-AU"/>
              </w:rPr>
              <w:t>Present value</w:t>
            </w:r>
          </w:p>
        </w:tc>
        <w:tc>
          <w:tcPr>
            <w:tcW w:w="1179" w:type="dxa"/>
            <w:tcBorders>
              <w:top w:val="nil"/>
              <w:left w:val="nil"/>
              <w:bottom w:val="single" w:sz="6" w:space="0" w:color="auto"/>
              <w:right w:val="nil"/>
            </w:tcBorders>
            <w:shd w:val="clear" w:color="000000" w:fill="000000"/>
          </w:tcPr>
          <w:p w:rsidR="006E60A8" w:rsidRPr="006A75A2" w:rsidRDefault="006E60A8" w:rsidP="004B5CB1">
            <w:pPr>
              <w:pStyle w:val="Tabletextheading"/>
              <w:rPr>
                <w:rFonts w:eastAsiaTheme="minorEastAsia"/>
                <w:iCs/>
                <w:sz w:val="17"/>
                <w:szCs w:val="17"/>
                <w:lang w:eastAsia="en-AU"/>
              </w:rPr>
            </w:pPr>
            <w:r w:rsidRPr="006A75A2">
              <w:rPr>
                <w:rFonts w:eastAsiaTheme="minorEastAsia"/>
                <w:iCs/>
                <w:sz w:val="17"/>
                <w:szCs w:val="17"/>
                <w:lang w:eastAsia="en-AU"/>
              </w:rPr>
              <w:t>Nominal value</w:t>
            </w:r>
          </w:p>
        </w:tc>
        <w:tc>
          <w:tcPr>
            <w:tcW w:w="1345" w:type="dxa"/>
            <w:vMerge/>
            <w:tcBorders>
              <w:left w:val="nil"/>
              <w:bottom w:val="single" w:sz="6" w:space="0" w:color="auto"/>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1100" w:type="dxa"/>
            <w:tcBorders>
              <w:top w:val="nil"/>
              <w:left w:val="nil"/>
              <w:bottom w:val="single" w:sz="6" w:space="0" w:color="auto"/>
              <w:right w:val="nil"/>
            </w:tcBorders>
            <w:shd w:val="clear" w:color="000000" w:fill="000000"/>
          </w:tcPr>
          <w:p w:rsidR="006E60A8" w:rsidRPr="006A75A2" w:rsidRDefault="006E60A8" w:rsidP="004B5CB1">
            <w:pPr>
              <w:pStyle w:val="Tabletextheading"/>
              <w:rPr>
                <w:rFonts w:eastAsiaTheme="minorEastAsia"/>
                <w:iCs/>
                <w:sz w:val="17"/>
                <w:szCs w:val="17"/>
                <w:lang w:eastAsia="en-AU"/>
              </w:rPr>
            </w:pPr>
            <w:r w:rsidRPr="006A75A2">
              <w:rPr>
                <w:rFonts w:eastAsiaTheme="minorEastAsia"/>
                <w:iCs/>
                <w:sz w:val="17"/>
                <w:szCs w:val="17"/>
                <w:lang w:eastAsia="en-AU"/>
              </w:rPr>
              <w:t>Present value</w:t>
            </w:r>
          </w:p>
        </w:tc>
        <w:tc>
          <w:tcPr>
            <w:tcW w:w="1182" w:type="dxa"/>
            <w:tcBorders>
              <w:top w:val="nil"/>
              <w:left w:val="nil"/>
              <w:bottom w:val="single" w:sz="6" w:space="0" w:color="auto"/>
              <w:right w:val="single" w:sz="6" w:space="0" w:color="auto"/>
            </w:tcBorders>
            <w:shd w:val="clear" w:color="000000" w:fill="000000"/>
          </w:tcPr>
          <w:p w:rsidR="006E60A8" w:rsidRPr="006A75A2" w:rsidRDefault="006E60A8" w:rsidP="004B5CB1">
            <w:pPr>
              <w:pStyle w:val="Tabletextheading"/>
              <w:rPr>
                <w:rFonts w:eastAsiaTheme="minorEastAsia"/>
                <w:iCs/>
                <w:sz w:val="17"/>
                <w:szCs w:val="17"/>
                <w:lang w:eastAsia="en-AU"/>
              </w:rPr>
            </w:pPr>
            <w:r w:rsidRPr="006A75A2">
              <w:rPr>
                <w:rFonts w:eastAsiaTheme="minorEastAsia"/>
                <w:iCs/>
                <w:sz w:val="17"/>
                <w:szCs w:val="17"/>
                <w:lang w:eastAsia="en-AU"/>
              </w:rPr>
              <w:t>Nominal value</w:t>
            </w:r>
          </w:p>
        </w:tc>
      </w:tr>
      <w:tr w:rsidR="006E60A8" w:rsidRPr="006A75A2" w:rsidTr="006E60A8">
        <w:trPr>
          <w:trHeight w:hRule="exact" w:val="120"/>
        </w:trPr>
        <w:tc>
          <w:tcPr>
            <w:tcW w:w="9676" w:type="dxa"/>
            <w:gridSpan w:val="6"/>
            <w:tcBorders>
              <w:top w:val="single" w:sz="6" w:space="0" w:color="auto"/>
              <w:left w:val="nil"/>
              <w:bottom w:val="nil"/>
              <w:right w:val="nil"/>
            </w:tcBorders>
          </w:tcPr>
          <w:p w:rsidR="006E60A8" w:rsidRPr="006A75A2" w:rsidRDefault="006E60A8" w:rsidP="006E60A8">
            <w:pPr>
              <w:pStyle w:val="Tabletext"/>
              <w:rPr>
                <w:rFonts w:eastAsiaTheme="minorEastAsia"/>
                <w:i/>
                <w:iCs/>
                <w:sz w:val="17"/>
                <w:szCs w:val="17"/>
                <w:lang w:eastAsia="en-AU"/>
              </w:rPr>
            </w:pPr>
            <w:r w:rsidRPr="006A75A2">
              <w:rPr>
                <w:rFonts w:eastAsiaTheme="minorEastAsia"/>
                <w:i/>
                <w:iCs/>
                <w:sz w:val="17"/>
                <w:szCs w:val="17"/>
                <w:lang w:eastAsia="en-AU"/>
              </w:rPr>
              <w:t xml:space="preserve"> </w:t>
            </w:r>
          </w:p>
        </w:tc>
      </w:tr>
      <w:tr w:rsidR="006E60A8" w:rsidRPr="006A75A2" w:rsidTr="006E60A8">
        <w:trPr>
          <w:trHeight w:val="119"/>
        </w:trPr>
        <w:tc>
          <w:tcPr>
            <w:tcW w:w="9676" w:type="dxa"/>
            <w:gridSpan w:val="6"/>
            <w:tcBorders>
              <w:top w:val="nil"/>
              <w:left w:val="nil"/>
              <w:bottom w:val="nil"/>
              <w:right w:val="nil"/>
            </w:tcBorders>
          </w:tcPr>
          <w:p w:rsidR="006E60A8" w:rsidRPr="006A75A2" w:rsidRDefault="006E60A8" w:rsidP="006E60A8">
            <w:pPr>
              <w:pStyle w:val="Tabletext"/>
              <w:rPr>
                <w:rFonts w:eastAsiaTheme="minorEastAsia"/>
                <w:b/>
                <w:bCs/>
                <w:sz w:val="17"/>
                <w:szCs w:val="17"/>
                <w:lang w:eastAsia="en-AU"/>
              </w:rPr>
            </w:pPr>
            <w:r w:rsidRPr="006A75A2">
              <w:rPr>
                <w:rFonts w:eastAsiaTheme="minorEastAsia"/>
                <w:b/>
                <w:bCs/>
                <w:sz w:val="17"/>
                <w:szCs w:val="17"/>
                <w:lang w:eastAsia="en-AU"/>
              </w:rPr>
              <w:t>Commissioned Public Private Partnerships other commitments</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AgriBio Project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117.3</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319.1</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117.3</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319.1</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Barwon Water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72.3</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130.5</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Casey Hospital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67.5</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121.3</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67.5</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121.3</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Central Highlands Water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70.7</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86.5</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Coliban Water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86.9</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107.9</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County Court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34.4</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45.4</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34.4</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45.4</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Emergency Service Telecommunications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51.2</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53.9</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51.2</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53.9</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Health Services – Mildura Hospital</w:t>
            </w:r>
            <w:r w:rsidRPr="006A75A2">
              <w:rPr>
                <w:rFonts w:eastAsiaTheme="minorEastAsia"/>
                <w:sz w:val="17"/>
                <w:szCs w:val="17"/>
                <w:vertAlign w:val="superscript"/>
                <w:lang w:eastAsia="en-AU"/>
              </w:rPr>
              <w:t>(d)</w:t>
            </w:r>
            <w:r w:rsidRPr="006A75A2">
              <w:rPr>
                <w:rFonts w:eastAsiaTheme="minorEastAsia"/>
                <w:sz w:val="17"/>
                <w:szCs w:val="17"/>
                <w:lang w:eastAsia="en-AU"/>
              </w:rPr>
              <w:t xml:space="preserve">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Melbourne Convention Centre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240.1</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505.0</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240.1</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505.0</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Peninsula Link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197.8</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487.4</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197.8</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487.4</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Partnerships Victoria in Schools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99.8</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224.5</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99.8</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224.5</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Prisons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520.7</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611.5</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520.7</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611.5</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Royal Children’s Hospital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366.3</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862.7</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366.3</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862.7</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Royal Melbourne Showgrounds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49.1</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79.7</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49.1</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79.7</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Royal Women’s Hospital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212.9</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431.0</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212.9</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431.0</w:t>
            </w:r>
          </w:p>
        </w:tc>
      </w:tr>
      <w:tr w:rsidR="006E60A8" w:rsidRPr="006A75A2" w:rsidTr="006E60A8">
        <w:tc>
          <w:tcPr>
            <w:tcW w:w="3795" w:type="dxa"/>
            <w:tcBorders>
              <w:top w:val="nil"/>
              <w:left w:val="nil"/>
              <w:bottom w:val="nil"/>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Southern Cross Station </w:t>
            </w:r>
          </w:p>
        </w:tc>
        <w:tc>
          <w:tcPr>
            <w:tcW w:w="1075"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234.9</w:t>
            </w:r>
          </w:p>
        </w:tc>
        <w:tc>
          <w:tcPr>
            <w:tcW w:w="1179"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579.4</w:t>
            </w:r>
          </w:p>
        </w:tc>
        <w:tc>
          <w:tcPr>
            <w:tcW w:w="1347"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234.9</w:t>
            </w:r>
          </w:p>
        </w:tc>
        <w:tc>
          <w:tcPr>
            <w:tcW w:w="1176" w:type="dxa"/>
            <w:tcBorders>
              <w:top w:val="nil"/>
              <w:left w:val="nil"/>
              <w:bottom w:val="nil"/>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579.4</w:t>
            </w:r>
          </w:p>
        </w:tc>
      </w:tr>
      <w:tr w:rsidR="006E60A8" w:rsidRPr="006A75A2" w:rsidTr="006E60A8">
        <w:tc>
          <w:tcPr>
            <w:tcW w:w="3795" w:type="dxa"/>
            <w:tcBorders>
              <w:top w:val="nil"/>
              <w:left w:val="nil"/>
              <w:bottom w:val="single" w:sz="6" w:space="0" w:color="auto"/>
              <w:right w:val="nil"/>
            </w:tcBorders>
          </w:tcPr>
          <w:p w:rsidR="006E60A8" w:rsidRPr="006A75A2" w:rsidRDefault="006E60A8" w:rsidP="006E60A8">
            <w:pPr>
              <w:pStyle w:val="Tabletext"/>
              <w:rPr>
                <w:rFonts w:eastAsiaTheme="minorEastAsia"/>
                <w:sz w:val="17"/>
                <w:szCs w:val="17"/>
                <w:lang w:eastAsia="en-AU"/>
              </w:rPr>
            </w:pPr>
            <w:r w:rsidRPr="006A75A2">
              <w:rPr>
                <w:rFonts w:eastAsiaTheme="minorEastAsia"/>
                <w:sz w:val="17"/>
                <w:szCs w:val="17"/>
                <w:lang w:eastAsia="en-AU"/>
              </w:rPr>
              <w:t xml:space="preserve">Victorian Desalination Plant </w:t>
            </w:r>
          </w:p>
        </w:tc>
        <w:tc>
          <w:tcPr>
            <w:tcW w:w="1075" w:type="dxa"/>
            <w:tcBorders>
              <w:top w:val="nil"/>
              <w:left w:val="nil"/>
              <w:bottom w:val="single" w:sz="6" w:space="0" w:color="auto"/>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1 532.4</w:t>
            </w:r>
          </w:p>
        </w:tc>
        <w:tc>
          <w:tcPr>
            <w:tcW w:w="1179" w:type="dxa"/>
            <w:tcBorders>
              <w:top w:val="nil"/>
              <w:left w:val="nil"/>
              <w:bottom w:val="single" w:sz="6" w:space="0" w:color="auto"/>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5 100.4</w:t>
            </w:r>
          </w:p>
        </w:tc>
        <w:tc>
          <w:tcPr>
            <w:tcW w:w="1347" w:type="dxa"/>
            <w:tcBorders>
              <w:top w:val="nil"/>
              <w:left w:val="nil"/>
              <w:bottom w:val="single" w:sz="6" w:space="0" w:color="auto"/>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4" w:type="dxa"/>
            <w:tcBorders>
              <w:top w:val="nil"/>
              <w:left w:val="nil"/>
              <w:bottom w:val="single" w:sz="6" w:space="0" w:color="auto"/>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1 532.4</w:t>
            </w:r>
          </w:p>
        </w:tc>
        <w:tc>
          <w:tcPr>
            <w:tcW w:w="1176" w:type="dxa"/>
            <w:tcBorders>
              <w:top w:val="nil"/>
              <w:left w:val="nil"/>
              <w:bottom w:val="single" w:sz="6" w:space="0" w:color="auto"/>
              <w:right w:val="nil"/>
            </w:tcBorders>
          </w:tcPr>
          <w:p w:rsidR="006E60A8" w:rsidRPr="006A75A2" w:rsidRDefault="006E60A8" w:rsidP="004B5CB1">
            <w:pPr>
              <w:pStyle w:val="TableofFigures"/>
              <w:rPr>
                <w:rFonts w:eastAsiaTheme="minorEastAsia"/>
                <w:sz w:val="17"/>
                <w:szCs w:val="17"/>
                <w:lang w:eastAsia="en-AU"/>
              </w:rPr>
            </w:pPr>
            <w:r w:rsidRPr="006A75A2">
              <w:rPr>
                <w:rFonts w:eastAsiaTheme="minorEastAsia"/>
                <w:sz w:val="17"/>
                <w:szCs w:val="17"/>
                <w:lang w:eastAsia="en-AU"/>
              </w:rPr>
              <w:t>5 100.4</w:t>
            </w:r>
          </w:p>
        </w:tc>
      </w:tr>
      <w:tr w:rsidR="006E60A8" w:rsidRPr="006A75A2" w:rsidTr="006E60A8">
        <w:tc>
          <w:tcPr>
            <w:tcW w:w="3795" w:type="dxa"/>
            <w:tcBorders>
              <w:top w:val="single" w:sz="6" w:space="0" w:color="auto"/>
              <w:left w:val="nil"/>
              <w:bottom w:val="single" w:sz="12" w:space="0" w:color="000000"/>
              <w:right w:val="nil"/>
            </w:tcBorders>
            <w:shd w:val="clear" w:color="auto" w:fill="auto"/>
          </w:tcPr>
          <w:p w:rsidR="006E60A8" w:rsidRPr="006A75A2" w:rsidRDefault="006E60A8" w:rsidP="006E60A8">
            <w:pPr>
              <w:pStyle w:val="Tabletext"/>
              <w:rPr>
                <w:rFonts w:eastAsiaTheme="minorEastAsia"/>
                <w:b/>
                <w:sz w:val="17"/>
                <w:szCs w:val="17"/>
                <w:lang w:eastAsia="en-AU"/>
              </w:rPr>
            </w:pPr>
            <w:r w:rsidRPr="006A75A2">
              <w:rPr>
                <w:rFonts w:eastAsiaTheme="minorEastAsia"/>
                <w:b/>
                <w:bCs/>
                <w:sz w:val="17"/>
                <w:szCs w:val="17"/>
                <w:lang w:eastAsia="en-AU"/>
              </w:rPr>
              <w:t>Sub-total</w:t>
            </w:r>
            <w:r w:rsidRPr="006A75A2">
              <w:rPr>
                <w:rFonts w:eastAsiaTheme="minorEastAsia"/>
                <w:b/>
                <w:sz w:val="17"/>
                <w:szCs w:val="17"/>
                <w:lang w:eastAsia="en-AU"/>
              </w:rPr>
              <w:t xml:space="preserve"> </w:t>
            </w:r>
          </w:p>
        </w:tc>
        <w:tc>
          <w:tcPr>
            <w:tcW w:w="1075" w:type="dxa"/>
            <w:tcBorders>
              <w:top w:val="single" w:sz="6" w:space="0" w:color="auto"/>
              <w:left w:val="nil"/>
              <w:bottom w:val="single" w:sz="12" w:space="0" w:color="000000"/>
              <w:right w:val="nil"/>
            </w:tcBorders>
            <w:shd w:val="clear" w:color="auto" w:fill="auto"/>
          </w:tcPr>
          <w:p w:rsidR="006E60A8" w:rsidRPr="006A75A2" w:rsidRDefault="006E60A8" w:rsidP="004B5CB1">
            <w:pPr>
              <w:pStyle w:val="TableofFigures"/>
              <w:rPr>
                <w:rFonts w:eastAsiaTheme="minorEastAsia"/>
                <w:b/>
                <w:bCs/>
                <w:sz w:val="17"/>
                <w:szCs w:val="17"/>
                <w:lang w:eastAsia="en-AU"/>
              </w:rPr>
            </w:pPr>
            <w:r w:rsidRPr="006A75A2">
              <w:rPr>
                <w:rFonts w:eastAsiaTheme="minorEastAsia"/>
                <w:b/>
                <w:bCs/>
                <w:sz w:val="17"/>
                <w:szCs w:val="17"/>
                <w:lang w:eastAsia="en-AU"/>
              </w:rPr>
              <w:t>3 954.1</w:t>
            </w:r>
          </w:p>
        </w:tc>
        <w:tc>
          <w:tcPr>
            <w:tcW w:w="1179" w:type="dxa"/>
            <w:tcBorders>
              <w:top w:val="single" w:sz="6" w:space="0" w:color="auto"/>
              <w:left w:val="nil"/>
              <w:bottom w:val="single" w:sz="12" w:space="0" w:color="000000"/>
              <w:right w:val="nil"/>
            </w:tcBorders>
            <w:shd w:val="clear" w:color="auto" w:fill="auto"/>
          </w:tcPr>
          <w:p w:rsidR="006E60A8" w:rsidRPr="006A75A2" w:rsidRDefault="006E60A8" w:rsidP="004B5CB1">
            <w:pPr>
              <w:pStyle w:val="TableofFigures"/>
              <w:rPr>
                <w:rFonts w:eastAsiaTheme="minorEastAsia"/>
                <w:b/>
                <w:bCs/>
                <w:sz w:val="17"/>
                <w:szCs w:val="17"/>
                <w:lang w:eastAsia="en-AU"/>
              </w:rPr>
            </w:pPr>
            <w:r w:rsidRPr="006A75A2">
              <w:rPr>
                <w:rFonts w:eastAsiaTheme="minorEastAsia"/>
                <w:b/>
                <w:bCs/>
                <w:sz w:val="17"/>
                <w:szCs w:val="17"/>
                <w:lang w:eastAsia="en-AU"/>
              </w:rPr>
              <w:t>9 746.3</w:t>
            </w:r>
          </w:p>
        </w:tc>
        <w:tc>
          <w:tcPr>
            <w:tcW w:w="1347" w:type="dxa"/>
            <w:tcBorders>
              <w:top w:val="single" w:sz="6" w:space="0" w:color="auto"/>
              <w:left w:val="nil"/>
              <w:bottom w:val="single" w:sz="12" w:space="0" w:color="000000"/>
              <w:right w:val="nil"/>
            </w:tcBorders>
            <w:shd w:val="clear" w:color="auto" w:fill="auto"/>
          </w:tcPr>
          <w:p w:rsidR="006E60A8" w:rsidRPr="006A75A2" w:rsidRDefault="006E60A8" w:rsidP="004B5CB1">
            <w:pPr>
              <w:pStyle w:val="TableofFigures"/>
              <w:rPr>
                <w:rFonts w:eastAsiaTheme="minorEastAsia"/>
                <w:b/>
                <w:sz w:val="17"/>
                <w:szCs w:val="17"/>
                <w:lang w:eastAsia="en-AU"/>
              </w:rPr>
            </w:pPr>
            <w:r w:rsidRPr="006A75A2">
              <w:rPr>
                <w:rFonts w:eastAsiaTheme="minorEastAsia"/>
                <w:b/>
                <w:sz w:val="17"/>
                <w:szCs w:val="17"/>
                <w:lang w:eastAsia="en-AU"/>
              </w:rPr>
              <w:t xml:space="preserve"> </w:t>
            </w:r>
          </w:p>
        </w:tc>
        <w:tc>
          <w:tcPr>
            <w:tcW w:w="1104" w:type="dxa"/>
            <w:tcBorders>
              <w:top w:val="single" w:sz="6" w:space="0" w:color="auto"/>
              <w:left w:val="nil"/>
              <w:bottom w:val="single" w:sz="12" w:space="0" w:color="000000"/>
              <w:right w:val="nil"/>
            </w:tcBorders>
            <w:shd w:val="clear" w:color="auto" w:fill="auto"/>
          </w:tcPr>
          <w:p w:rsidR="006E60A8" w:rsidRPr="006A75A2" w:rsidRDefault="006E60A8" w:rsidP="004B5CB1">
            <w:pPr>
              <w:pStyle w:val="TableofFigures"/>
              <w:rPr>
                <w:rFonts w:eastAsiaTheme="minorEastAsia"/>
                <w:b/>
                <w:bCs/>
                <w:sz w:val="17"/>
                <w:szCs w:val="17"/>
                <w:lang w:eastAsia="en-AU"/>
              </w:rPr>
            </w:pPr>
            <w:r w:rsidRPr="006A75A2">
              <w:rPr>
                <w:rFonts w:eastAsiaTheme="minorEastAsia"/>
                <w:b/>
                <w:bCs/>
                <w:sz w:val="17"/>
                <w:szCs w:val="17"/>
                <w:lang w:eastAsia="en-AU"/>
              </w:rPr>
              <w:t>3 724.2</w:t>
            </w:r>
          </w:p>
        </w:tc>
        <w:tc>
          <w:tcPr>
            <w:tcW w:w="1176" w:type="dxa"/>
            <w:tcBorders>
              <w:top w:val="single" w:sz="6" w:space="0" w:color="auto"/>
              <w:left w:val="nil"/>
              <w:bottom w:val="single" w:sz="12" w:space="0" w:color="000000"/>
              <w:right w:val="nil"/>
            </w:tcBorders>
            <w:shd w:val="clear" w:color="auto" w:fill="auto"/>
          </w:tcPr>
          <w:p w:rsidR="006E60A8" w:rsidRPr="006A75A2" w:rsidRDefault="006E60A8" w:rsidP="004B5CB1">
            <w:pPr>
              <w:pStyle w:val="TableofFigures"/>
              <w:rPr>
                <w:rFonts w:eastAsiaTheme="minorEastAsia"/>
                <w:b/>
                <w:bCs/>
                <w:sz w:val="17"/>
                <w:szCs w:val="17"/>
                <w:lang w:eastAsia="en-AU"/>
              </w:rPr>
            </w:pPr>
            <w:r w:rsidRPr="006A75A2">
              <w:rPr>
                <w:rFonts w:eastAsiaTheme="minorEastAsia"/>
                <w:b/>
                <w:bCs/>
                <w:sz w:val="17"/>
                <w:szCs w:val="17"/>
                <w:lang w:eastAsia="en-AU"/>
              </w:rPr>
              <w:t>9 421.5</w:t>
            </w:r>
          </w:p>
        </w:tc>
      </w:tr>
    </w:tbl>
    <w:p w:rsidR="004E6C32" w:rsidRPr="006A75A2" w:rsidRDefault="004E6C32" w:rsidP="002A6119"/>
    <w:p w:rsidR="004E6C32" w:rsidRPr="006A75A2" w:rsidRDefault="004E6C32" w:rsidP="002A6119">
      <w:pPr>
        <w:rPr>
          <w:lang w:eastAsia="en-AU"/>
        </w:rPr>
      </w:pPr>
    </w:p>
    <w:tbl>
      <w:tblPr>
        <w:tblW w:w="9662" w:type="dxa"/>
        <w:tblInd w:w="28" w:type="dxa"/>
        <w:tblLayout w:type="fixed"/>
        <w:tblCellMar>
          <w:left w:w="45" w:type="dxa"/>
          <w:right w:w="45" w:type="dxa"/>
        </w:tblCellMar>
        <w:tblLook w:val="0000" w:firstRow="0" w:lastRow="0" w:firstColumn="0" w:lastColumn="0" w:noHBand="0" w:noVBand="0"/>
      </w:tblPr>
      <w:tblGrid>
        <w:gridCol w:w="2355"/>
        <w:gridCol w:w="565"/>
        <w:gridCol w:w="216"/>
        <w:gridCol w:w="661"/>
        <w:gridCol w:w="331"/>
        <w:gridCol w:w="142"/>
        <w:gridCol w:w="605"/>
        <w:gridCol w:w="1161"/>
        <w:gridCol w:w="1358"/>
        <w:gridCol w:w="1106"/>
        <w:gridCol w:w="1162"/>
      </w:tblGrid>
      <w:tr w:rsidR="004E6C32" w:rsidRPr="006A75A2" w:rsidTr="006E60A8">
        <w:tc>
          <w:tcPr>
            <w:tcW w:w="2355" w:type="dxa"/>
            <w:tcBorders>
              <w:top w:val="single" w:sz="6" w:space="0" w:color="auto"/>
              <w:left w:val="single" w:sz="6" w:space="0" w:color="auto"/>
              <w:right w:val="nil"/>
            </w:tcBorders>
            <w:shd w:val="clear" w:color="000000" w:fill="000000"/>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42" w:type="dxa"/>
            <w:gridSpan w:val="3"/>
            <w:tcBorders>
              <w:top w:val="single" w:sz="6" w:space="0" w:color="auto"/>
              <w:left w:val="nil"/>
              <w:right w:val="nil"/>
            </w:tcBorders>
            <w:shd w:val="clear" w:color="000000" w:fill="000000"/>
          </w:tcPr>
          <w:p w:rsidR="004E6C32" w:rsidRPr="006A75A2" w:rsidRDefault="004E6C32" w:rsidP="006E60A8">
            <w:pPr>
              <w:pStyle w:val="Tabletextheading"/>
              <w:rPr>
                <w:rFonts w:eastAsiaTheme="minorEastAsia"/>
                <w:iCs/>
                <w:sz w:val="17"/>
                <w:szCs w:val="17"/>
                <w:lang w:eastAsia="en-AU"/>
              </w:rPr>
            </w:pPr>
            <w:r w:rsidRPr="006A75A2">
              <w:rPr>
                <w:rFonts w:eastAsiaTheme="minorEastAsia"/>
                <w:iCs/>
                <w:sz w:val="17"/>
                <w:szCs w:val="17"/>
                <w:lang w:eastAsia="en-AU"/>
              </w:rPr>
              <w:t>Minimum</w:t>
            </w:r>
            <w:r w:rsidR="006E60A8" w:rsidRPr="006A75A2">
              <w:rPr>
                <w:rFonts w:eastAsiaTheme="minorEastAsia"/>
                <w:iCs/>
                <w:sz w:val="17"/>
                <w:szCs w:val="17"/>
                <w:lang w:eastAsia="en-AU"/>
              </w:rPr>
              <w:t xml:space="preserve"> </w:t>
            </w:r>
            <w:r w:rsidR="006E60A8" w:rsidRPr="006A75A2">
              <w:rPr>
                <w:rFonts w:eastAsiaTheme="minorEastAsia"/>
                <w:iCs/>
                <w:sz w:val="17"/>
                <w:szCs w:val="17"/>
                <w:lang w:eastAsia="en-AU"/>
              </w:rPr>
              <w:br/>
            </w:r>
            <w:r w:rsidRPr="006A75A2">
              <w:rPr>
                <w:rFonts w:eastAsiaTheme="minorEastAsia"/>
                <w:iCs/>
                <w:sz w:val="17"/>
                <w:szCs w:val="17"/>
                <w:lang w:eastAsia="en-AU"/>
              </w:rPr>
              <w:t>lease payments</w:t>
            </w:r>
          </w:p>
        </w:tc>
        <w:tc>
          <w:tcPr>
            <w:tcW w:w="1078" w:type="dxa"/>
            <w:gridSpan w:val="3"/>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Other commitments</w:t>
            </w:r>
          </w:p>
        </w:tc>
        <w:tc>
          <w:tcPr>
            <w:tcW w:w="1161"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Total commitments</w:t>
            </w:r>
          </w:p>
        </w:tc>
        <w:tc>
          <w:tcPr>
            <w:tcW w:w="1358"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 xml:space="preserve">Minimum </w:t>
            </w:r>
          </w:p>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lease payments</w:t>
            </w:r>
          </w:p>
        </w:tc>
        <w:tc>
          <w:tcPr>
            <w:tcW w:w="1106"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Other commitments</w:t>
            </w:r>
          </w:p>
        </w:tc>
        <w:tc>
          <w:tcPr>
            <w:tcW w:w="1162" w:type="dxa"/>
            <w:tcBorders>
              <w:top w:val="single" w:sz="6" w:space="0" w:color="auto"/>
              <w:left w:val="nil"/>
              <w:right w:val="single" w:sz="6" w:space="0" w:color="auto"/>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Total commitments</w:t>
            </w:r>
          </w:p>
        </w:tc>
      </w:tr>
      <w:tr w:rsidR="006E60A8" w:rsidRPr="006A75A2" w:rsidTr="006E60A8">
        <w:trPr>
          <w:trHeight w:hRule="exact" w:val="120"/>
        </w:trPr>
        <w:tc>
          <w:tcPr>
            <w:tcW w:w="9662" w:type="dxa"/>
            <w:gridSpan w:val="11"/>
            <w:tcBorders>
              <w:top w:val="nil"/>
              <w:left w:val="single" w:sz="6" w:space="0" w:color="auto"/>
              <w:right w:val="single" w:sz="6" w:space="0" w:color="auto"/>
            </w:tcBorders>
            <w:shd w:val="clear" w:color="000000" w:fill="000000"/>
          </w:tcPr>
          <w:p w:rsidR="006E60A8" w:rsidRPr="006A75A2" w:rsidRDefault="006E60A8" w:rsidP="004B5CB1">
            <w:pPr>
              <w:pStyle w:val="Tabletextheading"/>
              <w:rPr>
                <w:rFonts w:eastAsiaTheme="minorEastAsia"/>
                <w:sz w:val="17"/>
                <w:szCs w:val="17"/>
                <w:lang w:eastAsia="en-AU"/>
              </w:rPr>
            </w:pPr>
          </w:p>
        </w:tc>
      </w:tr>
      <w:tr w:rsidR="004E6C32" w:rsidRPr="006A75A2" w:rsidTr="006E60A8">
        <w:trPr>
          <w:trHeight w:val="106"/>
        </w:trPr>
        <w:tc>
          <w:tcPr>
            <w:tcW w:w="2355" w:type="dxa"/>
            <w:tcBorders>
              <w:top w:val="nil"/>
              <w:left w:val="single" w:sz="6" w:space="0" w:color="auto"/>
              <w:bottom w:val="nil"/>
              <w:right w:val="nil"/>
            </w:tcBorders>
            <w:shd w:val="clear" w:color="000000" w:fill="000000"/>
          </w:tcPr>
          <w:p w:rsidR="004E6C32" w:rsidRPr="006A75A2" w:rsidRDefault="004E6C32" w:rsidP="004B5CB1">
            <w:pPr>
              <w:pStyle w:val="Tabletext"/>
              <w:rPr>
                <w:rFonts w:eastAsiaTheme="minorEastAsia"/>
                <w:i/>
                <w:iCs/>
                <w:sz w:val="17"/>
                <w:szCs w:val="17"/>
                <w:lang w:eastAsia="en-AU"/>
              </w:rPr>
            </w:pPr>
            <w:r w:rsidRPr="006A75A2">
              <w:rPr>
                <w:rFonts w:eastAsiaTheme="minorEastAsia"/>
                <w:i/>
                <w:iCs/>
                <w:sz w:val="17"/>
                <w:szCs w:val="17"/>
                <w:lang w:eastAsia="en-AU"/>
              </w:rPr>
              <w:t xml:space="preserve"> </w:t>
            </w:r>
          </w:p>
        </w:tc>
        <w:tc>
          <w:tcPr>
            <w:tcW w:w="1442" w:type="dxa"/>
            <w:gridSpan w:val="3"/>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Discounted value</w:t>
            </w:r>
          </w:p>
        </w:tc>
        <w:tc>
          <w:tcPr>
            <w:tcW w:w="1078" w:type="dxa"/>
            <w:gridSpan w:val="3"/>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Present value</w:t>
            </w:r>
          </w:p>
        </w:tc>
        <w:tc>
          <w:tcPr>
            <w:tcW w:w="1161"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Nominal value</w:t>
            </w:r>
          </w:p>
        </w:tc>
        <w:tc>
          <w:tcPr>
            <w:tcW w:w="1358"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Discounted value</w:t>
            </w:r>
          </w:p>
        </w:tc>
        <w:tc>
          <w:tcPr>
            <w:tcW w:w="1106"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Present value</w:t>
            </w:r>
          </w:p>
        </w:tc>
        <w:tc>
          <w:tcPr>
            <w:tcW w:w="1162" w:type="dxa"/>
            <w:tcBorders>
              <w:top w:val="nil"/>
              <w:left w:val="nil"/>
              <w:bottom w:val="nil"/>
              <w:right w:val="single" w:sz="6" w:space="0" w:color="auto"/>
            </w:tcBorders>
            <w:shd w:val="clear" w:color="000000" w:fill="000000"/>
          </w:tcPr>
          <w:p w:rsidR="004E6C32" w:rsidRPr="006A75A2" w:rsidRDefault="004E6C32" w:rsidP="004B5CB1">
            <w:pPr>
              <w:pStyle w:val="Tabletextheading"/>
              <w:rPr>
                <w:rFonts w:eastAsiaTheme="minorEastAsia"/>
                <w:iCs/>
                <w:sz w:val="17"/>
                <w:szCs w:val="17"/>
                <w:lang w:eastAsia="en-AU"/>
              </w:rPr>
            </w:pPr>
            <w:r w:rsidRPr="006A75A2">
              <w:rPr>
                <w:rFonts w:eastAsiaTheme="minorEastAsia"/>
                <w:iCs/>
                <w:sz w:val="17"/>
                <w:szCs w:val="17"/>
                <w:lang w:eastAsia="en-AU"/>
              </w:rPr>
              <w:t>Nominal value</w:t>
            </w:r>
          </w:p>
        </w:tc>
      </w:tr>
      <w:tr w:rsidR="006E60A8" w:rsidRPr="006A75A2" w:rsidTr="006E60A8">
        <w:tc>
          <w:tcPr>
            <w:tcW w:w="9662" w:type="dxa"/>
            <w:gridSpan w:val="11"/>
            <w:tcBorders>
              <w:top w:val="single" w:sz="6" w:space="0" w:color="auto"/>
              <w:left w:val="nil"/>
              <w:bottom w:val="nil"/>
              <w:right w:val="nil"/>
            </w:tcBorders>
          </w:tcPr>
          <w:p w:rsidR="006E60A8" w:rsidRPr="006A75A2" w:rsidRDefault="006E60A8" w:rsidP="006E60A8">
            <w:pPr>
              <w:pStyle w:val="Tabletext"/>
              <w:rPr>
                <w:rFonts w:eastAsiaTheme="minorEastAsia"/>
                <w:b/>
                <w:i/>
                <w:iCs/>
                <w:sz w:val="17"/>
                <w:szCs w:val="17"/>
                <w:lang w:eastAsia="en-AU"/>
              </w:rPr>
            </w:pPr>
            <w:r w:rsidRPr="006A75A2">
              <w:rPr>
                <w:rFonts w:eastAsiaTheme="minorEastAsia"/>
                <w:b/>
                <w:bCs/>
                <w:sz w:val="17"/>
                <w:szCs w:val="17"/>
                <w:lang w:eastAsia="en-AU"/>
              </w:rPr>
              <w:t>Uncommissioned Public Private Partnerships total commitments</w:t>
            </w:r>
          </w:p>
        </w:tc>
      </w:tr>
      <w:tr w:rsidR="004E6C32" w:rsidRPr="006A75A2" w:rsidTr="006E60A8">
        <w:tc>
          <w:tcPr>
            <w:tcW w:w="2355" w:type="dxa"/>
            <w:tcBorders>
              <w:top w:val="nil"/>
              <w:left w:val="nil"/>
              <w:bottom w:val="nil"/>
              <w:right w:val="nil"/>
            </w:tcBorders>
          </w:tcPr>
          <w:p w:rsidR="004E6C32" w:rsidRPr="006A75A2" w:rsidRDefault="004E6C32" w:rsidP="008708FF">
            <w:pPr>
              <w:pStyle w:val="Tabletext"/>
              <w:rPr>
                <w:rFonts w:eastAsiaTheme="minorEastAsia"/>
                <w:sz w:val="17"/>
                <w:szCs w:val="17"/>
                <w:vertAlign w:val="superscript"/>
                <w:lang w:eastAsia="en-AU"/>
              </w:rPr>
            </w:pPr>
            <w:r w:rsidRPr="006A75A2">
              <w:rPr>
                <w:rFonts w:eastAsiaTheme="minorEastAsia"/>
                <w:sz w:val="17"/>
                <w:szCs w:val="17"/>
                <w:lang w:eastAsia="en-AU"/>
              </w:rPr>
              <w:t>Bendigo Hospital – stage one</w:t>
            </w:r>
            <w:r w:rsidRPr="006A75A2">
              <w:rPr>
                <w:rFonts w:eastAsiaTheme="minorEastAsia"/>
                <w:sz w:val="17"/>
                <w:szCs w:val="17"/>
                <w:vertAlign w:val="superscript"/>
                <w:lang w:eastAsia="en-AU"/>
              </w:rPr>
              <w:t>(e)</w:t>
            </w:r>
          </w:p>
        </w:tc>
        <w:tc>
          <w:tcPr>
            <w:tcW w:w="1442" w:type="dxa"/>
            <w:gridSpan w:val="3"/>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279.4</w:t>
            </w:r>
          </w:p>
        </w:tc>
        <w:tc>
          <w:tcPr>
            <w:tcW w:w="1078" w:type="dxa"/>
            <w:gridSpan w:val="3"/>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1 138.3</w:t>
            </w:r>
          </w:p>
        </w:tc>
        <w:tc>
          <w:tcPr>
            <w:tcW w:w="116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2 861.7</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279.4</w:t>
            </w:r>
          </w:p>
        </w:tc>
        <w:tc>
          <w:tcPr>
            <w:tcW w:w="1106"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1 138.3</w:t>
            </w:r>
          </w:p>
        </w:tc>
        <w:tc>
          <w:tcPr>
            <w:tcW w:w="116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2 861.7</w:t>
            </w:r>
          </w:p>
        </w:tc>
      </w:tr>
      <w:tr w:rsidR="004E6C32" w:rsidRPr="006A75A2" w:rsidTr="006E60A8">
        <w:tc>
          <w:tcPr>
            <w:tcW w:w="2355" w:type="dxa"/>
            <w:tcBorders>
              <w:top w:val="nil"/>
              <w:left w:val="nil"/>
              <w:bottom w:val="nil"/>
              <w:right w:val="nil"/>
            </w:tcBorders>
          </w:tcPr>
          <w:p w:rsidR="004E6C32" w:rsidRPr="006A75A2" w:rsidRDefault="004E6C32" w:rsidP="008708FF">
            <w:pPr>
              <w:pStyle w:val="Tabletext"/>
              <w:rPr>
                <w:rFonts w:eastAsiaTheme="minorEastAsia"/>
                <w:sz w:val="17"/>
                <w:szCs w:val="17"/>
                <w:vertAlign w:val="superscript"/>
                <w:lang w:eastAsia="en-AU"/>
              </w:rPr>
            </w:pPr>
            <w:r w:rsidRPr="006A75A2">
              <w:rPr>
                <w:rFonts w:eastAsiaTheme="minorEastAsia"/>
                <w:sz w:val="17"/>
                <w:szCs w:val="17"/>
                <w:lang w:eastAsia="en-AU"/>
              </w:rPr>
              <w:t>Bendigo Hospital – stage two</w:t>
            </w:r>
            <w:r w:rsidRPr="006A75A2">
              <w:rPr>
                <w:rFonts w:eastAsiaTheme="minorEastAsia"/>
                <w:sz w:val="17"/>
                <w:szCs w:val="17"/>
                <w:vertAlign w:val="superscript"/>
                <w:lang w:eastAsia="en-AU"/>
              </w:rPr>
              <w:t>(e)</w:t>
            </w:r>
          </w:p>
        </w:tc>
        <w:tc>
          <w:tcPr>
            <w:tcW w:w="1442" w:type="dxa"/>
            <w:gridSpan w:val="3"/>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17.5</w:t>
            </w:r>
          </w:p>
        </w:tc>
        <w:tc>
          <w:tcPr>
            <w:tcW w:w="1078" w:type="dxa"/>
            <w:gridSpan w:val="3"/>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46.7</w:t>
            </w:r>
          </w:p>
        </w:tc>
        <w:tc>
          <w:tcPr>
            <w:tcW w:w="116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99.6</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17.5</w:t>
            </w:r>
          </w:p>
        </w:tc>
        <w:tc>
          <w:tcPr>
            <w:tcW w:w="1106"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46.7</w:t>
            </w:r>
          </w:p>
        </w:tc>
        <w:tc>
          <w:tcPr>
            <w:tcW w:w="116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99.6</w:t>
            </w:r>
          </w:p>
        </w:tc>
      </w:tr>
      <w:tr w:rsidR="004E6C32" w:rsidRPr="006A75A2" w:rsidTr="006E60A8">
        <w:tc>
          <w:tcPr>
            <w:tcW w:w="2355"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Victorian Comprehensive Cancer Centre (VCCC)</w:t>
            </w:r>
          </w:p>
        </w:tc>
        <w:tc>
          <w:tcPr>
            <w:tcW w:w="1442" w:type="dxa"/>
            <w:gridSpan w:val="3"/>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1 050.4</w:t>
            </w:r>
          </w:p>
        </w:tc>
        <w:tc>
          <w:tcPr>
            <w:tcW w:w="1078" w:type="dxa"/>
            <w:gridSpan w:val="3"/>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353.6</w:t>
            </w:r>
          </w:p>
        </w:tc>
        <w:tc>
          <w:tcPr>
            <w:tcW w:w="116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3 199.8</w:t>
            </w:r>
          </w:p>
        </w:tc>
        <w:tc>
          <w:tcPr>
            <w:tcW w:w="1358"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1 050.4</w:t>
            </w:r>
          </w:p>
        </w:tc>
        <w:tc>
          <w:tcPr>
            <w:tcW w:w="1106"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353.6</w:t>
            </w:r>
          </w:p>
        </w:tc>
        <w:tc>
          <w:tcPr>
            <w:tcW w:w="116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3 199.8</w:t>
            </w:r>
          </w:p>
        </w:tc>
      </w:tr>
      <w:tr w:rsidR="004E6C32" w:rsidRPr="006A75A2" w:rsidTr="006E60A8">
        <w:tc>
          <w:tcPr>
            <w:tcW w:w="2355"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7"/>
                <w:szCs w:val="17"/>
                <w:lang w:eastAsia="en-AU"/>
              </w:rPr>
            </w:pPr>
            <w:r w:rsidRPr="006A75A2">
              <w:rPr>
                <w:rFonts w:eastAsiaTheme="minorEastAsia"/>
                <w:b/>
                <w:bCs/>
                <w:sz w:val="17"/>
                <w:szCs w:val="17"/>
                <w:lang w:eastAsia="en-AU"/>
              </w:rPr>
              <w:t>Sub-total</w:t>
            </w:r>
          </w:p>
        </w:tc>
        <w:tc>
          <w:tcPr>
            <w:tcW w:w="1442" w:type="dxa"/>
            <w:gridSpan w:val="3"/>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1 347.3</w:t>
            </w:r>
          </w:p>
        </w:tc>
        <w:tc>
          <w:tcPr>
            <w:tcW w:w="1078" w:type="dxa"/>
            <w:gridSpan w:val="3"/>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1 538.5</w:t>
            </w:r>
          </w:p>
        </w:tc>
        <w:tc>
          <w:tcPr>
            <w:tcW w:w="116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6 161.2</w:t>
            </w:r>
          </w:p>
        </w:tc>
        <w:tc>
          <w:tcPr>
            <w:tcW w:w="135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1 347.3</w:t>
            </w:r>
          </w:p>
        </w:tc>
        <w:tc>
          <w:tcPr>
            <w:tcW w:w="11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1 538.5</w:t>
            </w:r>
          </w:p>
        </w:tc>
        <w:tc>
          <w:tcPr>
            <w:tcW w:w="116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6 161.2</w:t>
            </w:r>
          </w:p>
        </w:tc>
      </w:tr>
      <w:tr w:rsidR="004E6C32" w:rsidRPr="006A75A2" w:rsidTr="006E60A8">
        <w:tc>
          <w:tcPr>
            <w:tcW w:w="2355"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7"/>
                <w:szCs w:val="17"/>
                <w:lang w:eastAsia="en-AU"/>
              </w:rPr>
            </w:pPr>
            <w:r w:rsidRPr="006A75A2">
              <w:rPr>
                <w:rFonts w:eastAsiaTheme="minorEastAsia"/>
                <w:b/>
                <w:bCs/>
                <w:sz w:val="17"/>
                <w:szCs w:val="17"/>
                <w:lang w:eastAsia="en-AU"/>
              </w:rPr>
              <w:t>Total commitments for Public Private Partnerships</w:t>
            </w:r>
          </w:p>
        </w:tc>
        <w:tc>
          <w:tcPr>
            <w:tcW w:w="1442" w:type="dxa"/>
            <w:gridSpan w:val="3"/>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078" w:type="dxa"/>
            <w:gridSpan w:val="3"/>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5 492.6</w:t>
            </w:r>
          </w:p>
        </w:tc>
        <w:tc>
          <w:tcPr>
            <w:tcW w:w="116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15 907.5</w:t>
            </w:r>
          </w:p>
        </w:tc>
        <w:tc>
          <w:tcPr>
            <w:tcW w:w="135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1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5 262.8</w:t>
            </w:r>
          </w:p>
        </w:tc>
        <w:tc>
          <w:tcPr>
            <w:tcW w:w="116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15 582.7</w:t>
            </w:r>
          </w:p>
        </w:tc>
      </w:tr>
      <w:tr w:rsidR="004E6C32" w:rsidRPr="006A75A2" w:rsidTr="006E60A8">
        <w:tc>
          <w:tcPr>
            <w:tcW w:w="3136" w:type="dxa"/>
            <w:gridSpan w:val="3"/>
            <w:tcBorders>
              <w:top w:val="single" w:sz="6" w:space="0" w:color="auto"/>
              <w:left w:val="nil"/>
              <w:bottom w:val="nil"/>
              <w:right w:val="nil"/>
            </w:tcBorders>
          </w:tcPr>
          <w:p w:rsidR="004E6C32" w:rsidRPr="006A75A2" w:rsidRDefault="004E6C32" w:rsidP="008708FF">
            <w:pPr>
              <w:pStyle w:val="Tabletext"/>
              <w:rPr>
                <w:rFonts w:eastAsiaTheme="minorEastAsia"/>
                <w:b/>
                <w:bCs/>
                <w:sz w:val="17"/>
                <w:szCs w:val="17"/>
                <w:lang w:eastAsia="en-AU"/>
              </w:rPr>
            </w:pPr>
            <w:r w:rsidRPr="006A75A2">
              <w:rPr>
                <w:rFonts w:eastAsiaTheme="minorEastAsia"/>
                <w:b/>
                <w:bCs/>
                <w:sz w:val="17"/>
                <w:szCs w:val="17"/>
                <w:lang w:eastAsia="en-AU"/>
              </w:rPr>
              <w:t>Total commitments (inclusive of GST)</w:t>
            </w:r>
            <w:r w:rsidRPr="006A75A2">
              <w:rPr>
                <w:rFonts w:eastAsiaTheme="minorEastAsia"/>
                <w:b/>
                <w:bCs/>
                <w:sz w:val="17"/>
                <w:szCs w:val="17"/>
                <w:vertAlign w:val="superscript"/>
                <w:lang w:eastAsia="en-AU"/>
              </w:rPr>
              <w:t>(f)</w:t>
            </w:r>
          </w:p>
        </w:tc>
        <w:tc>
          <w:tcPr>
            <w:tcW w:w="661"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078" w:type="dxa"/>
            <w:gridSpan w:val="3"/>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161"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34 372.0</w:t>
            </w:r>
          </w:p>
        </w:tc>
        <w:tc>
          <w:tcPr>
            <w:tcW w:w="1358"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106"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162"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32 668.4</w:t>
            </w:r>
          </w:p>
        </w:tc>
      </w:tr>
      <w:tr w:rsidR="004E6C32" w:rsidRPr="006A75A2" w:rsidTr="006E60A8">
        <w:tc>
          <w:tcPr>
            <w:tcW w:w="4128" w:type="dxa"/>
            <w:gridSpan w:val="5"/>
            <w:tcBorders>
              <w:top w:val="nil"/>
              <w:left w:val="nil"/>
              <w:bottom w:val="single" w:sz="6" w:space="0" w:color="auto"/>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Less GST recoverable from the Australian Tax Office</w:t>
            </w:r>
          </w:p>
        </w:tc>
        <w:tc>
          <w:tcPr>
            <w:tcW w:w="142"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605"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61"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3 124.7</w:t>
            </w:r>
          </w:p>
        </w:tc>
        <w:tc>
          <w:tcPr>
            <w:tcW w:w="1358"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06"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162"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2 969.9</w:t>
            </w:r>
          </w:p>
        </w:tc>
      </w:tr>
      <w:tr w:rsidR="004E6C32" w:rsidRPr="006A75A2" w:rsidTr="006E60A8">
        <w:tc>
          <w:tcPr>
            <w:tcW w:w="292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7"/>
                <w:szCs w:val="17"/>
                <w:lang w:eastAsia="en-AU"/>
              </w:rPr>
            </w:pPr>
            <w:r w:rsidRPr="006A75A2">
              <w:rPr>
                <w:rFonts w:eastAsiaTheme="minorEastAsia"/>
                <w:b/>
                <w:bCs/>
                <w:sz w:val="17"/>
                <w:szCs w:val="17"/>
                <w:lang w:eastAsia="en-AU"/>
              </w:rPr>
              <w:t>Total commitments (exclusive of GST)</w:t>
            </w:r>
          </w:p>
        </w:tc>
        <w:tc>
          <w:tcPr>
            <w:tcW w:w="877"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078" w:type="dxa"/>
            <w:gridSpan w:val="3"/>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16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31 247.3</w:t>
            </w:r>
          </w:p>
        </w:tc>
        <w:tc>
          <w:tcPr>
            <w:tcW w:w="135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1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16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29 698.5</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The minimum lease payments of commissioned Public Private Partnerships (PPPs) are recognised on the balance sheet and are not disclosed as a commitment.</w:t>
      </w:r>
    </w:p>
    <w:p w:rsidR="004E6C32" w:rsidRPr="006A75A2" w:rsidRDefault="004E6C32" w:rsidP="004B5CB1">
      <w:pPr>
        <w:pStyle w:val="Notes"/>
      </w:pPr>
      <w:r w:rsidRPr="006A75A2">
        <w:t>(b)</w:t>
      </w:r>
      <w:r w:rsidRPr="006A75A2">
        <w:tab/>
        <w:t xml:space="preserve">The discounted value of the </w:t>
      </w:r>
      <w:r w:rsidR="00C96101" w:rsidRPr="006A75A2">
        <w:t>‘</w:t>
      </w:r>
      <w:r w:rsidRPr="006A75A2">
        <w:t>minimum lease payments</w:t>
      </w:r>
      <w:r w:rsidR="00C96101" w:rsidRPr="006A75A2">
        <w:t>’</w:t>
      </w:r>
      <w:r w:rsidRPr="006A75A2">
        <w:t xml:space="preserve"> has been discounted to the expected date of commissioning, and the present value of </w:t>
      </w:r>
      <w:r w:rsidR="00C96101" w:rsidRPr="006A75A2">
        <w:t>‘</w:t>
      </w:r>
      <w:r w:rsidRPr="006A75A2">
        <w:t>other commitments</w:t>
      </w:r>
      <w:r w:rsidR="00C96101" w:rsidRPr="006A75A2">
        <w:t>’</w:t>
      </w:r>
      <w:r w:rsidRPr="006A75A2">
        <w:t xml:space="preserve"> have been discounted to 30 June of the respective financial years. After adjusting for GST, the discounted value of minimum lease payments reflects the expected impact on the balance sheet when the PPP is commissioned. </w:t>
      </w:r>
    </w:p>
    <w:p w:rsidR="004E6C32" w:rsidRPr="006A75A2" w:rsidRDefault="004E6C32" w:rsidP="004B5CB1">
      <w:pPr>
        <w:pStyle w:val="Notes"/>
      </w:pPr>
      <w:r w:rsidRPr="006A75A2">
        <w:t>(c)</w:t>
      </w:r>
      <w:r w:rsidRPr="006A75A2">
        <w:tab/>
        <w:t>A number of the 2013 comparatives have been restated to reflect the most current information.</w:t>
      </w:r>
    </w:p>
    <w:p w:rsidR="004E6C32" w:rsidRPr="006A75A2" w:rsidRDefault="004E6C32" w:rsidP="004B5CB1">
      <w:pPr>
        <w:pStyle w:val="Notes"/>
      </w:pPr>
      <w:r w:rsidRPr="006A75A2">
        <w:t>(d)</w:t>
      </w:r>
      <w:r w:rsidRPr="006A75A2">
        <w:tab/>
        <w:t>The Mildura Hospital was a privately built and operated facility under a 20 year contract. The long-term lease reverted back to the State following a settlement with the Motor Traders Association of Australia Superannuation Fund Pty Ltd. In-principle agreement was reached in June 2013, however final settlement was delayed until September 2013. The settlement means all existing contracts are terminated with the exception of payments to bondholders which cease in September 2015. The hospital continues to be privately operated by Ramsay Health Care under a separate services contract that is not reflected above.</w:t>
      </w:r>
    </w:p>
    <w:p w:rsidR="004E6C32" w:rsidRPr="006A75A2" w:rsidRDefault="004E6C32" w:rsidP="004B5CB1">
      <w:pPr>
        <w:pStyle w:val="Notes"/>
      </w:pPr>
      <w:r w:rsidRPr="006A75A2">
        <w:t>(e)</w:t>
      </w:r>
      <w:r w:rsidRPr="006A75A2">
        <w:tab/>
        <w:t>The liabilities for Bendigo Hospital are required to be split for reporting purposes due to the contracted staged commissioning (Commercial Acceptance to occur in 2016-17 and 2017-18 for Stages 1 and 2 respectively).</w:t>
      </w:r>
    </w:p>
    <w:p w:rsidR="004E6C32" w:rsidRPr="006A75A2" w:rsidRDefault="004E6C32" w:rsidP="004B5CB1">
      <w:pPr>
        <w:pStyle w:val="Notes"/>
      </w:pPr>
      <w:r w:rsidRPr="006A75A2">
        <w:t>(f)</w:t>
      </w:r>
      <w:r w:rsidRPr="006A75A2">
        <w:tab/>
        <w:t>Total commitments (inclusive of GST) includes commitments of both PPPs and non PPPs.</w:t>
      </w: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p>
    <w:p w:rsidR="004E6C32" w:rsidRPr="006A75A2" w:rsidRDefault="004E6C32" w:rsidP="0067336F">
      <w:pPr>
        <w:pStyle w:val="Heading5"/>
      </w:pPr>
    </w:p>
    <w:p w:rsidR="004E6C32" w:rsidRPr="006A75A2" w:rsidRDefault="004E6C32" w:rsidP="004B5CB1">
      <w:pPr>
        <w:pStyle w:val="million"/>
        <w:rPr>
          <w:rFonts w:ascii="Times New Roman" w:hAnsi="Times New Roman"/>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718"/>
        <w:gridCol w:w="1491"/>
        <w:gridCol w:w="1624"/>
        <w:gridCol w:w="1595"/>
        <w:gridCol w:w="1610"/>
        <w:gridCol w:w="1602"/>
      </w:tblGrid>
      <w:tr w:rsidR="006E60A8" w:rsidRPr="006A75A2" w:rsidTr="006E60A8">
        <w:tc>
          <w:tcPr>
            <w:tcW w:w="1718" w:type="dxa"/>
            <w:vMerge w:val="restart"/>
            <w:tcBorders>
              <w:top w:val="single" w:sz="6" w:space="0" w:color="000000"/>
              <w:left w:val="single" w:sz="6" w:space="0" w:color="000000"/>
              <w:right w:val="nil"/>
            </w:tcBorders>
            <w:shd w:val="clear" w:color="000000" w:fill="000000"/>
          </w:tcPr>
          <w:p w:rsidR="006E60A8" w:rsidRPr="006A75A2" w:rsidRDefault="006E60A8" w:rsidP="004B5CB1">
            <w:pPr>
              <w:pStyle w:val="Tabletext"/>
              <w:tabs>
                <w:tab w:val="right" w:pos="3950"/>
              </w:tabs>
              <w:rPr>
                <w:rFonts w:eastAsiaTheme="minorEastAsia" w:cs="Calibri"/>
                <w:iCs/>
                <w:sz w:val="19"/>
                <w:szCs w:val="19"/>
                <w:lang w:eastAsia="en-AU"/>
              </w:rPr>
            </w:pPr>
          </w:p>
        </w:tc>
        <w:tc>
          <w:tcPr>
            <w:tcW w:w="3115" w:type="dxa"/>
            <w:gridSpan w:val="2"/>
            <w:tcBorders>
              <w:top w:val="single" w:sz="6" w:space="0" w:color="000000"/>
              <w:left w:val="nil"/>
              <w:bottom w:val="nil"/>
              <w:right w:val="nil"/>
            </w:tcBorders>
            <w:shd w:val="clear" w:color="000000" w:fill="000000"/>
          </w:tcPr>
          <w:p w:rsidR="006E60A8" w:rsidRPr="006A75A2" w:rsidRDefault="006E60A8" w:rsidP="004B5CB1">
            <w:pPr>
              <w:pStyle w:val="TabletextheadingCentred"/>
              <w:rPr>
                <w:rFonts w:eastAsiaTheme="minorEastAsia" w:cs="Calibri"/>
                <w:iCs/>
                <w:sz w:val="19"/>
                <w:szCs w:val="19"/>
                <w:lang w:eastAsia="en-AU"/>
              </w:rPr>
            </w:pPr>
            <w:r w:rsidRPr="006A75A2">
              <w:rPr>
                <w:rFonts w:eastAsiaTheme="minorEastAsia"/>
                <w:sz w:val="17"/>
                <w:szCs w:val="17"/>
                <w:lang w:eastAsia="en-AU"/>
              </w:rPr>
              <w:t>State</w:t>
            </w:r>
            <w:r w:rsidRPr="006A75A2">
              <w:rPr>
                <w:rFonts w:eastAsiaTheme="minorEastAsia" w:cs="Calibri"/>
                <w:iCs/>
                <w:sz w:val="19"/>
                <w:szCs w:val="19"/>
                <w:lang w:eastAsia="en-AU"/>
              </w:rPr>
              <w:t xml:space="preserve"> of Victoria</w:t>
            </w:r>
          </w:p>
        </w:tc>
        <w:tc>
          <w:tcPr>
            <w:tcW w:w="1595" w:type="dxa"/>
            <w:vMerge w:val="restart"/>
            <w:tcBorders>
              <w:top w:val="single" w:sz="6" w:space="0" w:color="000000"/>
              <w:left w:val="nil"/>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3212" w:type="dxa"/>
            <w:gridSpan w:val="2"/>
            <w:tcBorders>
              <w:top w:val="single" w:sz="6" w:space="0" w:color="000000"/>
              <w:left w:val="nil"/>
              <w:bottom w:val="nil"/>
              <w:right w:val="single" w:sz="6" w:space="0" w:color="000000"/>
            </w:tcBorders>
            <w:shd w:val="clear" w:color="000000" w:fill="000000"/>
          </w:tcPr>
          <w:p w:rsidR="006E60A8" w:rsidRPr="006A75A2" w:rsidRDefault="006E60A8" w:rsidP="006E60A8">
            <w:pPr>
              <w:pStyle w:val="TabletextheadingCentred"/>
              <w:rPr>
                <w:rFonts w:eastAsiaTheme="minorEastAsia"/>
                <w:sz w:val="17"/>
                <w:szCs w:val="17"/>
                <w:lang w:eastAsia="en-AU"/>
              </w:rPr>
            </w:pPr>
            <w:r w:rsidRPr="006A75A2">
              <w:rPr>
                <w:rFonts w:eastAsiaTheme="minorEastAsia"/>
                <w:sz w:val="17"/>
                <w:szCs w:val="17"/>
                <w:lang w:eastAsia="en-AU"/>
              </w:rPr>
              <w:t>General government sector</w:t>
            </w:r>
          </w:p>
        </w:tc>
      </w:tr>
      <w:tr w:rsidR="006E60A8" w:rsidRPr="006A75A2" w:rsidTr="006E60A8">
        <w:tc>
          <w:tcPr>
            <w:tcW w:w="1718" w:type="dxa"/>
            <w:vMerge/>
            <w:tcBorders>
              <w:left w:val="single" w:sz="6" w:space="0" w:color="000000"/>
              <w:right w:val="nil"/>
            </w:tcBorders>
            <w:shd w:val="clear" w:color="000000" w:fill="000000"/>
          </w:tcPr>
          <w:p w:rsidR="006E60A8" w:rsidRPr="006A75A2" w:rsidRDefault="006E60A8" w:rsidP="004B5CB1">
            <w:pPr>
              <w:pStyle w:val="Tabletext"/>
              <w:tabs>
                <w:tab w:val="right" w:pos="3950"/>
              </w:tabs>
              <w:rPr>
                <w:rFonts w:eastAsiaTheme="minorEastAsia" w:cs="Calibri"/>
                <w:iCs/>
                <w:sz w:val="19"/>
                <w:szCs w:val="19"/>
                <w:lang w:eastAsia="en-AU"/>
              </w:rPr>
            </w:pPr>
          </w:p>
        </w:tc>
        <w:tc>
          <w:tcPr>
            <w:tcW w:w="3115" w:type="dxa"/>
            <w:gridSpan w:val="2"/>
            <w:tcBorders>
              <w:top w:val="nil"/>
              <w:left w:val="nil"/>
              <w:bottom w:val="nil"/>
              <w:right w:val="nil"/>
            </w:tcBorders>
            <w:shd w:val="clear" w:color="000000" w:fill="000000"/>
          </w:tcPr>
          <w:p w:rsidR="006E60A8" w:rsidRPr="006A75A2" w:rsidRDefault="006E60A8" w:rsidP="004B5CB1">
            <w:pPr>
              <w:pStyle w:val="TabletextheadingCentred"/>
              <w:rPr>
                <w:rFonts w:eastAsiaTheme="minorEastAsia" w:cs="Calibri"/>
                <w:iCs/>
                <w:sz w:val="19"/>
                <w:szCs w:val="19"/>
                <w:lang w:eastAsia="en-AU"/>
              </w:rPr>
            </w:pPr>
            <w:r w:rsidRPr="006A75A2">
              <w:rPr>
                <w:rFonts w:eastAsiaTheme="minorEastAsia"/>
                <w:sz w:val="17"/>
                <w:szCs w:val="17"/>
                <w:lang w:eastAsia="en-AU"/>
              </w:rPr>
              <w:t>2013</w:t>
            </w:r>
          </w:p>
        </w:tc>
        <w:tc>
          <w:tcPr>
            <w:tcW w:w="1595" w:type="dxa"/>
            <w:vMerge/>
            <w:tcBorders>
              <w:left w:val="nil"/>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3212" w:type="dxa"/>
            <w:gridSpan w:val="2"/>
            <w:tcBorders>
              <w:top w:val="nil"/>
              <w:left w:val="nil"/>
              <w:bottom w:val="nil"/>
              <w:right w:val="single" w:sz="6" w:space="0" w:color="000000"/>
            </w:tcBorders>
            <w:shd w:val="clear" w:color="000000" w:fill="000000"/>
          </w:tcPr>
          <w:p w:rsidR="006E60A8" w:rsidRPr="006A75A2" w:rsidRDefault="006E60A8" w:rsidP="006E60A8">
            <w:pPr>
              <w:pStyle w:val="TabletextheadingCentred"/>
              <w:rPr>
                <w:rFonts w:eastAsiaTheme="minorEastAsia"/>
                <w:sz w:val="17"/>
                <w:szCs w:val="17"/>
                <w:lang w:eastAsia="en-AU"/>
              </w:rPr>
            </w:pPr>
            <w:r w:rsidRPr="006A75A2">
              <w:rPr>
                <w:rFonts w:eastAsiaTheme="minorEastAsia"/>
                <w:sz w:val="17"/>
                <w:szCs w:val="17"/>
                <w:lang w:eastAsia="en-AU"/>
              </w:rPr>
              <w:t>2013</w:t>
            </w:r>
          </w:p>
        </w:tc>
      </w:tr>
      <w:tr w:rsidR="006E60A8" w:rsidRPr="006A75A2" w:rsidTr="006E60A8">
        <w:tc>
          <w:tcPr>
            <w:tcW w:w="1718" w:type="dxa"/>
            <w:vMerge/>
            <w:tcBorders>
              <w:left w:val="single" w:sz="6" w:space="0" w:color="000000"/>
              <w:right w:val="nil"/>
            </w:tcBorders>
            <w:shd w:val="clear" w:color="000000" w:fill="000000"/>
          </w:tcPr>
          <w:p w:rsidR="006E60A8" w:rsidRPr="006A75A2" w:rsidRDefault="006E60A8" w:rsidP="004B5CB1">
            <w:pPr>
              <w:pStyle w:val="Tabletext"/>
              <w:tabs>
                <w:tab w:val="right" w:pos="3950"/>
              </w:tabs>
              <w:rPr>
                <w:rFonts w:eastAsiaTheme="minorEastAsia" w:cs="Calibri"/>
                <w:iCs/>
                <w:sz w:val="19"/>
                <w:szCs w:val="19"/>
                <w:lang w:eastAsia="en-AU"/>
              </w:rPr>
            </w:pPr>
          </w:p>
        </w:tc>
        <w:tc>
          <w:tcPr>
            <w:tcW w:w="3115" w:type="dxa"/>
            <w:gridSpan w:val="2"/>
            <w:tcBorders>
              <w:top w:val="nil"/>
              <w:left w:val="nil"/>
              <w:bottom w:val="nil"/>
              <w:right w:val="nil"/>
            </w:tcBorders>
            <w:shd w:val="clear" w:color="000000" w:fill="000000"/>
          </w:tcPr>
          <w:p w:rsidR="006E60A8" w:rsidRPr="006A75A2" w:rsidRDefault="006E60A8" w:rsidP="004B5CB1">
            <w:pPr>
              <w:pStyle w:val="TabletextheadingCentred"/>
              <w:rPr>
                <w:rFonts w:eastAsiaTheme="minorEastAsia" w:cs="Calibri"/>
                <w:iCs/>
                <w:sz w:val="19"/>
                <w:szCs w:val="19"/>
                <w:lang w:eastAsia="en-AU"/>
              </w:rPr>
            </w:pPr>
            <w:r w:rsidRPr="006A75A2">
              <w:rPr>
                <w:rFonts w:eastAsiaTheme="minorEastAsia"/>
                <w:sz w:val="17"/>
                <w:szCs w:val="17"/>
                <w:lang w:eastAsia="en-AU"/>
              </w:rPr>
              <w:t>Other</w:t>
            </w:r>
            <w:r w:rsidRPr="006A75A2">
              <w:rPr>
                <w:rFonts w:eastAsiaTheme="minorEastAsia" w:cs="Calibri"/>
                <w:iCs/>
                <w:sz w:val="19"/>
                <w:szCs w:val="19"/>
                <w:lang w:eastAsia="en-AU"/>
              </w:rPr>
              <w:t xml:space="preserve"> commitments</w:t>
            </w:r>
          </w:p>
        </w:tc>
        <w:tc>
          <w:tcPr>
            <w:tcW w:w="1595" w:type="dxa"/>
            <w:vMerge/>
            <w:tcBorders>
              <w:left w:val="nil"/>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3212" w:type="dxa"/>
            <w:gridSpan w:val="2"/>
            <w:tcBorders>
              <w:top w:val="nil"/>
              <w:left w:val="nil"/>
              <w:bottom w:val="nil"/>
              <w:right w:val="single" w:sz="6" w:space="0" w:color="000000"/>
            </w:tcBorders>
            <w:shd w:val="clear" w:color="000000" w:fill="000000"/>
          </w:tcPr>
          <w:p w:rsidR="006E60A8" w:rsidRPr="006A75A2" w:rsidRDefault="006E60A8" w:rsidP="006E60A8">
            <w:pPr>
              <w:pStyle w:val="TabletextheadingCentred"/>
              <w:rPr>
                <w:rFonts w:eastAsiaTheme="minorEastAsia"/>
                <w:sz w:val="17"/>
                <w:szCs w:val="17"/>
                <w:lang w:eastAsia="en-AU"/>
              </w:rPr>
            </w:pPr>
            <w:r w:rsidRPr="006A75A2">
              <w:rPr>
                <w:rFonts w:eastAsiaTheme="minorEastAsia"/>
                <w:sz w:val="17"/>
                <w:szCs w:val="17"/>
                <w:lang w:eastAsia="en-AU"/>
              </w:rPr>
              <w:t>Other commitments</w:t>
            </w:r>
          </w:p>
        </w:tc>
      </w:tr>
      <w:tr w:rsidR="006E60A8" w:rsidRPr="006A75A2" w:rsidTr="006E60A8">
        <w:tc>
          <w:tcPr>
            <w:tcW w:w="1718" w:type="dxa"/>
            <w:vMerge/>
            <w:tcBorders>
              <w:left w:val="single" w:sz="6" w:space="0" w:color="000000"/>
              <w:bottom w:val="single" w:sz="6" w:space="0" w:color="000000"/>
              <w:right w:val="nil"/>
            </w:tcBorders>
            <w:shd w:val="clear" w:color="000000" w:fill="000000"/>
          </w:tcPr>
          <w:p w:rsidR="006E60A8" w:rsidRPr="006A75A2" w:rsidRDefault="006E60A8" w:rsidP="004B5CB1">
            <w:pPr>
              <w:pStyle w:val="Tabletext"/>
              <w:tabs>
                <w:tab w:val="right" w:pos="3950"/>
              </w:tabs>
              <w:rPr>
                <w:rFonts w:eastAsiaTheme="minorEastAsia"/>
                <w:sz w:val="17"/>
                <w:szCs w:val="17"/>
                <w:lang w:eastAsia="en-AU"/>
              </w:rPr>
            </w:pPr>
          </w:p>
        </w:tc>
        <w:tc>
          <w:tcPr>
            <w:tcW w:w="1491" w:type="dxa"/>
            <w:tcBorders>
              <w:top w:val="nil"/>
              <w:left w:val="nil"/>
              <w:bottom w:val="single" w:sz="6" w:space="0" w:color="000000"/>
              <w:right w:val="nil"/>
            </w:tcBorders>
            <w:shd w:val="clear" w:color="000000" w:fill="000000"/>
          </w:tcPr>
          <w:p w:rsidR="006E60A8" w:rsidRPr="006A75A2" w:rsidRDefault="006E60A8" w:rsidP="004B5CB1">
            <w:pPr>
              <w:pStyle w:val="Tabletextheading"/>
              <w:rPr>
                <w:rFonts w:eastAsiaTheme="minorEastAsia"/>
                <w:sz w:val="17"/>
                <w:szCs w:val="17"/>
                <w:lang w:eastAsia="en-AU"/>
              </w:rPr>
            </w:pPr>
            <w:r w:rsidRPr="006A75A2">
              <w:rPr>
                <w:rFonts w:eastAsiaTheme="minorEastAsia"/>
                <w:sz w:val="17"/>
                <w:szCs w:val="17"/>
                <w:lang w:eastAsia="en-AU"/>
              </w:rPr>
              <w:t>Present value</w:t>
            </w:r>
          </w:p>
        </w:tc>
        <w:tc>
          <w:tcPr>
            <w:tcW w:w="1624" w:type="dxa"/>
            <w:tcBorders>
              <w:top w:val="nil"/>
              <w:left w:val="nil"/>
              <w:bottom w:val="single" w:sz="6" w:space="0" w:color="000000"/>
              <w:right w:val="nil"/>
            </w:tcBorders>
            <w:shd w:val="clear" w:color="000000" w:fill="000000"/>
          </w:tcPr>
          <w:p w:rsidR="006E60A8" w:rsidRPr="006A75A2" w:rsidRDefault="006E60A8" w:rsidP="004B5CB1">
            <w:pPr>
              <w:pStyle w:val="Tabletextheading"/>
              <w:rPr>
                <w:rFonts w:eastAsiaTheme="minorEastAsia"/>
                <w:sz w:val="17"/>
                <w:szCs w:val="17"/>
                <w:lang w:eastAsia="en-AU"/>
              </w:rPr>
            </w:pPr>
            <w:r w:rsidRPr="006A75A2">
              <w:rPr>
                <w:rFonts w:eastAsiaTheme="minorEastAsia"/>
                <w:sz w:val="17"/>
                <w:szCs w:val="17"/>
                <w:lang w:eastAsia="en-AU"/>
              </w:rPr>
              <w:t>Nominal value</w:t>
            </w:r>
          </w:p>
        </w:tc>
        <w:tc>
          <w:tcPr>
            <w:tcW w:w="1595" w:type="dxa"/>
            <w:vMerge/>
            <w:tcBorders>
              <w:left w:val="nil"/>
              <w:bottom w:val="single" w:sz="6" w:space="0" w:color="000000"/>
              <w:right w:val="nil"/>
            </w:tcBorders>
            <w:shd w:val="clear" w:color="000000" w:fill="000000"/>
          </w:tcPr>
          <w:p w:rsidR="006E60A8" w:rsidRPr="006A75A2" w:rsidRDefault="006E60A8" w:rsidP="004B5CB1">
            <w:pPr>
              <w:pStyle w:val="Tabletextheading"/>
              <w:rPr>
                <w:rFonts w:eastAsiaTheme="minorEastAsia"/>
                <w:sz w:val="17"/>
                <w:szCs w:val="17"/>
                <w:lang w:eastAsia="en-AU"/>
              </w:rPr>
            </w:pPr>
          </w:p>
        </w:tc>
        <w:tc>
          <w:tcPr>
            <w:tcW w:w="1610" w:type="dxa"/>
            <w:tcBorders>
              <w:top w:val="nil"/>
              <w:left w:val="nil"/>
              <w:bottom w:val="single" w:sz="6" w:space="0" w:color="000000"/>
              <w:right w:val="nil"/>
            </w:tcBorders>
            <w:shd w:val="clear" w:color="000000" w:fill="000000"/>
          </w:tcPr>
          <w:p w:rsidR="006E60A8" w:rsidRPr="006A75A2" w:rsidRDefault="006E60A8" w:rsidP="004B5CB1">
            <w:pPr>
              <w:pStyle w:val="Tabletextheading"/>
              <w:rPr>
                <w:rFonts w:eastAsiaTheme="minorEastAsia"/>
                <w:sz w:val="17"/>
                <w:szCs w:val="17"/>
                <w:lang w:eastAsia="en-AU"/>
              </w:rPr>
            </w:pPr>
            <w:r w:rsidRPr="006A75A2">
              <w:rPr>
                <w:rFonts w:eastAsiaTheme="minorEastAsia"/>
                <w:sz w:val="17"/>
                <w:szCs w:val="17"/>
                <w:lang w:eastAsia="en-AU"/>
              </w:rPr>
              <w:t>Present value</w:t>
            </w:r>
          </w:p>
        </w:tc>
        <w:tc>
          <w:tcPr>
            <w:tcW w:w="1602" w:type="dxa"/>
            <w:tcBorders>
              <w:top w:val="nil"/>
              <w:left w:val="nil"/>
              <w:bottom w:val="single" w:sz="6" w:space="0" w:color="000000"/>
              <w:right w:val="single" w:sz="6" w:space="0" w:color="000000"/>
            </w:tcBorders>
            <w:shd w:val="clear" w:color="000000" w:fill="000000"/>
          </w:tcPr>
          <w:p w:rsidR="006E60A8" w:rsidRPr="006A75A2" w:rsidRDefault="006E60A8" w:rsidP="004B5CB1">
            <w:pPr>
              <w:pStyle w:val="Tabletextheading"/>
              <w:rPr>
                <w:rFonts w:eastAsiaTheme="minorEastAsia"/>
                <w:sz w:val="17"/>
                <w:szCs w:val="17"/>
                <w:lang w:eastAsia="en-AU"/>
              </w:rPr>
            </w:pPr>
            <w:r w:rsidRPr="006A75A2">
              <w:rPr>
                <w:rFonts w:eastAsiaTheme="minorEastAsia"/>
                <w:sz w:val="17"/>
                <w:szCs w:val="17"/>
                <w:lang w:eastAsia="en-AU"/>
              </w:rPr>
              <w:t>Nominal value</w:t>
            </w:r>
          </w:p>
        </w:tc>
      </w:tr>
      <w:tr w:rsidR="004E6C32" w:rsidRPr="006A75A2" w:rsidTr="006E60A8">
        <w:trPr>
          <w:trHeight w:hRule="exact" w:val="120"/>
        </w:trPr>
        <w:tc>
          <w:tcPr>
            <w:tcW w:w="1718" w:type="dxa"/>
            <w:tcBorders>
              <w:top w:val="single" w:sz="6" w:space="0" w:color="000000"/>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single" w:sz="6" w:space="0" w:color="000000"/>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24" w:type="dxa"/>
            <w:tcBorders>
              <w:top w:val="single" w:sz="6" w:space="0" w:color="000000"/>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595" w:type="dxa"/>
            <w:tcBorders>
              <w:top w:val="single" w:sz="6" w:space="0" w:color="000000"/>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single" w:sz="6" w:space="0" w:color="000000"/>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02" w:type="dxa"/>
            <w:tcBorders>
              <w:top w:val="single" w:sz="6" w:space="0" w:color="000000"/>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b/>
                <w:bCs/>
                <w:sz w:val="17"/>
                <w:szCs w:val="17"/>
                <w:lang w:eastAsia="en-AU"/>
              </w:rPr>
            </w:pPr>
            <w:r w:rsidRPr="006A75A2">
              <w:rPr>
                <w:rFonts w:eastAsiaTheme="minorEastAsia"/>
                <w:b/>
                <w:bCs/>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24" w:type="dxa"/>
            <w:tcBorders>
              <w:top w:val="nil"/>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595" w:type="dxa"/>
            <w:tcBorders>
              <w:top w:val="nil"/>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02" w:type="dxa"/>
            <w:tcBorders>
              <w:top w:val="nil"/>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113.8</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325.7</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113.8</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325.7</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69.4</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129.4</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71.7</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130.7</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71.7</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130.7</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74.6</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93.2</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67.3</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107.8</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34.9</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48.0</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34.9</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48.0</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86.5</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92.6</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86.5</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92.6</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18.8</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19.1</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18.8</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19.1</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240.9</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524.8</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240.9</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524.8</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162.9</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498.2</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162.9</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498.2</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98.3</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229.3</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98.3</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229.3</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507.9</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614.1</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507.9</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614.1</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353.8</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876.2</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353.8</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876.2</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51.6</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86.0</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51.6</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86.0</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210.3</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444.0</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210.3</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444.0</w:t>
            </w:r>
          </w:p>
        </w:tc>
      </w:tr>
      <w:tr w:rsidR="004E6C32" w:rsidRPr="006A75A2" w:rsidTr="006E60A8">
        <w:tc>
          <w:tcPr>
            <w:tcW w:w="1718" w:type="dxa"/>
            <w:tcBorders>
              <w:top w:val="nil"/>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210.6</w:t>
            </w:r>
          </w:p>
        </w:tc>
        <w:tc>
          <w:tcPr>
            <w:tcW w:w="1624"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542.1</w:t>
            </w:r>
          </w:p>
        </w:tc>
        <w:tc>
          <w:tcPr>
            <w:tcW w:w="15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210.6</w:t>
            </w:r>
          </w:p>
        </w:tc>
        <w:tc>
          <w:tcPr>
            <w:tcW w:w="1602"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542.1</w:t>
            </w:r>
          </w:p>
        </w:tc>
      </w:tr>
      <w:tr w:rsidR="004E6C32" w:rsidRPr="006A75A2" w:rsidTr="006E60A8">
        <w:tc>
          <w:tcPr>
            <w:tcW w:w="1718" w:type="dxa"/>
            <w:tcBorders>
              <w:top w:val="nil"/>
              <w:left w:val="nil"/>
              <w:bottom w:val="single" w:sz="6" w:space="0" w:color="auto"/>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1"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1 513.9</w:t>
            </w:r>
          </w:p>
        </w:tc>
        <w:tc>
          <w:tcPr>
            <w:tcW w:w="1624"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5 265.4</w:t>
            </w:r>
          </w:p>
        </w:tc>
        <w:tc>
          <w:tcPr>
            <w:tcW w:w="1595"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10"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1 513.9</w:t>
            </w:r>
          </w:p>
        </w:tc>
        <w:tc>
          <w:tcPr>
            <w:tcW w:w="1602"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5 265.4</w:t>
            </w:r>
          </w:p>
        </w:tc>
      </w:tr>
      <w:tr w:rsidR="004E6C32" w:rsidRPr="006A75A2" w:rsidTr="006E60A8">
        <w:tc>
          <w:tcPr>
            <w:tcW w:w="171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7"/>
                <w:szCs w:val="17"/>
                <w:lang w:eastAsia="en-AU"/>
              </w:rPr>
            </w:pPr>
            <w:r w:rsidRPr="006A75A2">
              <w:rPr>
                <w:rFonts w:eastAsiaTheme="minorEastAsia"/>
                <w:b/>
                <w:bCs/>
                <w:sz w:val="17"/>
                <w:szCs w:val="17"/>
                <w:lang w:eastAsia="en-AU"/>
              </w:rPr>
              <w:t xml:space="preserve"> </w:t>
            </w:r>
          </w:p>
        </w:tc>
        <w:tc>
          <w:tcPr>
            <w:tcW w:w="149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3 887.4</w:t>
            </w:r>
          </w:p>
        </w:tc>
        <w:tc>
          <w:tcPr>
            <w:tcW w:w="162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10 026.7</w:t>
            </w:r>
          </w:p>
        </w:tc>
        <w:tc>
          <w:tcPr>
            <w:tcW w:w="159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sz w:val="17"/>
                <w:szCs w:val="17"/>
                <w:lang w:eastAsia="en-AU"/>
              </w:rPr>
            </w:pPr>
            <w:r w:rsidRPr="006A75A2">
              <w:rPr>
                <w:rFonts w:eastAsiaTheme="minorEastAsia"/>
                <w:b/>
                <w:sz w:val="17"/>
                <w:szCs w:val="17"/>
                <w:lang w:eastAsia="en-AU"/>
              </w:rPr>
              <w:t xml:space="preserve"> </w:t>
            </w:r>
          </w:p>
        </w:tc>
        <w:tc>
          <w:tcPr>
            <w:tcW w:w="161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3 676.0</w:t>
            </w:r>
          </w:p>
        </w:tc>
        <w:tc>
          <w:tcPr>
            <w:tcW w:w="160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9 696.3</w:t>
            </w:r>
          </w:p>
        </w:tc>
      </w:tr>
    </w:tbl>
    <w:p w:rsidR="004E6C32" w:rsidRPr="006A75A2" w:rsidRDefault="004E6C32" w:rsidP="002A6119"/>
    <w:p w:rsidR="004E6C32" w:rsidRPr="006A75A2" w:rsidRDefault="004E6C32" w:rsidP="002A6119">
      <w:pPr>
        <w:rPr>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1718"/>
        <w:gridCol w:w="1495"/>
        <w:gridCol w:w="1607"/>
        <w:gridCol w:w="1606"/>
        <w:gridCol w:w="1607"/>
        <w:gridCol w:w="1607"/>
      </w:tblGrid>
      <w:tr w:rsidR="004E6C32" w:rsidRPr="006A75A2" w:rsidTr="004B5CB1">
        <w:tc>
          <w:tcPr>
            <w:tcW w:w="1718" w:type="dxa"/>
            <w:tcBorders>
              <w:top w:val="single" w:sz="6" w:space="0" w:color="auto"/>
              <w:left w:val="single" w:sz="6" w:space="0" w:color="auto"/>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 xml:space="preserve">Minimum </w:t>
            </w:r>
          </w:p>
          <w:p w:rsidR="004E6C32" w:rsidRPr="006A75A2" w:rsidRDefault="004E6C32" w:rsidP="004B5CB1">
            <w:pPr>
              <w:pStyle w:val="Tabletextheading"/>
              <w:rPr>
                <w:rFonts w:eastAsiaTheme="minorEastAsia" w:cs="Calibri"/>
                <w:iCs/>
                <w:sz w:val="19"/>
                <w:szCs w:val="19"/>
                <w:lang w:eastAsia="en-AU"/>
              </w:rPr>
            </w:pPr>
            <w:r w:rsidRPr="006A75A2">
              <w:rPr>
                <w:rFonts w:eastAsiaTheme="minorEastAsia"/>
                <w:sz w:val="17"/>
                <w:szCs w:val="17"/>
                <w:lang w:eastAsia="en-AU"/>
              </w:rPr>
              <w:t>lease payments</w:t>
            </w:r>
          </w:p>
        </w:tc>
        <w:tc>
          <w:tcPr>
            <w:tcW w:w="1495"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 xml:space="preserve">Other </w:t>
            </w:r>
            <w:r w:rsidR="006E60A8" w:rsidRPr="006A75A2">
              <w:rPr>
                <w:rFonts w:eastAsiaTheme="minorEastAsia"/>
                <w:sz w:val="17"/>
                <w:szCs w:val="17"/>
                <w:lang w:eastAsia="en-AU"/>
              </w:rPr>
              <w:br/>
            </w:r>
            <w:r w:rsidRPr="006A75A2">
              <w:rPr>
                <w:rFonts w:eastAsiaTheme="minorEastAsia"/>
                <w:sz w:val="17"/>
                <w:szCs w:val="17"/>
                <w:lang w:eastAsia="en-AU"/>
              </w:rPr>
              <w:t>commitments</w:t>
            </w:r>
          </w:p>
        </w:tc>
        <w:tc>
          <w:tcPr>
            <w:tcW w:w="1607"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 xml:space="preserve">Total </w:t>
            </w:r>
          </w:p>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commitments</w:t>
            </w:r>
          </w:p>
        </w:tc>
        <w:tc>
          <w:tcPr>
            <w:tcW w:w="1606"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 xml:space="preserve">Minimum </w:t>
            </w:r>
          </w:p>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lease payments</w:t>
            </w:r>
          </w:p>
        </w:tc>
        <w:tc>
          <w:tcPr>
            <w:tcW w:w="1607"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 xml:space="preserve">Other </w:t>
            </w:r>
            <w:r w:rsidR="006E60A8" w:rsidRPr="006A75A2">
              <w:rPr>
                <w:rFonts w:eastAsiaTheme="minorEastAsia"/>
                <w:sz w:val="17"/>
                <w:szCs w:val="17"/>
                <w:lang w:eastAsia="en-AU"/>
              </w:rPr>
              <w:br/>
            </w:r>
            <w:r w:rsidRPr="006A75A2">
              <w:rPr>
                <w:rFonts w:eastAsiaTheme="minorEastAsia"/>
                <w:sz w:val="17"/>
                <w:szCs w:val="17"/>
                <w:lang w:eastAsia="en-AU"/>
              </w:rPr>
              <w:t>commitments</w:t>
            </w:r>
          </w:p>
        </w:tc>
        <w:tc>
          <w:tcPr>
            <w:tcW w:w="1607" w:type="dxa"/>
            <w:tcBorders>
              <w:top w:val="single" w:sz="6" w:space="0" w:color="auto"/>
              <w:left w:val="nil"/>
              <w:right w:val="single" w:sz="6" w:space="0" w:color="auto"/>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 xml:space="preserve">Total </w:t>
            </w:r>
          </w:p>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commitments</w:t>
            </w:r>
          </w:p>
        </w:tc>
      </w:tr>
      <w:tr w:rsidR="006E60A8" w:rsidRPr="006A75A2" w:rsidTr="006E60A8">
        <w:trPr>
          <w:trHeight w:hRule="exact" w:val="120"/>
        </w:trPr>
        <w:tc>
          <w:tcPr>
            <w:tcW w:w="9640" w:type="dxa"/>
            <w:gridSpan w:val="6"/>
            <w:tcBorders>
              <w:top w:val="nil"/>
              <w:left w:val="single" w:sz="6" w:space="0" w:color="auto"/>
              <w:bottom w:val="nil"/>
              <w:right w:val="single" w:sz="6" w:space="0" w:color="auto"/>
            </w:tcBorders>
            <w:shd w:val="clear" w:color="000000" w:fill="000000"/>
          </w:tcPr>
          <w:p w:rsidR="006E60A8" w:rsidRPr="006A75A2" w:rsidRDefault="006E60A8" w:rsidP="006E60A8">
            <w:pPr>
              <w:pStyle w:val="Tabletextheading"/>
              <w:jc w:val="left"/>
              <w:rPr>
                <w:rFonts w:eastAsiaTheme="minorEastAsia"/>
                <w:sz w:val="17"/>
                <w:szCs w:val="17"/>
                <w:lang w:eastAsia="en-AU"/>
              </w:rPr>
            </w:pPr>
          </w:p>
        </w:tc>
      </w:tr>
      <w:tr w:rsidR="004E6C32" w:rsidRPr="006A75A2" w:rsidTr="004B5CB1">
        <w:trPr>
          <w:trHeight w:val="106"/>
        </w:trPr>
        <w:tc>
          <w:tcPr>
            <w:tcW w:w="1718" w:type="dxa"/>
            <w:tcBorders>
              <w:top w:val="nil"/>
              <w:left w:val="single" w:sz="6" w:space="0" w:color="auto"/>
              <w:bottom w:val="nil"/>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Discounted value</w:t>
            </w:r>
          </w:p>
        </w:tc>
        <w:tc>
          <w:tcPr>
            <w:tcW w:w="1495"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Present value</w:t>
            </w:r>
          </w:p>
        </w:tc>
        <w:tc>
          <w:tcPr>
            <w:tcW w:w="1607"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Nominal value</w:t>
            </w:r>
          </w:p>
        </w:tc>
        <w:tc>
          <w:tcPr>
            <w:tcW w:w="1606"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Discounted value</w:t>
            </w:r>
          </w:p>
        </w:tc>
        <w:tc>
          <w:tcPr>
            <w:tcW w:w="1607" w:type="dxa"/>
            <w:tcBorders>
              <w:top w:val="nil"/>
              <w:left w:val="nil"/>
              <w:bottom w:val="nil"/>
              <w:right w:val="nil"/>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Present value</w:t>
            </w:r>
          </w:p>
        </w:tc>
        <w:tc>
          <w:tcPr>
            <w:tcW w:w="1607" w:type="dxa"/>
            <w:tcBorders>
              <w:top w:val="nil"/>
              <w:left w:val="nil"/>
              <w:bottom w:val="nil"/>
              <w:right w:val="single" w:sz="6" w:space="0" w:color="auto"/>
            </w:tcBorders>
            <w:shd w:val="clear" w:color="000000" w:fill="000000"/>
          </w:tcPr>
          <w:p w:rsidR="004E6C32" w:rsidRPr="006A75A2" w:rsidRDefault="004E6C32" w:rsidP="004B5CB1">
            <w:pPr>
              <w:pStyle w:val="Tabletextheading"/>
              <w:rPr>
                <w:rFonts w:eastAsiaTheme="minorEastAsia"/>
                <w:sz w:val="17"/>
                <w:szCs w:val="17"/>
                <w:lang w:eastAsia="en-AU"/>
              </w:rPr>
            </w:pPr>
            <w:r w:rsidRPr="006A75A2">
              <w:rPr>
                <w:rFonts w:eastAsiaTheme="minorEastAsia"/>
                <w:sz w:val="17"/>
                <w:szCs w:val="17"/>
                <w:lang w:eastAsia="en-AU"/>
              </w:rPr>
              <w:t>Nominal value</w:t>
            </w:r>
          </w:p>
        </w:tc>
      </w:tr>
      <w:tr w:rsidR="004E6C32" w:rsidRPr="006A75A2" w:rsidTr="004B5CB1">
        <w:trPr>
          <w:trHeight w:val="91"/>
        </w:trPr>
        <w:tc>
          <w:tcPr>
            <w:tcW w:w="1718" w:type="dxa"/>
            <w:tcBorders>
              <w:top w:val="single" w:sz="6" w:space="0" w:color="auto"/>
              <w:left w:val="nil"/>
              <w:bottom w:val="nil"/>
              <w:right w:val="nil"/>
            </w:tcBorders>
          </w:tcPr>
          <w:p w:rsidR="004E6C32" w:rsidRPr="006A75A2" w:rsidRDefault="004E6C32" w:rsidP="004B5CB1">
            <w:pPr>
              <w:pStyle w:val="Tabletext"/>
              <w:rPr>
                <w:rFonts w:eastAsiaTheme="minorEastAsia"/>
                <w:sz w:val="17"/>
                <w:szCs w:val="17"/>
                <w:lang w:eastAsia="en-AU"/>
              </w:rPr>
            </w:pPr>
            <w:r w:rsidRPr="006A75A2">
              <w:rPr>
                <w:rFonts w:eastAsiaTheme="minorEastAsia"/>
                <w:sz w:val="17"/>
                <w:szCs w:val="17"/>
                <w:lang w:eastAsia="en-AU"/>
              </w:rPr>
              <w:t xml:space="preserve"> </w:t>
            </w:r>
          </w:p>
        </w:tc>
        <w:tc>
          <w:tcPr>
            <w:tcW w:w="1495" w:type="dxa"/>
            <w:tcBorders>
              <w:top w:val="single" w:sz="6" w:space="0" w:color="auto"/>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r>
      <w:tr w:rsidR="004E6C32" w:rsidRPr="006A75A2" w:rsidTr="004B5CB1">
        <w:trPr>
          <w:trHeight w:val="106"/>
        </w:trPr>
        <w:tc>
          <w:tcPr>
            <w:tcW w:w="1718"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307.4</w:t>
            </w:r>
          </w:p>
        </w:tc>
        <w:tc>
          <w:tcPr>
            <w:tcW w:w="14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1 101.0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2 861.7</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307.4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1 101.0</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2 861.7</w:t>
            </w:r>
          </w:p>
        </w:tc>
      </w:tr>
      <w:tr w:rsidR="004E6C32" w:rsidRPr="006A75A2" w:rsidTr="004B5CB1">
        <w:tc>
          <w:tcPr>
            <w:tcW w:w="1718"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19.2</w:t>
            </w:r>
          </w:p>
        </w:tc>
        <w:tc>
          <w:tcPr>
            <w:tcW w:w="14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46.3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99.6</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19.2</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46.3</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99.6</w:t>
            </w:r>
          </w:p>
        </w:tc>
      </w:tr>
      <w:tr w:rsidR="004E6C32" w:rsidRPr="006A75A2" w:rsidTr="004B5CB1">
        <w:tc>
          <w:tcPr>
            <w:tcW w:w="1718"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1 050.4</w:t>
            </w:r>
            <w:r w:rsidRPr="006A75A2">
              <w:rPr>
                <w:rFonts w:eastAsiaTheme="minorEastAsia"/>
                <w:sz w:val="17"/>
                <w:szCs w:val="17"/>
                <w:lang w:eastAsia="en-AU"/>
              </w:rPr>
              <w:br/>
            </w:r>
          </w:p>
        </w:tc>
        <w:tc>
          <w:tcPr>
            <w:tcW w:w="1495"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326.4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3 199.8</w:t>
            </w:r>
          </w:p>
        </w:tc>
        <w:tc>
          <w:tcPr>
            <w:tcW w:w="1606"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1 050.4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326.4</w:t>
            </w:r>
          </w:p>
        </w:tc>
        <w:tc>
          <w:tcPr>
            <w:tcW w:w="1607" w:type="dxa"/>
            <w:tcBorders>
              <w:top w:val="nil"/>
              <w:left w:val="nil"/>
              <w:bottom w:val="nil"/>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3 199.8</w:t>
            </w:r>
          </w:p>
        </w:tc>
      </w:tr>
      <w:tr w:rsidR="004E6C32" w:rsidRPr="006A75A2" w:rsidTr="004B5CB1">
        <w:tc>
          <w:tcPr>
            <w:tcW w:w="1718" w:type="dxa"/>
            <w:tcBorders>
              <w:top w:val="single" w:sz="6" w:space="0" w:color="auto"/>
              <w:left w:val="nil"/>
              <w:bottom w:val="single" w:sz="6" w:space="0" w:color="auto"/>
              <w:right w:val="nil"/>
            </w:tcBorders>
          </w:tcPr>
          <w:p w:rsidR="004E6C32" w:rsidRPr="006A75A2" w:rsidRDefault="004E6C32" w:rsidP="002A6119">
            <w:pPr>
              <w:pStyle w:val="TableofFigures"/>
              <w:rPr>
                <w:rFonts w:eastAsiaTheme="minorEastAsia"/>
                <w:b/>
                <w:bCs/>
                <w:sz w:val="17"/>
                <w:szCs w:val="17"/>
                <w:lang w:eastAsia="en-AU"/>
              </w:rPr>
            </w:pPr>
            <w:r w:rsidRPr="006A75A2">
              <w:rPr>
                <w:rFonts w:eastAsiaTheme="minorEastAsia"/>
                <w:b/>
                <w:bCs/>
                <w:sz w:val="17"/>
                <w:szCs w:val="17"/>
                <w:lang w:eastAsia="en-AU"/>
              </w:rPr>
              <w:t>1 377.0</w:t>
            </w:r>
          </w:p>
        </w:tc>
        <w:tc>
          <w:tcPr>
            <w:tcW w:w="1495"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1 473.7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6 161.2</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1 377.0</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1 473.7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6 161.2</w:t>
            </w:r>
          </w:p>
        </w:tc>
      </w:tr>
      <w:tr w:rsidR="004E6C32" w:rsidRPr="006A75A2" w:rsidTr="004B5CB1">
        <w:tc>
          <w:tcPr>
            <w:tcW w:w="1718" w:type="dxa"/>
            <w:tcBorders>
              <w:top w:val="single" w:sz="6" w:space="0" w:color="auto"/>
              <w:left w:val="nil"/>
              <w:bottom w:val="single" w:sz="6" w:space="0" w:color="auto"/>
              <w:right w:val="nil"/>
            </w:tcBorders>
          </w:tcPr>
          <w:p w:rsidR="004E6C32" w:rsidRPr="006A75A2" w:rsidRDefault="002A6119" w:rsidP="004B5CB1">
            <w:pPr>
              <w:pStyle w:val="TableofFigures"/>
              <w:rPr>
                <w:rFonts w:eastAsiaTheme="minorEastAsia"/>
                <w:b/>
                <w:bCs/>
                <w:sz w:val="17"/>
                <w:szCs w:val="17"/>
                <w:lang w:eastAsia="en-AU"/>
              </w:rPr>
            </w:pPr>
            <w:r w:rsidRPr="006A75A2">
              <w:rPr>
                <w:rFonts w:eastAsiaTheme="minorEastAsia"/>
                <w:b/>
                <w:bCs/>
                <w:sz w:val="17"/>
                <w:szCs w:val="17"/>
                <w:lang w:eastAsia="en-AU"/>
              </w:rPr>
              <w:br/>
            </w:r>
            <w:r w:rsidR="004E6C32" w:rsidRPr="006A75A2">
              <w:rPr>
                <w:rFonts w:eastAsiaTheme="minorEastAsia"/>
                <w:b/>
                <w:bCs/>
                <w:sz w:val="17"/>
                <w:szCs w:val="17"/>
                <w:lang w:eastAsia="en-AU"/>
              </w:rPr>
              <w:t xml:space="preserve"> </w:t>
            </w:r>
          </w:p>
        </w:tc>
        <w:tc>
          <w:tcPr>
            <w:tcW w:w="1495"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5 361.1</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16 187.9</w:t>
            </w:r>
          </w:p>
        </w:tc>
        <w:tc>
          <w:tcPr>
            <w:tcW w:w="160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5 149.7</w:t>
            </w:r>
          </w:p>
        </w:tc>
        <w:tc>
          <w:tcPr>
            <w:tcW w:w="160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15 857.4</w:t>
            </w:r>
          </w:p>
        </w:tc>
      </w:tr>
      <w:tr w:rsidR="004E6C32" w:rsidRPr="006A75A2" w:rsidTr="004B5CB1">
        <w:tc>
          <w:tcPr>
            <w:tcW w:w="1718"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495"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36 965.2</w:t>
            </w:r>
          </w:p>
        </w:tc>
        <w:tc>
          <w:tcPr>
            <w:tcW w:w="1606"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0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35 979.0</w:t>
            </w:r>
          </w:p>
        </w:tc>
      </w:tr>
      <w:tr w:rsidR="004E6C32" w:rsidRPr="006A75A2" w:rsidTr="004B5CB1">
        <w:tc>
          <w:tcPr>
            <w:tcW w:w="1718"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495"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3 360.5</w:t>
            </w:r>
          </w:p>
        </w:tc>
        <w:tc>
          <w:tcPr>
            <w:tcW w:w="1606"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 xml:space="preserve"> </w:t>
            </w:r>
          </w:p>
        </w:tc>
        <w:tc>
          <w:tcPr>
            <w:tcW w:w="1607" w:type="dxa"/>
            <w:tcBorders>
              <w:top w:val="nil"/>
              <w:left w:val="nil"/>
              <w:bottom w:val="single" w:sz="6" w:space="0" w:color="auto"/>
              <w:right w:val="nil"/>
            </w:tcBorders>
          </w:tcPr>
          <w:p w:rsidR="004E6C32" w:rsidRPr="006A75A2" w:rsidRDefault="004E6C32" w:rsidP="004B5CB1">
            <w:pPr>
              <w:pStyle w:val="TableofFigures"/>
              <w:rPr>
                <w:rFonts w:eastAsiaTheme="minorEastAsia"/>
                <w:sz w:val="17"/>
                <w:szCs w:val="17"/>
                <w:lang w:eastAsia="en-AU"/>
              </w:rPr>
            </w:pPr>
            <w:r w:rsidRPr="006A75A2">
              <w:rPr>
                <w:rFonts w:eastAsiaTheme="minorEastAsia"/>
                <w:sz w:val="17"/>
                <w:szCs w:val="17"/>
                <w:lang w:eastAsia="en-AU"/>
              </w:rPr>
              <w:t>3 270.8</w:t>
            </w:r>
          </w:p>
        </w:tc>
      </w:tr>
      <w:tr w:rsidR="004E6C32" w:rsidRPr="006A75A2" w:rsidTr="004B5CB1">
        <w:tc>
          <w:tcPr>
            <w:tcW w:w="171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49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33 604.7</w:t>
            </w:r>
          </w:p>
        </w:tc>
        <w:tc>
          <w:tcPr>
            <w:tcW w:w="160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 xml:space="preserve"> </w:t>
            </w:r>
          </w:p>
        </w:tc>
        <w:tc>
          <w:tcPr>
            <w:tcW w:w="16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7"/>
                <w:szCs w:val="17"/>
                <w:lang w:eastAsia="en-AU"/>
              </w:rPr>
            </w:pPr>
            <w:r w:rsidRPr="006A75A2">
              <w:rPr>
                <w:rFonts w:eastAsiaTheme="minorEastAsia"/>
                <w:b/>
                <w:bCs/>
                <w:sz w:val="17"/>
                <w:szCs w:val="17"/>
                <w:lang w:eastAsia="en-AU"/>
              </w:rPr>
              <w:t>32 708.2</w:t>
            </w:r>
          </w:p>
        </w:tc>
      </w:tr>
    </w:tbl>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34:</w:t>
      </w:r>
      <w:r w:rsidRPr="006A75A2">
        <w:rPr>
          <w:kern w:val="0"/>
        </w:rPr>
        <w:tab/>
        <w:t xml:space="preserve">Commitments </w:t>
      </w:r>
      <w:r w:rsidRPr="006A75A2">
        <w:rPr>
          <w:i/>
          <w:kern w:val="0"/>
        </w:rPr>
        <w:t>(continued)</w:t>
      </w:r>
    </w:p>
    <w:p w:rsidR="004E6C32" w:rsidRPr="006A75A2" w:rsidRDefault="004E6C32" w:rsidP="0067336F">
      <w:pPr>
        <w:pStyle w:val="Heading5"/>
      </w:pPr>
      <w:r w:rsidRPr="006A75A2">
        <w:t>(c)</w:t>
      </w:r>
      <w:r w:rsidRPr="006A75A2">
        <w:tab/>
        <w:t>Commitment payables</w:t>
      </w:r>
      <w:r w:rsidRPr="006A75A2">
        <w:rPr>
          <w:vertAlign w:val="superscript"/>
        </w:rPr>
        <w:t>(a)(b)</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4553"/>
        <w:gridCol w:w="1134"/>
        <w:gridCol w:w="1409"/>
        <w:gridCol w:w="1272"/>
        <w:gridCol w:w="1272"/>
      </w:tblGrid>
      <w:tr w:rsidR="004E6C32" w:rsidRPr="006A75A2" w:rsidTr="004B5CB1">
        <w:tc>
          <w:tcPr>
            <w:tcW w:w="4553" w:type="dxa"/>
            <w:tcBorders>
              <w:top w:val="single" w:sz="6" w:space="0" w:color="auto"/>
              <w:left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34"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State of Victoria</w:t>
            </w:r>
          </w:p>
        </w:tc>
        <w:tc>
          <w:tcPr>
            <w:tcW w:w="1409"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General government sector</w:t>
            </w:r>
          </w:p>
        </w:tc>
        <w:tc>
          <w:tcPr>
            <w:tcW w:w="1272" w:type="dxa"/>
            <w:tcBorders>
              <w:top w:val="single" w:sz="6" w:space="0" w:color="auto"/>
              <w:left w:val="nil"/>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State of Victoria</w:t>
            </w:r>
          </w:p>
        </w:tc>
        <w:tc>
          <w:tcPr>
            <w:tcW w:w="1272" w:type="dxa"/>
            <w:tcBorders>
              <w:top w:val="single" w:sz="6" w:space="0" w:color="auto"/>
              <w:left w:val="nil"/>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General government sector</w:t>
            </w:r>
          </w:p>
        </w:tc>
      </w:tr>
      <w:tr w:rsidR="004E6C32" w:rsidRPr="006A75A2" w:rsidTr="004B5CB1">
        <w:tc>
          <w:tcPr>
            <w:tcW w:w="4553"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Nominal values</w:t>
            </w:r>
          </w:p>
        </w:tc>
        <w:tc>
          <w:tcPr>
            <w:tcW w:w="1134"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409"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272"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c>
          <w:tcPr>
            <w:tcW w:w="1272"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6E60A8" w:rsidRPr="006A75A2" w:rsidTr="006E60A8">
        <w:tc>
          <w:tcPr>
            <w:tcW w:w="9640" w:type="dxa"/>
            <w:gridSpan w:val="5"/>
            <w:tcBorders>
              <w:top w:val="single" w:sz="6" w:space="0" w:color="auto"/>
              <w:left w:val="nil"/>
              <w:bottom w:val="nil"/>
              <w:right w:val="nil"/>
            </w:tcBorders>
          </w:tcPr>
          <w:p w:rsidR="006E60A8" w:rsidRPr="006A75A2" w:rsidRDefault="006E60A8" w:rsidP="006E60A8">
            <w:pPr>
              <w:pStyle w:val="Tabletext"/>
              <w:rPr>
                <w:rFonts w:eastAsiaTheme="minorEastAsia"/>
                <w:b/>
                <w:bCs/>
                <w:lang w:eastAsia="en-AU"/>
              </w:rPr>
            </w:pPr>
            <w:r w:rsidRPr="006A75A2">
              <w:rPr>
                <w:rFonts w:eastAsiaTheme="minorEastAsia"/>
                <w:b/>
                <w:bCs/>
                <w:lang w:eastAsia="en-AU"/>
              </w:rPr>
              <w:t>Capital expenditure commitments payable</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Less than 1 year</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3 148.4</w:t>
            </w:r>
          </w:p>
        </w:tc>
        <w:tc>
          <w:tcPr>
            <w:tcW w:w="140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2 313.2</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3 408.4</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2 940.3</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1 year but less than 5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1 078.7</w:t>
            </w:r>
          </w:p>
        </w:tc>
        <w:tc>
          <w:tcPr>
            <w:tcW w:w="140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829.9</w:t>
            </w:r>
          </w:p>
        </w:tc>
        <w:tc>
          <w:tcPr>
            <w:tcW w:w="127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1 207.5</w:t>
            </w:r>
          </w:p>
        </w:tc>
        <w:tc>
          <w:tcPr>
            <w:tcW w:w="127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1 133.2</w:t>
            </w:r>
          </w:p>
        </w:tc>
      </w:tr>
      <w:tr w:rsidR="004E6C32" w:rsidRPr="006A75A2" w:rsidTr="004B5CB1">
        <w:tc>
          <w:tcPr>
            <w:tcW w:w="4553"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5 years or more</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w:t>
            </w:r>
          </w:p>
        </w:tc>
        <w:tc>
          <w:tcPr>
            <w:tcW w:w="140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w:t>
            </w:r>
          </w:p>
        </w:tc>
        <w:tc>
          <w:tcPr>
            <w:tcW w:w="127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25.7</w:t>
            </w:r>
          </w:p>
        </w:tc>
        <w:tc>
          <w:tcPr>
            <w:tcW w:w="127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24.5</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capital expenditure commitments</w:t>
            </w:r>
          </w:p>
        </w:tc>
        <w:tc>
          <w:tcPr>
            <w:tcW w:w="1134"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4 228.6</w:t>
            </w:r>
          </w:p>
        </w:tc>
        <w:tc>
          <w:tcPr>
            <w:tcW w:w="1409"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3 144.5</w:t>
            </w:r>
          </w:p>
        </w:tc>
        <w:tc>
          <w:tcPr>
            <w:tcW w:w="127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4 641.6</w:t>
            </w:r>
          </w:p>
        </w:tc>
        <w:tc>
          <w:tcPr>
            <w:tcW w:w="127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4 098.0</w:t>
            </w:r>
          </w:p>
        </w:tc>
      </w:tr>
      <w:tr w:rsidR="006E60A8" w:rsidRPr="006A75A2" w:rsidTr="006E60A8">
        <w:tc>
          <w:tcPr>
            <w:tcW w:w="9640" w:type="dxa"/>
            <w:gridSpan w:val="5"/>
            <w:tcBorders>
              <w:top w:val="nil"/>
              <w:left w:val="nil"/>
              <w:bottom w:val="nil"/>
              <w:right w:val="nil"/>
            </w:tcBorders>
          </w:tcPr>
          <w:p w:rsidR="006E60A8" w:rsidRPr="006A75A2" w:rsidRDefault="006E60A8" w:rsidP="006E60A8">
            <w:pPr>
              <w:pStyle w:val="Tabletext"/>
              <w:rPr>
                <w:rFonts w:eastAsiaTheme="minorEastAsia"/>
                <w:b/>
                <w:bCs/>
                <w:lang w:eastAsia="en-AU"/>
              </w:rPr>
            </w:pPr>
            <w:r w:rsidRPr="006A75A2">
              <w:rPr>
                <w:rFonts w:eastAsiaTheme="minorEastAsia"/>
                <w:b/>
                <w:bCs/>
                <w:lang w:eastAsia="en-AU"/>
              </w:rPr>
              <w:t>Operating and lease commitments payable</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Less than 1 year</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3 060.0</w:t>
            </w:r>
          </w:p>
        </w:tc>
        <w:tc>
          <w:tcPr>
            <w:tcW w:w="140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2 918.5</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3 063.5</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2 937.2</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1 year but less than 5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6 171.7</w:t>
            </w:r>
          </w:p>
        </w:tc>
        <w:tc>
          <w:tcPr>
            <w:tcW w:w="140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5 830.5</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7 152.9</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6 825.4</w:t>
            </w:r>
          </w:p>
        </w:tc>
      </w:tr>
      <w:tr w:rsidR="004E6C32" w:rsidRPr="006A75A2" w:rsidTr="004B5CB1">
        <w:tc>
          <w:tcPr>
            <w:tcW w:w="4553"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5 years or more</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1 350.8</w:t>
            </w:r>
          </w:p>
        </w:tc>
        <w:tc>
          <w:tcPr>
            <w:tcW w:w="140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917.0</w:t>
            </w:r>
          </w:p>
        </w:tc>
        <w:tc>
          <w:tcPr>
            <w:tcW w:w="127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2 081.8</w:t>
            </w:r>
          </w:p>
        </w:tc>
        <w:tc>
          <w:tcPr>
            <w:tcW w:w="127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1 605.3</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operating and lease commitments</w:t>
            </w:r>
          </w:p>
        </w:tc>
        <w:tc>
          <w:tcPr>
            <w:tcW w:w="1134"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10 582.5</w:t>
            </w:r>
          </w:p>
        </w:tc>
        <w:tc>
          <w:tcPr>
            <w:tcW w:w="1409"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9 665.9</w:t>
            </w:r>
          </w:p>
        </w:tc>
        <w:tc>
          <w:tcPr>
            <w:tcW w:w="127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12 298.2</w:t>
            </w:r>
          </w:p>
        </w:tc>
        <w:tc>
          <w:tcPr>
            <w:tcW w:w="127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11 367.9</w:t>
            </w:r>
          </w:p>
        </w:tc>
      </w:tr>
      <w:tr w:rsidR="006E60A8" w:rsidRPr="006A75A2" w:rsidTr="006E60A8">
        <w:tc>
          <w:tcPr>
            <w:tcW w:w="9640" w:type="dxa"/>
            <w:gridSpan w:val="5"/>
            <w:tcBorders>
              <w:top w:val="nil"/>
              <w:left w:val="nil"/>
              <w:bottom w:val="nil"/>
              <w:right w:val="nil"/>
            </w:tcBorders>
          </w:tcPr>
          <w:p w:rsidR="006E60A8" w:rsidRPr="006A75A2" w:rsidRDefault="006E60A8" w:rsidP="006E60A8">
            <w:pPr>
              <w:pStyle w:val="Tabletext"/>
              <w:rPr>
                <w:rFonts w:eastAsiaTheme="minorEastAsia"/>
                <w:b/>
                <w:bCs/>
                <w:lang w:eastAsia="en-AU"/>
              </w:rPr>
            </w:pPr>
            <w:r w:rsidRPr="006A75A2">
              <w:rPr>
                <w:rFonts w:eastAsiaTheme="minorEastAsia"/>
                <w:b/>
                <w:bCs/>
                <w:lang w:eastAsia="en-AU"/>
              </w:rPr>
              <w:t>Public Private Partnership commitments</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Less than 1 year</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426.8</w:t>
            </w:r>
          </w:p>
        </w:tc>
        <w:tc>
          <w:tcPr>
            <w:tcW w:w="140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407.6</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407.4</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389.4</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1 year but less than 5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2 771.5</w:t>
            </w:r>
          </w:p>
        </w:tc>
        <w:tc>
          <w:tcPr>
            <w:tcW w:w="140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2 688.8</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2 556.1</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2 477.0</w:t>
            </w:r>
          </w:p>
        </w:tc>
      </w:tr>
      <w:tr w:rsidR="004E6C32" w:rsidRPr="006A75A2" w:rsidTr="004B5CB1">
        <w:tc>
          <w:tcPr>
            <w:tcW w:w="4553"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5 years or more</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12 709.2</w:t>
            </w:r>
          </w:p>
        </w:tc>
        <w:tc>
          <w:tcPr>
            <w:tcW w:w="1409"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12 486.3</w:t>
            </w:r>
          </w:p>
        </w:tc>
        <w:tc>
          <w:tcPr>
            <w:tcW w:w="127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13 224.4</w:t>
            </w:r>
          </w:p>
        </w:tc>
        <w:tc>
          <w:tcPr>
            <w:tcW w:w="127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12 991.0</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Total Public Private Partnership commitments </w:t>
            </w:r>
          </w:p>
        </w:tc>
        <w:tc>
          <w:tcPr>
            <w:tcW w:w="1134"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15 907.5</w:t>
            </w:r>
          </w:p>
        </w:tc>
        <w:tc>
          <w:tcPr>
            <w:tcW w:w="1409"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15 582.7</w:t>
            </w:r>
          </w:p>
        </w:tc>
        <w:tc>
          <w:tcPr>
            <w:tcW w:w="127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16 187.9</w:t>
            </w:r>
          </w:p>
        </w:tc>
        <w:tc>
          <w:tcPr>
            <w:tcW w:w="127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15 857.4</w:t>
            </w:r>
          </w:p>
        </w:tc>
      </w:tr>
      <w:tr w:rsidR="006E60A8" w:rsidRPr="006A75A2" w:rsidTr="006E60A8">
        <w:tc>
          <w:tcPr>
            <w:tcW w:w="9640" w:type="dxa"/>
            <w:gridSpan w:val="5"/>
            <w:tcBorders>
              <w:top w:val="nil"/>
              <w:left w:val="nil"/>
              <w:bottom w:val="nil"/>
              <w:right w:val="nil"/>
            </w:tcBorders>
          </w:tcPr>
          <w:p w:rsidR="006E60A8" w:rsidRPr="006A75A2" w:rsidRDefault="006E60A8" w:rsidP="006E60A8">
            <w:pPr>
              <w:pStyle w:val="Tabletext"/>
              <w:rPr>
                <w:rFonts w:eastAsiaTheme="minorEastAsia"/>
                <w:b/>
                <w:bCs/>
                <w:lang w:eastAsia="en-AU"/>
              </w:rPr>
            </w:pPr>
            <w:r w:rsidRPr="006A75A2">
              <w:rPr>
                <w:rFonts w:eastAsiaTheme="minorEastAsia"/>
                <w:b/>
                <w:bCs/>
                <w:lang w:eastAsia="en-AU"/>
              </w:rPr>
              <w:t>Total other commitments payable</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Less than 1 year</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1 488.1</w:t>
            </w:r>
          </w:p>
        </w:tc>
        <w:tc>
          <w:tcPr>
            <w:tcW w:w="140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1 602.5</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1 504.8</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1 591.5</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1 year but less than 5 years</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1 531.9</w:t>
            </w:r>
          </w:p>
        </w:tc>
        <w:tc>
          <w:tcPr>
            <w:tcW w:w="140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2 008.9</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1 782.6</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2 486.0</w:t>
            </w:r>
          </w:p>
        </w:tc>
      </w:tr>
      <w:tr w:rsidR="004E6C32" w:rsidRPr="006A75A2" w:rsidTr="004B5CB1">
        <w:tc>
          <w:tcPr>
            <w:tcW w:w="4553"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5 years or more</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633.4</w:t>
            </w:r>
          </w:p>
        </w:tc>
        <w:tc>
          <w:tcPr>
            <w:tcW w:w="1409"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664.0</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550.1</w:t>
            </w:r>
          </w:p>
        </w:tc>
        <w:tc>
          <w:tcPr>
            <w:tcW w:w="127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578.1</w:t>
            </w:r>
          </w:p>
        </w:tc>
      </w:tr>
      <w:tr w:rsidR="004E6C32" w:rsidRPr="006A75A2" w:rsidTr="004B5CB1">
        <w:tc>
          <w:tcPr>
            <w:tcW w:w="4553"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Total other commitments </w:t>
            </w:r>
          </w:p>
        </w:tc>
        <w:tc>
          <w:tcPr>
            <w:tcW w:w="113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3 653.5</w:t>
            </w:r>
          </w:p>
        </w:tc>
        <w:tc>
          <w:tcPr>
            <w:tcW w:w="1409"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4 275.3</w:t>
            </w:r>
          </w:p>
        </w:tc>
        <w:tc>
          <w:tcPr>
            <w:tcW w:w="127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3 837.5</w:t>
            </w:r>
          </w:p>
        </w:tc>
        <w:tc>
          <w:tcPr>
            <w:tcW w:w="1272"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4 655.7</w:t>
            </w:r>
          </w:p>
        </w:tc>
      </w:tr>
      <w:tr w:rsidR="004E6C32" w:rsidRPr="006A75A2" w:rsidTr="004B5CB1">
        <w:tc>
          <w:tcPr>
            <w:tcW w:w="455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commitments (inclusive of GST)</w:t>
            </w:r>
          </w:p>
        </w:tc>
        <w:tc>
          <w:tcPr>
            <w:tcW w:w="113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34 372.0</w:t>
            </w:r>
          </w:p>
        </w:tc>
        <w:tc>
          <w:tcPr>
            <w:tcW w:w="140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32 668.4</w:t>
            </w:r>
          </w:p>
        </w:tc>
        <w:tc>
          <w:tcPr>
            <w:tcW w:w="127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36 965.2</w:t>
            </w:r>
          </w:p>
        </w:tc>
        <w:tc>
          <w:tcPr>
            <w:tcW w:w="127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35 979.0</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A number of the 2013 comparatives have been restated to reflect more current information.</w:t>
      </w:r>
    </w:p>
    <w:p w:rsidR="004E6C32" w:rsidRPr="006A75A2" w:rsidRDefault="004E6C32" w:rsidP="004B5CB1">
      <w:pPr>
        <w:pStyle w:val="Notes"/>
      </w:pPr>
      <w:r w:rsidRPr="006A75A2">
        <w:t>(b)</w:t>
      </w:r>
      <w:r w:rsidRPr="006A75A2">
        <w:tab/>
        <w:t>The figures presented above are inclusive of GST.</w:t>
      </w:r>
    </w:p>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66" w:name="_Toc400040282"/>
      <w:r w:rsidRPr="006A75A2">
        <w:rPr>
          <w:kern w:val="0"/>
        </w:rPr>
        <w:lastRenderedPageBreak/>
        <w:t>Note 35:</w:t>
      </w:r>
      <w:r w:rsidRPr="006A75A2">
        <w:rPr>
          <w:kern w:val="0"/>
        </w:rPr>
        <w:tab/>
        <w:t>Contingent assets and contingent liabilities (State of Victoria)</w:t>
      </w:r>
      <w:bookmarkEnd w:id="66"/>
    </w:p>
    <w:p w:rsidR="004E6C32" w:rsidRPr="006A75A2" w:rsidRDefault="004E6C32" w:rsidP="0067336F">
      <w:pPr>
        <w:pStyle w:val="Heading5"/>
      </w:pPr>
      <w:r w:rsidRPr="006A75A2">
        <w:t>Contingent assets</w:t>
      </w:r>
    </w:p>
    <w:p w:rsidR="004E6C32" w:rsidRPr="006A75A2" w:rsidRDefault="004E6C32" w:rsidP="004B5CB1">
      <w:r w:rsidRPr="006A75A2">
        <w:t>Contingent assets are possible assets that arise from past events, whose existence will be confirmed only by the occurrence or non-occurrence of one or more uncertain future events not wholly within the control of the entity.</w:t>
      </w:r>
    </w:p>
    <w:p w:rsidR="004E6C32" w:rsidRPr="006A75A2" w:rsidRDefault="004E6C32" w:rsidP="004B5CB1">
      <w:r w:rsidRPr="006A75A2">
        <w:t>These are classified as either quantifiable, where the potential economic benefit is known, or non</w:t>
      </w:r>
      <w:r w:rsidRPr="006A75A2">
        <w:noBreakHyphen/>
        <w:t>quantifiable. The table below contains quantifiable contingent assets as at 30 June 2014.</w:t>
      </w:r>
    </w:p>
    <w:p w:rsidR="004E6C32" w:rsidRPr="006A75A2" w:rsidRDefault="004E6C32" w:rsidP="0067336F">
      <w:pPr>
        <w:pStyle w:val="Heading5"/>
      </w:pPr>
      <w:r w:rsidRPr="006A75A2">
        <w:t>Quantifiable contingent assets</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6E60A8" w:rsidRPr="006A75A2" w:rsidTr="006E60A8">
        <w:tc>
          <w:tcPr>
            <w:tcW w:w="7400" w:type="dxa"/>
            <w:tcBorders>
              <w:top w:val="single" w:sz="6" w:space="0" w:color="000000"/>
              <w:left w:val="single" w:sz="6" w:space="0" w:color="000000"/>
              <w:bottom w:val="nil"/>
              <w:right w:val="nil"/>
            </w:tcBorders>
            <w:shd w:val="clear" w:color="000000" w:fill="000000"/>
          </w:tcPr>
          <w:p w:rsidR="006E60A8" w:rsidRPr="006A75A2" w:rsidRDefault="006E60A8"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000000"/>
              <w:left w:val="nil"/>
              <w:bottom w:val="nil"/>
              <w:right w:val="single" w:sz="6" w:space="0" w:color="000000"/>
            </w:tcBorders>
            <w:shd w:val="clear" w:color="000000" w:fill="000000"/>
          </w:tcPr>
          <w:p w:rsidR="006E60A8" w:rsidRPr="006A75A2" w:rsidRDefault="006E60A8" w:rsidP="006E60A8">
            <w:pPr>
              <w:pStyle w:val="Tabletextheading"/>
              <w:jc w:val="center"/>
              <w:rPr>
                <w:rFonts w:eastAsiaTheme="minorEastAsia"/>
                <w:lang w:eastAsia="en-AU"/>
              </w:rPr>
            </w:pPr>
            <w:r w:rsidRPr="006A75A2">
              <w:rPr>
                <w:rFonts w:eastAsiaTheme="minorEastAsia"/>
                <w:lang w:eastAsia="en-AU"/>
              </w:rPr>
              <w:t>State of Victoria</w:t>
            </w:r>
          </w:p>
        </w:tc>
      </w:tr>
      <w:tr w:rsidR="004E6C32" w:rsidRPr="006A75A2" w:rsidTr="004B5CB1">
        <w:tc>
          <w:tcPr>
            <w:tcW w:w="7400" w:type="dxa"/>
            <w:tcBorders>
              <w:top w:val="nil"/>
              <w:left w:val="single" w:sz="6" w:space="0" w:color="000000"/>
              <w:bottom w:val="single" w:sz="6" w:space="0" w:color="000000"/>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single" w:sz="6" w:space="0" w:color="000000"/>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nil"/>
              <w:left w:val="nil"/>
              <w:bottom w:val="single" w:sz="6" w:space="0" w:color="000000"/>
              <w:right w:val="single" w:sz="6" w:space="0" w:color="000000"/>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7400" w:type="dxa"/>
            <w:tcBorders>
              <w:top w:val="single" w:sz="6" w:space="0" w:color="000000"/>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General government</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14.0</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30.5</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Public non-financial corporations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116.6</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Public financial corporations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contingent assets – State of Victoria</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160.5</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147.1</w:t>
            </w:r>
          </w:p>
        </w:tc>
      </w:tr>
      <w:tr w:rsidR="006E60A8" w:rsidRPr="006A75A2" w:rsidTr="006E60A8">
        <w:trPr>
          <w:trHeight w:hRule="exact" w:val="120"/>
        </w:trPr>
        <w:tc>
          <w:tcPr>
            <w:tcW w:w="9640" w:type="dxa"/>
            <w:gridSpan w:val="3"/>
            <w:tcBorders>
              <w:top w:val="nil"/>
              <w:left w:val="nil"/>
              <w:bottom w:val="nil"/>
              <w:right w:val="nil"/>
            </w:tcBorders>
          </w:tcPr>
          <w:p w:rsidR="006E60A8" w:rsidRPr="006A75A2" w:rsidRDefault="006E60A8" w:rsidP="006E60A8">
            <w:pPr>
              <w:pStyle w:val="Tabletext"/>
              <w:rPr>
                <w:rFonts w:eastAsiaTheme="minorEastAsia"/>
                <w:lang w:eastAsia="en-AU"/>
              </w:rPr>
            </w:pPr>
            <w:r w:rsidRPr="006A75A2">
              <w:rPr>
                <w:rFonts w:eastAsiaTheme="minorEastAsia"/>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Guarantees, indemnities and warranties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35.5</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Legal proceedings and disputes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38.7</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72.9</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contingent assets – State of Victoria</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160.5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147.1</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Figures reflect contingent assets that arise from outside of government.</w:t>
      </w:r>
    </w:p>
    <w:p w:rsidR="004E6C32" w:rsidRPr="006A75A2" w:rsidRDefault="004E6C32" w:rsidP="004B5CB1"/>
    <w:p w:rsidR="004E6C32" w:rsidRPr="006A75A2" w:rsidRDefault="004E6C32" w:rsidP="0067336F">
      <w:pPr>
        <w:pStyle w:val="Heading5"/>
      </w:pPr>
      <w:r w:rsidRPr="006A75A2">
        <w:t>Non</w:t>
      </w:r>
      <w:r w:rsidRPr="006A75A2">
        <w:noBreakHyphen/>
        <w:t>quantifiable contingent assets</w:t>
      </w:r>
    </w:p>
    <w:p w:rsidR="004E6C32" w:rsidRPr="006A75A2" w:rsidRDefault="004E6C32" w:rsidP="0067336F">
      <w:pPr>
        <w:pStyle w:val="Heading5a"/>
      </w:pPr>
      <w:r w:rsidRPr="006A75A2">
        <w:t>CityLink compensable enhancement claims</w:t>
      </w:r>
    </w:p>
    <w:p w:rsidR="004E6C32" w:rsidRPr="006A75A2" w:rsidRDefault="004E6C32" w:rsidP="004B5CB1">
      <w:r w:rsidRPr="006A75A2">
        <w:t xml:space="preserve">The Melbourne CityLink Concession Deed contains compensable enhancement provisions that enable the State to claim 50 per cent of additional revenue derived by CityLink Melbourne Limited (CML) as a result of certain events that particularly benefit CityLink, including changes to the adjoining road network. </w:t>
      </w:r>
    </w:p>
    <w:p w:rsidR="004E6C32" w:rsidRPr="006A75A2" w:rsidRDefault="004E6C32" w:rsidP="004B5CB1">
      <w:r w:rsidRPr="006A75A2">
        <w:t>Compensable enhancement claims have previously been lodged in respect of works for improving traffic flows on the West Gate Freeway (between Lorimer and Montague streets), and in the vicinity of the intersection of the Bulla Road and the Tullamarine Freeway. The claims were lodged on 20 May 2005 and 29 September 2006 respectively, and are still outstanding.</w:t>
      </w:r>
    </w:p>
    <w:p w:rsidR="004E6C32" w:rsidRPr="006A75A2" w:rsidRDefault="004E6C32" w:rsidP="0067336F">
      <w:pPr>
        <w:pStyle w:val="Heading5a"/>
      </w:pPr>
      <w:r w:rsidRPr="006A75A2">
        <w:t>Gambling licenses</w:t>
      </w:r>
    </w:p>
    <w:p w:rsidR="004E6C32" w:rsidRPr="006A75A2" w:rsidRDefault="004E6C32" w:rsidP="004B5CB1">
      <w:r w:rsidRPr="006A75A2">
        <w:t>In 1992, a gaming operator</w:t>
      </w:r>
      <w:r w:rsidR="00C96101" w:rsidRPr="006A75A2">
        <w:t>’</w:t>
      </w:r>
      <w:r w:rsidRPr="006A75A2">
        <w:t xml:space="preserve">s licence was issued to the Trustees of the Will and Estate of the late George Adams, later succeeded by Tatts Group Limited (Tatts). In 1994, the State issued a coupled wagering licence and gaming licence to Tabcorp Holdings Limited (Tabcorp). These licences expired in August 2012. The </w:t>
      </w:r>
      <w:r w:rsidRPr="006A75A2">
        <w:rPr>
          <w:i/>
          <w:iCs/>
        </w:rPr>
        <w:t>Gambling Regulation Act 2003</w:t>
      </w:r>
      <w:r w:rsidRPr="006A75A2">
        <w:t xml:space="preserve"> specified end of licence arrangements which included compensation provisions for the licensees predicated on the previous licensing arrangements being rolled over beyond their scheduled expiry date.</w:t>
      </w:r>
    </w:p>
    <w:p w:rsidR="004E6C32" w:rsidRPr="006A75A2" w:rsidRDefault="004E6C32" w:rsidP="004B5CB1">
      <w:r w:rsidRPr="006A75A2">
        <w:t>On 10 April 2008, the previous Government announced a new regulatory and licencing regime would be implemented post August 2012. The main changes included:</w:t>
      </w:r>
    </w:p>
    <w:p w:rsidR="004E6C32" w:rsidRPr="006A75A2" w:rsidRDefault="004E6C32" w:rsidP="004B5CB1">
      <w:pPr>
        <w:pStyle w:val="BulletText"/>
      </w:pPr>
      <w:r w:rsidRPr="006A75A2">
        <w:t>separating the wagering and gaming licence to instead license wagering on a standalone basis; and</w:t>
      </w:r>
    </w:p>
    <w:p w:rsidR="004E6C32" w:rsidRPr="006A75A2" w:rsidRDefault="004E6C32" w:rsidP="004B5CB1">
      <w:pPr>
        <w:pStyle w:val="BulletText"/>
      </w:pPr>
      <w:r w:rsidRPr="006A75A2">
        <w:t>transitioning from the gaming operator duopoly to a system where venue operators are licensed to own and operate gaming machines in their own right.</w:t>
      </w:r>
    </w:p>
    <w:p w:rsidR="004E6C32" w:rsidRPr="006A75A2" w:rsidRDefault="004E6C32" w:rsidP="004B5CB1">
      <w:pPr>
        <w:pStyle w:val="Heading2NotesContd"/>
        <w:rPr>
          <w:kern w:val="0"/>
        </w:rPr>
      </w:pPr>
      <w:r w:rsidRPr="006A75A2">
        <w:rPr>
          <w:kern w:val="0"/>
        </w:rPr>
        <w:lastRenderedPageBreak/>
        <w:t>Note 35:</w:t>
      </w:r>
      <w:r w:rsidRPr="006A75A2">
        <w:rPr>
          <w:kern w:val="0"/>
        </w:rPr>
        <w:tab/>
        <w:t xml:space="preserve">Contingent assets and contingent liabilities (State of Victoria) </w:t>
      </w:r>
      <w:r w:rsidRPr="006A75A2">
        <w:rPr>
          <w:i/>
          <w:kern w:val="0"/>
        </w:rPr>
        <w:t>(continued)</w:t>
      </w:r>
    </w:p>
    <w:p w:rsidR="004E6C32" w:rsidRPr="006A75A2" w:rsidRDefault="004E6C32" w:rsidP="004B5CB1">
      <w:r w:rsidRPr="006A75A2">
        <w:t xml:space="preserve">After considering the end of licence arrangements in the </w:t>
      </w:r>
      <w:r w:rsidRPr="006A75A2">
        <w:rPr>
          <w:i/>
          <w:iCs/>
        </w:rPr>
        <w:t>Gambling Regulation Act 2003</w:t>
      </w:r>
      <w:r w:rsidRPr="006A75A2">
        <w:t>, the previous Government formed the view that neither Tatts nor Tabcorp were entitled to compensation after the expiration of their licences.</w:t>
      </w:r>
    </w:p>
    <w:p w:rsidR="004E6C32" w:rsidRPr="006A75A2" w:rsidRDefault="004E6C32" w:rsidP="004B5CB1">
      <w:r w:rsidRPr="006A75A2">
        <w:t>On 16 August 2012, Tatts commenced legal proceedings against the State. Tabcorp commenced legal proceedings against the State on 24 August 2012. Each sought, in essence, to hold the State to an obligation to provide compensation. Tatts claimed $490.5 million, later revised down to $451.2 million, amounting to $540.5 million including interest, and Tabcorp claimed $686.8 million, amounting to $821.2 million including interest.</w:t>
      </w:r>
    </w:p>
    <w:p w:rsidR="004E6C32" w:rsidRPr="006A75A2" w:rsidRDefault="004E6C32" w:rsidP="004B5CB1">
      <w:r w:rsidRPr="006A75A2">
        <w:t xml:space="preserve">The Government defended the State against both claims and was successful in relation to the Tabcorp claim but unsuccessful in relation to the Tatts claim. </w:t>
      </w:r>
    </w:p>
    <w:p w:rsidR="004E6C32" w:rsidRPr="006A75A2" w:rsidRDefault="004E6C32" w:rsidP="004B5CB1">
      <w:r w:rsidRPr="006A75A2">
        <w:t xml:space="preserve">The State paid Tatts its claimed amount including interest, amounting to $540.5 million. The matter is now on appeal to the Court of Appeal and is due to be heard in October 2014. </w:t>
      </w:r>
    </w:p>
    <w:p w:rsidR="004E6C32" w:rsidRPr="006A75A2" w:rsidRDefault="004E6C32" w:rsidP="0067336F">
      <w:pPr>
        <w:pStyle w:val="Heading5a"/>
      </w:pPr>
      <w:r w:rsidRPr="006A75A2">
        <w:t>Revenue sharing from Monash/CityLink/West Gate Upgrade</w:t>
      </w:r>
    </w:p>
    <w:p w:rsidR="004E6C32" w:rsidRPr="006A75A2" w:rsidRDefault="004E6C32" w:rsidP="004B5CB1">
      <w:r w:rsidRPr="006A75A2">
        <w:t>On 25 July 2006, CityLink Melbourne Limited (CML), Transurban Infrastructure Management Limited and the State of Victoria entered into the M1 Corridor Redevelopment Deed. Under the terms of this Deed:</w:t>
      </w:r>
    </w:p>
    <w:p w:rsidR="004E6C32" w:rsidRPr="006A75A2" w:rsidRDefault="004E6C32" w:rsidP="004B5CB1">
      <w:pPr>
        <w:pStyle w:val="BulletText"/>
      </w:pPr>
      <w:r w:rsidRPr="006A75A2">
        <w:t>The State of Victoria upgraded the Monash and West Gate Freeways, while CML upgraded the Southern Link section of CityLink; and</w:t>
      </w:r>
    </w:p>
    <w:p w:rsidR="004E6C32" w:rsidRPr="006A75A2" w:rsidRDefault="004E6C32" w:rsidP="004B5CB1">
      <w:pPr>
        <w:pStyle w:val="BulletText"/>
      </w:pPr>
      <w:r w:rsidRPr="006A75A2">
        <w:t>CML agreed that the State of Victoria would be entitled to 50 per cent of the additional CityLink revenue generated by the Monash/CityLink/West Gate Upgrade, above the investment case for the project relating to works on the Southern Link section of CityLink.</w:t>
      </w:r>
    </w:p>
    <w:p w:rsidR="004E6C32" w:rsidRPr="006A75A2" w:rsidRDefault="004E6C32" w:rsidP="004B5CB1">
      <w:r w:rsidRPr="006A75A2">
        <w:t>The method used to calculate additional CityLink revenue generated from the upgrade involved a comparison of actual CityLink toll revenue (up to and including the financial year ending 30 June 2014) with agreed trends that were set out in the M1 Corridor Redevelopment Deed.</w:t>
      </w:r>
    </w:p>
    <w:p w:rsidR="004E6C32" w:rsidRPr="006A75A2" w:rsidRDefault="004E6C32" w:rsidP="004B5CB1">
      <w:r w:rsidRPr="006A75A2">
        <w:t>Based on the actual CityLink toll revenue reported by CML up to and including the financial year ending 30 June 2014:</w:t>
      </w:r>
    </w:p>
    <w:p w:rsidR="004E6C32" w:rsidRPr="006A75A2" w:rsidRDefault="004E6C32" w:rsidP="004B5CB1">
      <w:pPr>
        <w:pStyle w:val="BulletText"/>
      </w:pPr>
      <w:r w:rsidRPr="006A75A2">
        <w:t>the additional CityLink revenue generated from the upgrade has not exceeded the investment case for the project relating to works on the Southern Link section of CityLink; and</w:t>
      </w:r>
    </w:p>
    <w:p w:rsidR="004E6C32" w:rsidRPr="006A75A2" w:rsidRDefault="004E6C32" w:rsidP="004B5CB1">
      <w:pPr>
        <w:pStyle w:val="BulletText"/>
      </w:pPr>
      <w:r w:rsidRPr="006A75A2">
        <w:t>as a result, the State of Victoria is not entitled to any revenue sharing payment.</w:t>
      </w:r>
    </w:p>
    <w:p w:rsidR="004E6C32" w:rsidRPr="006A75A2" w:rsidRDefault="004E6C32" w:rsidP="004B5CB1">
      <w:r w:rsidRPr="006A75A2">
        <w:t>The State of Victoria is undertaking further due diligence to confirm the accuracy of the CityLink toll revenue data provided, on which the initial calculation of the additional CityLink revenue has been based.</w:t>
      </w:r>
    </w:p>
    <w:p w:rsidR="004E6C32" w:rsidRPr="006A75A2" w:rsidRDefault="004E6C32" w:rsidP="0067336F">
      <w:pPr>
        <w:pStyle w:val="Heading5a"/>
      </w:pPr>
      <w:r w:rsidRPr="006A75A2">
        <w:t>Peninsula Link compensable enhancement claim</w:t>
      </w:r>
    </w:p>
    <w:p w:rsidR="004E6C32" w:rsidRPr="006A75A2" w:rsidRDefault="004E6C32" w:rsidP="004B5CB1">
      <w:r w:rsidRPr="006A75A2">
        <w:t>The EastLink Concession Deed contains compensable enhancement provisions that enable the State of Victoria to claim 50 per cent of any additional revenue derived by ConnectEast Pty Ltd (ConnectEast) as a result of certain events that particularly benefit EastLink, including changes to the adjoining road network.</w:t>
      </w:r>
    </w:p>
    <w:p w:rsidR="004E6C32" w:rsidRPr="006A75A2" w:rsidRDefault="004E6C32" w:rsidP="004B5CB1">
      <w:r w:rsidRPr="006A75A2">
        <w:t>On 2 January 2014, the State of Victoria lodged a compensable enhancement claim arising as a result of opening of Peninsula Link. The claim remains outstanding.</w:t>
      </w:r>
    </w:p>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35:</w:t>
      </w:r>
      <w:r w:rsidRPr="006A75A2">
        <w:rPr>
          <w:kern w:val="0"/>
        </w:rPr>
        <w:tab/>
        <w:t xml:space="preserve">Contingent assets and contingent liabilities (State of Victoria) </w:t>
      </w:r>
      <w:r w:rsidRPr="006A75A2">
        <w:rPr>
          <w:i/>
          <w:kern w:val="0"/>
        </w:rPr>
        <w:t>(continued)</w:t>
      </w:r>
    </w:p>
    <w:p w:rsidR="004E6C32" w:rsidRPr="006A75A2" w:rsidRDefault="004E6C32" w:rsidP="0067336F">
      <w:pPr>
        <w:pStyle w:val="Heading5"/>
      </w:pPr>
      <w:r w:rsidRPr="006A75A2">
        <w:t>Contingent liabilities</w:t>
      </w:r>
    </w:p>
    <w:p w:rsidR="004E6C32" w:rsidRPr="006A75A2" w:rsidRDefault="004E6C32" w:rsidP="004B5CB1">
      <w:r w:rsidRPr="006A75A2">
        <w:t>Contingent liabilities are:</w:t>
      </w:r>
    </w:p>
    <w:p w:rsidR="004E6C32" w:rsidRPr="006A75A2" w:rsidRDefault="004E6C32" w:rsidP="004B5CB1">
      <w:pPr>
        <w:pStyle w:val="BulletText"/>
      </w:pPr>
      <w:r w:rsidRPr="006A75A2">
        <w:t>possible obligations that arise from past events, whose existence will be confirmed only by the occurrence or non-occurrence of one or more uncertain future events not wholly within the control of the entity; or</w:t>
      </w:r>
    </w:p>
    <w:p w:rsidR="004E6C32" w:rsidRPr="006A75A2" w:rsidRDefault="004E6C32" w:rsidP="004B5CB1">
      <w:pPr>
        <w:pStyle w:val="BulletText"/>
      </w:pPr>
      <w:r w:rsidRPr="006A75A2">
        <w:t>present obligations that arise from past events but are not recognised because:</w:t>
      </w:r>
    </w:p>
    <w:p w:rsidR="004E6C32" w:rsidRPr="006A75A2" w:rsidRDefault="004E6C32" w:rsidP="004B5CB1">
      <w:pPr>
        <w:pStyle w:val="DashText"/>
      </w:pPr>
      <w:r w:rsidRPr="006A75A2">
        <w:t>it is not probable that an outflow of resources embodying economic benefits will be required to settle the obligations; or</w:t>
      </w:r>
    </w:p>
    <w:p w:rsidR="004E6C32" w:rsidRPr="006A75A2" w:rsidRDefault="004E6C32" w:rsidP="004B5CB1">
      <w:pPr>
        <w:pStyle w:val="DashText"/>
      </w:pPr>
      <w:r w:rsidRPr="006A75A2">
        <w:t>the amount of the obligations cannot be measured with sufficient reliability.</w:t>
      </w:r>
    </w:p>
    <w:p w:rsidR="004E6C32" w:rsidRPr="006A75A2" w:rsidRDefault="004E6C32" w:rsidP="004B5CB1">
      <w:r w:rsidRPr="006A75A2">
        <w:t>As with contingent assets, contingent liabilities are also classified as either quantifiable or non</w:t>
      </w:r>
      <w:r w:rsidRPr="006A75A2">
        <w:noBreakHyphen/>
        <w:t>quantifiable. The table below contains quantifiable contingent liabilities as at 30 June 2014.</w:t>
      </w:r>
    </w:p>
    <w:p w:rsidR="004E6C32" w:rsidRPr="006A75A2" w:rsidRDefault="004E6C32" w:rsidP="0067336F">
      <w:pPr>
        <w:pStyle w:val="Heading5"/>
        <w:rPr>
          <w:vertAlign w:val="superscript"/>
        </w:rPr>
      </w:pPr>
      <w:r w:rsidRPr="006A75A2">
        <w:t>Quantifiable contingent liabilities</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6E60A8" w:rsidRPr="006A75A2" w:rsidTr="006E60A8">
        <w:tc>
          <w:tcPr>
            <w:tcW w:w="7400" w:type="dxa"/>
            <w:tcBorders>
              <w:top w:val="single" w:sz="6" w:space="0" w:color="auto"/>
              <w:left w:val="single" w:sz="6" w:space="0" w:color="auto"/>
              <w:bottom w:val="nil"/>
              <w:right w:val="nil"/>
            </w:tcBorders>
            <w:shd w:val="clear" w:color="000000" w:fill="000000"/>
          </w:tcPr>
          <w:p w:rsidR="006E60A8" w:rsidRPr="006A75A2" w:rsidRDefault="006E60A8"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single" w:sz="6" w:space="0" w:color="auto"/>
            </w:tcBorders>
            <w:shd w:val="clear" w:color="000000" w:fill="000000"/>
          </w:tcPr>
          <w:p w:rsidR="006E60A8" w:rsidRPr="006A75A2" w:rsidRDefault="006E60A8" w:rsidP="006E60A8">
            <w:pPr>
              <w:pStyle w:val="TabletextheadingCentred"/>
              <w:rPr>
                <w:rFonts w:eastAsiaTheme="minorEastAsia"/>
                <w:lang w:eastAsia="en-AU"/>
              </w:rPr>
            </w:pPr>
            <w:r w:rsidRPr="006A75A2">
              <w:rPr>
                <w:rFonts w:eastAsiaTheme="minorEastAsia"/>
                <w:lang w:eastAsia="en-AU"/>
              </w:rPr>
              <w:t>State of Victoria</w:t>
            </w:r>
          </w:p>
        </w:tc>
      </w:tr>
      <w:tr w:rsidR="004E6C32" w:rsidRPr="006A75A2" w:rsidTr="004B5CB1">
        <w:tc>
          <w:tcPr>
            <w:tcW w:w="7400" w:type="dxa"/>
            <w:tcBorders>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General government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13 131.1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13 480.7</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Public non-financial corporations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189.8</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Public financial corporations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nil"/>
              <w:left w:val="nil"/>
              <w:bottom w:val="nil"/>
              <w:right w:val="nil"/>
            </w:tcBorders>
          </w:tcPr>
          <w:p w:rsidR="004E6C32" w:rsidRPr="006A75A2" w:rsidRDefault="004E6C32" w:rsidP="008708FF">
            <w:pPr>
              <w:pStyle w:val="Tabletext"/>
              <w:rPr>
                <w:rFonts w:eastAsiaTheme="minorEastAsia"/>
                <w:i/>
                <w:iCs/>
                <w:vertAlign w:val="superscript"/>
                <w:lang w:eastAsia="en-AU"/>
              </w:rPr>
            </w:pPr>
            <w:r w:rsidRPr="006A75A2">
              <w:rPr>
                <w:rFonts w:eastAsiaTheme="minorEastAsia"/>
                <w:i/>
                <w:iCs/>
                <w:lang w:eastAsia="en-AU"/>
              </w:rPr>
              <w:t>Eliminations</w:t>
            </w:r>
            <w:r w:rsidRPr="006A75A2">
              <w:rPr>
                <w:rFonts w:eastAsiaTheme="minorEastAsia"/>
                <w:i/>
                <w:iCs/>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(12 319.4)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(12 137.2)</w:t>
            </w:r>
          </w:p>
        </w:tc>
      </w:tr>
      <w:tr w:rsidR="004E6C32" w:rsidRPr="006A75A2" w:rsidTr="004B5CB1">
        <w:tc>
          <w:tcPr>
            <w:tcW w:w="740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contingent liabilities – State of Victoria</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1 038.3</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1 533.3</w:t>
            </w:r>
          </w:p>
        </w:tc>
      </w:tr>
      <w:tr w:rsidR="006E60A8" w:rsidRPr="006A75A2" w:rsidTr="006E60A8">
        <w:trPr>
          <w:trHeight w:hRule="exact" w:val="120"/>
        </w:trPr>
        <w:tc>
          <w:tcPr>
            <w:tcW w:w="9640" w:type="dxa"/>
            <w:gridSpan w:val="3"/>
            <w:tcBorders>
              <w:top w:val="nil"/>
              <w:left w:val="nil"/>
              <w:bottom w:val="nil"/>
              <w:right w:val="nil"/>
            </w:tcBorders>
          </w:tcPr>
          <w:p w:rsidR="006E60A8" w:rsidRPr="006A75A2" w:rsidRDefault="006E60A8" w:rsidP="004B5CB1">
            <w:pPr>
              <w:pStyle w:val="TableofFigures"/>
              <w:rPr>
                <w:rFonts w:eastAsiaTheme="minorEastAsia"/>
                <w:lang w:eastAsia="en-AU"/>
              </w:rPr>
            </w:pP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Guarantees, indemnities and warranties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735.2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Legal proceedings and disputes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506.4</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286.4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291.8</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contingent liabilities – State of Victoria</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1 038.3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1 533.3</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A number of the 2013 comparatives have been updated and now reflect more current information.</w:t>
      </w:r>
    </w:p>
    <w:p w:rsidR="004E6C32" w:rsidRPr="006A75A2" w:rsidRDefault="004E6C32" w:rsidP="004B5CB1">
      <w:pPr>
        <w:pStyle w:val="Notes"/>
      </w:pPr>
      <w:r w:rsidRPr="006A75A2">
        <w:t xml:space="preserve">(b) </w:t>
      </w:r>
      <w:r w:rsidRPr="006A75A2">
        <w:tab/>
        <w:t>Mainly represents the guarantee of borrowings provided by the Treasurer for the public sector borrowings portfolio.</w:t>
      </w:r>
    </w:p>
    <w:p w:rsidR="004E6C32" w:rsidRPr="006A75A2" w:rsidRDefault="004E6C32" w:rsidP="0067336F">
      <w:pPr>
        <w:pStyle w:val="Heading5"/>
      </w:pPr>
      <w:r w:rsidRPr="006A75A2">
        <w:t>Non</w:t>
      </w:r>
      <w:r w:rsidRPr="006A75A2">
        <w:noBreakHyphen/>
        <w:t>quantifiable contingent liabilities</w:t>
      </w:r>
    </w:p>
    <w:p w:rsidR="004E6C32" w:rsidRPr="006A75A2" w:rsidRDefault="004E6C32" w:rsidP="004B5CB1">
      <w:r w:rsidRPr="006A75A2">
        <w:t>A number of potential obligations are non</w:t>
      </w:r>
      <w:r w:rsidRPr="006A75A2">
        <w:noBreakHyphen/>
        <w:t>quantifiable at this time arising from:</w:t>
      </w:r>
    </w:p>
    <w:p w:rsidR="004E6C32" w:rsidRPr="006A75A2" w:rsidRDefault="004E6C32" w:rsidP="004B5CB1">
      <w:pPr>
        <w:pStyle w:val="BulletText"/>
      </w:pPr>
      <w:r w:rsidRPr="006A75A2">
        <w:t>indemnities provided in relation to transactions, including financial arrangements and consultancy services, as well as for directors and administrators;</w:t>
      </w:r>
    </w:p>
    <w:p w:rsidR="004E6C32" w:rsidRPr="006A75A2" w:rsidRDefault="004E6C32" w:rsidP="004B5CB1">
      <w:pPr>
        <w:pStyle w:val="BulletText"/>
      </w:pPr>
      <w:r w:rsidRPr="006A75A2">
        <w:t>performance guarantees, warranties, letters of comfort and the like;</w:t>
      </w:r>
    </w:p>
    <w:p w:rsidR="004E6C32" w:rsidRPr="006A75A2" w:rsidRDefault="004E6C32" w:rsidP="004B5CB1">
      <w:pPr>
        <w:pStyle w:val="BulletText"/>
      </w:pPr>
      <w:r w:rsidRPr="006A75A2">
        <w:t>deeds in respect of certain obligations; and</w:t>
      </w:r>
    </w:p>
    <w:p w:rsidR="004E6C32" w:rsidRPr="006A75A2" w:rsidRDefault="004E6C32" w:rsidP="004B5CB1">
      <w:pPr>
        <w:pStyle w:val="BulletText"/>
      </w:pPr>
      <w:r w:rsidRPr="006A75A2">
        <w:t>unclaimed monies, which may be subject to future claims by the general public against the State.</w:t>
      </w:r>
    </w:p>
    <w:p w:rsidR="004E6C32" w:rsidRPr="006A75A2" w:rsidRDefault="004E6C32" w:rsidP="004B5CB1">
      <w:r w:rsidRPr="006A75A2">
        <w:t>An overview of the more significant non</w:t>
      </w:r>
      <w:r w:rsidRPr="006A75A2">
        <w:noBreakHyphen/>
        <w:t>quantifiable liabilities follows.</w:t>
      </w:r>
    </w:p>
    <w:p w:rsidR="004E6C32" w:rsidRPr="006A75A2" w:rsidRDefault="004E6C32" w:rsidP="0067336F">
      <w:pPr>
        <w:pStyle w:val="Heading5a"/>
      </w:pPr>
      <w:r w:rsidRPr="006A75A2">
        <w:t>AgriBio Project (formerly known as The Biosciences Research Centre)</w:t>
      </w:r>
    </w:p>
    <w:p w:rsidR="004E6C32" w:rsidRPr="006A75A2" w:rsidRDefault="004E6C32" w:rsidP="004B5CB1">
      <w:r w:rsidRPr="006A75A2">
        <w:t>The service fee payment obligations of the AgriBio Project (refer to note 18) on behalf of the joint venture participants are supported by the State of Victoria via a State Support Deed. Under this Deed, the State ensures that the joint venture participants have the financial capacity to meet their payment obligations to the project, thereby enabling the project to meet its obligations to pay the service fee to the concessionaire pursuant to the project agreement. The State underwrites the risk of any default by the joint venture participants.</w:t>
      </w:r>
    </w:p>
    <w:p w:rsidR="004E6C32" w:rsidRPr="006A75A2" w:rsidRDefault="004E6C32" w:rsidP="004B5CB1">
      <w:pPr>
        <w:pStyle w:val="Heading2NotesContd"/>
        <w:rPr>
          <w:kern w:val="0"/>
        </w:rPr>
      </w:pPr>
      <w:r w:rsidRPr="006A75A2">
        <w:rPr>
          <w:kern w:val="0"/>
        </w:rPr>
        <w:lastRenderedPageBreak/>
        <w:t>Note 35:</w:t>
      </w:r>
      <w:r w:rsidRPr="006A75A2">
        <w:rPr>
          <w:kern w:val="0"/>
        </w:rPr>
        <w:tab/>
        <w:t xml:space="preserve">Contingent assets and contingent liabilities (State of Victoria) </w:t>
      </w:r>
      <w:r w:rsidRPr="006A75A2">
        <w:rPr>
          <w:i/>
          <w:kern w:val="0"/>
        </w:rPr>
        <w:t>(continued)</w:t>
      </w:r>
    </w:p>
    <w:p w:rsidR="004E6C32" w:rsidRPr="006A75A2" w:rsidRDefault="004E6C32" w:rsidP="0067336F">
      <w:pPr>
        <w:pStyle w:val="Heading5a"/>
        <w:rPr>
          <w:rFonts w:eastAsia="Calibri"/>
        </w:rPr>
      </w:pPr>
      <w:r w:rsidRPr="006A75A2">
        <w:rPr>
          <w:rFonts w:eastAsia="Calibri"/>
        </w:rPr>
        <w:t>Compulsory property acquisitions</w:t>
      </w:r>
    </w:p>
    <w:p w:rsidR="004E6C32" w:rsidRPr="006A75A2" w:rsidRDefault="004E6C32" w:rsidP="004B5CB1">
      <w:r w:rsidRPr="006A75A2">
        <w:rPr>
          <w:rFonts w:eastAsia="Calibri"/>
        </w:rPr>
        <w:t xml:space="preserve">The State has compulsorily acquired a number of properties (residential and commercial) through the </w:t>
      </w:r>
      <w:r w:rsidRPr="006A75A2">
        <w:rPr>
          <w:rFonts w:eastAsia="Calibri"/>
          <w:i/>
        </w:rPr>
        <w:t>Land Acquisition and Compensation Act 1986</w:t>
      </w:r>
      <w:r w:rsidRPr="006A75A2">
        <w:rPr>
          <w:rFonts w:eastAsia="Calibri"/>
        </w:rPr>
        <w:t xml:space="preserve"> to facilitate delivery of various projects. Possible future claims for compensation arising from the compulsory acquisition of these properties cannot be quantified at this stage.</w:t>
      </w:r>
    </w:p>
    <w:p w:rsidR="004E6C32" w:rsidRPr="006A75A2" w:rsidRDefault="004E6C32" w:rsidP="0067336F">
      <w:pPr>
        <w:pStyle w:val="Heading5a"/>
      </w:pPr>
      <w:r w:rsidRPr="006A75A2">
        <w:t>Department of Education and Early Childhood Development</w:t>
      </w:r>
    </w:p>
    <w:p w:rsidR="004E6C32" w:rsidRPr="006A75A2" w:rsidRDefault="004E6C32" w:rsidP="004B5CB1">
      <w:r w:rsidRPr="006A75A2">
        <w:t>The Department has a number of unquantifiable contingent liabilities, arising from indemnities provided by it, as follows:</w:t>
      </w:r>
    </w:p>
    <w:p w:rsidR="004E6C32" w:rsidRPr="006A75A2" w:rsidRDefault="004E6C32" w:rsidP="004B5CB1">
      <w:pPr>
        <w:pStyle w:val="BulletText"/>
      </w:pPr>
      <w:r w:rsidRPr="006A75A2">
        <w:rPr>
          <w:b/>
        </w:rPr>
        <w:t>volunteer school workers and volunteer student workers</w:t>
      </w:r>
      <w:r w:rsidRPr="006A75A2">
        <w:t xml:space="preserve">: the </w:t>
      </w:r>
      <w:r w:rsidRPr="006A75A2">
        <w:rPr>
          <w:i/>
        </w:rPr>
        <w:t>Education and Training Reform Act 2006</w:t>
      </w:r>
      <w:r w:rsidRPr="006A75A2">
        <w:t xml:space="preserve"> provides a specific indemnity for personal injuries suffered by volunteer school workers and volunteer student workers arising out of or in the course of engaging in school work or community work respectively;</w:t>
      </w:r>
    </w:p>
    <w:p w:rsidR="004E6C32" w:rsidRPr="006A75A2" w:rsidRDefault="004E6C32" w:rsidP="004B5CB1">
      <w:pPr>
        <w:pStyle w:val="BulletText"/>
      </w:pPr>
      <w:r w:rsidRPr="006A75A2">
        <w:rPr>
          <w:b/>
        </w:rPr>
        <w:t>members of school councils</w:t>
      </w:r>
      <w:r w:rsidRPr="006A75A2">
        <w:t xml:space="preserve">: the </w:t>
      </w:r>
      <w:r w:rsidRPr="006A75A2">
        <w:rPr>
          <w:i/>
        </w:rPr>
        <w:t>Education and Training Reform Act 2006</w:t>
      </w:r>
      <w:r w:rsidRPr="006A75A2">
        <w:t xml:space="preserve"> provides an indemnity to members of school councils for any legal liability, whether in contract, negligence, defamation or other; and</w:t>
      </w:r>
    </w:p>
    <w:p w:rsidR="004E6C32" w:rsidRPr="006A75A2" w:rsidRDefault="004E6C32" w:rsidP="004B5CB1">
      <w:pPr>
        <w:pStyle w:val="BulletText"/>
      </w:pPr>
      <w:r w:rsidRPr="006A75A2">
        <w:rPr>
          <w:b/>
        </w:rPr>
        <w:t>teachers</w:t>
      </w:r>
      <w:r w:rsidRPr="006A75A2">
        <w:t>: in the event that a teacher is named as a defendant in a student personal injury claim, any costs and damages will generally be paid by the Department provided the teacher was not drunk, under the influence of illicit drugs or engaging in a criminal offence and the behaviour was not outrageous and was related to, or undertaken in, the course of their employment.</w:t>
      </w:r>
    </w:p>
    <w:p w:rsidR="004E6C32" w:rsidRPr="006A75A2" w:rsidRDefault="004E6C32" w:rsidP="0067336F">
      <w:pPr>
        <w:pStyle w:val="Heading5a"/>
      </w:pPr>
      <w:r w:rsidRPr="006A75A2">
        <w:t>Gambling licences</w:t>
      </w:r>
    </w:p>
    <w:p w:rsidR="004E6C32" w:rsidRPr="006A75A2" w:rsidRDefault="004E6C32" w:rsidP="004B5CB1">
      <w:r w:rsidRPr="006A75A2">
        <w:t xml:space="preserve">In relation to the </w:t>
      </w:r>
      <w:r w:rsidR="00C96101" w:rsidRPr="006A75A2">
        <w:t>‘</w:t>
      </w:r>
      <w:r w:rsidRPr="006A75A2">
        <w:t>Gambling licenses</w:t>
      </w:r>
      <w:r w:rsidR="00C96101" w:rsidRPr="006A75A2">
        <w:t>’</w:t>
      </w:r>
      <w:r w:rsidRPr="006A75A2">
        <w:rPr>
          <w:i/>
        </w:rPr>
        <w:t xml:space="preserve"> </w:t>
      </w:r>
      <w:r w:rsidRPr="006A75A2">
        <w:t xml:space="preserve">item within non-quantifiable contingent assets, given that the State was successful in the Tabcorp proceeding, it did not need to pay Tabcorp its claimed amount together with interest, which would have amounted to $821.2 million. The matter is now on appeal to the Court of Appeal and is due to be heard in October 2014. </w:t>
      </w:r>
    </w:p>
    <w:p w:rsidR="004E6C32" w:rsidRPr="006A75A2" w:rsidRDefault="004E6C32" w:rsidP="0067336F">
      <w:pPr>
        <w:pStyle w:val="Heading5a"/>
      </w:pPr>
      <w:r w:rsidRPr="006A75A2">
        <w:t>Fiskville firefighting independent investigation</w:t>
      </w:r>
    </w:p>
    <w:p w:rsidR="004E6C32" w:rsidRPr="006A75A2" w:rsidRDefault="004E6C32" w:rsidP="004B5CB1">
      <w:r w:rsidRPr="006A75A2">
        <w:t xml:space="preserve">An independent investigation was undertaken into the historical use of chemicals for live firefighting training at Fiskville between 1971 and 1999. The report of the independent investigation has been released and the Country Fire Authority (CFA) has accepted all of the facts, recommendations and conclusions and is committed to implementing all recommendations. </w:t>
      </w:r>
    </w:p>
    <w:p w:rsidR="004E6C32" w:rsidRPr="006A75A2" w:rsidRDefault="004E6C32" w:rsidP="004B5CB1">
      <w:r w:rsidRPr="006A75A2">
        <w:t>In August 2012, the CFA established a program office to manage the implementation of the report</w:t>
      </w:r>
      <w:r w:rsidR="00C96101" w:rsidRPr="006A75A2">
        <w:t>’</w:t>
      </w:r>
      <w:r w:rsidRPr="006A75A2">
        <w:t>s recommendations and an additional 11 management initiatives to which the CFA Board committed in its response to the report. At this stage it is impractical to quantify the financial effects as a result of the investigation</w:t>
      </w:r>
      <w:r w:rsidR="00C96101" w:rsidRPr="006A75A2">
        <w:t>’</w:t>
      </w:r>
      <w:r w:rsidRPr="006A75A2">
        <w:t>s recommendations.</w:t>
      </w:r>
    </w:p>
    <w:p w:rsidR="004E6C32" w:rsidRPr="006A75A2" w:rsidRDefault="004E6C32" w:rsidP="0067336F">
      <w:pPr>
        <w:pStyle w:val="Heading5a"/>
      </w:pPr>
      <w:r w:rsidRPr="006A75A2">
        <w:t>Health Benefit Levy</w:t>
      </w:r>
    </w:p>
    <w:p w:rsidR="004E6C32" w:rsidRPr="006A75A2" w:rsidRDefault="004E6C32" w:rsidP="004B5CB1">
      <w:pPr>
        <w:autoSpaceDE w:val="0"/>
        <w:autoSpaceDN w:val="0"/>
        <w:adjustRightInd w:val="0"/>
        <w:rPr>
          <w:rFonts w:cs="Garamond"/>
          <w:szCs w:val="24"/>
        </w:rPr>
      </w:pPr>
      <w:r w:rsidRPr="006A75A2">
        <w:rPr>
          <w:rFonts w:cs="Garamond"/>
          <w:szCs w:val="24"/>
        </w:rPr>
        <w:t xml:space="preserve">Under the </w:t>
      </w:r>
      <w:r w:rsidRPr="006A75A2">
        <w:rPr>
          <w:rFonts w:cs="Garamond"/>
          <w:i/>
          <w:iCs/>
          <w:szCs w:val="24"/>
        </w:rPr>
        <w:t>Gambling Regulation Act 2003</w:t>
      </w:r>
      <w:r w:rsidRPr="006A75A2">
        <w:rPr>
          <w:rFonts w:cs="Garamond"/>
          <w:szCs w:val="24"/>
        </w:rPr>
        <w:t xml:space="preserve">, the two former gaming operator licensees, Tabcorp and Tatts were required to pay a Health Benefit Levy. </w:t>
      </w:r>
    </w:p>
    <w:p w:rsidR="004E6C32" w:rsidRPr="006A75A2" w:rsidRDefault="004E6C32" w:rsidP="004B5CB1">
      <w:pPr>
        <w:autoSpaceDE w:val="0"/>
        <w:autoSpaceDN w:val="0"/>
        <w:adjustRightInd w:val="0"/>
        <w:rPr>
          <w:rFonts w:cs="Garamond"/>
          <w:szCs w:val="24"/>
        </w:rPr>
      </w:pPr>
      <w:r w:rsidRPr="006A75A2">
        <w:rPr>
          <w:rFonts w:cs="Garamond"/>
          <w:szCs w:val="24"/>
        </w:rPr>
        <w:t>On 1 May 2013, the Treasurer determined that Tabcorp</w:t>
      </w:r>
      <w:r w:rsidR="00C96101" w:rsidRPr="006A75A2">
        <w:rPr>
          <w:rFonts w:cs="Garamond"/>
          <w:szCs w:val="24"/>
        </w:rPr>
        <w:t>’</w:t>
      </w:r>
      <w:r w:rsidRPr="006A75A2">
        <w:rPr>
          <w:rFonts w:cs="Garamond"/>
          <w:szCs w:val="24"/>
        </w:rPr>
        <w:t>s and Tatts</w:t>
      </w:r>
      <w:r w:rsidR="00C96101" w:rsidRPr="006A75A2">
        <w:rPr>
          <w:rFonts w:cs="Garamond"/>
          <w:szCs w:val="24"/>
        </w:rPr>
        <w:t>’</w:t>
      </w:r>
      <w:r w:rsidRPr="006A75A2">
        <w:rPr>
          <w:rFonts w:cs="Garamond"/>
          <w:szCs w:val="24"/>
        </w:rPr>
        <w:t xml:space="preserve"> 2012-13 levy were $42.1 million and $42.6 million respectively, on the basis that he did not have discretion under the Act to determine a pro-rata based levy amount. </w:t>
      </w:r>
    </w:p>
    <w:p w:rsidR="004E6C32" w:rsidRPr="006A75A2" w:rsidRDefault="004E6C32" w:rsidP="004B5CB1">
      <w:pPr>
        <w:autoSpaceDE w:val="0"/>
        <w:autoSpaceDN w:val="0"/>
        <w:adjustRightInd w:val="0"/>
        <w:rPr>
          <w:rFonts w:cs="Garamond"/>
          <w:szCs w:val="24"/>
        </w:rPr>
      </w:pPr>
      <w:r w:rsidRPr="006A75A2">
        <w:rPr>
          <w:rFonts w:cs="Garamond"/>
          <w:szCs w:val="24"/>
        </w:rPr>
        <w:t>Tabcorp and Tatts subsequently commenced legal proceedings against the Treasurer in the Supreme Court of Victoria. Tabcorp and Tatts claim that the Treasurer had discretion under the Act to determine a pro-rata based levy amount to reflect the 45 days they operated gaming machines in 2012</w:t>
      </w:r>
      <w:r w:rsidRPr="006A75A2">
        <w:rPr>
          <w:rFonts w:cs="Garamond"/>
          <w:szCs w:val="24"/>
        </w:rPr>
        <w:noBreakHyphen/>
        <w:t xml:space="preserve">13. </w:t>
      </w:r>
    </w:p>
    <w:p w:rsidR="004E6C32" w:rsidRPr="006A75A2" w:rsidRDefault="004E6C32" w:rsidP="004B5CB1">
      <w:pPr>
        <w:pStyle w:val="Heading2NotesContd"/>
        <w:rPr>
          <w:kern w:val="0"/>
        </w:rPr>
      </w:pPr>
      <w:r w:rsidRPr="006A75A2">
        <w:rPr>
          <w:kern w:val="0"/>
        </w:rPr>
        <w:lastRenderedPageBreak/>
        <w:t>Note 35:</w:t>
      </w:r>
      <w:r w:rsidRPr="006A75A2">
        <w:rPr>
          <w:kern w:val="0"/>
        </w:rPr>
        <w:tab/>
        <w:t xml:space="preserve">Contingent assets and contingent liabilities (State of Victoria) </w:t>
      </w:r>
      <w:r w:rsidRPr="006A75A2">
        <w:rPr>
          <w:i/>
          <w:kern w:val="0"/>
        </w:rPr>
        <w:t>(continued)</w:t>
      </w:r>
    </w:p>
    <w:p w:rsidR="004E6C32" w:rsidRPr="006A75A2" w:rsidRDefault="004E6C32" w:rsidP="004B5CB1">
      <w:pPr>
        <w:autoSpaceDE w:val="0"/>
        <w:autoSpaceDN w:val="0"/>
        <w:adjustRightInd w:val="0"/>
        <w:spacing w:after="0"/>
        <w:rPr>
          <w:rFonts w:cs="Garamond"/>
          <w:szCs w:val="24"/>
        </w:rPr>
      </w:pPr>
      <w:r w:rsidRPr="006A75A2">
        <w:rPr>
          <w:rFonts w:cs="Garamond"/>
          <w:szCs w:val="24"/>
        </w:rPr>
        <w:t>On 24 June 2013, a Supreme Court judgement was handed down in favour of Tabcorp and Tatts</w:t>
      </w:r>
    </w:p>
    <w:p w:rsidR="004E6C32" w:rsidRPr="006A75A2" w:rsidRDefault="004E6C32" w:rsidP="004B5CB1">
      <w:pPr>
        <w:autoSpaceDE w:val="0"/>
        <w:autoSpaceDN w:val="0"/>
        <w:adjustRightInd w:val="0"/>
        <w:rPr>
          <w:rFonts w:cs="Garamond"/>
          <w:szCs w:val="24"/>
        </w:rPr>
      </w:pPr>
      <w:r w:rsidRPr="006A75A2">
        <w:rPr>
          <w:rFonts w:cs="Garamond"/>
          <w:szCs w:val="24"/>
        </w:rPr>
        <w:t>quashing the Treasurer</w:t>
      </w:r>
      <w:r w:rsidR="00C96101" w:rsidRPr="006A75A2">
        <w:rPr>
          <w:rFonts w:cs="Garamond"/>
          <w:szCs w:val="24"/>
        </w:rPr>
        <w:t>’</w:t>
      </w:r>
      <w:r w:rsidRPr="006A75A2">
        <w:rPr>
          <w:rFonts w:cs="Garamond"/>
          <w:szCs w:val="24"/>
        </w:rPr>
        <w:t xml:space="preserve">s determinations. The State appealed to the Court of Appeal, maintaining that the determinations were valid and that the Treasurer did not have discretion to adjust the application of the levy formula under the Act. The State was successful in both appeals and Tatts and Tabcorp have now paid the State the full amounts of the Health Benefit Levies together with interest. </w:t>
      </w:r>
    </w:p>
    <w:p w:rsidR="004E6C32" w:rsidRPr="006A75A2" w:rsidRDefault="004E6C32" w:rsidP="004B5CB1">
      <w:r w:rsidRPr="006A75A2">
        <w:rPr>
          <w:rFonts w:cs="Garamond"/>
          <w:szCs w:val="24"/>
        </w:rPr>
        <w:t>Tatts and Tabcorp have now sought Special Leave to Appeal to the High Court of Australia.</w:t>
      </w:r>
    </w:p>
    <w:p w:rsidR="004E6C32" w:rsidRPr="006A75A2" w:rsidRDefault="004E6C32" w:rsidP="0067336F">
      <w:pPr>
        <w:pStyle w:val="Heading5a"/>
      </w:pPr>
      <w:r w:rsidRPr="006A75A2">
        <w:t>Land remediation – environmental concerns</w:t>
      </w:r>
    </w:p>
    <w:p w:rsidR="004E6C32" w:rsidRPr="006A75A2" w:rsidRDefault="004E6C32" w:rsidP="004B5CB1">
      <w:r w:rsidRPr="006A75A2">
        <w:t>In addition to properties for which remediation costs have been provided in the State</w:t>
      </w:r>
      <w:r w:rsidR="00C96101" w:rsidRPr="006A75A2">
        <w:t>’</w:t>
      </w:r>
      <w:r w:rsidRPr="006A75A2">
        <w:t>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that a contamination risk is identified.</w:t>
      </w:r>
    </w:p>
    <w:p w:rsidR="004E6C32" w:rsidRPr="006A75A2" w:rsidRDefault="004E6C32" w:rsidP="0067336F">
      <w:pPr>
        <w:pStyle w:val="Heading5a"/>
      </w:pPr>
      <w:r w:rsidRPr="006A75A2">
        <w:t>Melbourne Park redevelopment</w:t>
      </w:r>
    </w:p>
    <w:p w:rsidR="004E6C32" w:rsidRPr="006A75A2" w:rsidRDefault="004E6C32" w:rsidP="004B5CB1">
      <w:r w:rsidRPr="006A75A2">
        <w:rPr>
          <w:lang w:eastAsia="en-AU"/>
        </w:rPr>
        <w:t xml:space="preserve">In 2010, the State entered into a capital works agreement with Tennis Australia and the Melbourne and Olympic Park Trust for the Australian Open to remain at Melbourne Park until 2036. The agreement contains a number of conditions including that the government will invest in further improvements to Melbourne Park in three stages or (if an agreed investment threshold is reached), pay a rights fee to retain the Australian Open at Melbourne Park until 2036. The government announced Stage 1 of the Melbourne Park redevelopment with a total estimated investment of $363 million in the </w:t>
      </w:r>
      <w:r w:rsidRPr="006A75A2">
        <w:rPr>
          <w:i/>
          <w:iCs/>
          <w:lang w:eastAsia="en-AU"/>
        </w:rPr>
        <w:t>2010-11 Budget</w:t>
      </w:r>
      <w:r w:rsidRPr="006A75A2">
        <w:rPr>
          <w:lang w:eastAsia="en-AU"/>
        </w:rPr>
        <w:t xml:space="preserve">. In January 2014 the Government announced a further $338 million total estimated investment to Stage 2 of the redevelopment. </w:t>
      </w:r>
    </w:p>
    <w:p w:rsidR="004E6C32" w:rsidRPr="006A75A2" w:rsidRDefault="004E6C32" w:rsidP="0067336F">
      <w:pPr>
        <w:pStyle w:val="Heading5a"/>
      </w:pPr>
      <w:r w:rsidRPr="006A75A2">
        <w:t>National Electricity Code Administrator</w:t>
      </w:r>
    </w:p>
    <w:p w:rsidR="004E6C32" w:rsidRPr="006A75A2" w:rsidRDefault="004E6C32" w:rsidP="004B5CB1">
      <w:r w:rsidRPr="006A75A2">
        <w:t>As part of the wind</w:t>
      </w:r>
      <w:r w:rsidRPr="006A75A2">
        <w:noBreakHyphen/>
        <w:t>up of the National Electricity Code Administrator (NECA) the State of Victoria has undertaken to indemnify the actions of the NECA Directors for a period of seven years, from completion of their tenure in 2008, until 2015.</w:t>
      </w:r>
    </w:p>
    <w:p w:rsidR="004E6C32" w:rsidRPr="006A75A2" w:rsidRDefault="004E6C32" w:rsidP="0067336F">
      <w:pPr>
        <w:pStyle w:val="Heading5a"/>
      </w:pPr>
      <w:r w:rsidRPr="006A75A2">
        <w:t>Native Title</w:t>
      </w:r>
    </w:p>
    <w:p w:rsidR="004E6C32" w:rsidRPr="006A75A2" w:rsidRDefault="004E6C32" w:rsidP="004B5CB1">
      <w:r w:rsidRPr="006A75A2">
        <w:t xml:space="preserve">A number of claims have been filed with the Federal Court under the Commonwealth </w:t>
      </w:r>
      <w:r w:rsidRPr="006A75A2">
        <w:rPr>
          <w:i/>
        </w:rPr>
        <w:t>Native Title Act 1993</w:t>
      </w:r>
      <w:r w:rsidRPr="006A75A2">
        <w:t xml:space="preserve"> that affect Victoria. It is not feasible at this time to quantify any future liability. </w:t>
      </w:r>
    </w:p>
    <w:p w:rsidR="004E6C32" w:rsidRPr="006A75A2" w:rsidRDefault="004E6C32" w:rsidP="0067336F">
      <w:pPr>
        <w:pStyle w:val="Heading5a"/>
      </w:pPr>
      <w:r w:rsidRPr="006A75A2">
        <w:t xml:space="preserve">Public acquisition overlays for the future development of rail and road infrastructure </w:t>
      </w:r>
    </w:p>
    <w:p w:rsidR="004E6C32" w:rsidRPr="006A75A2" w:rsidRDefault="004E6C32" w:rsidP="004B5CB1">
      <w:r w:rsidRPr="006A75A2">
        <w:t xml:space="preserve">Public acquisition overlays are in place in order to reserve certain areas of land for future development of rail and road infrastructure. Under section 98 of the </w:t>
      </w:r>
      <w:r w:rsidRPr="006A75A2">
        <w:rPr>
          <w:i/>
        </w:rPr>
        <w:t>Planning and Environment Act</w:t>
      </w:r>
      <w:r w:rsidRPr="006A75A2">
        <w:t xml:space="preserve"> </w:t>
      </w:r>
      <w:r w:rsidRPr="006A75A2">
        <w:rPr>
          <w:i/>
        </w:rPr>
        <w:t>1987</w:t>
      </w:r>
      <w:r w:rsidRPr="006A75A2">
        <w:t>, the State has a legislative responsibility to pay compensation to eligible land and property owners who face either:</w:t>
      </w:r>
    </w:p>
    <w:p w:rsidR="004E6C32" w:rsidRPr="006A75A2" w:rsidRDefault="004E6C32" w:rsidP="004B5CB1">
      <w:pPr>
        <w:pStyle w:val="BulletText"/>
      </w:pPr>
      <w:r w:rsidRPr="006A75A2">
        <w:t>loss on sale – an eligible landowner is entitled to compensation for the incremental loss on sale when a property affected by a public acquisition overlay is sold for less than its market value; or</w:t>
      </w:r>
    </w:p>
    <w:p w:rsidR="004E6C32" w:rsidRPr="006A75A2" w:rsidRDefault="004E6C32" w:rsidP="004B5CB1">
      <w:pPr>
        <w:pStyle w:val="BulletText"/>
      </w:pPr>
      <w:r w:rsidRPr="006A75A2">
        <w:t>financial loss – the entitlement to financial loss compensation is triggered when a development permit is refused because the property is required for a public purpose.</w:t>
      </w:r>
    </w:p>
    <w:p w:rsidR="004E6C32" w:rsidRPr="006A75A2" w:rsidRDefault="004E6C32" w:rsidP="004B5CB1">
      <w:r w:rsidRPr="006A75A2">
        <w:t>Compensation and purchase claims occur as a result of claims by land owners. The quantum of the future liability depends on factors including the number of claims received and the prevailing value of land at the time the claim is made, which cannot be reliably quantified.</w:t>
      </w:r>
    </w:p>
    <w:p w:rsidR="004E6C32" w:rsidRPr="006A75A2" w:rsidRDefault="004E6C32">
      <w:pPr>
        <w:spacing w:after="0"/>
        <w:rPr>
          <w:rFonts w:ascii="Calibri" w:hAnsi="Calibri"/>
          <w:i/>
          <w:sz w:val="23"/>
        </w:rPr>
      </w:pPr>
      <w:r w:rsidRPr="006A75A2">
        <w:br w:type="page"/>
      </w:r>
    </w:p>
    <w:p w:rsidR="004E6C32" w:rsidRPr="006A75A2" w:rsidRDefault="004E6C32" w:rsidP="004B5CB1">
      <w:pPr>
        <w:pStyle w:val="Heading2NotesContd"/>
        <w:rPr>
          <w:kern w:val="0"/>
        </w:rPr>
      </w:pPr>
      <w:r w:rsidRPr="006A75A2">
        <w:rPr>
          <w:kern w:val="0"/>
        </w:rPr>
        <w:lastRenderedPageBreak/>
        <w:t>Note 35:</w:t>
      </w:r>
      <w:r w:rsidRPr="006A75A2">
        <w:rPr>
          <w:kern w:val="0"/>
        </w:rPr>
        <w:tab/>
        <w:t xml:space="preserve">Contingent assets and contingent liabilities (State of Victoria) </w:t>
      </w:r>
      <w:r w:rsidRPr="006A75A2">
        <w:rPr>
          <w:i/>
          <w:kern w:val="0"/>
        </w:rPr>
        <w:t>(continued)</w:t>
      </w:r>
    </w:p>
    <w:p w:rsidR="004E6C32" w:rsidRPr="006A75A2" w:rsidRDefault="004E6C32" w:rsidP="0067336F">
      <w:pPr>
        <w:pStyle w:val="Heading5a"/>
      </w:pPr>
      <w:r w:rsidRPr="006A75A2">
        <w:t>Public transport rail partnership agreements</w:t>
      </w:r>
    </w:p>
    <w:p w:rsidR="004E6C32" w:rsidRPr="006A75A2" w:rsidRDefault="004E6C32" w:rsidP="004B5CB1">
      <w:r w:rsidRPr="006A75A2">
        <w:t>Public Transport Victoria (PTV) is party to partnership contractual arrangements with franchisees to operate metropolitan rail transport services in the State, operative from 30 November 2009 until 30 November 2017. The following summarises the major contingent liabilities arising from the contractual arrangements in the event of early termination or expiry of the partnership contractual agreement:</w:t>
      </w:r>
    </w:p>
    <w:p w:rsidR="004E6C32" w:rsidRPr="006A75A2" w:rsidRDefault="004E6C32" w:rsidP="004B5CB1">
      <w:pPr>
        <w:pStyle w:val="BulletText"/>
      </w:pPr>
      <w:r w:rsidRPr="006A75A2">
        <w:rPr>
          <w:b/>
        </w:rPr>
        <w:t>partnership assets</w:t>
      </w:r>
      <w:r w:rsidRPr="006A75A2">
        <w:t>: to maintain continuity of services, at early termination or expiry of the franchise contract, assets will revert to PTV or a successor. In the case of some assets, a reversion back to PTV would entail those assets being purchased; and</w:t>
      </w:r>
    </w:p>
    <w:p w:rsidR="004E6C32" w:rsidRPr="006A75A2" w:rsidRDefault="004E6C32" w:rsidP="004B5CB1">
      <w:pPr>
        <w:pStyle w:val="BulletText"/>
      </w:pPr>
      <w:r w:rsidRPr="006A75A2">
        <w:rPr>
          <w:b/>
        </w:rPr>
        <w:t>unfunded superannuation</w:t>
      </w:r>
      <w:r w:rsidRPr="006A75A2">
        <w:t>: at the early termination or expiry of the contract, PTV will assume any unfunded superannuation amounts (apart from contributions the operator is required to pay over the contract term) to the extent that the State becomes the successor operator.</w:t>
      </w:r>
    </w:p>
    <w:p w:rsidR="004E6C32" w:rsidRPr="006A75A2" w:rsidRDefault="004E6C32" w:rsidP="0067336F">
      <w:pPr>
        <w:pStyle w:val="Heading5a"/>
      </w:pPr>
      <w:r w:rsidRPr="006A75A2">
        <w:t>Royal Melbourne Showgrounds redevelopment</w:t>
      </w:r>
    </w:p>
    <w:p w:rsidR="004E6C32" w:rsidRPr="006A75A2" w:rsidRDefault="004E6C32" w:rsidP="004B5CB1">
      <w:r w:rsidRPr="006A75A2">
        <w:t>Under the State commitment to the Royal Agriculture Society of Victoria (RASV), the State has agreed to support certain obligations of RASV which may arise out of the joint venture agreement. In accordance with the terms set out in the State commitment to RASV, the State will pay (in the form of a loan) the amount requested by RASV. If any outstanding loan amount remains unpaid at the date which is 25 years after the commencement of the operation term under the development and operation agreement, RASV will be obliged to satisfy and discharge each such outstanding loan amount. This may take the form of a transfer to the State, of the whole of the RASV participating interest in the joint venture.</w:t>
      </w:r>
    </w:p>
    <w:p w:rsidR="004E6C32" w:rsidRPr="006A75A2" w:rsidRDefault="004E6C32" w:rsidP="004B5CB1">
      <w:r w:rsidRPr="006A75A2">
        <w:t>The State has also entered into an agreement through the State Support Deed – Non</w:t>
      </w:r>
      <w:r w:rsidRPr="006A75A2">
        <w:noBreakHyphen/>
        <w:t>Core Land with Showgrounds Retail Developments Pty Ltd and the RASV whereby the State agrees to support certain payment obligations of the RASV that may arise under the non</w:t>
      </w:r>
      <w:r w:rsidRPr="006A75A2">
        <w:noBreakHyphen/>
        <w:t>core development agreement.</w:t>
      </w:r>
    </w:p>
    <w:p w:rsidR="004E6C32" w:rsidRPr="006A75A2" w:rsidRDefault="004E6C32" w:rsidP="0067336F">
      <w:pPr>
        <w:pStyle w:val="Heading5a"/>
      </w:pPr>
      <w:r w:rsidRPr="006A75A2">
        <w:t>Victorian Managed Insurance Authority – insurance cover</w:t>
      </w:r>
    </w:p>
    <w:p w:rsidR="004E6C32" w:rsidRPr="006A75A2" w:rsidRDefault="004E6C32" w:rsidP="004B5CB1">
      <w:r w:rsidRPr="006A75A2">
        <w:t xml:space="preserve">The Victorian Managed Insurance Authority (VMIA) was established in 1996 as an insurer for State Government departments, participating bodies and other entities as defined under the </w:t>
      </w:r>
      <w:r w:rsidRPr="006A75A2">
        <w:rPr>
          <w:i/>
        </w:rPr>
        <w:t>Victorian Managed Insurance Authority Act 1996</w:t>
      </w:r>
      <w:r w:rsidRPr="006A75A2">
        <w:t>. VMIA provides its clients with a range of insurance cover, including for property, public and products liability, professional indemnity and contract works. VMIA reinsures in the private market for losses above $50 million arising out of any one occurrence, up to a maximum of $750 million for public and products liability, and for losses above $50 million arising out of any one event, up to a maximum of $2.1 billion for property. The risk of losses above these reinsured levels is borne by the State.</w:t>
      </w:r>
    </w:p>
    <w:p w:rsidR="004E6C32" w:rsidRPr="006A75A2" w:rsidRDefault="004E6C32" w:rsidP="004B5CB1">
      <w:r w:rsidRPr="006A75A2">
        <w:t>VMIA also insures the Department of Health for all public sector medical indemnity claims incurred in each policy year from 1 July 2003, regardless of when claims are finally settled. Under the indemnity deed to provide stop loss protection for VMIA, the Department of Treasury and Finance has agreed to reimburse VMIA if the ultimate claims payouts exceed by more than 20 per cent of the initial estimate on which the risk premium was based.</w:t>
      </w:r>
    </w:p>
    <w:p w:rsidR="004E6C32" w:rsidRPr="006A75A2" w:rsidRDefault="004E6C32" w:rsidP="004B5CB1"/>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67" w:name="_Toc400040283"/>
      <w:r w:rsidRPr="006A75A2">
        <w:rPr>
          <w:kern w:val="0"/>
        </w:rPr>
        <w:lastRenderedPageBreak/>
        <w:t>Note 36:</w:t>
      </w:r>
      <w:r w:rsidRPr="006A75A2">
        <w:rPr>
          <w:kern w:val="0"/>
        </w:rPr>
        <w:tab/>
        <w:t>Funds under management</w:t>
      </w:r>
      <w:bookmarkEnd w:id="67"/>
    </w:p>
    <w:p w:rsidR="004E6C32" w:rsidRPr="006A75A2" w:rsidRDefault="004E6C32" w:rsidP="004B5CB1">
      <w:pPr>
        <w:rPr>
          <w:rFonts w:cs="Garamond"/>
          <w:szCs w:val="24"/>
          <w:lang w:eastAsia="en-AU"/>
        </w:rPr>
      </w:pPr>
      <w:r w:rsidRPr="006A75A2">
        <w:rPr>
          <w:rFonts w:cs="Garamond"/>
          <w:szCs w:val="24"/>
          <w:lang w:eastAsia="en-AU"/>
        </w:rPr>
        <w:t>The State has responsibility for transactions and balances relating to trust funds held on behalf of third parties external to the State. The funds managed on behalf of third parties are not recognised in these financial statements as they are managed on a fiduciary and custodial basis, and therefore are not controlled by the State. Funds under management are reported in the table below.</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5160"/>
        <w:gridCol w:w="1120"/>
        <w:gridCol w:w="1120"/>
        <w:gridCol w:w="1120"/>
        <w:gridCol w:w="1120"/>
      </w:tblGrid>
      <w:tr w:rsidR="006E60A8" w:rsidRPr="006A75A2" w:rsidTr="006E60A8">
        <w:tc>
          <w:tcPr>
            <w:tcW w:w="5160" w:type="dxa"/>
            <w:tcBorders>
              <w:top w:val="single" w:sz="6" w:space="0" w:color="auto"/>
              <w:left w:val="single" w:sz="6" w:space="0" w:color="auto"/>
              <w:bottom w:val="nil"/>
              <w:right w:val="nil"/>
            </w:tcBorders>
            <w:shd w:val="clear" w:color="000000" w:fill="000000"/>
          </w:tcPr>
          <w:p w:rsidR="006E60A8" w:rsidRPr="006A75A2" w:rsidRDefault="006E60A8" w:rsidP="004B5CB1">
            <w:pPr>
              <w:pStyle w:val="Tabletext"/>
              <w:rPr>
                <w:rFonts w:eastAsiaTheme="minorEastAsia"/>
                <w:lang w:eastAsia="en-AU"/>
              </w:rPr>
            </w:pPr>
            <w:r w:rsidRPr="006A75A2">
              <w:rPr>
                <w:rFonts w:eastAsiaTheme="minorEastAsia"/>
                <w:lang w:eastAsia="en-AU"/>
              </w:rPr>
              <w:t xml:space="preserve"> </w:t>
            </w:r>
          </w:p>
        </w:tc>
        <w:tc>
          <w:tcPr>
            <w:tcW w:w="2240" w:type="dxa"/>
            <w:gridSpan w:val="2"/>
            <w:tcBorders>
              <w:top w:val="single" w:sz="6" w:space="0" w:color="auto"/>
              <w:left w:val="nil"/>
              <w:bottom w:val="nil"/>
              <w:right w:val="nil"/>
            </w:tcBorders>
            <w:shd w:val="clear" w:color="000000" w:fill="000000"/>
          </w:tcPr>
          <w:p w:rsidR="006E60A8" w:rsidRPr="006A75A2" w:rsidRDefault="006E60A8" w:rsidP="004B5CB1">
            <w:pPr>
              <w:pStyle w:val="TabletextheadingCentred"/>
              <w:rPr>
                <w:rFonts w:eastAsiaTheme="minorEastAsia"/>
                <w:lang w:eastAsia="en-AU"/>
              </w:rPr>
            </w:pPr>
          </w:p>
          <w:p w:rsidR="006E60A8" w:rsidRPr="006A75A2" w:rsidRDefault="006E60A8" w:rsidP="004B5CB1">
            <w:pPr>
              <w:pStyle w:val="TabletextheadingCentred"/>
              <w:rPr>
                <w:rFonts w:eastAsiaTheme="minorEastAsia"/>
                <w:lang w:eastAsia="en-AU"/>
              </w:rPr>
            </w:pPr>
            <w:r w:rsidRPr="006A75A2">
              <w:rPr>
                <w:rFonts w:eastAsiaTheme="minorEastAsia"/>
                <w:lang w:eastAsia="en-AU"/>
              </w:rPr>
              <w:t>State of Victoria</w:t>
            </w:r>
          </w:p>
        </w:tc>
        <w:tc>
          <w:tcPr>
            <w:tcW w:w="2240" w:type="dxa"/>
            <w:gridSpan w:val="2"/>
            <w:tcBorders>
              <w:top w:val="single" w:sz="6" w:space="0" w:color="auto"/>
              <w:left w:val="nil"/>
              <w:bottom w:val="nil"/>
              <w:right w:val="single" w:sz="6" w:space="0" w:color="auto"/>
            </w:tcBorders>
            <w:shd w:val="clear" w:color="000000" w:fill="000000"/>
          </w:tcPr>
          <w:p w:rsidR="006E60A8" w:rsidRPr="006A75A2" w:rsidRDefault="006E60A8" w:rsidP="006E60A8">
            <w:pPr>
              <w:pStyle w:val="TabletextheadingCentred"/>
              <w:rPr>
                <w:rFonts w:eastAsiaTheme="minorEastAsia"/>
                <w:lang w:eastAsia="en-AU"/>
              </w:rPr>
            </w:pPr>
            <w:r w:rsidRPr="006A75A2">
              <w:rPr>
                <w:rFonts w:eastAsiaTheme="minorEastAsia"/>
                <w:lang w:eastAsia="en-AU"/>
              </w:rPr>
              <w:t xml:space="preserve">General </w:t>
            </w:r>
            <w:r w:rsidRPr="006A75A2">
              <w:rPr>
                <w:rFonts w:eastAsiaTheme="minorEastAsia"/>
                <w:lang w:eastAsia="en-AU"/>
              </w:rPr>
              <w:br/>
              <w:t>government sector</w:t>
            </w:r>
          </w:p>
        </w:tc>
      </w:tr>
      <w:tr w:rsidR="004E6C32" w:rsidRPr="006A75A2" w:rsidTr="004B5CB1">
        <w:tc>
          <w:tcPr>
            <w:tcW w:w="5160"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 xml:space="preserve"> </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c>
          <w:tcPr>
            <w:tcW w:w="1120"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5160" w:type="dxa"/>
            <w:tcBorders>
              <w:top w:val="single" w:sz="6" w:space="0" w:color="auto"/>
              <w:left w:val="nil"/>
              <w:bottom w:val="nil"/>
              <w:right w:val="nil"/>
            </w:tcBorders>
          </w:tcPr>
          <w:p w:rsidR="004E6C32" w:rsidRPr="006A75A2" w:rsidRDefault="004E6C32" w:rsidP="008708FF">
            <w:pPr>
              <w:pStyle w:val="Tabletext"/>
              <w:rPr>
                <w:rFonts w:eastAsiaTheme="minorEastAsia" w:cs="Calibri"/>
                <w:szCs w:val="22"/>
                <w:vertAlign w:val="superscript"/>
                <w:lang w:eastAsia="en-AU"/>
              </w:rPr>
            </w:pPr>
            <w:r w:rsidRPr="006A75A2">
              <w:rPr>
                <w:rFonts w:eastAsiaTheme="minorEastAsia"/>
                <w:lang w:eastAsia="en-AU"/>
              </w:rPr>
              <w:t>Investments, real estate, personal and other assets</w:t>
            </w:r>
            <w:r w:rsidRPr="006A75A2">
              <w:rPr>
                <w:rFonts w:eastAsiaTheme="minorEastAsia" w:cs="Calibri"/>
                <w:szCs w:val="22"/>
                <w:vertAlign w:val="superscript"/>
                <w:lang w:eastAsia="en-AU"/>
              </w:rPr>
              <w:t>(a)</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2 338.5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2 338.2</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investments in common and premium funds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991.7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937.9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Residential tenancies bond money</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806.5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747.3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806.5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747.3</w:t>
            </w:r>
          </w:p>
        </w:tc>
      </w:tr>
      <w:tr w:rsidR="004E6C32" w:rsidRPr="006A75A2" w:rsidTr="004B5CB1">
        <w:tc>
          <w:tcPr>
            <w:tcW w:w="516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Funds under management by the Senior Master of the Supreme Court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1 479.6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1 377.9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1 479.6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1 377.9</w:t>
            </w:r>
          </w:p>
        </w:tc>
      </w:tr>
      <w:tr w:rsidR="004E6C32" w:rsidRPr="006A75A2" w:rsidTr="004B5CB1">
        <w:tc>
          <w:tcPr>
            <w:tcW w:w="5160" w:type="dxa"/>
            <w:tcBorders>
              <w:top w:val="nil"/>
              <w:left w:val="nil"/>
              <w:bottom w:val="nil"/>
              <w:right w:val="nil"/>
            </w:tcBorders>
            <w:shd w:val="solid" w:color="FFFFFF" w:fill="auto"/>
          </w:tcPr>
          <w:p w:rsidR="004E6C32" w:rsidRPr="006A75A2" w:rsidRDefault="004E6C32" w:rsidP="004B5CB1">
            <w:pPr>
              <w:pStyle w:val="Tabletext"/>
              <w:rPr>
                <w:rFonts w:eastAsiaTheme="minorEastAsia"/>
                <w:lang w:eastAsia="en-AU"/>
              </w:rPr>
            </w:pPr>
            <w:r w:rsidRPr="006A75A2">
              <w:rPr>
                <w:rFonts w:eastAsiaTheme="minorEastAsia"/>
                <w:lang w:eastAsia="en-AU"/>
              </w:rPr>
              <w:t>Funds under management by Legal Services Board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637.0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524.7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637.0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524.7</w:t>
            </w:r>
          </w:p>
        </w:tc>
      </w:tr>
      <w:tr w:rsidR="004E6C32" w:rsidRPr="006A75A2" w:rsidTr="004B5CB1">
        <w:tc>
          <w:tcPr>
            <w:tcW w:w="5160" w:type="dxa"/>
            <w:tcBorders>
              <w:top w:val="nil"/>
              <w:left w:val="nil"/>
              <w:bottom w:val="nil"/>
              <w:right w:val="nil"/>
            </w:tcBorders>
          </w:tcPr>
          <w:p w:rsidR="004E6C32" w:rsidRPr="006A75A2" w:rsidRDefault="004E6C32" w:rsidP="008708FF">
            <w:pPr>
              <w:pStyle w:val="Tabletext"/>
              <w:rPr>
                <w:rFonts w:eastAsiaTheme="minorEastAsia"/>
                <w:lang w:eastAsia="en-AU"/>
              </w:rPr>
            </w:pPr>
            <w:r w:rsidRPr="006A75A2">
              <w:rPr>
                <w:rFonts w:eastAsiaTheme="minorEastAsia"/>
                <w:lang w:eastAsia="en-AU"/>
              </w:rPr>
              <w:t>Funds under management for the Victorian Bushfire Appeal Fund</w:t>
            </w:r>
            <w:r w:rsidRPr="006A75A2">
              <w:rPr>
                <w:rFonts w:eastAsiaTheme="minorEastAsia"/>
                <w:vertAlign w:val="superscript"/>
                <w:lang w:eastAsia="en-AU"/>
              </w:rPr>
              <w:t>(b)</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26.4</w:t>
            </w:r>
          </w:p>
        </w:tc>
      </w:tr>
      <w:tr w:rsidR="004E6C32" w:rsidRPr="006A75A2" w:rsidTr="004B5CB1">
        <w:tc>
          <w:tcPr>
            <w:tcW w:w="516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funds held</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w:t>
            </w:r>
          </w:p>
        </w:tc>
      </w:tr>
      <w:tr w:rsidR="004E6C32" w:rsidRPr="006A75A2" w:rsidTr="004B5CB1">
        <w:tc>
          <w:tcPr>
            <w:tcW w:w="516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funds under management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6 304.5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5 976.1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2 947.3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2 684.9</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 xml:space="preserve">(a) </w:t>
      </w:r>
      <w:r w:rsidRPr="006A75A2">
        <w:tab/>
        <w:t>The 2013 comparative has been updated and now reflects more current information.</w:t>
      </w:r>
    </w:p>
    <w:p w:rsidR="004E6C32" w:rsidRPr="006A75A2" w:rsidRDefault="004E6C32" w:rsidP="004B5CB1">
      <w:pPr>
        <w:pStyle w:val="Notes"/>
      </w:pPr>
      <w:r w:rsidRPr="006A75A2">
        <w:t>(b)</w:t>
      </w:r>
      <w:r w:rsidRPr="006A75A2">
        <w:tab/>
        <w:t xml:space="preserve">The Victorian Government has collected appeal proceeds on behalf of the Red Cross Victorian Bushfire Appeal Fund. The purpose of the trust is for the receipt of donations and other contributions, and their disbursement for assistance to individuals and communities in towns, suburbs and rural areas affected by the 2009 Victorian bushfires. Contributions will, inter alia, include funds provided by the Victorian, Commonwealth and other jurisdictions, as well as the general public, for the above purpose. </w:t>
      </w:r>
    </w:p>
    <w:p w:rsidR="004E6C32" w:rsidRPr="006A75A2" w:rsidRDefault="004E6C32" w:rsidP="004B5CB1"/>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68" w:name="_Toc400040284"/>
      <w:r w:rsidRPr="006A75A2">
        <w:rPr>
          <w:kern w:val="0"/>
        </w:rPr>
        <w:lastRenderedPageBreak/>
        <w:t>Note 37:</w:t>
      </w:r>
      <w:r w:rsidRPr="006A75A2">
        <w:rPr>
          <w:kern w:val="0"/>
        </w:rPr>
        <w:tab/>
        <w:t>Restatement of certain 2012-13 balances due to item reclassifications</w:t>
      </w:r>
      <w:bookmarkEnd w:id="68"/>
    </w:p>
    <w:p w:rsidR="004E6C32" w:rsidRPr="006A75A2" w:rsidRDefault="004E6C32" w:rsidP="004B5CB1">
      <w:r w:rsidRPr="006A75A2">
        <w:t xml:space="preserve">The following outlines restatements of certain 2012-13 previously published balances resulting from new or updated information available subsequent to publication of the </w:t>
      </w:r>
      <w:r w:rsidRPr="006A75A2">
        <w:rPr>
          <w:i/>
        </w:rPr>
        <w:t>2012-13 Financial Report for the State of Victoria</w:t>
      </w:r>
      <w:r w:rsidRPr="006A75A2">
        <w:t>. The following represent restatements for the consolidated operating statement and balance sheet only, noting that there have been other restatements which have been disclosed in individual notes.</w:t>
      </w:r>
    </w:p>
    <w:p w:rsidR="004E6C32" w:rsidRPr="006A75A2" w:rsidRDefault="004E6C32" w:rsidP="004B5CB1">
      <w:pPr>
        <w:pStyle w:val="Heading4"/>
        <w:rPr>
          <w:rFonts w:eastAsia="Tahoma"/>
        </w:rPr>
      </w:pPr>
      <w:r w:rsidRPr="006A75A2">
        <w:rPr>
          <w:rFonts w:eastAsia="Tahoma"/>
        </w:rPr>
        <w:t xml:space="preserve">Restatement of </w:t>
      </w:r>
      <w:r w:rsidRPr="006A75A2">
        <w:t>financial assets and payables</w:t>
      </w:r>
    </w:p>
    <w:p w:rsidR="004E6C32" w:rsidRPr="006A75A2" w:rsidRDefault="004E6C32" w:rsidP="004B5CB1">
      <w:r w:rsidRPr="006A75A2">
        <w:t xml:space="preserve">Certain financial assets (receivables, and investment loans and placements) and payables balances as at 30 June 2013 for the State of Victoria have been restated for comparative purposes in the 2013-14 financial statements. The restatement of these balances, totalling $308.8 million, has no impact on the overall net worth of the State of Victoria. </w:t>
      </w:r>
    </w:p>
    <w:p w:rsidR="004E6C32" w:rsidRPr="006A75A2" w:rsidRDefault="004E6C32" w:rsidP="004B5CB1">
      <w:pPr>
        <w:pStyle w:val="Heading4"/>
        <w:rPr>
          <w:rFonts w:eastAsia="Tahoma"/>
        </w:rPr>
      </w:pPr>
      <w:r w:rsidRPr="006A75A2">
        <w:rPr>
          <w:rFonts w:eastAsia="Tahoma"/>
        </w:rPr>
        <w:t>Restatement of accumulated surplus and reserve balances</w:t>
      </w:r>
    </w:p>
    <w:p w:rsidR="004E6C32" w:rsidRPr="006A75A2" w:rsidRDefault="004E6C32" w:rsidP="004B5CB1">
      <w:r w:rsidRPr="006A75A2">
        <w:t>$1 787.9 million in accumulated surpluses have been reclassified to reserves for the State of Victoria to effect a restatement of associated tax and revaluation accounts.</w:t>
      </w:r>
    </w:p>
    <w:p w:rsidR="004E6C32" w:rsidRPr="006A75A2" w:rsidRDefault="004E6C32" w:rsidP="004B5CB1">
      <w:pPr>
        <w:rPr>
          <w:szCs w:val="24"/>
        </w:rPr>
      </w:pPr>
      <w:r w:rsidRPr="006A75A2">
        <w:rPr>
          <w:szCs w:val="24"/>
        </w:rPr>
        <w:t>In addition, the restatement has the effect of:</w:t>
      </w:r>
    </w:p>
    <w:p w:rsidR="004E6C32" w:rsidRPr="006A75A2" w:rsidRDefault="004E6C32" w:rsidP="004B5CB1">
      <w:pPr>
        <w:pStyle w:val="BulletText"/>
      </w:pPr>
      <w:r w:rsidRPr="006A75A2">
        <w:t xml:space="preserve">amending the </w:t>
      </w:r>
      <w:r w:rsidR="00C96101" w:rsidRPr="006A75A2">
        <w:t>‘</w:t>
      </w:r>
      <w:r w:rsidRPr="006A75A2">
        <w:t>Net gain/(loss) on equity investments in other sector entities at proportional share of the carrying amount of net assets</w:t>
      </w:r>
      <w:r w:rsidR="00C96101" w:rsidRPr="006A75A2">
        <w:t>’</w:t>
      </w:r>
      <w:r w:rsidRPr="006A75A2">
        <w:t xml:space="preserve"> in the general government comprehensive operating statement by $312.5 million for 2012-13;</w:t>
      </w:r>
    </w:p>
    <w:p w:rsidR="004E6C32" w:rsidRPr="006A75A2" w:rsidRDefault="004E6C32" w:rsidP="004B5CB1">
      <w:pPr>
        <w:pStyle w:val="BulletText"/>
      </w:pPr>
      <w:r w:rsidRPr="006A75A2">
        <w:t xml:space="preserve">amending the </w:t>
      </w:r>
      <w:r w:rsidR="00C96101" w:rsidRPr="006A75A2">
        <w:t>‘</w:t>
      </w:r>
      <w:r w:rsidRPr="006A75A2">
        <w:t>Investments in other sector entities</w:t>
      </w:r>
      <w:r w:rsidR="00C96101" w:rsidRPr="006A75A2">
        <w:t>’</w:t>
      </w:r>
      <w:r w:rsidRPr="006A75A2">
        <w:t xml:space="preserve"> by $225.3 million on the consolidated general government balance sheet; and</w:t>
      </w:r>
    </w:p>
    <w:p w:rsidR="004E6C32" w:rsidRPr="006A75A2" w:rsidRDefault="004E6C32" w:rsidP="004B5CB1">
      <w:pPr>
        <w:pStyle w:val="BulletText"/>
      </w:pPr>
      <w:r w:rsidRPr="006A75A2">
        <w:t xml:space="preserve">reclassifying </w:t>
      </w:r>
      <w:r w:rsidR="00C96101" w:rsidRPr="006A75A2">
        <w:t>‘</w:t>
      </w:r>
      <w:r w:rsidRPr="006A75A2">
        <w:t>changes in non-financial assets revaluation surplus</w:t>
      </w:r>
      <w:r w:rsidR="00C96101" w:rsidRPr="006A75A2">
        <w:t>’</w:t>
      </w:r>
      <w:r w:rsidRPr="006A75A2">
        <w:t xml:space="preserve"> to </w:t>
      </w:r>
      <w:r w:rsidR="00C96101" w:rsidRPr="006A75A2">
        <w:t>‘</w:t>
      </w:r>
      <w:r w:rsidRPr="006A75A2">
        <w:t>other movements in equity</w:t>
      </w:r>
      <w:r w:rsidR="00C96101" w:rsidRPr="006A75A2">
        <w:t>’</w:t>
      </w:r>
      <w:r w:rsidRPr="006A75A2">
        <w:t xml:space="preserve"> in the State of Victoria comprehensive operating statement by $301.2 million.</w:t>
      </w:r>
    </w:p>
    <w:p w:rsidR="004E6C32" w:rsidRPr="006A75A2" w:rsidRDefault="004E6C32" w:rsidP="004B5CB1">
      <w:r w:rsidRPr="006A75A2">
        <w:t>There was a further restatement of $20.3 million for the general government sector relating to a classification change between other reserves and accumulated surplus.</w:t>
      </w:r>
    </w:p>
    <w:p w:rsidR="004E6C32" w:rsidRPr="006A75A2" w:rsidRDefault="004E6C32" w:rsidP="004B5CB1">
      <w:r w:rsidRPr="006A75A2">
        <w:t>The restatement of these balances has no impact on the overall net worth of the State of Victoria.</w:t>
      </w:r>
      <w:r w:rsidRPr="006A75A2" w:rsidDel="001D6650">
        <w:t xml:space="preserve"> </w:t>
      </w:r>
    </w:p>
    <w:p w:rsidR="004E6C32" w:rsidRPr="006A75A2" w:rsidRDefault="004E6C32" w:rsidP="004B5CB1">
      <w:pPr>
        <w:pStyle w:val="Heading4"/>
        <w:rPr>
          <w:rFonts w:eastAsia="Tahoma"/>
        </w:rPr>
      </w:pPr>
      <w:r w:rsidRPr="006A75A2">
        <w:rPr>
          <w:rFonts w:eastAsia="Tahoma"/>
        </w:rPr>
        <w:t xml:space="preserve">AASB 119 Employee benefits </w:t>
      </w:r>
    </w:p>
    <w:p w:rsidR="004E6C32" w:rsidRPr="006A75A2" w:rsidRDefault="004E6C32" w:rsidP="004B5CB1">
      <w:r w:rsidRPr="006A75A2">
        <w:t>In 2013</w:t>
      </w:r>
      <w:r w:rsidRPr="006A75A2">
        <w:noBreakHyphen/>
        <w:t xml:space="preserve">14, the State applied the revised AASB 119 </w:t>
      </w:r>
      <w:r w:rsidRPr="006A75A2">
        <w:rPr>
          <w:i/>
        </w:rPr>
        <w:t>Employee benefits</w:t>
      </w:r>
      <w:r w:rsidRPr="006A75A2">
        <w:t xml:space="preserve"> for the first time as required by the accounting standard. Further information regarding the changes can be found in Note 1(F) </w:t>
      </w:r>
      <w:r w:rsidRPr="006A75A2">
        <w:rPr>
          <w:i/>
        </w:rPr>
        <w:t>Changes in accounting policies</w:t>
      </w:r>
      <w:r w:rsidRPr="006A75A2">
        <w:t>.</w:t>
      </w:r>
    </w:p>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37:</w:t>
      </w:r>
      <w:r w:rsidRPr="006A75A2">
        <w:rPr>
          <w:kern w:val="0"/>
        </w:rPr>
        <w:tab/>
        <w:t xml:space="preserve">Restatement of certain 2012-13 balances due to item reclassifications </w:t>
      </w:r>
      <w:r w:rsidRPr="006A75A2">
        <w:rPr>
          <w:i/>
          <w:kern w:val="0"/>
        </w:rPr>
        <w:t>(continued)</w:t>
      </w:r>
    </w:p>
    <w:p w:rsidR="004E6C32" w:rsidRPr="006A75A2" w:rsidRDefault="004E6C32" w:rsidP="0067336F">
      <w:pPr>
        <w:pStyle w:val="Heading5"/>
      </w:pPr>
      <w:r w:rsidRPr="006A75A2">
        <w:t>Restated balance sheet for the year ending 30 June</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3293"/>
        <w:gridCol w:w="1078"/>
        <w:gridCol w:w="1120"/>
        <w:gridCol w:w="965"/>
        <w:gridCol w:w="1120"/>
        <w:gridCol w:w="1064"/>
        <w:gridCol w:w="1000"/>
      </w:tblGrid>
      <w:tr w:rsidR="006E60A8" w:rsidRPr="006A75A2" w:rsidTr="006E60A8">
        <w:trPr>
          <w:cantSplit/>
          <w:tblHeader/>
        </w:trPr>
        <w:tc>
          <w:tcPr>
            <w:tcW w:w="3293" w:type="dxa"/>
            <w:tcBorders>
              <w:top w:val="single" w:sz="6" w:space="0" w:color="auto"/>
              <w:left w:val="single" w:sz="6" w:space="0" w:color="auto"/>
              <w:bottom w:val="nil"/>
              <w:right w:val="nil"/>
            </w:tcBorders>
            <w:shd w:val="clear" w:color="000000" w:fill="000000"/>
          </w:tcPr>
          <w:p w:rsidR="006E60A8" w:rsidRPr="006A75A2" w:rsidRDefault="006E60A8" w:rsidP="004B5CB1">
            <w:pPr>
              <w:pStyle w:val="Tabletext"/>
              <w:rPr>
                <w:rFonts w:eastAsiaTheme="minorEastAsia"/>
                <w:sz w:val="20"/>
                <w:lang w:eastAsia="en-AU"/>
              </w:rPr>
            </w:pPr>
            <w:r w:rsidRPr="006A75A2">
              <w:rPr>
                <w:rFonts w:eastAsiaTheme="minorEastAsia"/>
                <w:sz w:val="20"/>
                <w:lang w:eastAsia="en-AU"/>
              </w:rPr>
              <w:t xml:space="preserve"> </w:t>
            </w:r>
          </w:p>
        </w:tc>
        <w:tc>
          <w:tcPr>
            <w:tcW w:w="3163" w:type="dxa"/>
            <w:gridSpan w:val="3"/>
            <w:tcBorders>
              <w:top w:val="single" w:sz="6" w:space="0" w:color="auto"/>
              <w:left w:val="nil"/>
              <w:bottom w:val="nil"/>
              <w:right w:val="nil"/>
            </w:tcBorders>
            <w:shd w:val="clear" w:color="000000" w:fill="000000"/>
          </w:tcPr>
          <w:p w:rsidR="006E60A8" w:rsidRPr="006A75A2" w:rsidRDefault="006E60A8" w:rsidP="004B5CB1">
            <w:pPr>
              <w:pStyle w:val="Tabletextheading"/>
              <w:jc w:val="center"/>
              <w:rPr>
                <w:rFonts w:eastAsiaTheme="minorEastAsia"/>
                <w:sz w:val="20"/>
                <w:lang w:eastAsia="en-AU"/>
              </w:rPr>
            </w:pPr>
          </w:p>
          <w:p w:rsidR="006E60A8" w:rsidRPr="006A75A2" w:rsidRDefault="006E60A8" w:rsidP="004B5CB1">
            <w:pPr>
              <w:pStyle w:val="Tabletextheading"/>
              <w:jc w:val="center"/>
              <w:rPr>
                <w:rFonts w:eastAsiaTheme="minorEastAsia"/>
                <w:sz w:val="20"/>
                <w:lang w:eastAsia="en-AU"/>
              </w:rPr>
            </w:pPr>
            <w:r w:rsidRPr="006A75A2">
              <w:rPr>
                <w:rFonts w:eastAsiaTheme="minorEastAsia"/>
                <w:sz w:val="20"/>
                <w:lang w:eastAsia="en-AU"/>
              </w:rPr>
              <w:t>State of Victoria</w:t>
            </w:r>
          </w:p>
        </w:tc>
        <w:tc>
          <w:tcPr>
            <w:tcW w:w="3184" w:type="dxa"/>
            <w:gridSpan w:val="3"/>
            <w:tcBorders>
              <w:top w:val="single" w:sz="6" w:space="0" w:color="auto"/>
              <w:left w:val="nil"/>
              <w:bottom w:val="nil"/>
              <w:right w:val="single" w:sz="6" w:space="0" w:color="auto"/>
            </w:tcBorders>
            <w:shd w:val="clear" w:color="000000" w:fill="000000"/>
          </w:tcPr>
          <w:p w:rsidR="006E60A8" w:rsidRPr="006A75A2" w:rsidRDefault="006E60A8" w:rsidP="006E60A8">
            <w:pPr>
              <w:pStyle w:val="Tabletextheading"/>
              <w:jc w:val="center"/>
              <w:rPr>
                <w:rFonts w:eastAsiaTheme="minorEastAsia"/>
                <w:sz w:val="20"/>
                <w:lang w:eastAsia="en-AU"/>
              </w:rPr>
            </w:pPr>
            <w:r w:rsidRPr="006A75A2">
              <w:rPr>
                <w:rFonts w:eastAsiaTheme="minorEastAsia"/>
                <w:sz w:val="20"/>
                <w:lang w:eastAsia="en-AU"/>
              </w:rPr>
              <w:t>General</w:t>
            </w:r>
            <w:r w:rsidRPr="006A75A2">
              <w:rPr>
                <w:rFonts w:eastAsiaTheme="minorEastAsia"/>
                <w:sz w:val="20"/>
                <w:lang w:eastAsia="en-AU"/>
              </w:rPr>
              <w:br/>
              <w:t>government sector</w:t>
            </w:r>
          </w:p>
        </w:tc>
      </w:tr>
      <w:tr w:rsidR="004E6C32" w:rsidRPr="006A75A2" w:rsidTr="004B5CB1">
        <w:trPr>
          <w:cantSplit/>
          <w:tblHeader/>
        </w:trPr>
        <w:tc>
          <w:tcPr>
            <w:tcW w:w="3293"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 xml:space="preserve"> </w:t>
            </w:r>
          </w:p>
        </w:tc>
        <w:tc>
          <w:tcPr>
            <w:tcW w:w="1078" w:type="dxa"/>
            <w:tcBorders>
              <w:top w:val="nil"/>
              <w:left w:val="nil"/>
              <w:bottom w:val="single" w:sz="6" w:space="0" w:color="auto"/>
              <w:right w:val="nil"/>
            </w:tcBorders>
            <w:shd w:val="clear" w:color="000000" w:fill="000000"/>
          </w:tcPr>
          <w:p w:rsidR="006E60A8" w:rsidRPr="006A75A2" w:rsidRDefault="006E60A8" w:rsidP="004B5CB1">
            <w:pPr>
              <w:pStyle w:val="Tabletextheading"/>
              <w:rPr>
                <w:rFonts w:eastAsiaTheme="minorEastAsia"/>
                <w:sz w:val="20"/>
                <w:lang w:eastAsia="en-AU"/>
              </w:rPr>
            </w:pPr>
          </w:p>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As reported in 2013</w:t>
            </w:r>
          </w:p>
        </w:tc>
        <w:tc>
          <w:tcPr>
            <w:tcW w:w="1120" w:type="dxa"/>
            <w:tcBorders>
              <w:top w:val="nil"/>
              <w:left w:val="nil"/>
              <w:bottom w:val="single" w:sz="6" w:space="0" w:color="auto"/>
              <w:right w:val="nil"/>
            </w:tcBorders>
            <w:shd w:val="clear" w:color="000000" w:fill="000000"/>
          </w:tcPr>
          <w:p w:rsidR="006E60A8" w:rsidRPr="006A75A2" w:rsidRDefault="006E60A8" w:rsidP="004B5CB1">
            <w:pPr>
              <w:pStyle w:val="Tabletextheading"/>
              <w:rPr>
                <w:rFonts w:eastAsiaTheme="minorEastAsia"/>
                <w:sz w:val="20"/>
                <w:lang w:eastAsia="en-AU"/>
              </w:rPr>
            </w:pPr>
          </w:p>
          <w:p w:rsidR="006E60A8" w:rsidRPr="006A75A2" w:rsidRDefault="006E60A8" w:rsidP="004B5CB1">
            <w:pPr>
              <w:pStyle w:val="Tabletextheading"/>
              <w:rPr>
                <w:rFonts w:eastAsiaTheme="minorEastAsia"/>
                <w:sz w:val="20"/>
                <w:lang w:eastAsia="en-AU"/>
              </w:rPr>
            </w:pPr>
          </w:p>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Adjustment</w:t>
            </w:r>
          </w:p>
        </w:tc>
        <w:tc>
          <w:tcPr>
            <w:tcW w:w="965"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Restated 2013 Balance</w:t>
            </w:r>
          </w:p>
        </w:tc>
        <w:tc>
          <w:tcPr>
            <w:tcW w:w="1120" w:type="dxa"/>
            <w:tcBorders>
              <w:top w:val="nil"/>
              <w:left w:val="nil"/>
              <w:bottom w:val="single" w:sz="6" w:space="0" w:color="auto"/>
              <w:right w:val="nil"/>
            </w:tcBorders>
            <w:shd w:val="clear" w:color="000000" w:fill="000000"/>
          </w:tcPr>
          <w:p w:rsidR="006E60A8" w:rsidRPr="006A75A2" w:rsidRDefault="006E60A8" w:rsidP="004B5CB1">
            <w:pPr>
              <w:pStyle w:val="Tabletextheading"/>
              <w:rPr>
                <w:rFonts w:eastAsiaTheme="minorEastAsia"/>
                <w:sz w:val="20"/>
                <w:lang w:eastAsia="en-AU"/>
              </w:rPr>
            </w:pPr>
          </w:p>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As reported in 2013</w:t>
            </w:r>
          </w:p>
        </w:tc>
        <w:tc>
          <w:tcPr>
            <w:tcW w:w="1064" w:type="dxa"/>
            <w:tcBorders>
              <w:top w:val="nil"/>
              <w:left w:val="nil"/>
              <w:bottom w:val="single" w:sz="6" w:space="0" w:color="auto"/>
              <w:right w:val="nil"/>
            </w:tcBorders>
            <w:shd w:val="clear" w:color="000000" w:fill="000000"/>
          </w:tcPr>
          <w:p w:rsidR="006E60A8" w:rsidRPr="006A75A2" w:rsidRDefault="006E60A8" w:rsidP="004B5CB1">
            <w:pPr>
              <w:pStyle w:val="Tabletextheading"/>
              <w:rPr>
                <w:rFonts w:eastAsiaTheme="minorEastAsia"/>
                <w:sz w:val="20"/>
                <w:lang w:eastAsia="en-AU"/>
              </w:rPr>
            </w:pPr>
          </w:p>
          <w:p w:rsidR="006E60A8" w:rsidRPr="006A75A2" w:rsidRDefault="006E60A8" w:rsidP="004B5CB1">
            <w:pPr>
              <w:pStyle w:val="Tabletextheading"/>
              <w:rPr>
                <w:rFonts w:eastAsiaTheme="minorEastAsia"/>
                <w:sz w:val="20"/>
                <w:lang w:eastAsia="en-AU"/>
              </w:rPr>
            </w:pPr>
          </w:p>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Adjustment</w:t>
            </w:r>
          </w:p>
        </w:tc>
        <w:tc>
          <w:tcPr>
            <w:tcW w:w="100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20"/>
                <w:lang w:eastAsia="en-AU"/>
              </w:rPr>
            </w:pPr>
            <w:r w:rsidRPr="006A75A2">
              <w:rPr>
                <w:rFonts w:eastAsiaTheme="minorEastAsia"/>
                <w:sz w:val="20"/>
                <w:lang w:eastAsia="en-AU"/>
              </w:rPr>
              <w:t>Restated 2013 Balance</w:t>
            </w:r>
          </w:p>
        </w:tc>
      </w:tr>
      <w:tr w:rsidR="006E60A8" w:rsidRPr="006A75A2" w:rsidTr="006E60A8">
        <w:trPr>
          <w:cantSplit/>
        </w:trPr>
        <w:tc>
          <w:tcPr>
            <w:tcW w:w="9640" w:type="dxa"/>
            <w:gridSpan w:val="7"/>
            <w:tcBorders>
              <w:top w:val="single" w:sz="6" w:space="0" w:color="auto"/>
              <w:left w:val="nil"/>
              <w:bottom w:val="nil"/>
              <w:right w:val="nil"/>
            </w:tcBorders>
          </w:tcPr>
          <w:p w:rsidR="006E60A8" w:rsidRPr="006A75A2" w:rsidRDefault="006E60A8" w:rsidP="006E60A8">
            <w:pPr>
              <w:pStyle w:val="Tabletext"/>
              <w:rPr>
                <w:rFonts w:eastAsiaTheme="minorEastAsia"/>
                <w:b/>
                <w:sz w:val="20"/>
                <w:lang w:eastAsia="en-AU"/>
              </w:rPr>
            </w:pPr>
            <w:r w:rsidRPr="006A75A2">
              <w:rPr>
                <w:rFonts w:eastAsiaTheme="minorEastAsia"/>
                <w:b/>
                <w:bCs/>
                <w:sz w:val="20"/>
                <w:lang w:eastAsia="en-AU"/>
              </w:rPr>
              <w:t>Assets</w:t>
            </w:r>
          </w:p>
        </w:tc>
      </w:tr>
      <w:tr w:rsidR="006E60A8" w:rsidRPr="006A75A2" w:rsidTr="006E60A8">
        <w:trPr>
          <w:cantSplit/>
        </w:trPr>
        <w:tc>
          <w:tcPr>
            <w:tcW w:w="9640" w:type="dxa"/>
            <w:gridSpan w:val="7"/>
            <w:tcBorders>
              <w:top w:val="nil"/>
              <w:left w:val="nil"/>
              <w:bottom w:val="nil"/>
              <w:right w:val="nil"/>
            </w:tcBorders>
          </w:tcPr>
          <w:p w:rsidR="006E60A8" w:rsidRPr="006A75A2" w:rsidRDefault="006E60A8" w:rsidP="006E60A8">
            <w:pPr>
              <w:pStyle w:val="Tabletext"/>
              <w:rPr>
                <w:rFonts w:eastAsiaTheme="minorEastAsia"/>
                <w:b/>
                <w:sz w:val="20"/>
                <w:lang w:eastAsia="en-AU"/>
              </w:rPr>
            </w:pPr>
            <w:r w:rsidRPr="006A75A2">
              <w:rPr>
                <w:rFonts w:eastAsiaTheme="minorEastAsia"/>
                <w:b/>
                <w:bCs/>
                <w:sz w:val="20"/>
                <w:lang w:eastAsia="en-AU"/>
              </w:rPr>
              <w:t>Financial assets</w:t>
            </w:r>
          </w:p>
        </w:tc>
      </w:tr>
      <w:tr w:rsidR="004E6C32" w:rsidRPr="006A75A2" w:rsidTr="004B5CB1">
        <w:trPr>
          <w:cantSplit/>
        </w:trPr>
        <w:tc>
          <w:tcPr>
            <w:tcW w:w="3293" w:type="dxa"/>
            <w:tcBorders>
              <w:top w:val="nil"/>
              <w:left w:val="nil"/>
              <w:bottom w:val="nil"/>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Receivables</w:t>
            </w:r>
            <w:r w:rsidRPr="006A75A2">
              <w:rPr>
                <w:rFonts w:eastAsiaTheme="minorEastAsia"/>
                <w:sz w:val="20"/>
                <w:vertAlign w:val="superscript"/>
                <w:lang w:eastAsia="en-AU"/>
              </w:rPr>
              <w:t>(a)</w:t>
            </w:r>
          </w:p>
        </w:tc>
        <w:tc>
          <w:tcPr>
            <w:tcW w:w="1078"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7 871.9</w:t>
            </w:r>
          </w:p>
        </w:tc>
        <w:tc>
          <w:tcPr>
            <w:tcW w:w="1120" w:type="dxa"/>
            <w:tcBorders>
              <w:top w:val="nil"/>
              <w:left w:val="nil"/>
              <w:bottom w:val="nil"/>
              <w:right w:val="nil"/>
            </w:tcBorders>
          </w:tcPr>
          <w:p w:rsidR="004E6C32" w:rsidRPr="006A75A2" w:rsidRDefault="00C96101" w:rsidP="004B5CB1">
            <w:pPr>
              <w:pStyle w:val="TableofFigures"/>
              <w:rPr>
                <w:rFonts w:eastAsiaTheme="minorEastAsia"/>
                <w:sz w:val="20"/>
                <w:lang w:eastAsia="en-AU"/>
              </w:rPr>
            </w:pPr>
            <w:r w:rsidRPr="006A75A2">
              <w:rPr>
                <w:rFonts w:eastAsiaTheme="minorEastAsia"/>
                <w:sz w:val="20"/>
                <w:lang w:eastAsia="en-AU"/>
              </w:rPr>
              <w:t>(469.0)</w:t>
            </w:r>
          </w:p>
        </w:tc>
        <w:tc>
          <w:tcPr>
            <w:tcW w:w="965"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7 402.9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5 061.0</w:t>
            </w:r>
          </w:p>
        </w:tc>
        <w:tc>
          <w:tcPr>
            <w:tcW w:w="106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00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5 061.0</w:t>
            </w:r>
          </w:p>
        </w:tc>
      </w:tr>
      <w:tr w:rsidR="004E6C32" w:rsidRPr="006A75A2" w:rsidTr="004B5CB1">
        <w:trPr>
          <w:cantSplit/>
        </w:trPr>
        <w:tc>
          <w:tcPr>
            <w:tcW w:w="3293" w:type="dxa"/>
            <w:tcBorders>
              <w:top w:val="nil"/>
              <w:left w:val="nil"/>
              <w:bottom w:val="nil"/>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Investments, loans and placements</w:t>
            </w:r>
            <w:r w:rsidRPr="006A75A2">
              <w:rPr>
                <w:rFonts w:eastAsiaTheme="minorEastAsia"/>
                <w:sz w:val="20"/>
                <w:vertAlign w:val="superscript"/>
                <w:lang w:eastAsia="en-AU"/>
              </w:rPr>
              <w:t>(a)</w:t>
            </w:r>
          </w:p>
        </w:tc>
        <w:tc>
          <w:tcPr>
            <w:tcW w:w="1078"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25 968.4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160.2</w:t>
            </w:r>
          </w:p>
        </w:tc>
        <w:tc>
          <w:tcPr>
            <w:tcW w:w="965"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26 128.7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3 383.4</w:t>
            </w:r>
          </w:p>
        </w:tc>
        <w:tc>
          <w:tcPr>
            <w:tcW w:w="106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00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3 383.4</w:t>
            </w:r>
          </w:p>
        </w:tc>
      </w:tr>
      <w:tr w:rsidR="004E6C32" w:rsidRPr="006A75A2" w:rsidTr="004B5CB1">
        <w:trPr>
          <w:cantSplit/>
        </w:trPr>
        <w:tc>
          <w:tcPr>
            <w:tcW w:w="3293" w:type="dxa"/>
            <w:tcBorders>
              <w:top w:val="nil"/>
              <w:left w:val="nil"/>
              <w:bottom w:val="single" w:sz="6" w:space="0" w:color="auto"/>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Investments in other sector entities</w:t>
            </w:r>
            <w:r w:rsidRPr="006A75A2">
              <w:rPr>
                <w:rFonts w:eastAsiaTheme="minorEastAsia"/>
                <w:sz w:val="20"/>
                <w:vertAlign w:val="superscript"/>
                <w:lang w:eastAsia="en-AU"/>
              </w:rPr>
              <w:t>(b)</w:t>
            </w:r>
          </w:p>
        </w:tc>
        <w:tc>
          <w:tcPr>
            <w:tcW w:w="1078"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965"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69 489.5</w:t>
            </w:r>
          </w:p>
        </w:tc>
        <w:tc>
          <w:tcPr>
            <w:tcW w:w="106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225.3</w:t>
            </w:r>
          </w:p>
        </w:tc>
        <w:tc>
          <w:tcPr>
            <w:tcW w:w="100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69 714.8</w:t>
            </w:r>
          </w:p>
        </w:tc>
      </w:tr>
      <w:tr w:rsidR="004E6C32" w:rsidRPr="006A75A2" w:rsidTr="004B5CB1">
        <w:trPr>
          <w:cantSplit/>
        </w:trPr>
        <w:tc>
          <w:tcPr>
            <w:tcW w:w="3293"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Total financial assets</w:t>
            </w:r>
          </w:p>
        </w:tc>
        <w:tc>
          <w:tcPr>
            <w:tcW w:w="107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43 486.5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(308.8)</w:t>
            </w:r>
          </w:p>
        </w:tc>
        <w:tc>
          <w:tcPr>
            <w:tcW w:w="965"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43 177.7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86 572.1</w:t>
            </w:r>
          </w:p>
        </w:tc>
        <w:tc>
          <w:tcPr>
            <w:tcW w:w="106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225.3</w:t>
            </w:r>
          </w:p>
        </w:tc>
        <w:tc>
          <w:tcPr>
            <w:tcW w:w="100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86 797.4</w:t>
            </w:r>
          </w:p>
        </w:tc>
      </w:tr>
      <w:tr w:rsidR="004E6C32" w:rsidRPr="006A75A2" w:rsidTr="004B5CB1">
        <w:trPr>
          <w:cantSplit/>
        </w:trPr>
        <w:tc>
          <w:tcPr>
            <w:tcW w:w="3293" w:type="dxa"/>
            <w:tcBorders>
              <w:top w:val="nil"/>
              <w:left w:val="nil"/>
              <w:bottom w:val="nil"/>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Total assets</w:t>
            </w:r>
          </w:p>
        </w:tc>
        <w:tc>
          <w:tcPr>
            <w:tcW w:w="1078"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236 056.6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(308.8)</w:t>
            </w:r>
          </w:p>
        </w:tc>
        <w:tc>
          <w:tcPr>
            <w:tcW w:w="965"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235 747.8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188 664.6</w:t>
            </w:r>
          </w:p>
        </w:tc>
        <w:tc>
          <w:tcPr>
            <w:tcW w:w="1064"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225.3</w:t>
            </w:r>
          </w:p>
        </w:tc>
        <w:tc>
          <w:tcPr>
            <w:tcW w:w="1000"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188 889.9</w:t>
            </w:r>
          </w:p>
        </w:tc>
      </w:tr>
      <w:tr w:rsidR="006E60A8" w:rsidRPr="006A75A2" w:rsidTr="006E60A8">
        <w:trPr>
          <w:cantSplit/>
        </w:trPr>
        <w:tc>
          <w:tcPr>
            <w:tcW w:w="9640" w:type="dxa"/>
            <w:gridSpan w:val="7"/>
            <w:tcBorders>
              <w:top w:val="nil"/>
              <w:left w:val="nil"/>
              <w:bottom w:val="nil"/>
              <w:right w:val="nil"/>
            </w:tcBorders>
          </w:tcPr>
          <w:p w:rsidR="006E60A8" w:rsidRPr="006A75A2" w:rsidRDefault="006E60A8" w:rsidP="006E60A8">
            <w:pPr>
              <w:pStyle w:val="Tabletext"/>
              <w:rPr>
                <w:rFonts w:eastAsiaTheme="minorEastAsia"/>
                <w:b/>
                <w:sz w:val="20"/>
                <w:lang w:eastAsia="en-AU"/>
              </w:rPr>
            </w:pPr>
            <w:r w:rsidRPr="006A75A2">
              <w:rPr>
                <w:rFonts w:eastAsiaTheme="minorEastAsia"/>
                <w:b/>
                <w:bCs/>
                <w:sz w:val="20"/>
                <w:lang w:eastAsia="en-AU"/>
              </w:rPr>
              <w:t>Liabilities</w:t>
            </w:r>
          </w:p>
        </w:tc>
      </w:tr>
      <w:tr w:rsidR="004E6C32" w:rsidRPr="006A75A2" w:rsidTr="004B5CB1">
        <w:trPr>
          <w:cantSplit/>
        </w:trPr>
        <w:tc>
          <w:tcPr>
            <w:tcW w:w="3293" w:type="dxa"/>
            <w:tcBorders>
              <w:top w:val="nil"/>
              <w:left w:val="nil"/>
              <w:bottom w:val="nil"/>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Payables</w:t>
            </w:r>
            <w:r w:rsidRPr="006A75A2">
              <w:rPr>
                <w:rFonts w:eastAsiaTheme="minorEastAsia"/>
                <w:sz w:val="20"/>
                <w:vertAlign w:val="superscript"/>
                <w:lang w:eastAsia="en-AU"/>
              </w:rPr>
              <w:t>(a)</w:t>
            </w:r>
          </w:p>
        </w:tc>
        <w:tc>
          <w:tcPr>
            <w:tcW w:w="1078"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8 506.0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(308.8)</w:t>
            </w:r>
          </w:p>
        </w:tc>
        <w:tc>
          <w:tcPr>
            <w:tcW w:w="965"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8 197.2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5 958.4</w:t>
            </w:r>
          </w:p>
        </w:tc>
        <w:tc>
          <w:tcPr>
            <w:tcW w:w="106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00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5 958.4</w:t>
            </w:r>
          </w:p>
        </w:tc>
      </w:tr>
      <w:tr w:rsidR="004E6C32" w:rsidRPr="006A75A2" w:rsidTr="004B5CB1">
        <w:trPr>
          <w:cantSplit/>
        </w:trPr>
        <w:tc>
          <w:tcPr>
            <w:tcW w:w="3293"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Total liabilities</w:t>
            </w:r>
          </w:p>
        </w:tc>
        <w:tc>
          <w:tcPr>
            <w:tcW w:w="1078"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112 424.5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(308.8)</w:t>
            </w:r>
          </w:p>
        </w:tc>
        <w:tc>
          <w:tcPr>
            <w:tcW w:w="965"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112 115.7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68 707.4</w:t>
            </w:r>
          </w:p>
        </w:tc>
        <w:tc>
          <w:tcPr>
            <w:tcW w:w="106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100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68 707.4</w:t>
            </w:r>
          </w:p>
        </w:tc>
      </w:tr>
      <w:tr w:rsidR="004E6C32" w:rsidRPr="006A75A2" w:rsidTr="004B5CB1">
        <w:trPr>
          <w:cantSplit/>
        </w:trPr>
        <w:tc>
          <w:tcPr>
            <w:tcW w:w="3293"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Net assets</w:t>
            </w:r>
          </w:p>
        </w:tc>
        <w:tc>
          <w:tcPr>
            <w:tcW w:w="1078"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123 632.1</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965"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123 632.1</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119 957.2</w:t>
            </w:r>
          </w:p>
        </w:tc>
        <w:tc>
          <w:tcPr>
            <w:tcW w:w="106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225.3</w:t>
            </w:r>
          </w:p>
        </w:tc>
        <w:tc>
          <w:tcPr>
            <w:tcW w:w="100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120 182.6</w:t>
            </w:r>
          </w:p>
        </w:tc>
      </w:tr>
      <w:tr w:rsidR="004E6C32" w:rsidRPr="006A75A2" w:rsidTr="004B5CB1">
        <w:trPr>
          <w:cantSplit/>
        </w:trPr>
        <w:tc>
          <w:tcPr>
            <w:tcW w:w="3293" w:type="dxa"/>
            <w:tcBorders>
              <w:top w:val="nil"/>
              <w:left w:val="nil"/>
              <w:bottom w:val="nil"/>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Accumulated surplus/(deficit)</w:t>
            </w:r>
            <w:r w:rsidRPr="006A75A2">
              <w:rPr>
                <w:rFonts w:eastAsiaTheme="minorEastAsia"/>
                <w:sz w:val="20"/>
                <w:vertAlign w:val="superscript"/>
                <w:lang w:eastAsia="en-AU"/>
              </w:rPr>
              <w:t>(b)</w:t>
            </w:r>
          </w:p>
        </w:tc>
        <w:tc>
          <w:tcPr>
            <w:tcW w:w="1078"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45 353.0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(1 787.9)</w:t>
            </w:r>
          </w:p>
        </w:tc>
        <w:tc>
          <w:tcPr>
            <w:tcW w:w="965"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43 565.1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43 174.7</w:t>
            </w:r>
          </w:p>
        </w:tc>
        <w:tc>
          <w:tcPr>
            <w:tcW w:w="106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1000"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43 174.7</w:t>
            </w:r>
          </w:p>
        </w:tc>
      </w:tr>
      <w:tr w:rsidR="004E6C32" w:rsidRPr="006A75A2" w:rsidTr="004B5CB1">
        <w:trPr>
          <w:cantSplit/>
        </w:trPr>
        <w:tc>
          <w:tcPr>
            <w:tcW w:w="3293" w:type="dxa"/>
            <w:tcBorders>
              <w:top w:val="nil"/>
              <w:left w:val="nil"/>
              <w:bottom w:val="single" w:sz="6" w:space="0" w:color="auto"/>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Reserves</w:t>
            </w:r>
            <w:r w:rsidRPr="006A75A2">
              <w:rPr>
                <w:rFonts w:eastAsiaTheme="minorEastAsia"/>
                <w:sz w:val="20"/>
                <w:vertAlign w:val="superscript"/>
                <w:lang w:eastAsia="en-AU"/>
              </w:rPr>
              <w:t>(b)</w:t>
            </w:r>
          </w:p>
        </w:tc>
        <w:tc>
          <w:tcPr>
            <w:tcW w:w="1078"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78 229.1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1 787.9</w:t>
            </w:r>
          </w:p>
        </w:tc>
        <w:tc>
          <w:tcPr>
            <w:tcW w:w="965"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80 017.0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76 732.5</w:t>
            </w:r>
          </w:p>
        </w:tc>
        <w:tc>
          <w:tcPr>
            <w:tcW w:w="1064"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225.3</w:t>
            </w:r>
          </w:p>
        </w:tc>
        <w:tc>
          <w:tcPr>
            <w:tcW w:w="100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76 957.9</w:t>
            </w:r>
          </w:p>
        </w:tc>
      </w:tr>
      <w:tr w:rsidR="004E6C32" w:rsidRPr="006A75A2" w:rsidTr="004B5CB1">
        <w:trPr>
          <w:cantSplit/>
        </w:trPr>
        <w:tc>
          <w:tcPr>
            <w:tcW w:w="329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Net worth</w:t>
            </w:r>
          </w:p>
        </w:tc>
        <w:tc>
          <w:tcPr>
            <w:tcW w:w="107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123 632.1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w:t>
            </w:r>
          </w:p>
        </w:tc>
        <w:tc>
          <w:tcPr>
            <w:tcW w:w="96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123 632.1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119 957.2</w:t>
            </w:r>
          </w:p>
        </w:tc>
        <w:tc>
          <w:tcPr>
            <w:tcW w:w="106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225.3</w:t>
            </w:r>
          </w:p>
        </w:tc>
        <w:tc>
          <w:tcPr>
            <w:tcW w:w="10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120 182.6</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Adjustments for this line relate to the restatement of financial assets and payables.</w:t>
      </w:r>
    </w:p>
    <w:p w:rsidR="004E6C32" w:rsidRPr="006A75A2" w:rsidRDefault="004E6C32" w:rsidP="004B5CB1">
      <w:pPr>
        <w:pStyle w:val="Notes"/>
      </w:pPr>
      <w:r w:rsidRPr="006A75A2">
        <w:t>(b)</w:t>
      </w:r>
      <w:r w:rsidRPr="006A75A2">
        <w:tab/>
        <w:t>Adjustments for this line relate to restatement of accumulated surplus and reserve balances.</w:t>
      </w:r>
    </w:p>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37:</w:t>
      </w:r>
      <w:r w:rsidRPr="006A75A2">
        <w:rPr>
          <w:kern w:val="0"/>
        </w:rPr>
        <w:tab/>
        <w:t xml:space="preserve">Restatement of certain 2012-13 balances due to item reclassifications </w:t>
      </w:r>
      <w:r w:rsidRPr="006A75A2">
        <w:rPr>
          <w:i/>
          <w:kern w:val="0"/>
        </w:rPr>
        <w:t>(continued)</w:t>
      </w:r>
    </w:p>
    <w:p w:rsidR="004E6C32" w:rsidRPr="006A75A2" w:rsidRDefault="004E6C32" w:rsidP="0067336F">
      <w:pPr>
        <w:pStyle w:val="Heading5"/>
        <w:rPr>
          <w:rFonts w:ascii="Times New Roman" w:hAnsi="Times New Roman"/>
          <w:sz w:val="20"/>
          <w:lang w:eastAsia="en-AU"/>
        </w:rPr>
      </w:pPr>
      <w:r w:rsidRPr="006A75A2">
        <w:t>Restated comprehensive operating statement for the financial year ended 30 June</w:t>
      </w:r>
    </w:p>
    <w:tbl>
      <w:tblPr>
        <w:tblW w:w="9640" w:type="dxa"/>
        <w:tblInd w:w="28" w:type="dxa"/>
        <w:tblLayout w:type="fixed"/>
        <w:tblCellMar>
          <w:left w:w="45" w:type="dxa"/>
          <w:right w:w="45" w:type="dxa"/>
        </w:tblCellMar>
        <w:tblLook w:val="0000" w:firstRow="0" w:lastRow="0" w:firstColumn="0" w:lastColumn="0" w:noHBand="0" w:noVBand="0"/>
      </w:tblPr>
      <w:tblGrid>
        <w:gridCol w:w="3784"/>
        <w:gridCol w:w="976"/>
        <w:gridCol w:w="976"/>
        <w:gridCol w:w="976"/>
        <w:gridCol w:w="976"/>
        <w:gridCol w:w="976"/>
        <w:gridCol w:w="976"/>
      </w:tblGrid>
      <w:tr w:rsidR="006E60A8" w:rsidRPr="006A75A2" w:rsidTr="006E60A8">
        <w:trPr>
          <w:cantSplit/>
          <w:tblHeader/>
        </w:trPr>
        <w:tc>
          <w:tcPr>
            <w:tcW w:w="3784" w:type="dxa"/>
            <w:tcBorders>
              <w:top w:val="single" w:sz="6" w:space="0" w:color="auto"/>
              <w:left w:val="single" w:sz="6" w:space="0" w:color="auto"/>
              <w:bottom w:val="single" w:sz="6" w:space="0" w:color="auto"/>
              <w:right w:val="nil"/>
            </w:tcBorders>
            <w:shd w:val="clear" w:color="000000" w:fill="000000"/>
          </w:tcPr>
          <w:p w:rsidR="006E60A8" w:rsidRPr="006A75A2" w:rsidRDefault="006E60A8" w:rsidP="004B5CB1">
            <w:pPr>
              <w:pStyle w:val="Tabletext"/>
              <w:rPr>
                <w:rFonts w:eastAsiaTheme="minorEastAsia"/>
                <w:sz w:val="20"/>
                <w:lang w:eastAsia="en-AU"/>
              </w:rPr>
            </w:pPr>
            <w:r w:rsidRPr="006A75A2">
              <w:rPr>
                <w:rFonts w:eastAsiaTheme="minorEastAsia"/>
                <w:sz w:val="20"/>
                <w:lang w:eastAsia="en-AU"/>
              </w:rPr>
              <w:t xml:space="preserve"> </w:t>
            </w:r>
          </w:p>
        </w:tc>
        <w:tc>
          <w:tcPr>
            <w:tcW w:w="2928" w:type="dxa"/>
            <w:gridSpan w:val="3"/>
            <w:tcBorders>
              <w:top w:val="single" w:sz="6" w:space="0" w:color="auto"/>
              <w:left w:val="nil"/>
              <w:bottom w:val="single" w:sz="6" w:space="0" w:color="auto"/>
              <w:right w:val="nil"/>
            </w:tcBorders>
            <w:shd w:val="clear" w:color="000000" w:fill="000000"/>
          </w:tcPr>
          <w:p w:rsidR="006E60A8" w:rsidRPr="006A75A2" w:rsidRDefault="006E60A8" w:rsidP="006E60A8">
            <w:pPr>
              <w:pStyle w:val="Tabletextheading"/>
              <w:jc w:val="center"/>
              <w:rPr>
                <w:rFonts w:eastAsiaTheme="minorEastAsia"/>
                <w:sz w:val="20"/>
                <w:lang w:eastAsia="en-AU"/>
              </w:rPr>
            </w:pPr>
            <w:r w:rsidRPr="006A75A2">
              <w:rPr>
                <w:rFonts w:eastAsiaTheme="minorEastAsia"/>
                <w:sz w:val="20"/>
                <w:lang w:eastAsia="en-AU"/>
              </w:rPr>
              <w:t>State of Victoria</w:t>
            </w:r>
          </w:p>
        </w:tc>
        <w:tc>
          <w:tcPr>
            <w:tcW w:w="2928" w:type="dxa"/>
            <w:gridSpan w:val="3"/>
            <w:tcBorders>
              <w:top w:val="single" w:sz="6" w:space="0" w:color="auto"/>
              <w:left w:val="nil"/>
              <w:bottom w:val="single" w:sz="6" w:space="0" w:color="auto"/>
              <w:right w:val="single" w:sz="6" w:space="0" w:color="auto"/>
            </w:tcBorders>
            <w:shd w:val="clear" w:color="000000" w:fill="000000"/>
          </w:tcPr>
          <w:p w:rsidR="006E60A8" w:rsidRPr="006A75A2" w:rsidRDefault="006E60A8" w:rsidP="006E60A8">
            <w:pPr>
              <w:pStyle w:val="Tabletextheading"/>
              <w:jc w:val="center"/>
              <w:rPr>
                <w:rFonts w:eastAsiaTheme="minorEastAsia"/>
                <w:sz w:val="20"/>
                <w:lang w:eastAsia="en-AU"/>
              </w:rPr>
            </w:pPr>
            <w:r w:rsidRPr="006A75A2">
              <w:rPr>
                <w:rFonts w:eastAsiaTheme="minorEastAsia"/>
                <w:sz w:val="20"/>
                <w:lang w:eastAsia="en-AU"/>
              </w:rPr>
              <w:t>General government sector</w:t>
            </w:r>
          </w:p>
        </w:tc>
      </w:tr>
      <w:tr w:rsidR="004E6C32" w:rsidRPr="006A75A2" w:rsidTr="004B5CB1">
        <w:trPr>
          <w:cantSplit/>
          <w:tblHeader/>
        </w:trPr>
        <w:tc>
          <w:tcPr>
            <w:tcW w:w="3784" w:type="dxa"/>
            <w:tcBorders>
              <w:top w:val="single" w:sz="6" w:space="0" w:color="auto"/>
              <w:left w:val="single" w:sz="6" w:space="0" w:color="auto"/>
              <w:bottom w:val="single" w:sz="6" w:space="0" w:color="auto"/>
              <w:right w:val="nil"/>
            </w:tcBorders>
            <w:shd w:val="clear" w:color="000000" w:fill="000000"/>
          </w:tcPr>
          <w:p w:rsidR="006E60A8" w:rsidRPr="006A75A2" w:rsidRDefault="006E60A8" w:rsidP="004B5CB1">
            <w:pPr>
              <w:pStyle w:val="Tabletext"/>
              <w:rPr>
                <w:rFonts w:eastAsiaTheme="minorEastAsia"/>
                <w:i/>
                <w:sz w:val="20"/>
                <w:lang w:eastAsia="en-AU"/>
              </w:rPr>
            </w:pPr>
          </w:p>
          <w:p w:rsidR="004E6C32" w:rsidRPr="006A75A2" w:rsidRDefault="004E6C32" w:rsidP="004B5CB1">
            <w:pPr>
              <w:pStyle w:val="Tabletext"/>
              <w:rPr>
                <w:rFonts w:eastAsiaTheme="minorEastAsia"/>
                <w:i/>
                <w:sz w:val="20"/>
                <w:lang w:eastAsia="en-AU"/>
              </w:rPr>
            </w:pPr>
            <w:r w:rsidRPr="006A75A2">
              <w:rPr>
                <w:rFonts w:eastAsiaTheme="minorEastAsia"/>
                <w:i/>
                <w:sz w:val="20"/>
                <w:lang w:eastAsia="en-AU"/>
              </w:rPr>
              <w:t>2013</w:t>
            </w:r>
          </w:p>
        </w:tc>
        <w:tc>
          <w:tcPr>
            <w:tcW w:w="976" w:type="dxa"/>
            <w:tcBorders>
              <w:top w:val="single" w:sz="6" w:space="0" w:color="auto"/>
              <w:left w:val="nil"/>
              <w:bottom w:val="single" w:sz="6" w:space="0" w:color="auto"/>
              <w:right w:val="nil"/>
            </w:tcBorders>
            <w:shd w:val="clear" w:color="000000" w:fill="000000"/>
          </w:tcPr>
          <w:p w:rsidR="006E60A8" w:rsidRPr="006A75A2" w:rsidRDefault="006E60A8" w:rsidP="004B5CB1">
            <w:pPr>
              <w:pStyle w:val="TableofFigures"/>
              <w:rPr>
                <w:rFonts w:eastAsiaTheme="minorEastAsia"/>
                <w:i/>
                <w:sz w:val="20"/>
                <w:lang w:eastAsia="en-AU"/>
              </w:rPr>
            </w:pPr>
          </w:p>
          <w:p w:rsidR="004E6C32" w:rsidRPr="006A75A2" w:rsidRDefault="004E6C32" w:rsidP="004B5CB1">
            <w:pPr>
              <w:pStyle w:val="TableofFigures"/>
              <w:rPr>
                <w:rFonts w:eastAsiaTheme="minorEastAsia"/>
                <w:i/>
                <w:sz w:val="20"/>
                <w:lang w:eastAsia="en-AU"/>
              </w:rPr>
            </w:pPr>
            <w:r w:rsidRPr="006A75A2">
              <w:rPr>
                <w:rFonts w:eastAsiaTheme="minorEastAsia"/>
                <w:i/>
                <w:sz w:val="20"/>
                <w:lang w:eastAsia="en-AU"/>
              </w:rPr>
              <w:t>Published</w:t>
            </w:r>
          </w:p>
        </w:tc>
        <w:tc>
          <w:tcPr>
            <w:tcW w:w="9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ofFigures"/>
              <w:rPr>
                <w:rFonts w:eastAsiaTheme="minorEastAsia"/>
                <w:i/>
                <w:sz w:val="20"/>
                <w:lang w:eastAsia="en-AU"/>
              </w:rPr>
            </w:pPr>
            <w:r w:rsidRPr="006A75A2">
              <w:rPr>
                <w:rFonts w:eastAsiaTheme="minorEastAsia"/>
                <w:i/>
                <w:sz w:val="20"/>
                <w:lang w:eastAsia="en-AU"/>
              </w:rPr>
              <w:t>Effect of change</w:t>
            </w:r>
          </w:p>
        </w:tc>
        <w:tc>
          <w:tcPr>
            <w:tcW w:w="976" w:type="dxa"/>
            <w:tcBorders>
              <w:top w:val="single" w:sz="6" w:space="0" w:color="auto"/>
              <w:left w:val="nil"/>
              <w:bottom w:val="single" w:sz="6" w:space="0" w:color="auto"/>
              <w:right w:val="nil"/>
            </w:tcBorders>
            <w:shd w:val="clear" w:color="000000" w:fill="000000"/>
          </w:tcPr>
          <w:p w:rsidR="006E60A8" w:rsidRPr="006A75A2" w:rsidRDefault="006E60A8" w:rsidP="004B5CB1">
            <w:pPr>
              <w:pStyle w:val="TableofFigures"/>
              <w:rPr>
                <w:rFonts w:eastAsiaTheme="minorEastAsia"/>
                <w:i/>
                <w:sz w:val="20"/>
                <w:lang w:eastAsia="en-AU"/>
              </w:rPr>
            </w:pPr>
          </w:p>
          <w:p w:rsidR="004E6C32" w:rsidRPr="006A75A2" w:rsidRDefault="004E6C32" w:rsidP="004B5CB1">
            <w:pPr>
              <w:pStyle w:val="TableofFigures"/>
              <w:rPr>
                <w:rFonts w:eastAsiaTheme="minorEastAsia"/>
                <w:i/>
                <w:sz w:val="20"/>
                <w:lang w:eastAsia="en-AU"/>
              </w:rPr>
            </w:pPr>
            <w:r w:rsidRPr="006A75A2">
              <w:rPr>
                <w:rFonts w:eastAsiaTheme="minorEastAsia"/>
                <w:i/>
                <w:sz w:val="20"/>
                <w:lang w:eastAsia="en-AU"/>
              </w:rPr>
              <w:t>Restated</w:t>
            </w:r>
          </w:p>
        </w:tc>
        <w:tc>
          <w:tcPr>
            <w:tcW w:w="976" w:type="dxa"/>
            <w:tcBorders>
              <w:top w:val="single" w:sz="6" w:space="0" w:color="auto"/>
              <w:left w:val="nil"/>
              <w:bottom w:val="single" w:sz="6" w:space="0" w:color="auto"/>
              <w:right w:val="nil"/>
            </w:tcBorders>
            <w:shd w:val="clear" w:color="000000" w:fill="000000"/>
          </w:tcPr>
          <w:p w:rsidR="006E60A8" w:rsidRPr="006A75A2" w:rsidRDefault="006E60A8" w:rsidP="004B5CB1">
            <w:pPr>
              <w:pStyle w:val="TableofFigures"/>
              <w:rPr>
                <w:rFonts w:eastAsiaTheme="minorEastAsia"/>
                <w:i/>
                <w:sz w:val="20"/>
                <w:lang w:eastAsia="en-AU"/>
              </w:rPr>
            </w:pPr>
          </w:p>
          <w:p w:rsidR="004E6C32" w:rsidRPr="006A75A2" w:rsidRDefault="004E6C32" w:rsidP="004B5CB1">
            <w:pPr>
              <w:pStyle w:val="TableofFigures"/>
              <w:rPr>
                <w:rFonts w:eastAsiaTheme="minorEastAsia"/>
                <w:i/>
                <w:sz w:val="20"/>
                <w:lang w:eastAsia="en-AU"/>
              </w:rPr>
            </w:pPr>
            <w:r w:rsidRPr="006A75A2">
              <w:rPr>
                <w:rFonts w:eastAsiaTheme="minorEastAsia"/>
                <w:i/>
                <w:sz w:val="20"/>
                <w:lang w:eastAsia="en-AU"/>
              </w:rPr>
              <w:t>Published</w:t>
            </w:r>
          </w:p>
        </w:tc>
        <w:tc>
          <w:tcPr>
            <w:tcW w:w="9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ofFigures"/>
              <w:rPr>
                <w:rFonts w:eastAsiaTheme="minorEastAsia"/>
                <w:i/>
                <w:sz w:val="20"/>
                <w:lang w:eastAsia="en-AU"/>
              </w:rPr>
            </w:pPr>
            <w:r w:rsidRPr="006A75A2">
              <w:rPr>
                <w:rFonts w:eastAsiaTheme="minorEastAsia"/>
                <w:i/>
                <w:sz w:val="20"/>
                <w:lang w:eastAsia="en-AU"/>
              </w:rPr>
              <w:t>Effect of change</w:t>
            </w:r>
          </w:p>
        </w:tc>
        <w:tc>
          <w:tcPr>
            <w:tcW w:w="976" w:type="dxa"/>
            <w:tcBorders>
              <w:top w:val="single" w:sz="6" w:space="0" w:color="auto"/>
              <w:left w:val="nil"/>
              <w:bottom w:val="single" w:sz="6" w:space="0" w:color="auto"/>
              <w:right w:val="single" w:sz="6" w:space="0" w:color="auto"/>
            </w:tcBorders>
            <w:shd w:val="clear" w:color="000000" w:fill="000000"/>
          </w:tcPr>
          <w:p w:rsidR="006E60A8" w:rsidRPr="006A75A2" w:rsidRDefault="006E60A8" w:rsidP="004B5CB1">
            <w:pPr>
              <w:pStyle w:val="TableofFigures"/>
              <w:rPr>
                <w:rFonts w:eastAsiaTheme="minorEastAsia"/>
                <w:i/>
                <w:sz w:val="20"/>
                <w:lang w:eastAsia="en-AU"/>
              </w:rPr>
            </w:pPr>
          </w:p>
          <w:p w:rsidR="004E6C32" w:rsidRPr="006A75A2" w:rsidRDefault="004E6C32" w:rsidP="004B5CB1">
            <w:pPr>
              <w:pStyle w:val="TableofFigures"/>
              <w:rPr>
                <w:rFonts w:eastAsiaTheme="minorEastAsia"/>
                <w:i/>
                <w:sz w:val="20"/>
                <w:lang w:eastAsia="en-AU"/>
              </w:rPr>
            </w:pPr>
            <w:r w:rsidRPr="006A75A2">
              <w:rPr>
                <w:rFonts w:eastAsiaTheme="minorEastAsia"/>
                <w:i/>
                <w:sz w:val="20"/>
                <w:lang w:eastAsia="en-AU"/>
              </w:rPr>
              <w:t>Restated</w:t>
            </w:r>
          </w:p>
        </w:tc>
      </w:tr>
      <w:tr w:rsidR="004E6C32" w:rsidRPr="006A75A2" w:rsidTr="004B5CB1">
        <w:trPr>
          <w:cantSplit/>
        </w:trPr>
        <w:tc>
          <w:tcPr>
            <w:tcW w:w="3784" w:type="dxa"/>
            <w:tcBorders>
              <w:top w:val="single" w:sz="6" w:space="0" w:color="auto"/>
              <w:left w:val="nil"/>
              <w:bottom w:val="single" w:sz="6" w:space="0" w:color="auto"/>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Superannuation interest expense</w:t>
            </w:r>
            <w:r w:rsidRPr="006A75A2">
              <w:rPr>
                <w:rFonts w:eastAsiaTheme="minorEastAsia"/>
                <w:sz w:val="20"/>
                <w:vertAlign w:val="superscript"/>
                <w:lang w:eastAsia="en-AU"/>
              </w:rPr>
              <w:t>(a)</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443.8</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633.0</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1 076.8</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446.3</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633.0</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1 079.3</w:t>
            </w:r>
          </w:p>
        </w:tc>
      </w:tr>
      <w:tr w:rsidR="004E6C32" w:rsidRPr="006A75A2" w:rsidTr="004B5CB1">
        <w:trPr>
          <w:cantSplit/>
        </w:trPr>
        <w:tc>
          <w:tcPr>
            <w:tcW w:w="3784" w:type="dxa"/>
            <w:tcBorders>
              <w:top w:val="nil"/>
              <w:left w:val="nil"/>
              <w:bottom w:val="single" w:sz="12" w:space="0" w:color="auto"/>
              <w:right w:val="nil"/>
            </w:tcBorders>
          </w:tcPr>
          <w:p w:rsidR="004E6C32" w:rsidRPr="006A75A2" w:rsidRDefault="004E6C32" w:rsidP="008708FF">
            <w:pPr>
              <w:pStyle w:val="Tabletext"/>
              <w:rPr>
                <w:rFonts w:eastAsiaTheme="minorEastAsia"/>
                <w:b/>
                <w:bCs/>
                <w:sz w:val="20"/>
                <w:vertAlign w:val="superscript"/>
                <w:lang w:eastAsia="en-AU"/>
              </w:rPr>
            </w:pPr>
            <w:r w:rsidRPr="006A75A2">
              <w:rPr>
                <w:rFonts w:eastAsiaTheme="minorEastAsia"/>
                <w:b/>
                <w:bCs/>
                <w:sz w:val="20"/>
                <w:lang w:eastAsia="en-AU"/>
              </w:rPr>
              <w:t>Net result from transactions – net operating balance</w:t>
            </w:r>
            <w:r w:rsidR="008708FF" w:rsidRPr="006A75A2">
              <w:rPr>
                <w:rFonts w:eastAsiaTheme="minorEastAsia"/>
                <w:b/>
                <w:bCs/>
                <w:sz w:val="20"/>
                <w:vertAlign w:val="superscript"/>
                <w:lang w:eastAsia="en-AU"/>
              </w:rPr>
              <w:t>(</w:t>
            </w:r>
            <w:r w:rsidRPr="006A75A2">
              <w:rPr>
                <w:rFonts w:eastAsiaTheme="minorEastAsia"/>
                <w:b/>
                <w:bCs/>
                <w:sz w:val="20"/>
                <w:vertAlign w:val="superscript"/>
                <w:lang w:eastAsia="en-AU"/>
              </w:rPr>
              <w:t>a)</w:t>
            </w:r>
          </w:p>
        </w:tc>
        <w:tc>
          <w:tcPr>
            <w:tcW w:w="976"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(2 486.8)</w:t>
            </w:r>
          </w:p>
        </w:tc>
        <w:tc>
          <w:tcPr>
            <w:tcW w:w="976"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(633.0)</w:t>
            </w:r>
          </w:p>
        </w:tc>
        <w:tc>
          <w:tcPr>
            <w:tcW w:w="976"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20"/>
                <w:vertAlign w:val="superscript"/>
                <w:lang w:eastAsia="en-AU"/>
              </w:rPr>
            </w:pPr>
            <w:r w:rsidRPr="006A75A2">
              <w:rPr>
                <w:rFonts w:eastAsiaTheme="minorEastAsia"/>
                <w:b/>
                <w:bCs/>
                <w:sz w:val="20"/>
                <w:lang w:eastAsia="en-AU"/>
              </w:rPr>
              <w:t>(3 119.8)</w:t>
            </w:r>
            <w:r w:rsidRPr="006A75A2">
              <w:rPr>
                <w:rFonts w:eastAsiaTheme="minorEastAsia"/>
                <w:b/>
                <w:bCs/>
                <w:sz w:val="20"/>
                <w:vertAlign w:val="superscript"/>
                <w:lang w:eastAsia="en-AU"/>
              </w:rPr>
              <w:t>(a)</w:t>
            </w:r>
          </w:p>
        </w:tc>
        <w:tc>
          <w:tcPr>
            <w:tcW w:w="976"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316.4</w:t>
            </w:r>
          </w:p>
        </w:tc>
        <w:tc>
          <w:tcPr>
            <w:tcW w:w="976"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(633.0)</w:t>
            </w:r>
          </w:p>
        </w:tc>
        <w:tc>
          <w:tcPr>
            <w:tcW w:w="976"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20"/>
                <w:vertAlign w:val="superscript"/>
                <w:lang w:eastAsia="en-AU"/>
              </w:rPr>
            </w:pPr>
            <w:r w:rsidRPr="006A75A2">
              <w:rPr>
                <w:rFonts w:eastAsiaTheme="minorEastAsia"/>
                <w:b/>
                <w:bCs/>
                <w:sz w:val="20"/>
                <w:lang w:eastAsia="en-AU"/>
              </w:rPr>
              <w:t>(316.6)</w:t>
            </w:r>
            <w:r w:rsidRPr="006A75A2">
              <w:rPr>
                <w:rFonts w:eastAsiaTheme="minorEastAsia"/>
                <w:b/>
                <w:bCs/>
                <w:sz w:val="20"/>
                <w:vertAlign w:val="superscript"/>
                <w:lang w:eastAsia="en-AU"/>
              </w:rPr>
              <w:t>(a)</w:t>
            </w:r>
          </w:p>
        </w:tc>
      </w:tr>
      <w:tr w:rsidR="006E60A8" w:rsidRPr="006A75A2" w:rsidTr="006E60A8">
        <w:trPr>
          <w:cantSplit/>
        </w:trPr>
        <w:tc>
          <w:tcPr>
            <w:tcW w:w="9640" w:type="dxa"/>
            <w:gridSpan w:val="7"/>
            <w:tcBorders>
              <w:top w:val="nil"/>
              <w:left w:val="nil"/>
              <w:bottom w:val="nil"/>
              <w:right w:val="nil"/>
            </w:tcBorders>
          </w:tcPr>
          <w:p w:rsidR="006E60A8" w:rsidRPr="006A75A2" w:rsidRDefault="006E60A8" w:rsidP="006E60A8">
            <w:pPr>
              <w:pStyle w:val="Tabletext"/>
              <w:rPr>
                <w:rFonts w:eastAsiaTheme="minorEastAsia"/>
                <w:b/>
                <w:sz w:val="20"/>
                <w:lang w:eastAsia="en-AU"/>
              </w:rPr>
            </w:pPr>
            <w:r w:rsidRPr="006A75A2">
              <w:rPr>
                <w:rFonts w:eastAsiaTheme="minorEastAsia"/>
                <w:b/>
                <w:bCs/>
                <w:sz w:val="20"/>
                <w:lang w:eastAsia="en-AU"/>
              </w:rPr>
              <w:t>Other economic flows included in net result</w:t>
            </w:r>
          </w:p>
        </w:tc>
      </w:tr>
      <w:tr w:rsidR="004E6C32" w:rsidRPr="006A75A2" w:rsidTr="004B5CB1">
        <w:trPr>
          <w:cantSplit/>
        </w:trPr>
        <w:tc>
          <w:tcPr>
            <w:tcW w:w="3784" w:type="dxa"/>
            <w:tcBorders>
              <w:top w:val="nil"/>
              <w:left w:val="nil"/>
              <w:bottom w:val="nil"/>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Net actuarial gain/(loss) of superannuation defined benefits plans</w:t>
            </w:r>
            <w:r w:rsidRPr="006A75A2">
              <w:rPr>
                <w:rFonts w:eastAsiaTheme="minorEastAsia"/>
                <w:sz w:val="20"/>
                <w:vertAlign w:val="superscript"/>
                <w:lang w:eastAsia="en-AU"/>
              </w:rPr>
              <w:t>(a)</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7 356.8</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(7 356.8)</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7 314.8</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(7 314.8)</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r>
      <w:tr w:rsidR="004E6C32" w:rsidRPr="006A75A2" w:rsidTr="004B5CB1">
        <w:trPr>
          <w:cantSplit/>
        </w:trPr>
        <w:tc>
          <w:tcPr>
            <w:tcW w:w="3784" w:type="dxa"/>
            <w:tcBorders>
              <w:top w:val="single" w:sz="6" w:space="0" w:color="auto"/>
              <w:left w:val="nil"/>
              <w:bottom w:val="single" w:sz="6" w:space="0" w:color="auto"/>
              <w:right w:val="nil"/>
            </w:tcBorders>
          </w:tcPr>
          <w:p w:rsidR="004E6C32" w:rsidRPr="006A75A2" w:rsidRDefault="004E6C32" w:rsidP="008708FF">
            <w:pPr>
              <w:pStyle w:val="Tabletext"/>
              <w:rPr>
                <w:rFonts w:eastAsiaTheme="minorEastAsia"/>
                <w:b/>
                <w:bCs/>
                <w:sz w:val="20"/>
                <w:vertAlign w:val="superscript"/>
                <w:lang w:eastAsia="en-AU"/>
              </w:rPr>
            </w:pPr>
            <w:r w:rsidRPr="006A75A2">
              <w:rPr>
                <w:rFonts w:eastAsiaTheme="minorEastAsia"/>
                <w:b/>
                <w:bCs/>
                <w:sz w:val="20"/>
                <w:lang w:eastAsia="en-AU"/>
              </w:rPr>
              <w:t>Net result</w:t>
            </w:r>
            <w:r w:rsidRPr="006A75A2">
              <w:rPr>
                <w:rFonts w:eastAsiaTheme="minorEastAsia"/>
                <w:b/>
                <w:bCs/>
                <w:sz w:val="20"/>
                <w:vertAlign w:val="superscript"/>
                <w:lang w:eastAsia="en-AU"/>
              </w:rPr>
              <w:t>(a)</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9 525.8</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(7 989.8)</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1 536.0</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7 413.8</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(7 947.8)</w:t>
            </w:r>
          </w:p>
        </w:tc>
        <w:tc>
          <w:tcPr>
            <w:tcW w:w="9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(533.9)</w:t>
            </w:r>
          </w:p>
        </w:tc>
      </w:tr>
      <w:tr w:rsidR="006E60A8" w:rsidRPr="006A75A2" w:rsidTr="006E60A8">
        <w:trPr>
          <w:cantSplit/>
        </w:trPr>
        <w:tc>
          <w:tcPr>
            <w:tcW w:w="9640" w:type="dxa"/>
            <w:gridSpan w:val="7"/>
            <w:tcBorders>
              <w:top w:val="nil"/>
              <w:left w:val="nil"/>
              <w:bottom w:val="nil"/>
              <w:right w:val="nil"/>
            </w:tcBorders>
          </w:tcPr>
          <w:p w:rsidR="006E60A8" w:rsidRPr="006A75A2" w:rsidRDefault="006E60A8" w:rsidP="006E60A8">
            <w:pPr>
              <w:pStyle w:val="Tabletext"/>
              <w:rPr>
                <w:rFonts w:eastAsiaTheme="minorEastAsia"/>
                <w:b/>
                <w:bCs/>
                <w:sz w:val="20"/>
                <w:lang w:eastAsia="en-AU"/>
              </w:rPr>
            </w:pPr>
            <w:r w:rsidRPr="006A75A2">
              <w:rPr>
                <w:rFonts w:eastAsiaTheme="minorEastAsia"/>
                <w:b/>
                <w:bCs/>
                <w:sz w:val="20"/>
                <w:lang w:eastAsia="en-AU"/>
              </w:rPr>
              <w:t>Other economic flows – other comprehensive income</w:t>
            </w:r>
          </w:p>
        </w:tc>
      </w:tr>
      <w:tr w:rsidR="006E60A8" w:rsidRPr="006A75A2" w:rsidTr="006E60A8">
        <w:trPr>
          <w:cantSplit/>
        </w:trPr>
        <w:tc>
          <w:tcPr>
            <w:tcW w:w="9640" w:type="dxa"/>
            <w:gridSpan w:val="7"/>
            <w:tcBorders>
              <w:top w:val="nil"/>
              <w:left w:val="nil"/>
              <w:bottom w:val="nil"/>
              <w:right w:val="nil"/>
            </w:tcBorders>
          </w:tcPr>
          <w:p w:rsidR="006E60A8" w:rsidRPr="006A75A2" w:rsidRDefault="006E60A8" w:rsidP="006E60A8">
            <w:pPr>
              <w:pStyle w:val="Tabletext"/>
              <w:rPr>
                <w:rFonts w:eastAsiaTheme="minorEastAsia"/>
                <w:b/>
                <w:sz w:val="20"/>
                <w:lang w:eastAsia="en-AU"/>
              </w:rPr>
            </w:pPr>
            <w:r w:rsidRPr="006A75A2">
              <w:rPr>
                <w:rFonts w:eastAsiaTheme="minorEastAsia"/>
                <w:b/>
                <w:bCs/>
                <w:sz w:val="20"/>
                <w:lang w:eastAsia="en-AU"/>
              </w:rPr>
              <w:t>Items that will not be reclassified to net result</w:t>
            </w:r>
          </w:p>
        </w:tc>
      </w:tr>
      <w:tr w:rsidR="004E6C32" w:rsidRPr="006A75A2" w:rsidTr="004B5CB1">
        <w:trPr>
          <w:cantSplit/>
        </w:trPr>
        <w:tc>
          <w:tcPr>
            <w:tcW w:w="3784" w:type="dxa"/>
            <w:tcBorders>
              <w:top w:val="nil"/>
              <w:left w:val="nil"/>
              <w:bottom w:val="nil"/>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Changes in non-financial assets revaluation surplus</w:t>
            </w:r>
            <w:r w:rsidRPr="006A75A2">
              <w:rPr>
                <w:rFonts w:eastAsiaTheme="minorEastAsia"/>
                <w:sz w:val="20"/>
                <w:vertAlign w:val="superscript"/>
                <w:lang w:eastAsia="en-AU"/>
              </w:rPr>
              <w:t>(b)</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795.4</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(280.9)</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514.5</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700.5</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20.3</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720.7</w:t>
            </w:r>
          </w:p>
        </w:tc>
      </w:tr>
      <w:tr w:rsidR="004E6C32" w:rsidRPr="006A75A2" w:rsidTr="004B5CB1">
        <w:trPr>
          <w:cantSplit/>
        </w:trPr>
        <w:tc>
          <w:tcPr>
            <w:tcW w:w="3784" w:type="dxa"/>
            <w:tcBorders>
              <w:top w:val="nil"/>
              <w:left w:val="nil"/>
              <w:bottom w:val="nil"/>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Remeasurement of superannuation defined benefits plans</w:t>
            </w:r>
            <w:r w:rsidRPr="006A75A2">
              <w:rPr>
                <w:rFonts w:eastAsiaTheme="minorEastAsia"/>
                <w:sz w:val="20"/>
                <w:vertAlign w:val="superscript"/>
                <w:lang w:eastAsia="en-AU"/>
              </w:rPr>
              <w:t>(a)</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7 989.8</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7 989.8</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7 947.8</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7 947.8</w:t>
            </w:r>
          </w:p>
        </w:tc>
      </w:tr>
      <w:tr w:rsidR="004E6C32" w:rsidRPr="006A75A2" w:rsidTr="004B5CB1">
        <w:trPr>
          <w:cantSplit/>
        </w:trPr>
        <w:tc>
          <w:tcPr>
            <w:tcW w:w="3784" w:type="dxa"/>
            <w:tcBorders>
              <w:top w:val="nil"/>
              <w:left w:val="nil"/>
              <w:bottom w:val="nil"/>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Net gain/(loss) on equity investments in other sector entities at proportional share of the carrying amount of net asset</w:t>
            </w:r>
            <w:r w:rsidR="008708FF" w:rsidRPr="006A75A2">
              <w:rPr>
                <w:rFonts w:eastAsiaTheme="minorEastAsia"/>
                <w:sz w:val="20"/>
                <w:lang w:eastAsia="en-AU"/>
              </w:rPr>
              <w:t>s</w:t>
            </w:r>
            <w:r w:rsidRPr="006A75A2">
              <w:rPr>
                <w:rFonts w:eastAsiaTheme="minorEastAsia"/>
                <w:sz w:val="20"/>
                <w:vertAlign w:val="superscript"/>
                <w:lang w:eastAsia="en-AU"/>
              </w:rPr>
              <w:t>(b)</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(810.3)</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312.5</w:t>
            </w:r>
          </w:p>
        </w:tc>
        <w:tc>
          <w:tcPr>
            <w:tcW w:w="976"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(497.7)</w:t>
            </w:r>
          </w:p>
        </w:tc>
      </w:tr>
      <w:tr w:rsidR="004E6C32" w:rsidRPr="006A75A2" w:rsidTr="004B5CB1">
        <w:trPr>
          <w:cantSplit/>
        </w:trPr>
        <w:tc>
          <w:tcPr>
            <w:tcW w:w="3784" w:type="dxa"/>
            <w:tcBorders>
              <w:top w:val="nil"/>
              <w:left w:val="nil"/>
              <w:bottom w:val="single" w:sz="6" w:space="0" w:color="auto"/>
              <w:right w:val="nil"/>
            </w:tcBorders>
          </w:tcPr>
          <w:p w:rsidR="004E6C32" w:rsidRPr="006A75A2" w:rsidRDefault="004E6C32" w:rsidP="008708FF">
            <w:pPr>
              <w:pStyle w:val="Tabletext"/>
              <w:rPr>
                <w:rFonts w:eastAsiaTheme="minorEastAsia"/>
                <w:sz w:val="20"/>
                <w:vertAlign w:val="superscript"/>
                <w:lang w:eastAsia="en-AU"/>
              </w:rPr>
            </w:pPr>
            <w:r w:rsidRPr="006A75A2">
              <w:rPr>
                <w:rFonts w:eastAsiaTheme="minorEastAsia"/>
                <w:sz w:val="20"/>
                <w:lang w:eastAsia="en-AU"/>
              </w:rPr>
              <w:t>Other movements in equity</w:t>
            </w:r>
            <w:r w:rsidRPr="006A75A2">
              <w:rPr>
                <w:rFonts w:eastAsiaTheme="minorEastAsia"/>
                <w:sz w:val="20"/>
                <w:vertAlign w:val="superscript"/>
                <w:lang w:eastAsia="en-AU"/>
              </w:rPr>
              <w:t>(b)</w:t>
            </w:r>
          </w:p>
        </w:tc>
        <w:tc>
          <w:tcPr>
            <w:tcW w:w="97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369.3</w:t>
            </w:r>
          </w:p>
        </w:tc>
        <w:tc>
          <w:tcPr>
            <w:tcW w:w="97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280.9</w:t>
            </w:r>
          </w:p>
        </w:tc>
        <w:tc>
          <w:tcPr>
            <w:tcW w:w="97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650.2</w:t>
            </w:r>
          </w:p>
        </w:tc>
        <w:tc>
          <w:tcPr>
            <w:tcW w:w="97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869.4</w:t>
            </w:r>
          </w:p>
        </w:tc>
        <w:tc>
          <w:tcPr>
            <w:tcW w:w="97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(20.3)</w:t>
            </w:r>
          </w:p>
        </w:tc>
        <w:tc>
          <w:tcPr>
            <w:tcW w:w="97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849.1</w:t>
            </w:r>
          </w:p>
        </w:tc>
      </w:tr>
      <w:tr w:rsidR="004E6C32" w:rsidRPr="006A75A2" w:rsidTr="004B5CB1">
        <w:trPr>
          <w:cantSplit/>
        </w:trPr>
        <w:tc>
          <w:tcPr>
            <w:tcW w:w="3784" w:type="dxa"/>
            <w:tcBorders>
              <w:top w:val="single" w:sz="6" w:space="0" w:color="auto"/>
              <w:left w:val="nil"/>
              <w:bottom w:val="single" w:sz="12" w:space="0" w:color="000000"/>
              <w:right w:val="nil"/>
            </w:tcBorders>
            <w:shd w:val="clear" w:color="auto" w:fill="auto"/>
          </w:tcPr>
          <w:p w:rsidR="004E6C32" w:rsidRPr="006A75A2" w:rsidRDefault="004E6C32" w:rsidP="008708FF">
            <w:pPr>
              <w:pStyle w:val="Tabletext"/>
              <w:rPr>
                <w:rFonts w:eastAsiaTheme="minorEastAsia"/>
                <w:b/>
                <w:bCs/>
                <w:sz w:val="20"/>
                <w:vertAlign w:val="superscript"/>
                <w:lang w:eastAsia="en-AU"/>
              </w:rPr>
            </w:pPr>
            <w:r w:rsidRPr="006A75A2">
              <w:rPr>
                <w:rFonts w:eastAsiaTheme="minorEastAsia"/>
                <w:b/>
                <w:bCs/>
                <w:sz w:val="20"/>
                <w:lang w:eastAsia="en-AU"/>
              </w:rPr>
              <w:t>Total other economic flows – other comprehensive income</w:t>
            </w:r>
            <w:r w:rsidRPr="006A75A2">
              <w:rPr>
                <w:rFonts w:eastAsiaTheme="minorEastAsia"/>
                <w:b/>
                <w:bCs/>
                <w:sz w:val="20"/>
                <w:vertAlign w:val="superscript"/>
                <w:lang w:eastAsia="en-AU"/>
              </w:rPr>
              <w:t>(a)(b)</w:t>
            </w:r>
          </w:p>
        </w:tc>
        <w:tc>
          <w:tcPr>
            <w:tcW w:w="9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1 248.7</w:t>
            </w:r>
          </w:p>
        </w:tc>
        <w:tc>
          <w:tcPr>
            <w:tcW w:w="9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7 989.8</w:t>
            </w:r>
          </w:p>
        </w:tc>
        <w:tc>
          <w:tcPr>
            <w:tcW w:w="9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9 238.5</w:t>
            </w:r>
          </w:p>
        </w:tc>
        <w:tc>
          <w:tcPr>
            <w:tcW w:w="9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779.7</w:t>
            </w:r>
          </w:p>
        </w:tc>
        <w:tc>
          <w:tcPr>
            <w:tcW w:w="9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8 260.3</w:t>
            </w:r>
          </w:p>
        </w:tc>
        <w:tc>
          <w:tcPr>
            <w:tcW w:w="9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9 040.0</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 xml:space="preserve">s cash requirements or net debt. </w:t>
      </w:r>
    </w:p>
    <w:p w:rsidR="006E60A8" w:rsidRPr="006A75A2" w:rsidRDefault="004E6C32" w:rsidP="004B5CB1">
      <w:pPr>
        <w:pStyle w:val="Notes"/>
      </w:pPr>
      <w:r w:rsidRPr="006A75A2">
        <w:t>(b)</w:t>
      </w:r>
      <w:r w:rsidRPr="006A75A2">
        <w:tab/>
        <w:t>Adjustments for this line relate to restatement of accumulated surplus and reserve balances.</w:t>
      </w:r>
    </w:p>
    <w:p w:rsidR="004E6C32" w:rsidRPr="006A75A2" w:rsidRDefault="004E6C32" w:rsidP="006E60A8">
      <w:pPr>
        <w:rPr>
          <w:sz w:val="28"/>
          <w:szCs w:val="22"/>
        </w:rPr>
      </w:pPr>
      <w:r w:rsidRPr="006A75A2">
        <w:br w:type="page"/>
      </w:r>
    </w:p>
    <w:p w:rsidR="004E6C32" w:rsidRPr="006A75A2" w:rsidRDefault="004E6C32" w:rsidP="004B5CB1">
      <w:pPr>
        <w:pStyle w:val="Heading2Notes"/>
        <w:rPr>
          <w:kern w:val="0"/>
        </w:rPr>
      </w:pPr>
      <w:bookmarkStart w:id="69" w:name="_Toc400040285"/>
      <w:r w:rsidRPr="006A75A2">
        <w:rPr>
          <w:kern w:val="0"/>
        </w:rPr>
        <w:lastRenderedPageBreak/>
        <w:t>Note 38:</w:t>
      </w:r>
      <w:r w:rsidRPr="006A75A2">
        <w:rPr>
          <w:kern w:val="0"/>
        </w:rPr>
        <w:tab/>
        <w:t>Subsequent events</w:t>
      </w:r>
      <w:bookmarkEnd w:id="69"/>
    </w:p>
    <w:p w:rsidR="004E6C32" w:rsidRPr="006A75A2" w:rsidRDefault="004E6C32" w:rsidP="0067336F">
      <w:pPr>
        <w:pStyle w:val="Heading5"/>
      </w:pPr>
      <w:r w:rsidRPr="006A75A2">
        <w:t>Divestment of Rural Finance Corporation commercial business and assets</w:t>
      </w:r>
    </w:p>
    <w:p w:rsidR="004E6C32" w:rsidRPr="006A75A2" w:rsidRDefault="004E6C32" w:rsidP="004B5CB1">
      <w:r w:rsidRPr="006A75A2">
        <w:t>The Government divested the commercial business and assets of the Rural Finance Corporation (RFC) to Bendigo and Adelaide Bank following a comprehensive independent review. The divestment resulted in a sale of the agri-loanbook and a contract on a fee for service basis for the administration of State programs and schemes of assistance. The sale was completed on 1 July 2014 for $1.78 billion, with the final settlement price subject to the preparation of an adjustment statement which was reviewed by a mutually agreed auditor.</w:t>
      </w:r>
    </w:p>
    <w:p w:rsidR="004E6C32" w:rsidRPr="006A75A2" w:rsidRDefault="004E6C32" w:rsidP="004B5CB1">
      <w:r w:rsidRPr="006A75A2">
        <w:t>The adjustment statement was determined resulting in RFC paying Bendigo and Adelaide Bank $20 million to bring the net settlement proceeds of the divestment to $1.76 billion. After repaying loans with Treasury Corporation Victoria of $1.31 billion, the net cash proceeds from the sale to the State was approximately $395 million.</w:t>
      </w:r>
    </w:p>
    <w:p w:rsidR="004E6C32" w:rsidRPr="006A75A2" w:rsidRDefault="004E6C32" w:rsidP="004B5CB1">
      <w:r w:rsidRPr="006A75A2">
        <w:t xml:space="preserve">RFC is obliged under the </w:t>
      </w:r>
      <w:r w:rsidRPr="006A75A2">
        <w:rPr>
          <w:i/>
        </w:rPr>
        <w:t>Rural Finance Act 1988</w:t>
      </w:r>
      <w:r w:rsidRPr="006A75A2">
        <w:t xml:space="preserve"> to perform certain non-commercial services such as administration of Commonwealth and Victorian government initiatives which are intended to assist, promote and develop rural industries and regional communities in Victoria. RFC</w:t>
      </w:r>
      <w:r w:rsidR="00C96101" w:rsidRPr="006A75A2">
        <w:t>’</w:t>
      </w:r>
      <w:r w:rsidRPr="006A75A2">
        <w:t>s statutory obligations to perform these non-commercial functions will not be affected by the sale of RFC</w:t>
      </w:r>
      <w:r w:rsidR="00C96101" w:rsidRPr="006A75A2">
        <w:t>’</w:t>
      </w:r>
      <w:r w:rsidRPr="006A75A2">
        <w:t>s commercial business and assets.</w:t>
      </w:r>
    </w:p>
    <w:p w:rsidR="004E6C32" w:rsidRPr="006A75A2" w:rsidRDefault="004E6C32" w:rsidP="004B5CB1">
      <w:r w:rsidRPr="006A75A2">
        <w:t>As part of the conditions of sale, the Government has ensured that important non-commercial and community service programs such as the Young Farmers</w:t>
      </w:r>
      <w:r w:rsidR="00C96101" w:rsidRPr="006A75A2">
        <w:t>’</w:t>
      </w:r>
      <w:r w:rsidRPr="006A75A2">
        <w:t xml:space="preserve"> Finance Scheme and Natural Disaster Relief and Recovery Arrangement programs will continue to be maintained on the same terms and conditions through a service contract with Bendigo and Adelaide Bank.</w:t>
      </w:r>
    </w:p>
    <w:p w:rsidR="004E6C32" w:rsidRPr="006A75A2" w:rsidRDefault="004E6C32" w:rsidP="004B5CB1">
      <w:r w:rsidRPr="006A75A2">
        <w:t xml:space="preserve">Bendigo and Adelaide Bank will continue to provide commercial products previously provided by RFC, such as loans and credit facilities for a minimum of three years, and will retain the RFC brand for a minimum of three years. </w:t>
      </w:r>
    </w:p>
    <w:p w:rsidR="004E6C32" w:rsidRPr="006A75A2" w:rsidRDefault="004E6C32" w:rsidP="00546848"/>
    <w:p w:rsidR="004E6C32" w:rsidRPr="006A75A2" w:rsidRDefault="004E6C32" w:rsidP="0067336F">
      <w:pPr>
        <w:pStyle w:val="Heading5"/>
      </w:pPr>
      <w:r w:rsidRPr="006A75A2">
        <w:t>Ravenhall Prison project</w:t>
      </w:r>
    </w:p>
    <w:p w:rsidR="004E6C32" w:rsidRPr="006A75A2" w:rsidRDefault="004E6C32" w:rsidP="004B5CB1">
      <w:r w:rsidRPr="006A75A2">
        <w:t xml:space="preserve">The State entered into a contract with the GEO consortium on 15 September 2014 to deliver the Ravenhall Prison project. The GEO consortium will design, build, finance and operate the prison over a contract term of 25 years. This is a significant full-service public private partnership project, and the financial impacts of the contract are being finalised and hence have not been disclosed as at the date of this report.  </w:t>
      </w:r>
    </w:p>
    <w:p w:rsidR="004E6C32" w:rsidRPr="006A75A2" w:rsidRDefault="004E6C32" w:rsidP="00546848"/>
    <w:p w:rsidR="004E6C32" w:rsidRPr="006A75A2" w:rsidRDefault="004E6C32" w:rsidP="0067336F">
      <w:pPr>
        <w:pStyle w:val="Heading5"/>
      </w:pPr>
      <w:r w:rsidRPr="006A75A2">
        <w:t>East West Link project</w:t>
      </w:r>
    </w:p>
    <w:p w:rsidR="00546848" w:rsidRPr="006A75A2" w:rsidRDefault="00546848" w:rsidP="004B5CB1">
      <w:r w:rsidRPr="006A75A2">
        <w:t xml:space="preserve">The State entered into a contract with the East West Connect consortium on 29 September 2014 to deliver the East West Link project – Eastern Section. East West Link – Eastern Section will involve the construction of 6.6 kilometres of freeway standard road connecting the Eastern Freeway at Hoddle Street to CityLink incorporating twin 4.4 kilometre tunnels. After a five year construction period, the East West Connect consortium will take on full responsibility to operate and maintain the road for 25 years. The project will cost $6.8 billion to deliver, with the State Government contributing $2 billion towards its construction, and providing availability-based payments to the consortium over the operating period. </w:t>
      </w:r>
    </w:p>
    <w:p w:rsidR="00546848" w:rsidRPr="006A75A2" w:rsidRDefault="00546848">
      <w:pPr>
        <w:spacing w:after="0"/>
      </w:pPr>
      <w:r w:rsidRPr="006A75A2">
        <w:br w:type="page"/>
      </w:r>
    </w:p>
    <w:p w:rsidR="004E6C32" w:rsidRPr="006A75A2" w:rsidRDefault="004E6C32" w:rsidP="004B5CB1">
      <w:pPr>
        <w:pStyle w:val="Heading2Notes"/>
        <w:rPr>
          <w:kern w:val="0"/>
        </w:rPr>
      </w:pPr>
      <w:bookmarkStart w:id="70" w:name="_Toc400040286"/>
      <w:r w:rsidRPr="006A75A2">
        <w:rPr>
          <w:kern w:val="0"/>
        </w:rPr>
        <w:lastRenderedPageBreak/>
        <w:t>Note 39:</w:t>
      </w:r>
      <w:r w:rsidRPr="006A75A2">
        <w:rPr>
          <w:kern w:val="0"/>
        </w:rPr>
        <w:tab/>
        <w:t>Public account disclosure</w:t>
      </w:r>
      <w:bookmarkEnd w:id="70"/>
    </w:p>
    <w:p w:rsidR="004E6C32" w:rsidRPr="006A75A2" w:rsidRDefault="004E6C32" w:rsidP="0067336F">
      <w:pPr>
        <w:pStyle w:val="Heading5"/>
      </w:pPr>
      <w:r w:rsidRPr="006A75A2">
        <w:t>(a)</w:t>
      </w:r>
      <w:r w:rsidRPr="006A75A2">
        <w:tab/>
        <w:t>Consolidated fund receipts and payments for the financial year ended 30 June</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947"/>
        <w:gridCol w:w="1350"/>
        <w:gridCol w:w="1343"/>
      </w:tblGrid>
      <w:tr w:rsidR="004E6C32" w:rsidRPr="006A75A2" w:rsidTr="004B5CB1">
        <w:trPr>
          <w:tblHeader/>
        </w:trPr>
        <w:tc>
          <w:tcPr>
            <w:tcW w:w="6947"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35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343"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7A601D" w:rsidRPr="006A75A2" w:rsidTr="00A67F93">
        <w:tc>
          <w:tcPr>
            <w:tcW w:w="9640" w:type="dxa"/>
            <w:gridSpan w:val="3"/>
            <w:tcBorders>
              <w:top w:val="single" w:sz="6" w:space="0" w:color="auto"/>
              <w:left w:val="nil"/>
              <w:bottom w:val="nil"/>
              <w:right w:val="nil"/>
            </w:tcBorders>
          </w:tcPr>
          <w:p w:rsidR="007A601D" w:rsidRPr="006A75A2" w:rsidRDefault="007A601D" w:rsidP="007A601D">
            <w:pPr>
              <w:pStyle w:val="Tabletext"/>
              <w:rPr>
                <w:rFonts w:eastAsiaTheme="minorEastAsia"/>
                <w:b/>
                <w:lang w:eastAsia="en-AU"/>
              </w:rPr>
            </w:pPr>
            <w:r w:rsidRPr="006A75A2">
              <w:rPr>
                <w:rFonts w:eastAsiaTheme="minorEastAsia"/>
                <w:b/>
                <w:bCs/>
                <w:lang w:eastAsia="en-AU"/>
              </w:rPr>
              <w:t>Receipts</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Taxation</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16 937 148</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14 916 863</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Fines and regulatory fees</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758 361</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680 155</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 received</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18 096 600</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16 001 494</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Sales of goods and services</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5 179 361</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5 153 842</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received</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533 301</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367 401</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and income tax equivalent and rate equivalent receipts</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571 810</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1 340 671</w:t>
            </w:r>
          </w:p>
        </w:tc>
      </w:tr>
      <w:tr w:rsidR="004E6C32" w:rsidRPr="006A75A2" w:rsidTr="004B5CB1">
        <w:tc>
          <w:tcPr>
            <w:tcW w:w="6947"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receipts</w:t>
            </w:r>
          </w:p>
        </w:tc>
        <w:tc>
          <w:tcPr>
            <w:tcW w:w="135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342 431</w:t>
            </w:r>
          </w:p>
        </w:tc>
        <w:tc>
          <w:tcPr>
            <w:tcW w:w="13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287 851</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cash inflows from operating activities</w:t>
            </w:r>
          </w:p>
        </w:tc>
        <w:tc>
          <w:tcPr>
            <w:tcW w:w="135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42 419 011</w:t>
            </w:r>
          </w:p>
        </w:tc>
        <w:tc>
          <w:tcPr>
            <w:tcW w:w="13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38 748 278</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cash inflows from investing and financing activities</w:t>
            </w:r>
          </w:p>
        </w:tc>
        <w:tc>
          <w:tcPr>
            <w:tcW w:w="1350"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2 300 473</w:t>
            </w:r>
          </w:p>
        </w:tc>
        <w:tc>
          <w:tcPr>
            <w:tcW w:w="1343"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3 703 779</w:t>
            </w:r>
          </w:p>
        </w:tc>
      </w:tr>
      <w:tr w:rsidR="004E6C32" w:rsidRPr="006A75A2" w:rsidTr="004B5CB1">
        <w:tc>
          <w:tcPr>
            <w:tcW w:w="6947"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consolidated fund receipts</w:t>
            </w:r>
          </w:p>
        </w:tc>
        <w:tc>
          <w:tcPr>
            <w:tcW w:w="135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44 719 484</w:t>
            </w:r>
          </w:p>
        </w:tc>
        <w:tc>
          <w:tcPr>
            <w:tcW w:w="134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42 452 057</w:t>
            </w:r>
          </w:p>
        </w:tc>
      </w:tr>
      <w:tr w:rsidR="004E6C32" w:rsidRPr="006A75A2" w:rsidTr="004B5CB1">
        <w:trPr>
          <w:trHeight w:hRule="exact" w:val="120"/>
        </w:trPr>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lang w:eastAsia="en-AU"/>
              </w:rPr>
            </w:pPr>
            <w:r w:rsidRPr="006A75A2">
              <w:rPr>
                <w:rFonts w:eastAsiaTheme="minorEastAsia"/>
                <w:b/>
                <w:bCs/>
                <w:lang w:eastAsia="en-AU"/>
              </w:rPr>
              <w:t>Payments</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lang w:eastAsia="en-AU"/>
              </w:rPr>
            </w:pPr>
            <w:r w:rsidRPr="006A75A2">
              <w:rPr>
                <w:rFonts w:eastAsiaTheme="minorEastAsia"/>
                <w:b/>
                <w:bCs/>
                <w:lang w:eastAsia="en-AU"/>
              </w:rPr>
              <w:t>Special appropriations</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Special appropriations (excluding Section 33, </w:t>
            </w:r>
            <w:r w:rsidRPr="006A75A2">
              <w:rPr>
                <w:rFonts w:eastAsiaTheme="minorEastAsia"/>
                <w:i/>
                <w:lang w:eastAsia="en-AU"/>
              </w:rPr>
              <w:t>Financial Management Act, No. 18 of 1994</w:t>
            </w:r>
            <w:r w:rsidRPr="006A75A2">
              <w:rPr>
                <w:rFonts w:eastAsiaTheme="minorEastAsia"/>
                <w:lang w:eastAsia="en-AU"/>
              </w:rPr>
              <w:t>)</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3 419 699</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2 829 504</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28 </w:t>
            </w:r>
            <w:r w:rsidRPr="006A75A2">
              <w:rPr>
                <w:rFonts w:eastAsiaTheme="minorEastAsia"/>
                <w:i/>
                <w:lang w:eastAsia="en-AU"/>
              </w:rPr>
              <w:t>Financial Management Act, No. 18 of 1994</w:t>
            </w:r>
            <w:r w:rsidRPr="006A75A2">
              <w:rPr>
                <w:rFonts w:eastAsiaTheme="minorEastAsia"/>
                <w:lang w:eastAsia="en-AU"/>
              </w:rPr>
              <w:t xml:space="preserve"> (Appropriation for borrowing against future appropriations) </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1 600</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33 </w:t>
            </w:r>
            <w:r w:rsidRPr="006A75A2">
              <w:rPr>
                <w:rFonts w:eastAsiaTheme="minorEastAsia"/>
                <w:i/>
                <w:lang w:eastAsia="en-AU"/>
              </w:rPr>
              <w:t>Financial Management Act, No. 18 of 1994</w:t>
            </w:r>
          </w:p>
        </w:tc>
        <w:tc>
          <w:tcPr>
            <w:tcW w:w="135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128 048</w:t>
            </w:r>
          </w:p>
        </w:tc>
        <w:tc>
          <w:tcPr>
            <w:tcW w:w="13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142 877</w:t>
            </w:r>
          </w:p>
        </w:tc>
      </w:tr>
      <w:tr w:rsidR="004E6C32" w:rsidRPr="006A75A2" w:rsidTr="004B5CB1">
        <w:tc>
          <w:tcPr>
            <w:tcW w:w="6947"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special appropriations</w:t>
            </w:r>
          </w:p>
        </w:tc>
        <w:tc>
          <w:tcPr>
            <w:tcW w:w="135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3 549 347</w:t>
            </w:r>
          </w:p>
        </w:tc>
        <w:tc>
          <w:tcPr>
            <w:tcW w:w="13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2 972 381</w:t>
            </w:r>
          </w:p>
        </w:tc>
      </w:tr>
      <w:tr w:rsidR="004E6C32" w:rsidRPr="006A75A2" w:rsidTr="004B5CB1">
        <w:trPr>
          <w:trHeight w:hRule="exact" w:val="120"/>
        </w:trPr>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 </w:t>
            </w:r>
          </w:p>
        </w:tc>
        <w:tc>
          <w:tcPr>
            <w:tcW w:w="1350" w:type="dxa"/>
            <w:tcBorders>
              <w:top w:val="nil"/>
              <w:left w:val="nil"/>
              <w:bottom w:val="nil"/>
              <w:right w:val="nil"/>
            </w:tcBorders>
          </w:tcPr>
          <w:p w:rsidR="004E6C32" w:rsidRPr="006A75A2" w:rsidRDefault="004E6C32" w:rsidP="004B5CB1">
            <w:pPr>
              <w:pStyle w:val="TableofFigures"/>
              <w:rPr>
                <w:rFonts w:eastAsiaTheme="minorEastAsia"/>
                <w:b/>
                <w:lang w:eastAsia="en-AU"/>
              </w:rPr>
            </w:pPr>
          </w:p>
        </w:tc>
        <w:tc>
          <w:tcPr>
            <w:tcW w:w="1343"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lang w:eastAsia="en-AU"/>
              </w:rPr>
            </w:pPr>
            <w:r w:rsidRPr="006A75A2">
              <w:rPr>
                <w:rFonts w:eastAsiaTheme="minorEastAsia"/>
                <w:b/>
                <w:bCs/>
                <w:lang w:eastAsia="en-AU"/>
              </w:rPr>
              <w:t>Annual appropriations</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ofFigures"/>
              <w:jc w:val="left"/>
              <w:rPr>
                <w:rFonts w:eastAsiaTheme="minorEastAsia"/>
                <w:b/>
                <w:lang w:eastAsia="en-AU"/>
              </w:rPr>
            </w:pPr>
            <w:r w:rsidRPr="006A75A2">
              <w:rPr>
                <w:rFonts w:eastAsiaTheme="minorEastAsia"/>
                <w:b/>
                <w:bCs/>
                <w:lang w:eastAsia="en-AU"/>
              </w:rPr>
              <w:t>Provision of outputs</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Provision of outputs - net application</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32 297 593</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30 451 865</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29 </w:t>
            </w:r>
            <w:r w:rsidRPr="006A75A2">
              <w:rPr>
                <w:rFonts w:eastAsiaTheme="minorEastAsia"/>
                <w:i/>
                <w:lang w:eastAsia="en-AU"/>
              </w:rPr>
              <w:t>Financial Management Act, No. 18 of 1994</w:t>
            </w:r>
            <w:r w:rsidRPr="006A75A2">
              <w:rPr>
                <w:rFonts w:eastAsiaTheme="minorEastAsia"/>
                <w:lang w:eastAsia="en-AU"/>
              </w:rPr>
              <w:t xml:space="preserve"> (appropriation of annotated receipts)</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2 080 794</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2 900 179</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32 </w:t>
            </w:r>
            <w:r w:rsidRPr="006A75A2">
              <w:rPr>
                <w:rFonts w:eastAsiaTheme="minorEastAsia"/>
                <w:i/>
                <w:lang w:eastAsia="en-AU"/>
              </w:rPr>
              <w:t>Financial Management Act, No. 18 of 1994</w:t>
            </w:r>
            <w:r w:rsidRPr="006A75A2">
              <w:rPr>
                <w:rFonts w:eastAsiaTheme="minorEastAsia"/>
                <w:lang w:eastAsia="en-AU"/>
              </w:rPr>
              <w:t xml:space="preserve"> (prior year unspent appropriations brought forward) </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702 568</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706 170</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35 </w:t>
            </w:r>
            <w:r w:rsidRPr="006A75A2">
              <w:rPr>
                <w:rFonts w:eastAsiaTheme="minorEastAsia"/>
                <w:i/>
                <w:lang w:eastAsia="en-AU"/>
              </w:rPr>
              <w:t>Financial Management Act, No. 18 of 1994</w:t>
            </w:r>
            <w:r w:rsidRPr="006A75A2">
              <w:rPr>
                <w:rFonts w:eastAsiaTheme="minorEastAsia"/>
                <w:lang w:eastAsia="en-AU"/>
              </w:rPr>
              <w:t xml:space="preserve"> (temporary advances)</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179 198</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199 822</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Advance to Treasurer to be sanctioned</w:t>
            </w:r>
          </w:p>
        </w:tc>
        <w:tc>
          <w:tcPr>
            <w:tcW w:w="135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292 648</w:t>
            </w:r>
          </w:p>
        </w:tc>
        <w:tc>
          <w:tcPr>
            <w:tcW w:w="13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498 598</w:t>
            </w:r>
          </w:p>
        </w:tc>
      </w:tr>
      <w:tr w:rsidR="004E6C32" w:rsidRPr="006A75A2" w:rsidTr="004B5CB1">
        <w:tc>
          <w:tcPr>
            <w:tcW w:w="6947"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provision of outputs</w:t>
            </w:r>
          </w:p>
        </w:tc>
        <w:tc>
          <w:tcPr>
            <w:tcW w:w="135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35 552 801</w:t>
            </w:r>
          </w:p>
        </w:tc>
        <w:tc>
          <w:tcPr>
            <w:tcW w:w="13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34 756 634</w:t>
            </w:r>
          </w:p>
        </w:tc>
      </w:tr>
      <w:tr w:rsidR="004E6C32" w:rsidRPr="006A75A2" w:rsidTr="004B5CB1">
        <w:trPr>
          <w:trHeight w:hRule="exact" w:val="120"/>
        </w:trPr>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p>
        </w:tc>
        <w:tc>
          <w:tcPr>
            <w:tcW w:w="135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3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lang w:eastAsia="en-AU"/>
              </w:rPr>
            </w:pPr>
            <w:r w:rsidRPr="006A75A2">
              <w:rPr>
                <w:rFonts w:eastAsiaTheme="minorEastAsia"/>
                <w:b/>
                <w:bCs/>
                <w:lang w:eastAsia="en-AU"/>
              </w:rPr>
              <w:t>Additions to net asset base</w:t>
            </w:r>
          </w:p>
        </w:tc>
      </w:tr>
      <w:tr w:rsidR="004E6C32" w:rsidRPr="006A75A2" w:rsidTr="004B5CB1">
        <w:tc>
          <w:tcPr>
            <w:tcW w:w="6947" w:type="dxa"/>
            <w:tcBorders>
              <w:top w:val="nil"/>
              <w:left w:val="nil"/>
              <w:bottom w:val="nil"/>
              <w:right w:val="nil"/>
            </w:tcBorders>
          </w:tcPr>
          <w:p w:rsidR="004E6C32" w:rsidRPr="006A75A2" w:rsidRDefault="004E6C32" w:rsidP="007A601D">
            <w:pPr>
              <w:pStyle w:val="Tabletext"/>
              <w:rPr>
                <w:rFonts w:eastAsiaTheme="minorEastAsia"/>
                <w:lang w:eastAsia="en-AU"/>
              </w:rPr>
            </w:pPr>
            <w:r w:rsidRPr="006A75A2">
              <w:rPr>
                <w:rFonts w:eastAsiaTheme="minorEastAsia"/>
                <w:lang w:eastAsia="en-AU"/>
              </w:rPr>
              <w:t xml:space="preserve">Additions to net asset base </w:t>
            </w:r>
            <w:r w:rsidR="007A601D" w:rsidRPr="006A75A2">
              <w:rPr>
                <w:rFonts w:eastAsiaTheme="minorEastAsia"/>
                <w:lang w:eastAsia="en-AU"/>
              </w:rPr>
              <w:t>–</w:t>
            </w:r>
            <w:r w:rsidRPr="006A75A2">
              <w:rPr>
                <w:rFonts w:eastAsiaTheme="minorEastAsia"/>
                <w:lang w:eastAsia="en-AU"/>
              </w:rPr>
              <w:t xml:space="preserve"> net application</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1 349 176</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1 394 897</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29 </w:t>
            </w:r>
            <w:r w:rsidRPr="006A75A2">
              <w:rPr>
                <w:rFonts w:eastAsiaTheme="minorEastAsia"/>
                <w:i/>
                <w:lang w:eastAsia="en-AU"/>
              </w:rPr>
              <w:t>Financial Management Act, No. 18 of 1994</w:t>
            </w:r>
            <w:r w:rsidRPr="006A75A2">
              <w:rPr>
                <w:rFonts w:eastAsiaTheme="minorEastAsia"/>
                <w:lang w:eastAsia="en-AU"/>
              </w:rPr>
              <w:t xml:space="preserve"> (appropriation of annotated receipts)</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1 026 401</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560 682</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32 </w:t>
            </w:r>
            <w:r w:rsidRPr="006A75A2">
              <w:rPr>
                <w:rFonts w:eastAsiaTheme="minorEastAsia"/>
                <w:i/>
                <w:lang w:eastAsia="en-AU"/>
              </w:rPr>
              <w:t>Financial Management Act, No. 18 of 1994</w:t>
            </w:r>
            <w:r w:rsidRPr="006A75A2">
              <w:rPr>
                <w:rFonts w:eastAsiaTheme="minorEastAsia"/>
                <w:lang w:eastAsia="en-AU"/>
              </w:rPr>
              <w:t xml:space="preserve"> (prior year unspent appropriations brought forward) </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567 127</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639 470</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35 </w:t>
            </w:r>
            <w:r w:rsidRPr="006A75A2">
              <w:rPr>
                <w:rFonts w:eastAsiaTheme="minorEastAsia"/>
                <w:i/>
                <w:lang w:eastAsia="en-AU"/>
              </w:rPr>
              <w:t>Financial Management Act, No. 18 of 1994</w:t>
            </w:r>
            <w:r w:rsidRPr="006A75A2">
              <w:rPr>
                <w:rFonts w:eastAsiaTheme="minorEastAsia"/>
                <w:lang w:eastAsia="en-AU"/>
              </w:rPr>
              <w:t xml:space="preserve"> (temporary advances)</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2 500</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4 170</w:t>
            </w:r>
          </w:p>
        </w:tc>
      </w:tr>
      <w:tr w:rsidR="004E6C32" w:rsidRPr="006A75A2" w:rsidTr="004B5CB1">
        <w:tc>
          <w:tcPr>
            <w:tcW w:w="6947"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Advance to Treasurer to be sanctioned</w:t>
            </w:r>
          </w:p>
        </w:tc>
        <w:tc>
          <w:tcPr>
            <w:tcW w:w="135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22 735</w:t>
            </w:r>
          </w:p>
        </w:tc>
        <w:tc>
          <w:tcPr>
            <w:tcW w:w="13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780</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additions to net asset base</w:t>
            </w:r>
          </w:p>
        </w:tc>
        <w:tc>
          <w:tcPr>
            <w:tcW w:w="135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2 967 940</w:t>
            </w:r>
          </w:p>
        </w:tc>
        <w:tc>
          <w:tcPr>
            <w:tcW w:w="13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2 599 998</w:t>
            </w:r>
          </w:p>
        </w:tc>
      </w:tr>
      <w:tr w:rsidR="004E6C32" w:rsidRPr="006A75A2" w:rsidTr="004B5CB1">
        <w:trPr>
          <w:trHeight w:hRule="exact" w:val="120"/>
        </w:trPr>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p>
        </w:tc>
        <w:tc>
          <w:tcPr>
            <w:tcW w:w="135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3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lang w:eastAsia="en-AU"/>
              </w:rPr>
            </w:pPr>
            <w:r w:rsidRPr="006A75A2">
              <w:rPr>
                <w:rFonts w:eastAsiaTheme="minorEastAsia"/>
                <w:b/>
                <w:bCs/>
                <w:lang w:eastAsia="en-AU"/>
              </w:rPr>
              <w:t>Payments made on behalf of the State</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Payments made on behalf of the State</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2 752 421</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2 729 763</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32 </w:t>
            </w:r>
            <w:r w:rsidRPr="006A75A2">
              <w:rPr>
                <w:rFonts w:eastAsiaTheme="minorEastAsia"/>
                <w:i/>
                <w:lang w:eastAsia="en-AU"/>
              </w:rPr>
              <w:t>Financial Management Act, No. 18 of 1994</w:t>
            </w:r>
            <w:r w:rsidRPr="006A75A2">
              <w:rPr>
                <w:rFonts w:eastAsiaTheme="minorEastAsia"/>
                <w:lang w:eastAsia="en-AU"/>
              </w:rPr>
              <w:t xml:space="preserve"> (prior year unspent appropriations brought forward) </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898</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6 764</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32 </w:t>
            </w:r>
            <w:r w:rsidRPr="006A75A2">
              <w:rPr>
                <w:rFonts w:eastAsiaTheme="minorEastAsia"/>
                <w:i/>
                <w:lang w:eastAsia="en-AU"/>
              </w:rPr>
              <w:t>Financial Management Act, No. 18 of 1994</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4 123</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35 </w:t>
            </w:r>
            <w:r w:rsidRPr="006A75A2">
              <w:rPr>
                <w:rFonts w:eastAsiaTheme="minorEastAsia"/>
                <w:i/>
                <w:lang w:eastAsia="en-AU"/>
              </w:rPr>
              <w:t>Financial Management Act, No. 18 of 1994</w:t>
            </w:r>
            <w:r w:rsidRPr="006A75A2">
              <w:rPr>
                <w:rFonts w:eastAsiaTheme="minorEastAsia"/>
                <w:lang w:eastAsia="en-AU"/>
              </w:rPr>
              <w:t xml:space="preserve"> (temporary advances)</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25 777</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Advance to Treasurer to be sanctioned</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49 193</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3 952</w:t>
            </w:r>
          </w:p>
        </w:tc>
      </w:tr>
      <w:tr w:rsidR="004E6C32" w:rsidRPr="006A75A2" w:rsidTr="004B5CB1">
        <w:tc>
          <w:tcPr>
            <w:tcW w:w="6947"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payments made on behalf of State</w:t>
            </w:r>
          </w:p>
        </w:tc>
        <w:tc>
          <w:tcPr>
            <w:tcW w:w="135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2 832 413</w:t>
            </w:r>
          </w:p>
        </w:tc>
        <w:tc>
          <w:tcPr>
            <w:tcW w:w="1343"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2 740 479</w:t>
            </w:r>
          </w:p>
        </w:tc>
      </w:tr>
      <w:tr w:rsidR="004E6C32" w:rsidRPr="006A75A2" w:rsidTr="004B5CB1">
        <w:trPr>
          <w:trHeight w:hRule="exact" w:val="120"/>
        </w:trPr>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bl>
    <w:p w:rsidR="002A6119" w:rsidRPr="006A75A2" w:rsidRDefault="002A6119" w:rsidP="002C0C34">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2A6119" w:rsidRPr="006A75A2" w:rsidRDefault="002A6119" w:rsidP="002A6119">
      <w:pPr>
        <w:pStyle w:val="Heading5"/>
      </w:pPr>
      <w:r w:rsidRPr="006A75A2">
        <w:t>(a)</w:t>
      </w:r>
      <w:r w:rsidRPr="006A75A2">
        <w:tab/>
        <w:t xml:space="preserve">Consolidated fund receipts and payments for the financial year ended 30 June </w:t>
      </w:r>
      <w:r w:rsidRPr="006A75A2">
        <w:rPr>
          <w:i/>
        </w:rPr>
        <w:t>(continued)</w:t>
      </w:r>
    </w:p>
    <w:p w:rsidR="002A6119" w:rsidRPr="006A75A2" w:rsidRDefault="002A6119" w:rsidP="002A6119">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947"/>
        <w:gridCol w:w="1350"/>
        <w:gridCol w:w="1343"/>
      </w:tblGrid>
      <w:tr w:rsidR="002A6119" w:rsidRPr="006A75A2" w:rsidTr="00A659BA">
        <w:trPr>
          <w:tblHeader/>
        </w:trPr>
        <w:tc>
          <w:tcPr>
            <w:tcW w:w="6947" w:type="dxa"/>
            <w:tcBorders>
              <w:top w:val="single" w:sz="6" w:space="0" w:color="auto"/>
              <w:left w:val="single" w:sz="6" w:space="0" w:color="auto"/>
              <w:bottom w:val="single" w:sz="6" w:space="0" w:color="auto"/>
              <w:right w:val="nil"/>
            </w:tcBorders>
            <w:shd w:val="clear" w:color="000000" w:fill="000000"/>
          </w:tcPr>
          <w:p w:rsidR="002A6119" w:rsidRPr="006A75A2" w:rsidRDefault="002A6119" w:rsidP="00A659BA">
            <w:pPr>
              <w:pStyle w:val="Tabletext"/>
              <w:rPr>
                <w:rFonts w:eastAsiaTheme="minorEastAsia"/>
                <w:lang w:eastAsia="en-AU"/>
              </w:rPr>
            </w:pPr>
            <w:r w:rsidRPr="006A75A2">
              <w:rPr>
                <w:rFonts w:eastAsiaTheme="minorEastAsia"/>
                <w:lang w:eastAsia="en-AU"/>
              </w:rPr>
              <w:t xml:space="preserve"> </w:t>
            </w:r>
          </w:p>
        </w:tc>
        <w:tc>
          <w:tcPr>
            <w:tcW w:w="1350" w:type="dxa"/>
            <w:tcBorders>
              <w:top w:val="single" w:sz="6" w:space="0" w:color="auto"/>
              <w:left w:val="nil"/>
              <w:bottom w:val="single" w:sz="6" w:space="0" w:color="auto"/>
              <w:right w:val="nil"/>
            </w:tcBorders>
            <w:shd w:val="clear" w:color="000000" w:fill="000000"/>
          </w:tcPr>
          <w:p w:rsidR="002A6119" w:rsidRPr="006A75A2" w:rsidRDefault="002A6119" w:rsidP="00A659BA">
            <w:pPr>
              <w:pStyle w:val="Tabletextheading"/>
              <w:rPr>
                <w:rFonts w:eastAsiaTheme="minorEastAsia"/>
                <w:iCs/>
                <w:lang w:eastAsia="en-AU"/>
              </w:rPr>
            </w:pPr>
            <w:r w:rsidRPr="006A75A2">
              <w:rPr>
                <w:rFonts w:eastAsiaTheme="minorEastAsia"/>
                <w:iCs/>
                <w:lang w:eastAsia="en-AU"/>
              </w:rPr>
              <w:t>2014</w:t>
            </w:r>
          </w:p>
        </w:tc>
        <w:tc>
          <w:tcPr>
            <w:tcW w:w="1343" w:type="dxa"/>
            <w:tcBorders>
              <w:top w:val="single" w:sz="6" w:space="0" w:color="auto"/>
              <w:left w:val="nil"/>
              <w:bottom w:val="single" w:sz="6" w:space="0" w:color="auto"/>
              <w:right w:val="single" w:sz="6" w:space="0" w:color="auto"/>
            </w:tcBorders>
            <w:shd w:val="clear" w:color="000000" w:fill="000000"/>
          </w:tcPr>
          <w:p w:rsidR="002A6119" w:rsidRPr="006A75A2" w:rsidRDefault="002A6119" w:rsidP="00A659BA">
            <w:pPr>
              <w:pStyle w:val="Tabletextheading"/>
              <w:rPr>
                <w:rFonts w:eastAsiaTheme="minorEastAsia"/>
                <w:iCs/>
                <w:lang w:eastAsia="en-AU"/>
              </w:rPr>
            </w:pPr>
            <w:r w:rsidRPr="006A75A2">
              <w:rPr>
                <w:rFonts w:eastAsiaTheme="minorEastAsia"/>
                <w:iCs/>
                <w:lang w:eastAsia="en-AU"/>
              </w:rPr>
              <w:t>2013</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lang w:eastAsia="en-AU"/>
              </w:rPr>
            </w:pPr>
            <w:r w:rsidRPr="006A75A2">
              <w:rPr>
                <w:rFonts w:eastAsiaTheme="minorEastAsia"/>
                <w:b/>
                <w:bCs/>
                <w:lang w:eastAsia="en-AU"/>
              </w:rPr>
              <w:t>Other</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Contribution by the State under agreements pursuant to Section 25 of the </w:t>
            </w:r>
            <w:r w:rsidRPr="006A75A2">
              <w:rPr>
                <w:rFonts w:eastAsiaTheme="minorEastAsia"/>
                <w:i/>
                <w:lang w:eastAsia="en-AU"/>
              </w:rPr>
              <w:t>Murray-Darling Basin Act 1993</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27 762</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30 650</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Section 32 Financial Management Act, No. 18 of 1994 – Section 25 of the </w:t>
            </w:r>
            <w:r w:rsidRPr="006A75A2">
              <w:rPr>
                <w:rFonts w:eastAsiaTheme="minorEastAsia"/>
                <w:i/>
                <w:lang w:eastAsia="en-AU"/>
              </w:rPr>
              <w:t>Murray-Darling Basin Act 1993</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263</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6947" w:type="dxa"/>
            <w:tcBorders>
              <w:top w:val="nil"/>
              <w:left w:val="nil"/>
              <w:bottom w:val="nil"/>
              <w:right w:val="nil"/>
            </w:tcBorders>
          </w:tcPr>
          <w:p w:rsidR="004E6C32" w:rsidRPr="006A75A2" w:rsidRDefault="004E6C32" w:rsidP="007A601D">
            <w:pPr>
              <w:pStyle w:val="Tabletext"/>
              <w:rPr>
                <w:rFonts w:eastAsiaTheme="minorEastAsia"/>
                <w:lang w:eastAsia="en-AU"/>
              </w:rPr>
            </w:pPr>
            <w:r w:rsidRPr="006A75A2">
              <w:rPr>
                <w:rFonts w:eastAsiaTheme="minorEastAsia"/>
                <w:lang w:eastAsia="en-AU"/>
              </w:rPr>
              <w:t xml:space="preserve">Victorian Law Reform Commission </w:t>
            </w:r>
            <w:r w:rsidR="007A601D" w:rsidRPr="006A75A2">
              <w:rPr>
                <w:rFonts w:eastAsiaTheme="minorEastAsia"/>
                <w:lang w:eastAsia="en-AU"/>
              </w:rPr>
              <w:t>–</w:t>
            </w:r>
            <w:r w:rsidRPr="006A75A2">
              <w:rPr>
                <w:rFonts w:eastAsiaTheme="minorEastAsia"/>
                <w:lang w:eastAsia="en-AU"/>
              </w:rPr>
              <w:t xml:space="preserve"> pursuant to Section 17(b) of the </w:t>
            </w:r>
            <w:r w:rsidRPr="006A75A2">
              <w:rPr>
                <w:rFonts w:eastAsiaTheme="minorEastAsia"/>
                <w:i/>
                <w:lang w:eastAsia="en-AU"/>
              </w:rPr>
              <w:t>Victorian</w:t>
            </w:r>
            <w:r w:rsidRPr="006A75A2">
              <w:rPr>
                <w:rFonts w:eastAsiaTheme="minorEastAsia"/>
                <w:lang w:eastAsia="en-AU"/>
              </w:rPr>
              <w:t xml:space="preserve"> </w:t>
            </w:r>
            <w:r w:rsidRPr="006A75A2">
              <w:rPr>
                <w:rFonts w:eastAsiaTheme="minorEastAsia"/>
                <w:i/>
                <w:lang w:eastAsia="en-AU"/>
              </w:rPr>
              <w:t>Law Reform Commission Act 2000</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741</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791</w:t>
            </w:r>
          </w:p>
        </w:tc>
      </w:tr>
      <w:tr w:rsidR="004E6C32" w:rsidRPr="006A75A2" w:rsidTr="004B5CB1">
        <w:tc>
          <w:tcPr>
            <w:tcW w:w="6947"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Payment to Regional Growth Fund pursuant to Section 4 of the </w:t>
            </w:r>
            <w:r w:rsidRPr="006A75A2">
              <w:rPr>
                <w:rFonts w:eastAsiaTheme="minorEastAsia"/>
                <w:i/>
                <w:lang w:eastAsia="en-AU"/>
              </w:rPr>
              <w:t>Regional Growth Fund Act No. 8 of 2011</w:t>
            </w:r>
          </w:p>
        </w:tc>
        <w:tc>
          <w:tcPr>
            <w:tcW w:w="135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136 000</w:t>
            </w:r>
          </w:p>
        </w:tc>
        <w:tc>
          <w:tcPr>
            <w:tcW w:w="1343"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122 000</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other</w:t>
            </w:r>
          </w:p>
        </w:tc>
        <w:tc>
          <w:tcPr>
            <w:tcW w:w="135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164 766</w:t>
            </w:r>
          </w:p>
        </w:tc>
        <w:tc>
          <w:tcPr>
            <w:tcW w:w="13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153 441</w:t>
            </w:r>
          </w:p>
        </w:tc>
      </w:tr>
      <w:tr w:rsidR="004E6C32" w:rsidRPr="006A75A2" w:rsidTr="004B5CB1">
        <w:trPr>
          <w:trHeight w:hRule="exact" w:val="120"/>
        </w:trPr>
        <w:tc>
          <w:tcPr>
            <w:tcW w:w="6947" w:type="dxa"/>
            <w:tcBorders>
              <w:top w:val="nil"/>
              <w:left w:val="nil"/>
              <w:bottom w:val="single" w:sz="4" w:space="0" w:color="auto"/>
              <w:right w:val="nil"/>
            </w:tcBorders>
          </w:tcPr>
          <w:p w:rsidR="004E6C32" w:rsidRPr="006A75A2" w:rsidRDefault="004E6C32" w:rsidP="004B5CB1">
            <w:pPr>
              <w:pStyle w:val="Tabletext"/>
              <w:rPr>
                <w:rFonts w:eastAsiaTheme="minorEastAsia"/>
                <w:lang w:eastAsia="en-AU"/>
              </w:rPr>
            </w:pPr>
          </w:p>
        </w:tc>
        <w:tc>
          <w:tcPr>
            <w:tcW w:w="1350" w:type="dxa"/>
            <w:tcBorders>
              <w:top w:val="nil"/>
              <w:left w:val="nil"/>
              <w:bottom w:val="single" w:sz="4" w:space="0" w:color="auto"/>
              <w:right w:val="nil"/>
            </w:tcBorders>
          </w:tcPr>
          <w:p w:rsidR="004E6C32" w:rsidRPr="006A75A2" w:rsidRDefault="004E6C32" w:rsidP="004B5CB1">
            <w:pPr>
              <w:pStyle w:val="TableofFigures"/>
              <w:rPr>
                <w:rFonts w:eastAsiaTheme="minorEastAsia"/>
                <w:lang w:eastAsia="en-AU"/>
              </w:rPr>
            </w:pPr>
          </w:p>
        </w:tc>
        <w:tc>
          <w:tcPr>
            <w:tcW w:w="1343" w:type="dxa"/>
            <w:tcBorders>
              <w:top w:val="nil"/>
              <w:left w:val="nil"/>
              <w:bottom w:val="single" w:sz="4" w:space="0" w:color="auto"/>
              <w:right w:val="nil"/>
            </w:tcBorders>
          </w:tcPr>
          <w:p w:rsidR="004E6C32" w:rsidRPr="006A75A2" w:rsidRDefault="004E6C32" w:rsidP="004B5CB1">
            <w:pPr>
              <w:pStyle w:val="TableofFigures"/>
              <w:rPr>
                <w:rFonts w:eastAsiaTheme="minorEastAsia"/>
                <w:lang w:eastAsia="en-AU"/>
              </w:rPr>
            </w:pPr>
          </w:p>
        </w:tc>
      </w:tr>
      <w:tr w:rsidR="004E6C32" w:rsidRPr="006A75A2" w:rsidTr="004B5CB1">
        <w:tc>
          <w:tcPr>
            <w:tcW w:w="6947" w:type="dxa"/>
            <w:tcBorders>
              <w:top w:val="single" w:sz="4"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annual appropriations</w:t>
            </w:r>
          </w:p>
        </w:tc>
        <w:tc>
          <w:tcPr>
            <w:tcW w:w="1350" w:type="dxa"/>
            <w:tcBorders>
              <w:top w:val="single" w:sz="4"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41 517 920</w:t>
            </w:r>
          </w:p>
        </w:tc>
        <w:tc>
          <w:tcPr>
            <w:tcW w:w="1343" w:type="dxa"/>
            <w:tcBorders>
              <w:top w:val="single" w:sz="4"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40 250 553</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Applied appropriations remaining unspent relating to the 2013-14 appropriations </w:t>
            </w:r>
          </w:p>
        </w:tc>
        <w:tc>
          <w:tcPr>
            <w:tcW w:w="135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(560 000)</w:t>
            </w:r>
          </w:p>
        </w:tc>
        <w:tc>
          <w:tcPr>
            <w:tcW w:w="1343"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(573 334)</w:t>
            </w:r>
          </w:p>
        </w:tc>
      </w:tr>
      <w:tr w:rsidR="004E6C32" w:rsidRPr="006A75A2" w:rsidTr="004B5CB1">
        <w:tc>
          <w:tcPr>
            <w:tcW w:w="6947"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Total payments </w:t>
            </w:r>
          </w:p>
        </w:tc>
        <w:tc>
          <w:tcPr>
            <w:tcW w:w="135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44 507 266</w:t>
            </w:r>
          </w:p>
        </w:tc>
        <w:tc>
          <w:tcPr>
            <w:tcW w:w="134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42 649 600</w:t>
            </w:r>
          </w:p>
        </w:tc>
      </w:tr>
      <w:tr w:rsidR="004E6C32" w:rsidRPr="006A75A2" w:rsidTr="004B5CB1">
        <w:trPr>
          <w:trHeight w:hRule="exact" w:val="120"/>
        </w:trPr>
        <w:tc>
          <w:tcPr>
            <w:tcW w:w="6947"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35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34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Consolidated fund balance 1 July </w:t>
            </w:r>
          </w:p>
        </w:tc>
        <w:tc>
          <w:tcPr>
            <w:tcW w:w="135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235 365</w:t>
            </w:r>
          </w:p>
        </w:tc>
        <w:tc>
          <w:tcPr>
            <w:tcW w:w="13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432 907</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Add total receipts for year</w:t>
            </w:r>
          </w:p>
        </w:tc>
        <w:tc>
          <w:tcPr>
            <w:tcW w:w="135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44 719 484</w:t>
            </w:r>
          </w:p>
        </w:tc>
        <w:tc>
          <w:tcPr>
            <w:tcW w:w="134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42 452 057</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Less total payments for year</w:t>
            </w:r>
          </w:p>
        </w:tc>
        <w:tc>
          <w:tcPr>
            <w:tcW w:w="135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(44 507 266)</w:t>
            </w:r>
          </w:p>
        </w:tc>
        <w:tc>
          <w:tcPr>
            <w:tcW w:w="1343"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lang w:eastAsia="en-AU"/>
              </w:rPr>
              <w:t>(42 649 600)</w:t>
            </w:r>
          </w:p>
        </w:tc>
      </w:tr>
      <w:tr w:rsidR="004E6C32" w:rsidRPr="006A75A2" w:rsidTr="004B5CB1">
        <w:tc>
          <w:tcPr>
            <w:tcW w:w="6947"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Consolidated fund balance 30 June</w:t>
            </w:r>
          </w:p>
        </w:tc>
        <w:tc>
          <w:tcPr>
            <w:tcW w:w="135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447 582</w:t>
            </w:r>
          </w:p>
        </w:tc>
        <w:tc>
          <w:tcPr>
            <w:tcW w:w="134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235 365</w:t>
            </w:r>
          </w:p>
        </w:tc>
      </w:tr>
      <w:tr w:rsidR="007A601D" w:rsidRPr="006A75A2" w:rsidTr="00A67F93">
        <w:tc>
          <w:tcPr>
            <w:tcW w:w="9640" w:type="dxa"/>
            <w:gridSpan w:val="3"/>
            <w:tcBorders>
              <w:top w:val="single" w:sz="12" w:space="0" w:color="auto"/>
              <w:left w:val="nil"/>
              <w:bottom w:val="nil"/>
              <w:right w:val="nil"/>
            </w:tcBorders>
          </w:tcPr>
          <w:p w:rsidR="007A601D" w:rsidRPr="006A75A2" w:rsidRDefault="007A601D" w:rsidP="007A601D">
            <w:pPr>
              <w:pStyle w:val="Tabletext"/>
              <w:rPr>
                <w:rFonts w:eastAsiaTheme="minorEastAsia"/>
                <w:i/>
                <w:sz w:val="18"/>
                <w:lang w:eastAsia="en-AU"/>
              </w:rPr>
            </w:pPr>
            <w:r w:rsidRPr="006A75A2">
              <w:rPr>
                <w:rFonts w:eastAsiaTheme="minorEastAsia"/>
                <w:i/>
                <w:sz w:val="18"/>
                <w:lang w:eastAsia="en-AU"/>
              </w:rPr>
              <w:t>Notes:</w:t>
            </w:r>
          </w:p>
        </w:tc>
      </w:tr>
      <w:tr w:rsidR="004E6C32" w:rsidRPr="006A75A2" w:rsidTr="004B5CB1">
        <w:trPr>
          <w:trHeight w:hRule="exact" w:val="120"/>
        </w:trPr>
        <w:tc>
          <w:tcPr>
            <w:tcW w:w="6947" w:type="dxa"/>
            <w:tcBorders>
              <w:top w:val="nil"/>
              <w:left w:val="nil"/>
              <w:bottom w:val="nil"/>
              <w:right w:val="nil"/>
            </w:tcBorders>
          </w:tcPr>
          <w:p w:rsidR="004E6C32" w:rsidRPr="006A75A2" w:rsidRDefault="004E6C32" w:rsidP="004B5CB1">
            <w:pPr>
              <w:pStyle w:val="Tabletext"/>
              <w:rPr>
                <w:rFonts w:eastAsiaTheme="minorEastAsia"/>
                <w:i/>
                <w:sz w:val="18"/>
                <w:lang w:eastAsia="en-AU"/>
              </w:rPr>
            </w:pPr>
            <w:r w:rsidRPr="006A75A2">
              <w:rPr>
                <w:rFonts w:eastAsiaTheme="minorEastAsia"/>
                <w:i/>
                <w:sz w:val="18"/>
                <w:lang w:eastAsia="en-AU"/>
              </w:rPr>
              <w:t xml:space="preserve"> </w:t>
            </w:r>
          </w:p>
        </w:tc>
        <w:tc>
          <w:tcPr>
            <w:tcW w:w="1350" w:type="dxa"/>
            <w:tcBorders>
              <w:top w:val="nil"/>
              <w:left w:val="nil"/>
              <w:bottom w:val="nil"/>
              <w:right w:val="nil"/>
            </w:tcBorders>
          </w:tcPr>
          <w:p w:rsidR="004E6C32" w:rsidRPr="006A75A2" w:rsidRDefault="004E6C32" w:rsidP="004B5CB1">
            <w:pPr>
              <w:pStyle w:val="TableofFigures"/>
              <w:rPr>
                <w:rFonts w:eastAsiaTheme="minorEastAsia"/>
                <w:i/>
                <w:sz w:val="18"/>
                <w:lang w:eastAsia="en-AU"/>
              </w:rPr>
            </w:pPr>
          </w:p>
        </w:tc>
        <w:tc>
          <w:tcPr>
            <w:tcW w:w="1343" w:type="dxa"/>
            <w:tcBorders>
              <w:top w:val="nil"/>
              <w:left w:val="nil"/>
              <w:bottom w:val="nil"/>
              <w:right w:val="nil"/>
            </w:tcBorders>
          </w:tcPr>
          <w:p w:rsidR="004E6C32" w:rsidRPr="006A75A2" w:rsidRDefault="004E6C32" w:rsidP="004B5CB1">
            <w:pPr>
              <w:pStyle w:val="TableofFigures"/>
              <w:rPr>
                <w:rFonts w:eastAsiaTheme="minorEastAsia"/>
                <w:i/>
                <w:sz w:val="18"/>
                <w:lang w:eastAsia="en-AU"/>
              </w:rPr>
            </w:pPr>
            <w:r w:rsidRPr="006A75A2">
              <w:rPr>
                <w:rFonts w:eastAsiaTheme="minorEastAsia"/>
                <w:i/>
                <w:sz w:val="18"/>
                <w:lang w:eastAsia="en-AU"/>
              </w:rPr>
              <w:t xml:space="preserve"> </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i/>
                <w:iCs/>
                <w:sz w:val="18"/>
                <w:lang w:eastAsia="en-AU"/>
              </w:rPr>
            </w:pPr>
            <w:r w:rsidRPr="006A75A2">
              <w:rPr>
                <w:rFonts w:eastAsiaTheme="minorEastAsia"/>
                <w:i/>
                <w:iCs/>
                <w:sz w:val="18"/>
                <w:lang w:eastAsia="en-AU"/>
              </w:rPr>
              <w:t>Reconciliation of unspent appropriations:</w:t>
            </w:r>
          </w:p>
        </w:tc>
        <w:tc>
          <w:tcPr>
            <w:tcW w:w="1350" w:type="dxa"/>
            <w:tcBorders>
              <w:top w:val="nil"/>
              <w:left w:val="nil"/>
              <w:bottom w:val="nil"/>
              <w:right w:val="nil"/>
            </w:tcBorders>
          </w:tcPr>
          <w:p w:rsidR="004E6C32" w:rsidRPr="006A75A2" w:rsidRDefault="004E6C32" w:rsidP="004B5CB1">
            <w:pPr>
              <w:pStyle w:val="TableofFigures"/>
              <w:rPr>
                <w:rFonts w:eastAsiaTheme="minorEastAsia"/>
                <w:i/>
                <w:iCs/>
                <w:sz w:val="18"/>
                <w:lang w:eastAsia="en-AU"/>
              </w:rPr>
            </w:pPr>
            <w:r w:rsidRPr="006A75A2">
              <w:rPr>
                <w:rFonts w:eastAsiaTheme="minorEastAsia"/>
                <w:i/>
                <w:iCs/>
                <w:sz w:val="18"/>
                <w:lang w:eastAsia="en-AU"/>
              </w:rPr>
              <w:t xml:space="preserve"> </w:t>
            </w:r>
          </w:p>
        </w:tc>
        <w:tc>
          <w:tcPr>
            <w:tcW w:w="1343" w:type="dxa"/>
            <w:tcBorders>
              <w:top w:val="nil"/>
              <w:left w:val="nil"/>
              <w:bottom w:val="nil"/>
              <w:right w:val="nil"/>
            </w:tcBorders>
          </w:tcPr>
          <w:p w:rsidR="004E6C32" w:rsidRPr="006A75A2" w:rsidRDefault="004E6C32" w:rsidP="004B5CB1">
            <w:pPr>
              <w:pStyle w:val="TableofFigures"/>
              <w:rPr>
                <w:rFonts w:eastAsiaTheme="minorEastAsia"/>
                <w:i/>
                <w:iCs/>
                <w:sz w:val="18"/>
                <w:lang w:eastAsia="en-AU"/>
              </w:rPr>
            </w:pPr>
            <w:r w:rsidRPr="006A75A2">
              <w:rPr>
                <w:rFonts w:eastAsiaTheme="minorEastAsia"/>
                <w:i/>
                <w:iCs/>
                <w:sz w:val="18"/>
                <w:lang w:eastAsia="en-AU"/>
              </w:rPr>
              <w:t xml:space="preserve"> </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i/>
                <w:iCs/>
                <w:sz w:val="18"/>
                <w:lang w:eastAsia="en-AU"/>
              </w:rPr>
            </w:pPr>
            <w:r w:rsidRPr="006A75A2">
              <w:rPr>
                <w:rFonts w:eastAsiaTheme="minorEastAsia"/>
                <w:i/>
                <w:iCs/>
                <w:sz w:val="18"/>
                <w:lang w:eastAsia="en-AU"/>
              </w:rPr>
              <w:t xml:space="preserve">   Applied appropriations unspent at end of year</w:t>
            </w:r>
          </w:p>
        </w:tc>
        <w:tc>
          <w:tcPr>
            <w:tcW w:w="1350" w:type="dxa"/>
            <w:tcBorders>
              <w:top w:val="nil"/>
              <w:left w:val="nil"/>
              <w:bottom w:val="nil"/>
              <w:right w:val="nil"/>
            </w:tcBorders>
          </w:tcPr>
          <w:p w:rsidR="004E6C32" w:rsidRPr="006A75A2" w:rsidRDefault="004E6C32" w:rsidP="004B5CB1">
            <w:pPr>
              <w:pStyle w:val="TableofFigures"/>
              <w:rPr>
                <w:rFonts w:eastAsiaTheme="minorEastAsia"/>
                <w:i/>
                <w:iCs/>
                <w:sz w:val="18"/>
                <w:lang w:eastAsia="en-AU"/>
              </w:rPr>
            </w:pPr>
            <w:r w:rsidRPr="006A75A2">
              <w:rPr>
                <w:rFonts w:eastAsiaTheme="minorEastAsia"/>
                <w:i/>
                <w:iCs/>
                <w:sz w:val="18"/>
                <w:lang w:eastAsia="en-AU"/>
              </w:rPr>
              <w:t>5 086 470</w:t>
            </w:r>
          </w:p>
        </w:tc>
        <w:tc>
          <w:tcPr>
            <w:tcW w:w="1343" w:type="dxa"/>
            <w:tcBorders>
              <w:top w:val="nil"/>
              <w:left w:val="nil"/>
              <w:bottom w:val="nil"/>
              <w:right w:val="nil"/>
            </w:tcBorders>
          </w:tcPr>
          <w:p w:rsidR="004E6C32" w:rsidRPr="006A75A2" w:rsidRDefault="004E6C32" w:rsidP="004B5CB1">
            <w:pPr>
              <w:pStyle w:val="TableofFigures"/>
              <w:rPr>
                <w:rFonts w:eastAsiaTheme="minorEastAsia"/>
                <w:i/>
                <w:iCs/>
                <w:sz w:val="18"/>
                <w:lang w:eastAsia="en-AU"/>
              </w:rPr>
            </w:pPr>
            <w:r w:rsidRPr="006A75A2">
              <w:rPr>
                <w:rFonts w:eastAsiaTheme="minorEastAsia"/>
                <w:i/>
                <w:iCs/>
                <w:sz w:val="18"/>
                <w:lang w:eastAsia="en-AU"/>
              </w:rPr>
              <w:t>4 654 518</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i/>
                <w:iCs/>
                <w:sz w:val="18"/>
                <w:lang w:eastAsia="en-AU"/>
              </w:rPr>
            </w:pPr>
            <w:r w:rsidRPr="006A75A2">
              <w:rPr>
                <w:rFonts w:eastAsiaTheme="minorEastAsia"/>
                <w:i/>
                <w:iCs/>
                <w:sz w:val="18"/>
                <w:lang w:eastAsia="en-AU"/>
              </w:rPr>
              <w:t xml:space="preserve">   add payments made during the year under the </w:t>
            </w:r>
            <w:r w:rsidRPr="006A75A2">
              <w:rPr>
                <w:rFonts w:eastAsiaTheme="minorEastAsia"/>
                <w:iCs/>
                <w:sz w:val="18"/>
                <w:lang w:eastAsia="en-AU"/>
              </w:rPr>
              <w:t>Financial Management Act, No. 18 of 1994,</w:t>
            </w:r>
            <w:r w:rsidRPr="006A75A2">
              <w:rPr>
                <w:rFonts w:eastAsiaTheme="minorEastAsia"/>
                <w:i/>
                <w:iCs/>
                <w:sz w:val="18"/>
                <w:lang w:eastAsia="en-AU"/>
              </w:rPr>
              <w:t xml:space="preserve"> Section 33</w:t>
            </w:r>
          </w:p>
        </w:tc>
        <w:tc>
          <w:tcPr>
            <w:tcW w:w="1350" w:type="dxa"/>
            <w:tcBorders>
              <w:top w:val="nil"/>
              <w:left w:val="nil"/>
              <w:bottom w:val="nil"/>
              <w:right w:val="nil"/>
            </w:tcBorders>
          </w:tcPr>
          <w:p w:rsidR="004E6C32" w:rsidRPr="006A75A2" w:rsidRDefault="004E6C32" w:rsidP="004B5CB1">
            <w:pPr>
              <w:pStyle w:val="TableofFigures"/>
              <w:rPr>
                <w:rFonts w:eastAsiaTheme="minorEastAsia"/>
                <w:i/>
                <w:iCs/>
                <w:sz w:val="18"/>
                <w:lang w:eastAsia="en-AU"/>
              </w:rPr>
            </w:pPr>
            <w:r w:rsidRPr="006A75A2">
              <w:rPr>
                <w:rFonts w:eastAsiaTheme="minorEastAsia"/>
                <w:i/>
                <w:iCs/>
                <w:sz w:val="18"/>
                <w:lang w:eastAsia="en-AU"/>
              </w:rPr>
              <w:t xml:space="preserve"> 128 048</w:t>
            </w:r>
          </w:p>
        </w:tc>
        <w:tc>
          <w:tcPr>
            <w:tcW w:w="1343" w:type="dxa"/>
            <w:tcBorders>
              <w:top w:val="nil"/>
              <w:left w:val="nil"/>
              <w:bottom w:val="nil"/>
              <w:right w:val="nil"/>
            </w:tcBorders>
          </w:tcPr>
          <w:p w:rsidR="004E6C32" w:rsidRPr="006A75A2" w:rsidRDefault="004E6C32" w:rsidP="004B5CB1">
            <w:pPr>
              <w:pStyle w:val="TableofFigures"/>
              <w:rPr>
                <w:rFonts w:eastAsiaTheme="minorEastAsia"/>
                <w:i/>
                <w:iCs/>
                <w:sz w:val="18"/>
                <w:lang w:eastAsia="en-AU"/>
              </w:rPr>
            </w:pPr>
            <w:r w:rsidRPr="006A75A2">
              <w:rPr>
                <w:rFonts w:eastAsiaTheme="minorEastAsia"/>
                <w:i/>
                <w:iCs/>
                <w:sz w:val="18"/>
                <w:lang w:eastAsia="en-AU"/>
              </w:rPr>
              <w:t xml:space="preserve"> 142 877</w:t>
            </w:r>
          </w:p>
        </w:tc>
      </w:tr>
      <w:tr w:rsidR="004E6C32" w:rsidRPr="006A75A2" w:rsidTr="004B5CB1">
        <w:tc>
          <w:tcPr>
            <w:tcW w:w="6947" w:type="dxa"/>
            <w:tcBorders>
              <w:top w:val="nil"/>
              <w:left w:val="nil"/>
              <w:bottom w:val="nil"/>
              <w:right w:val="nil"/>
            </w:tcBorders>
          </w:tcPr>
          <w:p w:rsidR="004E6C32" w:rsidRPr="006A75A2" w:rsidRDefault="004E6C32" w:rsidP="004B5CB1">
            <w:pPr>
              <w:pStyle w:val="Tabletext"/>
              <w:rPr>
                <w:rFonts w:eastAsiaTheme="minorEastAsia"/>
                <w:b/>
                <w:bCs/>
                <w:i/>
                <w:iCs/>
                <w:sz w:val="18"/>
                <w:lang w:eastAsia="en-AU"/>
              </w:rPr>
            </w:pPr>
            <w:r w:rsidRPr="006A75A2">
              <w:rPr>
                <w:rFonts w:eastAsiaTheme="minorEastAsia"/>
                <w:b/>
                <w:bCs/>
                <w:i/>
                <w:iCs/>
                <w:sz w:val="18"/>
                <w:lang w:eastAsia="en-AU"/>
              </w:rPr>
              <w:t xml:space="preserve">   Subtotal</w:t>
            </w:r>
          </w:p>
        </w:tc>
        <w:tc>
          <w:tcPr>
            <w:tcW w:w="1350" w:type="dxa"/>
            <w:tcBorders>
              <w:top w:val="nil"/>
              <w:left w:val="nil"/>
              <w:bottom w:val="single" w:sz="6" w:space="0" w:color="auto"/>
              <w:right w:val="nil"/>
            </w:tcBorders>
          </w:tcPr>
          <w:p w:rsidR="004E6C32" w:rsidRPr="006A75A2" w:rsidRDefault="004E6C32" w:rsidP="004B5CB1">
            <w:pPr>
              <w:pStyle w:val="TableofFigures"/>
              <w:rPr>
                <w:rFonts w:eastAsiaTheme="minorEastAsia"/>
                <w:b/>
                <w:i/>
                <w:iCs/>
                <w:sz w:val="18"/>
                <w:lang w:eastAsia="en-AU"/>
              </w:rPr>
            </w:pPr>
            <w:r w:rsidRPr="006A75A2">
              <w:rPr>
                <w:rFonts w:eastAsiaTheme="minorEastAsia"/>
                <w:b/>
                <w:i/>
                <w:iCs/>
                <w:sz w:val="18"/>
                <w:lang w:eastAsia="en-AU"/>
              </w:rPr>
              <w:t>5 214 518</w:t>
            </w:r>
          </w:p>
        </w:tc>
        <w:tc>
          <w:tcPr>
            <w:tcW w:w="1343" w:type="dxa"/>
            <w:tcBorders>
              <w:top w:val="nil"/>
              <w:left w:val="nil"/>
              <w:bottom w:val="single" w:sz="6" w:space="0" w:color="auto"/>
              <w:right w:val="nil"/>
            </w:tcBorders>
          </w:tcPr>
          <w:p w:rsidR="004E6C32" w:rsidRPr="006A75A2" w:rsidRDefault="004E6C32" w:rsidP="004B5CB1">
            <w:pPr>
              <w:pStyle w:val="TableofFigures"/>
              <w:rPr>
                <w:rFonts w:eastAsiaTheme="minorEastAsia"/>
                <w:b/>
                <w:i/>
                <w:iCs/>
                <w:sz w:val="18"/>
                <w:lang w:eastAsia="en-AU"/>
              </w:rPr>
            </w:pPr>
            <w:r w:rsidRPr="006A75A2">
              <w:rPr>
                <w:rFonts w:eastAsiaTheme="minorEastAsia"/>
                <w:b/>
                <w:i/>
                <w:iCs/>
                <w:sz w:val="18"/>
                <w:lang w:eastAsia="en-AU"/>
              </w:rPr>
              <w:t>4 797 394</w:t>
            </w:r>
          </w:p>
        </w:tc>
      </w:tr>
      <w:tr w:rsidR="004E6C32" w:rsidRPr="006A75A2" w:rsidTr="004B5CB1">
        <w:tc>
          <w:tcPr>
            <w:tcW w:w="6947" w:type="dxa"/>
            <w:tcBorders>
              <w:top w:val="nil"/>
              <w:left w:val="nil"/>
              <w:right w:val="nil"/>
            </w:tcBorders>
          </w:tcPr>
          <w:p w:rsidR="004E6C32" w:rsidRPr="006A75A2" w:rsidRDefault="004E6C32" w:rsidP="004B5CB1">
            <w:pPr>
              <w:pStyle w:val="Tabletext"/>
              <w:rPr>
                <w:rFonts w:eastAsiaTheme="minorEastAsia"/>
                <w:i/>
                <w:iCs/>
                <w:sz w:val="18"/>
                <w:lang w:eastAsia="en-AU"/>
              </w:rPr>
            </w:pPr>
            <w:r w:rsidRPr="006A75A2">
              <w:rPr>
                <w:rFonts w:eastAsiaTheme="minorEastAsia"/>
                <w:i/>
                <w:iCs/>
                <w:sz w:val="18"/>
                <w:lang w:eastAsia="en-AU"/>
              </w:rPr>
              <w:t xml:space="preserve">   less applied appropriations unspent at beginning of year</w:t>
            </w:r>
          </w:p>
        </w:tc>
        <w:tc>
          <w:tcPr>
            <w:tcW w:w="1350" w:type="dxa"/>
            <w:tcBorders>
              <w:top w:val="nil"/>
              <w:left w:val="nil"/>
              <w:right w:val="nil"/>
            </w:tcBorders>
          </w:tcPr>
          <w:p w:rsidR="004E6C32" w:rsidRPr="006A75A2" w:rsidRDefault="004E6C32" w:rsidP="004B5CB1">
            <w:pPr>
              <w:pStyle w:val="TableofFigures"/>
              <w:rPr>
                <w:rFonts w:eastAsiaTheme="minorEastAsia" w:cs="Calibri"/>
                <w:i/>
                <w:iCs/>
                <w:sz w:val="20"/>
                <w:lang w:eastAsia="en-AU"/>
              </w:rPr>
            </w:pPr>
            <w:r w:rsidRPr="006A75A2">
              <w:rPr>
                <w:rFonts w:eastAsiaTheme="minorEastAsia"/>
                <w:i/>
                <w:iCs/>
                <w:sz w:val="18"/>
                <w:lang w:eastAsia="en-AU"/>
              </w:rPr>
              <w:t>(4 654 518)</w:t>
            </w:r>
          </w:p>
        </w:tc>
        <w:tc>
          <w:tcPr>
            <w:tcW w:w="1343" w:type="dxa"/>
            <w:tcBorders>
              <w:top w:val="nil"/>
              <w:left w:val="nil"/>
              <w:right w:val="nil"/>
            </w:tcBorders>
          </w:tcPr>
          <w:p w:rsidR="004E6C32" w:rsidRPr="006A75A2" w:rsidRDefault="004E6C32" w:rsidP="004B5CB1">
            <w:pPr>
              <w:pStyle w:val="TableofFigures"/>
              <w:rPr>
                <w:rFonts w:eastAsiaTheme="minorEastAsia" w:cs="Calibri"/>
                <w:i/>
                <w:iCs/>
                <w:sz w:val="20"/>
                <w:lang w:eastAsia="en-AU"/>
              </w:rPr>
            </w:pPr>
            <w:r w:rsidRPr="006A75A2">
              <w:rPr>
                <w:rFonts w:eastAsiaTheme="minorEastAsia"/>
                <w:i/>
                <w:iCs/>
                <w:sz w:val="18"/>
                <w:lang w:eastAsia="en-AU"/>
              </w:rPr>
              <w:t>(4 224 060)</w:t>
            </w:r>
          </w:p>
        </w:tc>
      </w:tr>
      <w:tr w:rsidR="004E6C32" w:rsidRPr="006A75A2" w:rsidTr="004B5CB1">
        <w:tc>
          <w:tcPr>
            <w:tcW w:w="6947" w:type="dxa"/>
            <w:tcBorders>
              <w:top w:val="nil"/>
              <w:left w:val="nil"/>
              <w:right w:val="nil"/>
            </w:tcBorders>
            <w:shd w:val="clear" w:color="auto" w:fill="auto"/>
          </w:tcPr>
          <w:p w:rsidR="004E6C32" w:rsidRPr="006A75A2" w:rsidRDefault="004E6C32" w:rsidP="004B5CB1">
            <w:pPr>
              <w:pStyle w:val="Tabletext"/>
              <w:rPr>
                <w:rFonts w:eastAsiaTheme="minorEastAsia"/>
                <w:i/>
                <w:iCs/>
                <w:sz w:val="18"/>
                <w:lang w:eastAsia="en-AU"/>
              </w:rPr>
            </w:pPr>
            <w:r w:rsidRPr="006A75A2">
              <w:rPr>
                <w:rFonts w:eastAsiaTheme="minorEastAsia"/>
                <w:i/>
                <w:iCs/>
                <w:sz w:val="18"/>
                <w:lang w:eastAsia="en-AU"/>
              </w:rPr>
              <w:t xml:space="preserve">   Current year appropriations remaining unspent as at 30 June </w:t>
            </w:r>
          </w:p>
        </w:tc>
        <w:tc>
          <w:tcPr>
            <w:tcW w:w="1350" w:type="dxa"/>
            <w:tcBorders>
              <w:top w:val="nil"/>
              <w:left w:val="nil"/>
              <w:bottom w:val="single" w:sz="4" w:space="0" w:color="auto"/>
              <w:right w:val="nil"/>
            </w:tcBorders>
            <w:shd w:val="clear" w:color="auto" w:fill="auto"/>
          </w:tcPr>
          <w:p w:rsidR="004E6C32" w:rsidRPr="006A75A2" w:rsidRDefault="004E6C32" w:rsidP="004B5CB1">
            <w:pPr>
              <w:pStyle w:val="TableofFigures"/>
              <w:rPr>
                <w:rFonts w:eastAsiaTheme="minorEastAsia"/>
                <w:i/>
                <w:iCs/>
                <w:sz w:val="18"/>
                <w:lang w:eastAsia="en-AU"/>
              </w:rPr>
            </w:pPr>
            <w:r w:rsidRPr="006A75A2">
              <w:rPr>
                <w:rFonts w:eastAsiaTheme="minorEastAsia"/>
                <w:i/>
                <w:iCs/>
                <w:sz w:val="18"/>
                <w:lang w:eastAsia="en-AU"/>
              </w:rPr>
              <w:t xml:space="preserve"> 560 000</w:t>
            </w:r>
          </w:p>
        </w:tc>
        <w:tc>
          <w:tcPr>
            <w:tcW w:w="1343" w:type="dxa"/>
            <w:tcBorders>
              <w:top w:val="nil"/>
              <w:left w:val="nil"/>
              <w:bottom w:val="single" w:sz="4" w:space="0" w:color="auto"/>
              <w:right w:val="nil"/>
            </w:tcBorders>
            <w:shd w:val="clear" w:color="auto" w:fill="auto"/>
          </w:tcPr>
          <w:p w:rsidR="004E6C32" w:rsidRPr="006A75A2" w:rsidRDefault="004E6C32" w:rsidP="004B5CB1">
            <w:pPr>
              <w:pStyle w:val="TableofFigures"/>
              <w:rPr>
                <w:rFonts w:eastAsiaTheme="minorEastAsia"/>
                <w:i/>
                <w:iCs/>
                <w:sz w:val="18"/>
                <w:lang w:eastAsia="en-AU"/>
              </w:rPr>
            </w:pPr>
            <w:r w:rsidRPr="006A75A2">
              <w:rPr>
                <w:rFonts w:eastAsiaTheme="minorEastAsia"/>
                <w:i/>
                <w:iCs/>
                <w:sz w:val="18"/>
                <w:lang w:eastAsia="en-AU"/>
              </w:rPr>
              <w:t xml:space="preserve"> 573 334</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(b)</w:t>
      </w:r>
      <w:r w:rsidRPr="006A75A2">
        <w:tab/>
        <w:t>Consolidated fund gross receipts for the financial year ended 30 June</w:t>
      </w:r>
    </w:p>
    <w:p w:rsidR="004E6C32" w:rsidRPr="006A75A2" w:rsidRDefault="004E6C32" w:rsidP="004B5CB1">
      <w:pPr>
        <w:pStyle w:val="million"/>
        <w:rPr>
          <w:rFonts w:ascii="Times New Roman" w:hAnsi="Times New Roman"/>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280"/>
        <w:gridCol w:w="1120"/>
        <w:gridCol w:w="1120"/>
        <w:gridCol w:w="1120"/>
      </w:tblGrid>
      <w:tr w:rsidR="007A601D" w:rsidRPr="006A75A2" w:rsidTr="00A67F93">
        <w:trPr>
          <w:trHeight w:val="503"/>
          <w:tblHeader/>
        </w:trPr>
        <w:tc>
          <w:tcPr>
            <w:tcW w:w="6280" w:type="dxa"/>
            <w:tcBorders>
              <w:top w:val="single" w:sz="6" w:space="0" w:color="auto"/>
              <w:left w:val="single" w:sz="6" w:space="0" w:color="auto"/>
              <w:right w:val="nil"/>
            </w:tcBorders>
            <w:shd w:val="clear" w:color="000000" w:fill="000000"/>
          </w:tcPr>
          <w:p w:rsidR="007A601D" w:rsidRPr="006A75A2" w:rsidRDefault="007A601D" w:rsidP="007A601D">
            <w:pPr>
              <w:pStyle w:val="Tabletext"/>
              <w:rPr>
                <w:rFonts w:eastAsiaTheme="minorEastAsia"/>
                <w:sz w:val="20"/>
                <w:szCs w:val="20"/>
                <w:lang w:eastAsia="en-AU"/>
              </w:rPr>
            </w:pPr>
          </w:p>
        </w:tc>
        <w:tc>
          <w:tcPr>
            <w:tcW w:w="1120" w:type="dxa"/>
            <w:tcBorders>
              <w:top w:val="single" w:sz="6" w:space="0" w:color="auto"/>
              <w:left w:val="nil"/>
              <w:right w:val="nil"/>
            </w:tcBorders>
            <w:shd w:val="clear" w:color="000000" w:fill="000000"/>
          </w:tcPr>
          <w:p w:rsidR="007A601D" w:rsidRPr="006A75A2" w:rsidRDefault="007A601D" w:rsidP="007A601D">
            <w:pPr>
              <w:pStyle w:val="Tabletextheading"/>
              <w:rPr>
                <w:rFonts w:eastAsiaTheme="minorEastAsia"/>
                <w:iCs/>
                <w:sz w:val="20"/>
                <w:szCs w:val="20"/>
                <w:lang w:eastAsia="en-AU"/>
              </w:rPr>
            </w:pPr>
            <w:r w:rsidRPr="006A75A2">
              <w:rPr>
                <w:rFonts w:eastAsiaTheme="minorEastAsia"/>
                <w:iCs/>
                <w:sz w:val="20"/>
                <w:szCs w:val="20"/>
                <w:lang w:eastAsia="en-AU"/>
              </w:rPr>
              <w:t>Estimate 2014</w:t>
            </w:r>
          </w:p>
        </w:tc>
        <w:tc>
          <w:tcPr>
            <w:tcW w:w="1120" w:type="dxa"/>
            <w:tcBorders>
              <w:top w:val="single" w:sz="6" w:space="0" w:color="auto"/>
              <w:left w:val="nil"/>
              <w:right w:val="nil"/>
            </w:tcBorders>
            <w:shd w:val="clear" w:color="000000" w:fill="000000"/>
          </w:tcPr>
          <w:p w:rsidR="007A601D" w:rsidRPr="006A75A2" w:rsidRDefault="007A601D" w:rsidP="007A601D">
            <w:pPr>
              <w:pStyle w:val="Tabletextheading"/>
              <w:rPr>
                <w:rFonts w:eastAsiaTheme="minorEastAsia"/>
                <w:iCs/>
                <w:sz w:val="20"/>
                <w:szCs w:val="20"/>
                <w:lang w:eastAsia="en-AU"/>
              </w:rPr>
            </w:pPr>
            <w:r w:rsidRPr="006A75A2">
              <w:rPr>
                <w:rFonts w:eastAsiaTheme="minorEastAsia"/>
                <w:iCs/>
                <w:sz w:val="20"/>
                <w:szCs w:val="20"/>
                <w:lang w:eastAsia="en-AU"/>
              </w:rPr>
              <w:t xml:space="preserve">Actual </w:t>
            </w:r>
            <w:r w:rsidRPr="006A75A2">
              <w:rPr>
                <w:rFonts w:eastAsiaTheme="minorEastAsia"/>
                <w:iCs/>
                <w:sz w:val="20"/>
                <w:szCs w:val="20"/>
                <w:lang w:eastAsia="en-AU"/>
              </w:rPr>
              <w:br/>
              <w:t>2014</w:t>
            </w:r>
          </w:p>
        </w:tc>
        <w:tc>
          <w:tcPr>
            <w:tcW w:w="1120" w:type="dxa"/>
            <w:tcBorders>
              <w:top w:val="single" w:sz="6" w:space="0" w:color="auto"/>
              <w:left w:val="nil"/>
              <w:right w:val="single" w:sz="6" w:space="0" w:color="auto"/>
            </w:tcBorders>
            <w:shd w:val="clear" w:color="000000" w:fill="000000"/>
          </w:tcPr>
          <w:p w:rsidR="007A601D" w:rsidRPr="006A75A2" w:rsidRDefault="007A601D" w:rsidP="007A601D">
            <w:pPr>
              <w:pStyle w:val="Tabletextheading"/>
              <w:rPr>
                <w:rFonts w:eastAsiaTheme="minorEastAsia"/>
                <w:iCs/>
                <w:sz w:val="20"/>
                <w:szCs w:val="20"/>
                <w:lang w:eastAsia="en-AU"/>
              </w:rPr>
            </w:pPr>
            <w:r w:rsidRPr="006A75A2">
              <w:rPr>
                <w:rFonts w:eastAsiaTheme="minorEastAsia"/>
                <w:iCs/>
                <w:sz w:val="20"/>
                <w:szCs w:val="20"/>
                <w:lang w:eastAsia="en-AU"/>
              </w:rPr>
              <w:t xml:space="preserve">Actual </w:t>
            </w:r>
            <w:r w:rsidRPr="006A75A2">
              <w:rPr>
                <w:rFonts w:eastAsiaTheme="minorEastAsia"/>
                <w:iCs/>
                <w:sz w:val="20"/>
                <w:szCs w:val="20"/>
                <w:lang w:eastAsia="en-AU"/>
              </w:rPr>
              <w:br/>
              <w:t>2013</w:t>
            </w:r>
          </w:p>
        </w:tc>
      </w:tr>
      <w:tr w:rsidR="007A601D" w:rsidRPr="006A75A2" w:rsidTr="00A67F93">
        <w:tc>
          <w:tcPr>
            <w:tcW w:w="9640" w:type="dxa"/>
            <w:gridSpan w:val="4"/>
            <w:tcBorders>
              <w:top w:val="single" w:sz="6" w:space="0" w:color="auto"/>
              <w:left w:val="nil"/>
              <w:bottom w:val="nil"/>
              <w:right w:val="nil"/>
            </w:tcBorders>
          </w:tcPr>
          <w:p w:rsidR="007A601D" w:rsidRPr="006A75A2" w:rsidRDefault="007A601D" w:rsidP="007A601D">
            <w:pPr>
              <w:pStyle w:val="Tabletext"/>
              <w:rPr>
                <w:rFonts w:eastAsiaTheme="minorEastAsia"/>
                <w:b/>
                <w:bCs/>
                <w:sz w:val="20"/>
                <w:szCs w:val="20"/>
                <w:lang w:eastAsia="en-AU"/>
              </w:rPr>
            </w:pPr>
            <w:r w:rsidRPr="006A75A2">
              <w:rPr>
                <w:rFonts w:eastAsiaTheme="minorEastAsia"/>
                <w:b/>
                <w:bCs/>
                <w:sz w:val="20"/>
                <w:szCs w:val="20"/>
                <w:lang w:eastAsia="en-AU"/>
              </w:rPr>
              <w:t>Operating activities</w:t>
            </w:r>
          </w:p>
        </w:tc>
      </w:tr>
      <w:tr w:rsidR="007A601D" w:rsidRPr="006A75A2" w:rsidTr="00A67F93">
        <w:trPr>
          <w:trHeight w:hRule="exact" w:val="120"/>
        </w:trPr>
        <w:tc>
          <w:tcPr>
            <w:tcW w:w="9640" w:type="dxa"/>
            <w:gridSpan w:val="4"/>
            <w:tcBorders>
              <w:top w:val="nil"/>
              <w:left w:val="nil"/>
              <w:bottom w:val="nil"/>
              <w:right w:val="nil"/>
            </w:tcBorders>
          </w:tcPr>
          <w:p w:rsidR="007A601D" w:rsidRPr="006A75A2" w:rsidRDefault="007A601D" w:rsidP="007A601D">
            <w:pPr>
              <w:pStyle w:val="TableofFigures"/>
              <w:jc w:val="left"/>
              <w:rPr>
                <w:rFonts w:eastAsiaTheme="minorEastAsia"/>
                <w:b/>
                <w:bCs/>
                <w:sz w:val="20"/>
                <w:szCs w:val="20"/>
                <w:lang w:eastAsia="en-AU"/>
              </w:rPr>
            </w:pP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Taxation</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Payroll Tax</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5 648 196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5 480 607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5 278 657</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Land tax</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1 564 596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1 631 034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1 570 543</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Congestion levy</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93 505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83 852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48 203</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Land transfer duty</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3 654 546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4 058 770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2 872 160</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Fire Services Property Levy</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636 369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630 631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Stamp duties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4 023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4 394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3 235</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Financial accommodation levy</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132 816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115 334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96 902</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Growth Areas Infrastructure Contribution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20 369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18 872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16 046</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Levies on statutory corporations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117 457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111 980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69 420</w:t>
            </w: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Gambling</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Private lotteries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464 563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422 704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464 307</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Electronic gaming machines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952 382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767 020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1 138 782</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Casino taxes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230 604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208 667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200 815</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Racing</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57 086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14 184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56 150</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Other gambling</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118 231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113 947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100 475</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Insurance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1 049 719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1 061 025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1 055 795</w:t>
            </w: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Motor vehicle</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i/>
                <w:iCs/>
                <w:sz w:val="20"/>
                <w:szCs w:val="20"/>
                <w:lang w:eastAsia="en-AU"/>
              </w:rPr>
            </w:pPr>
            <w:r w:rsidRPr="006A75A2">
              <w:rPr>
                <w:rFonts w:eastAsiaTheme="minorEastAsia"/>
                <w:sz w:val="20"/>
                <w:szCs w:val="20"/>
                <w:lang w:eastAsia="en-AU"/>
              </w:rPr>
              <w:t xml:space="preserve">   Registration fees pursuant to the </w:t>
            </w:r>
            <w:r w:rsidRPr="006A75A2">
              <w:rPr>
                <w:rFonts w:eastAsiaTheme="minorEastAsia"/>
                <w:i/>
                <w:iCs/>
                <w:sz w:val="20"/>
                <w:szCs w:val="20"/>
                <w:lang w:eastAsia="en-AU"/>
              </w:rPr>
              <w:t>Road Safety Act, No. 127 of 1986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1 247 797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1 238 376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1 182 507</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Stamp duty on vehicle transfers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661 059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663 093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636 088</w:t>
            </w: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Franchise fees</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r w:rsidR="007A601D" w:rsidRPr="006A75A2">
              <w:rPr>
                <w:rFonts w:eastAsiaTheme="minorEastAsia"/>
                <w:sz w:val="20"/>
                <w:szCs w:val="20"/>
                <w:lang w:eastAsia="en-AU"/>
              </w:rPr>
              <w:t xml:space="preserve"> </w:t>
            </w:r>
            <w:r w:rsidRPr="006A75A2">
              <w:rPr>
                <w:rFonts w:eastAsiaTheme="minorEastAsia"/>
                <w:sz w:val="20"/>
                <w:szCs w:val="20"/>
                <w:lang w:eastAsia="en-AU"/>
              </w:rPr>
              <w:t xml:space="preserve"> Liquor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23 491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23 310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22 813</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Other taxes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106 792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289 349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103 965</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taxation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16 783 601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16 937 148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14 916 863</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Fines and regulatory fees</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Fines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345 863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232 168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227 721</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Regulatory fees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453 548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526 193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452 434</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fines and regulatory fees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799 410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758 361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680 155</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Grants received</w:t>
            </w:r>
            <w:r w:rsidRPr="006A75A2">
              <w:rPr>
                <w:rFonts w:eastAsiaTheme="minorEastAsia"/>
                <w:b/>
                <w:bCs/>
                <w:iCs/>
                <w:sz w:val="20"/>
                <w:szCs w:val="20"/>
                <w:vertAlign w:val="superscript"/>
                <w:lang w:eastAsia="en-AU"/>
              </w:rPr>
              <w:t>(a)</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Environment and Primary Industries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27 052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45 633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27 520</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Primary Industries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2 779</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Health</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40 066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40 451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53 664</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Human Services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3 497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3 249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11 713</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Justice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5 020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2 000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State Development, Business and Innovation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5 357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357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1 078</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Treasury and Finance</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18 046 339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18 004 910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15 904 741</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grants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18 127 331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18 096 600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16 001 494</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Sales of goods and services</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Capital asset charge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4 238 537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4 212 639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4 023 019</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Other sales of goods and services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1 109 146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966 721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1 130 823</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sales of goods and services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5 347 683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5 179 361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5 153 842</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Interest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490 052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533 301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367 401</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ind w:left="181" w:hanging="181"/>
              <w:rPr>
                <w:rFonts w:eastAsiaTheme="minorEastAsia"/>
                <w:b/>
                <w:sz w:val="20"/>
                <w:szCs w:val="20"/>
                <w:lang w:eastAsia="en-AU"/>
              </w:rPr>
            </w:pPr>
            <w:r w:rsidRPr="006A75A2">
              <w:rPr>
                <w:rFonts w:eastAsiaTheme="minorEastAsia"/>
                <w:b/>
                <w:bCs/>
                <w:sz w:val="20"/>
                <w:szCs w:val="20"/>
                <w:lang w:eastAsia="en-AU"/>
              </w:rPr>
              <w:t>Dividends and income tax equivalent and rate equivalent revenue</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r w:rsidR="0067336F" w:rsidRPr="006A75A2">
              <w:rPr>
                <w:rFonts w:eastAsiaTheme="minorEastAsia"/>
                <w:sz w:val="20"/>
                <w:szCs w:val="20"/>
                <w:lang w:eastAsia="en-AU"/>
              </w:rPr>
              <w:t xml:space="preserve"> </w:t>
            </w:r>
            <w:r w:rsidRPr="006A75A2">
              <w:rPr>
                <w:rFonts w:eastAsiaTheme="minorEastAsia"/>
                <w:sz w:val="20"/>
                <w:szCs w:val="20"/>
                <w:lang w:eastAsia="en-AU"/>
              </w:rPr>
              <w:t>Dividends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445 890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383 554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1 144 933</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r w:rsidR="0067336F" w:rsidRPr="006A75A2">
              <w:rPr>
                <w:rFonts w:eastAsiaTheme="minorEastAsia"/>
                <w:sz w:val="20"/>
                <w:szCs w:val="20"/>
                <w:lang w:eastAsia="en-AU"/>
              </w:rPr>
              <w:t xml:space="preserve"> </w:t>
            </w:r>
            <w:r w:rsidRPr="006A75A2">
              <w:rPr>
                <w:rFonts w:eastAsiaTheme="minorEastAsia"/>
                <w:sz w:val="20"/>
                <w:szCs w:val="20"/>
                <w:lang w:eastAsia="en-AU"/>
              </w:rPr>
              <w:t xml:space="preserve"> Income tax equivalent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195 660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183 590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192 768</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r w:rsidR="0067336F" w:rsidRPr="006A75A2">
              <w:rPr>
                <w:rFonts w:eastAsiaTheme="minorEastAsia"/>
                <w:sz w:val="20"/>
                <w:szCs w:val="20"/>
                <w:lang w:eastAsia="en-AU"/>
              </w:rPr>
              <w:t xml:space="preserve"> </w:t>
            </w:r>
            <w:r w:rsidRPr="006A75A2">
              <w:rPr>
                <w:rFonts w:eastAsiaTheme="minorEastAsia"/>
                <w:sz w:val="20"/>
                <w:szCs w:val="20"/>
                <w:lang w:eastAsia="en-AU"/>
              </w:rPr>
              <w:t xml:space="preserve"> Local government tax equivalent revenue</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5 264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4 666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2 971</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dividends and income tax equivalent and rate equivalent revenue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646 814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571 810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1 340 671</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r>
    </w:tbl>
    <w:p w:rsidR="002A6119" w:rsidRPr="006A75A2" w:rsidRDefault="002A6119"/>
    <w:p w:rsidR="002A6119" w:rsidRPr="006A75A2" w:rsidRDefault="002A6119" w:rsidP="002A6119">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2A6119" w:rsidRPr="006A75A2" w:rsidRDefault="002A6119" w:rsidP="002A6119">
      <w:pPr>
        <w:pStyle w:val="Heading5"/>
      </w:pPr>
      <w:r w:rsidRPr="006A75A2">
        <w:t>(b)</w:t>
      </w:r>
      <w:r w:rsidRPr="006A75A2">
        <w:tab/>
        <w:t xml:space="preserve">Consolidated fund gross receipts for the financial year ended 30 June </w:t>
      </w:r>
      <w:r w:rsidRPr="006A75A2">
        <w:rPr>
          <w:i/>
        </w:rPr>
        <w:t>(continued)</w:t>
      </w:r>
    </w:p>
    <w:p w:rsidR="002A6119" w:rsidRPr="006A75A2" w:rsidRDefault="002A6119" w:rsidP="002A6119">
      <w:pPr>
        <w:pStyle w:val="million"/>
        <w:rPr>
          <w:rFonts w:ascii="Times New Roman" w:hAnsi="Times New Roman"/>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280"/>
        <w:gridCol w:w="1120"/>
        <w:gridCol w:w="1120"/>
        <w:gridCol w:w="1120"/>
      </w:tblGrid>
      <w:tr w:rsidR="002A6119" w:rsidRPr="006A75A2" w:rsidTr="00A659BA">
        <w:trPr>
          <w:trHeight w:val="503"/>
          <w:tblHeader/>
        </w:trPr>
        <w:tc>
          <w:tcPr>
            <w:tcW w:w="6280" w:type="dxa"/>
            <w:tcBorders>
              <w:top w:val="single" w:sz="6" w:space="0" w:color="auto"/>
              <w:left w:val="single" w:sz="6" w:space="0" w:color="auto"/>
              <w:right w:val="nil"/>
            </w:tcBorders>
            <w:shd w:val="clear" w:color="000000" w:fill="000000"/>
          </w:tcPr>
          <w:p w:rsidR="002A6119" w:rsidRPr="006A75A2" w:rsidRDefault="002A6119" w:rsidP="00A659BA">
            <w:pPr>
              <w:pStyle w:val="Tabletext"/>
              <w:rPr>
                <w:rFonts w:eastAsiaTheme="minorEastAsia"/>
                <w:sz w:val="20"/>
                <w:szCs w:val="20"/>
                <w:lang w:eastAsia="en-AU"/>
              </w:rPr>
            </w:pPr>
          </w:p>
        </w:tc>
        <w:tc>
          <w:tcPr>
            <w:tcW w:w="1120" w:type="dxa"/>
            <w:tcBorders>
              <w:top w:val="single" w:sz="6" w:space="0" w:color="auto"/>
              <w:left w:val="nil"/>
              <w:right w:val="nil"/>
            </w:tcBorders>
            <w:shd w:val="clear" w:color="000000" w:fill="000000"/>
          </w:tcPr>
          <w:p w:rsidR="002A6119" w:rsidRPr="006A75A2" w:rsidRDefault="002A6119" w:rsidP="00A659BA">
            <w:pPr>
              <w:pStyle w:val="Tabletextheading"/>
              <w:rPr>
                <w:rFonts w:eastAsiaTheme="minorEastAsia"/>
                <w:iCs/>
                <w:sz w:val="20"/>
                <w:szCs w:val="20"/>
                <w:lang w:eastAsia="en-AU"/>
              </w:rPr>
            </w:pPr>
            <w:r w:rsidRPr="006A75A2">
              <w:rPr>
                <w:rFonts w:eastAsiaTheme="minorEastAsia"/>
                <w:iCs/>
                <w:sz w:val="20"/>
                <w:szCs w:val="20"/>
                <w:lang w:eastAsia="en-AU"/>
              </w:rPr>
              <w:t>Estimate 2014</w:t>
            </w:r>
          </w:p>
        </w:tc>
        <w:tc>
          <w:tcPr>
            <w:tcW w:w="1120" w:type="dxa"/>
            <w:tcBorders>
              <w:top w:val="single" w:sz="6" w:space="0" w:color="auto"/>
              <w:left w:val="nil"/>
              <w:right w:val="nil"/>
            </w:tcBorders>
            <w:shd w:val="clear" w:color="000000" w:fill="000000"/>
          </w:tcPr>
          <w:p w:rsidR="002A6119" w:rsidRPr="006A75A2" w:rsidRDefault="002A6119" w:rsidP="00A659BA">
            <w:pPr>
              <w:pStyle w:val="Tabletextheading"/>
              <w:rPr>
                <w:rFonts w:eastAsiaTheme="minorEastAsia"/>
                <w:iCs/>
                <w:sz w:val="20"/>
                <w:szCs w:val="20"/>
                <w:lang w:eastAsia="en-AU"/>
              </w:rPr>
            </w:pPr>
            <w:r w:rsidRPr="006A75A2">
              <w:rPr>
                <w:rFonts w:eastAsiaTheme="minorEastAsia"/>
                <w:iCs/>
                <w:sz w:val="20"/>
                <w:szCs w:val="20"/>
                <w:lang w:eastAsia="en-AU"/>
              </w:rPr>
              <w:t xml:space="preserve">Actual </w:t>
            </w:r>
            <w:r w:rsidRPr="006A75A2">
              <w:rPr>
                <w:rFonts w:eastAsiaTheme="minorEastAsia"/>
                <w:iCs/>
                <w:sz w:val="20"/>
                <w:szCs w:val="20"/>
                <w:lang w:eastAsia="en-AU"/>
              </w:rPr>
              <w:br/>
              <w:t>2014</w:t>
            </w:r>
          </w:p>
        </w:tc>
        <w:tc>
          <w:tcPr>
            <w:tcW w:w="1120" w:type="dxa"/>
            <w:tcBorders>
              <w:top w:val="single" w:sz="6" w:space="0" w:color="auto"/>
              <w:left w:val="nil"/>
              <w:right w:val="single" w:sz="6" w:space="0" w:color="auto"/>
            </w:tcBorders>
            <w:shd w:val="clear" w:color="000000" w:fill="000000"/>
          </w:tcPr>
          <w:p w:rsidR="002A6119" w:rsidRPr="006A75A2" w:rsidRDefault="002A6119" w:rsidP="00A659BA">
            <w:pPr>
              <w:pStyle w:val="Tabletextheading"/>
              <w:rPr>
                <w:rFonts w:eastAsiaTheme="minorEastAsia"/>
                <w:iCs/>
                <w:sz w:val="20"/>
                <w:szCs w:val="20"/>
                <w:lang w:eastAsia="en-AU"/>
              </w:rPr>
            </w:pPr>
            <w:r w:rsidRPr="006A75A2">
              <w:rPr>
                <w:rFonts w:eastAsiaTheme="minorEastAsia"/>
                <w:iCs/>
                <w:sz w:val="20"/>
                <w:szCs w:val="20"/>
                <w:lang w:eastAsia="en-AU"/>
              </w:rPr>
              <w:t xml:space="preserve">Actual </w:t>
            </w:r>
            <w:r w:rsidRPr="006A75A2">
              <w:rPr>
                <w:rFonts w:eastAsiaTheme="minorEastAsia"/>
                <w:iCs/>
                <w:sz w:val="20"/>
                <w:szCs w:val="20"/>
                <w:lang w:eastAsia="en-AU"/>
              </w:rPr>
              <w:br/>
              <w:t>2013</w:t>
            </w:r>
          </w:p>
        </w:tc>
      </w:tr>
      <w:tr w:rsidR="007A601D" w:rsidRPr="006A75A2" w:rsidTr="00A67F93">
        <w:tc>
          <w:tcPr>
            <w:tcW w:w="9640" w:type="dxa"/>
            <w:gridSpan w:val="4"/>
            <w:tcBorders>
              <w:top w:val="nil"/>
              <w:left w:val="nil"/>
              <w:bottom w:val="nil"/>
              <w:right w:val="nil"/>
            </w:tcBorders>
          </w:tcPr>
          <w:p w:rsidR="007A601D" w:rsidRPr="006A75A2" w:rsidRDefault="007A601D" w:rsidP="002A6119">
            <w:pPr>
              <w:pStyle w:val="Tabletext"/>
              <w:ind w:left="181" w:hanging="181"/>
              <w:rPr>
                <w:rFonts w:eastAsiaTheme="minorEastAsia"/>
                <w:b/>
                <w:sz w:val="20"/>
                <w:szCs w:val="20"/>
                <w:lang w:eastAsia="en-AU"/>
              </w:rPr>
            </w:pPr>
            <w:r w:rsidRPr="006A75A2">
              <w:rPr>
                <w:rFonts w:eastAsiaTheme="minorEastAsia"/>
                <w:b/>
                <w:bCs/>
                <w:sz w:val="20"/>
                <w:szCs w:val="20"/>
                <w:lang w:eastAsia="en-AU"/>
              </w:rPr>
              <w:t>Other receipts</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Land rent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15 194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20 407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21 668</w:t>
            </w:r>
          </w:p>
        </w:tc>
      </w:tr>
      <w:tr w:rsidR="004E6C32" w:rsidRPr="006A75A2" w:rsidTr="004B5CB1">
        <w:tc>
          <w:tcPr>
            <w:tcW w:w="6280" w:type="dxa"/>
            <w:tcBorders>
              <w:top w:val="nil"/>
              <w:left w:val="nil"/>
              <w:bottom w:val="nil"/>
              <w:right w:val="nil"/>
            </w:tcBorders>
          </w:tcPr>
          <w:p w:rsidR="004E6C32" w:rsidRPr="006A75A2" w:rsidRDefault="004E6C32" w:rsidP="0067336F">
            <w:pPr>
              <w:pStyle w:val="Tabletext"/>
              <w:rPr>
                <w:rFonts w:eastAsiaTheme="minorEastAsia"/>
                <w:sz w:val="20"/>
                <w:szCs w:val="20"/>
                <w:lang w:eastAsia="en-AU"/>
              </w:rPr>
            </w:pPr>
            <w:r w:rsidRPr="006A75A2">
              <w:rPr>
                <w:rFonts w:eastAsiaTheme="minorEastAsia"/>
                <w:sz w:val="20"/>
                <w:szCs w:val="20"/>
                <w:lang w:eastAsia="en-AU"/>
              </w:rPr>
              <w:t xml:space="preserve">   Royalties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47 147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52 366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45 021</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Other</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326 048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269 658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221 162</w:t>
            </w:r>
          </w:p>
        </w:tc>
      </w:tr>
      <w:tr w:rsidR="004E6C32" w:rsidRPr="006A75A2" w:rsidTr="004B5CB1">
        <w:tc>
          <w:tcPr>
            <w:tcW w:w="628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other receipts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388 389</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342 431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287 851</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cash inflows from operating activities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42 583 280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42 419 011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38 748 277</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Cash inflows from investing activities</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Proceeds from investments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1 964</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(581)</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Proceeds from sale of property, plant and equipment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173 867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136 227</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125 069</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cash inflows from investing activities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173 867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138 192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124 488</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ofFigures"/>
              <w:jc w:val="left"/>
              <w:rPr>
                <w:rFonts w:eastAsiaTheme="minorEastAsia"/>
                <w:b/>
                <w:sz w:val="20"/>
                <w:szCs w:val="20"/>
                <w:lang w:eastAsia="en-AU"/>
              </w:rPr>
            </w:pPr>
            <w:r w:rsidRPr="006A75A2">
              <w:rPr>
                <w:rFonts w:eastAsiaTheme="minorEastAsia"/>
                <w:b/>
                <w:bCs/>
                <w:sz w:val="20"/>
                <w:szCs w:val="20"/>
                <w:lang w:eastAsia="en-AU"/>
              </w:rPr>
              <w:t>Cash inflows from financing activities</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Loans to government agencies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72 147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16 318</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Other loans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162</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(40 199)</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Borrowings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1 004 590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2 162 119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3 603 172</w:t>
            </w:r>
          </w:p>
        </w:tc>
      </w:tr>
      <w:tr w:rsidR="004E6C32" w:rsidRPr="006A75A2" w:rsidTr="004B5CB1">
        <w:tc>
          <w:tcPr>
            <w:tcW w:w="628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cash inflows from financing activities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1 077 392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2 162 281</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3 579 291</w:t>
            </w:r>
          </w:p>
        </w:tc>
      </w:tr>
      <w:tr w:rsidR="004E6C32" w:rsidRPr="006A75A2" w:rsidTr="004B5CB1">
        <w:trPr>
          <w:trHeight w:hRule="exact" w:val="120"/>
        </w:trPr>
        <w:tc>
          <w:tcPr>
            <w:tcW w:w="6280" w:type="dxa"/>
            <w:tcBorders>
              <w:top w:val="nil"/>
              <w:left w:val="nil"/>
              <w:right w:val="nil"/>
            </w:tcBorders>
          </w:tcPr>
          <w:p w:rsidR="004E6C32" w:rsidRPr="006A75A2" w:rsidRDefault="004E6C32" w:rsidP="004B5CB1">
            <w:pPr>
              <w:pStyle w:val="Tabletext"/>
              <w:rPr>
                <w:rFonts w:eastAsiaTheme="minorEastAsia"/>
                <w:sz w:val="20"/>
                <w:szCs w:val="20"/>
                <w:lang w:eastAsia="en-AU"/>
              </w:rPr>
            </w:pPr>
          </w:p>
        </w:tc>
        <w:tc>
          <w:tcPr>
            <w:tcW w:w="1120" w:type="dxa"/>
            <w:tcBorders>
              <w:top w:val="nil"/>
              <w:left w:val="nil"/>
              <w:right w:val="nil"/>
            </w:tcBorders>
          </w:tcPr>
          <w:p w:rsidR="004E6C32" w:rsidRPr="006A75A2" w:rsidRDefault="004E6C32" w:rsidP="004B5CB1">
            <w:pPr>
              <w:pStyle w:val="TableofFigures"/>
              <w:rPr>
                <w:rFonts w:eastAsiaTheme="minorEastAsia"/>
                <w:sz w:val="20"/>
                <w:szCs w:val="20"/>
                <w:lang w:eastAsia="en-AU"/>
              </w:rPr>
            </w:pPr>
          </w:p>
        </w:tc>
        <w:tc>
          <w:tcPr>
            <w:tcW w:w="1120" w:type="dxa"/>
            <w:tcBorders>
              <w:top w:val="nil"/>
              <w:left w:val="nil"/>
              <w:right w:val="nil"/>
            </w:tcBorders>
          </w:tcPr>
          <w:p w:rsidR="004E6C32" w:rsidRPr="006A75A2" w:rsidRDefault="004E6C32" w:rsidP="004B5CB1">
            <w:pPr>
              <w:pStyle w:val="TableofFigures"/>
              <w:rPr>
                <w:rFonts w:eastAsiaTheme="minorEastAsia"/>
                <w:sz w:val="20"/>
                <w:szCs w:val="20"/>
                <w:lang w:eastAsia="en-AU"/>
              </w:rPr>
            </w:pPr>
          </w:p>
        </w:tc>
        <w:tc>
          <w:tcPr>
            <w:tcW w:w="1120" w:type="dxa"/>
            <w:tcBorders>
              <w:top w:val="nil"/>
              <w:left w:val="nil"/>
              <w:right w:val="nil"/>
            </w:tcBorders>
          </w:tcPr>
          <w:p w:rsidR="004E6C32" w:rsidRPr="006A75A2" w:rsidRDefault="004E6C32" w:rsidP="004B5CB1">
            <w:pPr>
              <w:pStyle w:val="TableofFigures"/>
              <w:rPr>
                <w:rFonts w:eastAsiaTheme="minorEastAsia"/>
                <w:sz w:val="20"/>
                <w:szCs w:val="20"/>
                <w:lang w:eastAsia="en-AU"/>
              </w:rPr>
            </w:pPr>
          </w:p>
        </w:tc>
      </w:tr>
      <w:tr w:rsidR="004E6C32" w:rsidRPr="006A75A2" w:rsidTr="004B5CB1">
        <w:tc>
          <w:tcPr>
            <w:tcW w:w="6280"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Total consolidated fund receipts</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43 834 540</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44 719 484</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42 452 057</w:t>
            </w:r>
          </w:p>
        </w:tc>
      </w:tr>
    </w:tbl>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Effective 1 July 2013, the following departments ceased to exist and had their functions and operations transferred to other Victorian government departments:</w:t>
      </w:r>
    </w:p>
    <w:p w:rsidR="004E6C32" w:rsidRPr="006A75A2" w:rsidRDefault="004E6C32" w:rsidP="004B5CB1">
      <w:pPr>
        <w:pStyle w:val="NotesDash"/>
      </w:pPr>
      <w:r w:rsidRPr="006A75A2">
        <w:t>Department of Planning and Community Development; and</w:t>
      </w:r>
    </w:p>
    <w:p w:rsidR="004E6C32" w:rsidRPr="006A75A2" w:rsidRDefault="004E6C32" w:rsidP="004B5CB1">
      <w:pPr>
        <w:pStyle w:val="NotesDash"/>
      </w:pPr>
      <w:r w:rsidRPr="006A75A2">
        <w:t>Department of Primary Industries.</w:t>
      </w:r>
    </w:p>
    <w:p w:rsidR="004E6C32" w:rsidRPr="006A75A2" w:rsidRDefault="004E6C32" w:rsidP="004B5CB1"/>
    <w:p w:rsidR="002A6119" w:rsidRPr="006A75A2" w:rsidRDefault="002A6119">
      <w:pPr>
        <w:spacing w:after="0"/>
        <w:rPr>
          <w:rFonts w:ascii="Calibri" w:hAnsi="Calibri"/>
          <w:b/>
        </w:rPr>
      </w:pPr>
      <w:r w:rsidRPr="006A75A2">
        <w:br w:type="page"/>
      </w:r>
    </w:p>
    <w:p w:rsidR="002A6119" w:rsidRPr="006A75A2" w:rsidRDefault="002A6119" w:rsidP="002A6119">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(c)</w:t>
      </w:r>
      <w:r w:rsidRPr="006A75A2">
        <w:tab/>
        <w:t>Trust fund cash flow statement for the financial year ended 30 June</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538"/>
        <w:gridCol w:w="1701"/>
        <w:gridCol w:w="1401"/>
      </w:tblGrid>
      <w:tr w:rsidR="004E6C32" w:rsidRPr="006A75A2" w:rsidTr="004B5CB1">
        <w:tc>
          <w:tcPr>
            <w:tcW w:w="6538"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701"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2014</w:t>
            </w:r>
          </w:p>
        </w:tc>
        <w:tc>
          <w:tcPr>
            <w:tcW w:w="1401"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sz w:val="20"/>
                <w:szCs w:val="20"/>
                <w:lang w:eastAsia="en-AU"/>
              </w:rPr>
            </w:pPr>
            <w:r w:rsidRPr="006A75A2">
              <w:rPr>
                <w:rFonts w:eastAsiaTheme="minorEastAsia"/>
                <w:iCs/>
                <w:sz w:val="20"/>
                <w:szCs w:val="20"/>
                <w:lang w:eastAsia="en-AU"/>
              </w:rPr>
              <w:t>2013</w:t>
            </w:r>
          </w:p>
        </w:tc>
      </w:tr>
      <w:tr w:rsidR="007A601D" w:rsidRPr="006A75A2" w:rsidTr="00A67F93">
        <w:tc>
          <w:tcPr>
            <w:tcW w:w="9640" w:type="dxa"/>
            <w:gridSpan w:val="3"/>
            <w:tcBorders>
              <w:top w:val="single" w:sz="6" w:space="0" w:color="auto"/>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Cash flows from operating activities</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Receipts</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Taxation</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346 109</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280 549</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Regulatory fees and fines</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48 307</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47 676</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Grants received</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13 554 392</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10 650 201</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Sale of goods and services</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631 333</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704 087</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Interest received</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86 908</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95 196</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Dividend received</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6 508</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Net transfers from the consolidated fund</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9 459 778</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9 963 995</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Other receipts</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147 673</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105 617</w:t>
            </w:r>
          </w:p>
        </w:tc>
      </w:tr>
      <w:tr w:rsidR="004E6C32" w:rsidRPr="006A75A2" w:rsidTr="004B5CB1">
        <w:trPr>
          <w:trHeight w:hRule="exact" w:val="120"/>
        </w:trPr>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Payments</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Payments for employees</w:t>
            </w:r>
          </w:p>
        </w:tc>
        <w:tc>
          <w:tcPr>
            <w:tcW w:w="17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(137 211)</w:t>
            </w:r>
          </w:p>
        </w:tc>
        <w:tc>
          <w:tcPr>
            <w:tcW w:w="14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(150 353)</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Superannuation</w:t>
            </w:r>
          </w:p>
        </w:tc>
        <w:tc>
          <w:tcPr>
            <w:tcW w:w="17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(11 462)</w:t>
            </w:r>
          </w:p>
        </w:tc>
        <w:tc>
          <w:tcPr>
            <w:tcW w:w="14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(12 182)</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Interest paid</w:t>
            </w:r>
          </w:p>
        </w:tc>
        <w:tc>
          <w:tcPr>
            <w:tcW w:w="17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(7 654)</w:t>
            </w:r>
          </w:p>
        </w:tc>
        <w:tc>
          <w:tcPr>
            <w:tcW w:w="14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(11 292)</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Grants and subsidies</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(22 318 600)</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(20 081 722)</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Goods and services</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(1 722 219)</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(1 492 279)</w:t>
            </w:r>
          </w:p>
        </w:tc>
      </w:tr>
      <w:tr w:rsidR="004E6C32" w:rsidRPr="006A75A2" w:rsidTr="004B5CB1">
        <w:tc>
          <w:tcPr>
            <w:tcW w:w="6538"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Net cash flows from operating activities</w:t>
            </w:r>
          </w:p>
        </w:tc>
        <w:tc>
          <w:tcPr>
            <w:tcW w:w="170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83 863</w:t>
            </w:r>
          </w:p>
        </w:tc>
        <w:tc>
          <w:tcPr>
            <w:tcW w:w="140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99 492</w:t>
            </w:r>
          </w:p>
        </w:tc>
      </w:tr>
      <w:tr w:rsidR="004E6C32" w:rsidRPr="006A75A2" w:rsidTr="004B5CB1">
        <w:trPr>
          <w:trHeight w:hRule="exact" w:val="120"/>
        </w:trPr>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Cash flows from investing activities</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Purchase of non-financial assets</w:t>
            </w:r>
          </w:p>
        </w:tc>
        <w:tc>
          <w:tcPr>
            <w:tcW w:w="17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(58 776)</w:t>
            </w:r>
          </w:p>
        </w:tc>
        <w:tc>
          <w:tcPr>
            <w:tcW w:w="14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(42 963)</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Sales of non-financial assets</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62 495</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63 164</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Net proceeds from customer loans</w:t>
            </w:r>
          </w:p>
        </w:tc>
        <w:tc>
          <w:tcPr>
            <w:tcW w:w="17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(17 896)</w:t>
            </w:r>
          </w:p>
        </w:tc>
        <w:tc>
          <w:tcPr>
            <w:tcW w:w="14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(2 095)</w:t>
            </w:r>
          </w:p>
        </w:tc>
      </w:tr>
      <w:tr w:rsidR="004E6C32" w:rsidRPr="006A75A2" w:rsidTr="004B5CB1">
        <w:tc>
          <w:tcPr>
            <w:tcW w:w="6538" w:type="dxa"/>
            <w:tcBorders>
              <w:top w:val="nil"/>
              <w:left w:val="nil"/>
              <w:bottom w:val="single" w:sz="6" w:space="0" w:color="auto"/>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Other investing activities</w:t>
            </w:r>
          </w:p>
        </w:tc>
        <w:tc>
          <w:tcPr>
            <w:tcW w:w="17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(78 591)</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162 101</w:t>
            </w:r>
          </w:p>
        </w:tc>
      </w:tr>
      <w:tr w:rsidR="004E6C32" w:rsidRPr="006A75A2" w:rsidTr="004B5CB1">
        <w:tc>
          <w:tcPr>
            <w:tcW w:w="6538"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Net cash flows from investing activities</w:t>
            </w:r>
          </w:p>
        </w:tc>
        <w:tc>
          <w:tcPr>
            <w:tcW w:w="170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szCs w:val="20"/>
                <w:lang w:eastAsia="en-AU"/>
              </w:rPr>
              <w:t>(92 768)</w:t>
            </w:r>
          </w:p>
        </w:tc>
        <w:tc>
          <w:tcPr>
            <w:tcW w:w="140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180 207</w:t>
            </w:r>
          </w:p>
        </w:tc>
      </w:tr>
      <w:tr w:rsidR="004E6C32" w:rsidRPr="006A75A2" w:rsidTr="004B5CB1">
        <w:trPr>
          <w:trHeight w:hRule="exact" w:val="120"/>
        </w:trPr>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7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bCs/>
                <w:sz w:val="20"/>
                <w:szCs w:val="20"/>
                <w:lang w:eastAsia="en-AU"/>
              </w:rPr>
              <w:t>Cash flows from financing activities</w:t>
            </w:r>
          </w:p>
        </w:tc>
      </w:tr>
      <w:tr w:rsidR="004E6C32" w:rsidRPr="006A75A2" w:rsidTr="004B5CB1">
        <w:tc>
          <w:tcPr>
            <w:tcW w:w="6538"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Net borrowings</w:t>
            </w:r>
          </w:p>
        </w:tc>
        <w:tc>
          <w:tcPr>
            <w:tcW w:w="1701"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szCs w:val="20"/>
                <w:lang w:eastAsia="en-AU"/>
              </w:rPr>
              <w:t>(471 464)</w:t>
            </w:r>
          </w:p>
        </w:tc>
        <w:tc>
          <w:tcPr>
            <w:tcW w:w="1401"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137 743</w:t>
            </w:r>
          </w:p>
        </w:tc>
      </w:tr>
      <w:tr w:rsidR="004E6C32" w:rsidRPr="006A75A2" w:rsidTr="004B5CB1">
        <w:tc>
          <w:tcPr>
            <w:tcW w:w="6538"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Net cash flows from financing activities</w:t>
            </w:r>
          </w:p>
        </w:tc>
        <w:tc>
          <w:tcPr>
            <w:tcW w:w="170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szCs w:val="20"/>
                <w:lang w:eastAsia="en-AU"/>
              </w:rPr>
              <w:t>(471 464)</w:t>
            </w:r>
          </w:p>
        </w:tc>
        <w:tc>
          <w:tcPr>
            <w:tcW w:w="1401"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137 743</w:t>
            </w:r>
          </w:p>
        </w:tc>
      </w:tr>
      <w:tr w:rsidR="004E6C32" w:rsidRPr="006A75A2" w:rsidTr="004B5CB1">
        <w:tc>
          <w:tcPr>
            <w:tcW w:w="653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20"/>
                <w:szCs w:val="20"/>
                <w:lang w:eastAsia="en-AU"/>
              </w:rPr>
            </w:pPr>
            <w:r w:rsidRPr="006A75A2">
              <w:rPr>
                <w:rFonts w:eastAsiaTheme="minorEastAsia"/>
                <w:b/>
                <w:bCs/>
                <w:sz w:val="20"/>
                <w:szCs w:val="20"/>
                <w:lang w:eastAsia="en-AU"/>
              </w:rPr>
              <w:t>Net increase / (decrease) in trust fund cash and deposits</w:t>
            </w:r>
          </w:p>
        </w:tc>
        <w:tc>
          <w:tcPr>
            <w:tcW w:w="170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szCs w:val="20"/>
                <w:lang w:eastAsia="en-AU"/>
              </w:rPr>
              <w:t>(480 369)</w:t>
            </w:r>
          </w:p>
        </w:tc>
        <w:tc>
          <w:tcPr>
            <w:tcW w:w="1401"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szCs w:val="20"/>
                <w:lang w:eastAsia="en-AU"/>
              </w:rPr>
            </w:pPr>
            <w:r w:rsidRPr="006A75A2">
              <w:rPr>
                <w:rFonts w:eastAsiaTheme="minorEastAsia"/>
                <w:b/>
                <w:bCs/>
                <w:sz w:val="20"/>
                <w:szCs w:val="20"/>
                <w:lang w:eastAsia="en-AU"/>
              </w:rPr>
              <w:t xml:space="preserve"> 417 442</w:t>
            </w:r>
          </w:p>
        </w:tc>
      </w:tr>
    </w:tbl>
    <w:p w:rsidR="002A6119" w:rsidRPr="006A75A2" w:rsidRDefault="002A6119" w:rsidP="002A6119"/>
    <w:p w:rsidR="004E6C32" w:rsidRPr="006A75A2" w:rsidRDefault="004E6C32" w:rsidP="0067336F">
      <w:pPr>
        <w:pStyle w:val="Heading5"/>
      </w:pPr>
      <w:r w:rsidRPr="006A75A2">
        <w:t>(d)</w:t>
      </w:r>
      <w:r w:rsidRPr="006A75A2">
        <w:tab/>
        <w:t>Reconciliation of cash flows to balances held</w:t>
      </w:r>
    </w:p>
    <w:p w:rsidR="004E6C32" w:rsidRPr="006A75A2" w:rsidRDefault="004E6C32" w:rsidP="004B5CB1">
      <w:pPr>
        <w:pStyle w:val="million"/>
        <w:rPr>
          <w:rFonts w:ascii="Times New Roman" w:hAnsi="Times New Roman"/>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5829"/>
        <w:gridCol w:w="1418"/>
        <w:gridCol w:w="1134"/>
        <w:gridCol w:w="1259"/>
      </w:tblGrid>
      <w:tr w:rsidR="007A601D" w:rsidRPr="006A75A2" w:rsidTr="00A67F93">
        <w:trPr>
          <w:trHeight w:val="747"/>
        </w:trPr>
        <w:tc>
          <w:tcPr>
            <w:tcW w:w="5829" w:type="dxa"/>
            <w:tcBorders>
              <w:top w:val="single" w:sz="6" w:space="0" w:color="auto"/>
              <w:left w:val="single" w:sz="6" w:space="0" w:color="auto"/>
              <w:right w:val="nil"/>
            </w:tcBorders>
            <w:shd w:val="clear" w:color="000000" w:fill="000000"/>
          </w:tcPr>
          <w:p w:rsidR="007A601D" w:rsidRPr="006A75A2" w:rsidRDefault="007A601D" w:rsidP="004B5CB1">
            <w:pPr>
              <w:pStyle w:val="Tabletext"/>
              <w:rPr>
                <w:rFonts w:eastAsiaTheme="minorEastAsia"/>
                <w:sz w:val="20"/>
                <w:lang w:eastAsia="en-AU"/>
              </w:rPr>
            </w:pPr>
          </w:p>
        </w:tc>
        <w:tc>
          <w:tcPr>
            <w:tcW w:w="1418" w:type="dxa"/>
            <w:tcBorders>
              <w:top w:val="single" w:sz="6" w:space="0" w:color="auto"/>
              <w:left w:val="nil"/>
              <w:right w:val="nil"/>
            </w:tcBorders>
            <w:shd w:val="clear" w:color="000000" w:fill="000000"/>
          </w:tcPr>
          <w:p w:rsidR="007A601D" w:rsidRPr="006A75A2" w:rsidRDefault="007A601D" w:rsidP="007A601D">
            <w:pPr>
              <w:pStyle w:val="Tabletextheading"/>
              <w:rPr>
                <w:rFonts w:eastAsiaTheme="minorEastAsia"/>
                <w:iCs/>
                <w:sz w:val="20"/>
                <w:lang w:eastAsia="en-AU"/>
              </w:rPr>
            </w:pPr>
            <w:r w:rsidRPr="006A75A2">
              <w:rPr>
                <w:rFonts w:eastAsiaTheme="minorEastAsia"/>
                <w:iCs/>
                <w:sz w:val="20"/>
                <w:lang w:eastAsia="en-AU"/>
              </w:rPr>
              <w:t xml:space="preserve">Balances </w:t>
            </w:r>
            <w:r w:rsidRPr="006A75A2">
              <w:rPr>
                <w:rFonts w:eastAsiaTheme="minorEastAsia"/>
                <w:iCs/>
                <w:sz w:val="20"/>
                <w:lang w:eastAsia="en-AU"/>
              </w:rPr>
              <w:br/>
              <w:t>held at</w:t>
            </w:r>
            <w:r w:rsidRPr="006A75A2">
              <w:rPr>
                <w:rFonts w:eastAsiaTheme="minorEastAsia"/>
                <w:iCs/>
                <w:sz w:val="20"/>
                <w:lang w:eastAsia="en-AU"/>
              </w:rPr>
              <w:br/>
              <w:t>30 June 2013</w:t>
            </w:r>
          </w:p>
        </w:tc>
        <w:tc>
          <w:tcPr>
            <w:tcW w:w="1134" w:type="dxa"/>
            <w:tcBorders>
              <w:top w:val="single" w:sz="6" w:space="0" w:color="auto"/>
              <w:left w:val="nil"/>
              <w:right w:val="nil"/>
            </w:tcBorders>
            <w:shd w:val="clear" w:color="000000" w:fill="000000"/>
          </w:tcPr>
          <w:p w:rsidR="007A601D" w:rsidRPr="006A75A2" w:rsidRDefault="007A601D" w:rsidP="007A601D">
            <w:pPr>
              <w:pStyle w:val="Tabletextheading"/>
              <w:rPr>
                <w:rFonts w:eastAsiaTheme="minorEastAsia"/>
                <w:iCs/>
                <w:sz w:val="20"/>
                <w:lang w:eastAsia="en-AU"/>
              </w:rPr>
            </w:pPr>
            <w:r w:rsidRPr="006A75A2">
              <w:rPr>
                <w:rFonts w:eastAsiaTheme="minorEastAsia"/>
                <w:iCs/>
                <w:sz w:val="20"/>
                <w:lang w:eastAsia="en-AU"/>
              </w:rPr>
              <w:t>Net</w:t>
            </w:r>
            <w:r w:rsidRPr="006A75A2">
              <w:rPr>
                <w:rFonts w:eastAsiaTheme="minorEastAsia"/>
                <w:iCs/>
                <w:sz w:val="20"/>
                <w:lang w:eastAsia="en-AU"/>
              </w:rPr>
              <w:br/>
              <w:t>movement</w:t>
            </w:r>
            <w:r w:rsidRPr="006A75A2">
              <w:rPr>
                <w:rFonts w:eastAsiaTheme="minorEastAsia"/>
                <w:iCs/>
                <w:sz w:val="20"/>
                <w:lang w:eastAsia="en-AU"/>
              </w:rPr>
              <w:br/>
              <w:t>for year</w:t>
            </w:r>
          </w:p>
        </w:tc>
        <w:tc>
          <w:tcPr>
            <w:tcW w:w="1259" w:type="dxa"/>
            <w:tcBorders>
              <w:top w:val="single" w:sz="6" w:space="0" w:color="auto"/>
              <w:left w:val="nil"/>
              <w:right w:val="single" w:sz="6" w:space="0" w:color="auto"/>
            </w:tcBorders>
            <w:shd w:val="clear" w:color="000000" w:fill="000000"/>
          </w:tcPr>
          <w:p w:rsidR="007A601D" w:rsidRPr="006A75A2" w:rsidRDefault="007A601D" w:rsidP="007A601D">
            <w:pPr>
              <w:pStyle w:val="Tabletextheading"/>
              <w:rPr>
                <w:rFonts w:eastAsiaTheme="minorEastAsia"/>
                <w:iCs/>
                <w:sz w:val="20"/>
                <w:lang w:eastAsia="en-AU"/>
              </w:rPr>
            </w:pPr>
            <w:r w:rsidRPr="006A75A2">
              <w:rPr>
                <w:rFonts w:eastAsiaTheme="minorEastAsia"/>
                <w:iCs/>
                <w:sz w:val="20"/>
                <w:lang w:eastAsia="en-AU"/>
              </w:rPr>
              <w:t xml:space="preserve">Balances </w:t>
            </w:r>
            <w:r w:rsidRPr="006A75A2">
              <w:rPr>
                <w:rFonts w:eastAsiaTheme="minorEastAsia"/>
                <w:iCs/>
                <w:sz w:val="20"/>
                <w:lang w:eastAsia="en-AU"/>
              </w:rPr>
              <w:br/>
              <w:t>held at</w:t>
            </w:r>
            <w:r w:rsidRPr="006A75A2">
              <w:rPr>
                <w:rFonts w:eastAsiaTheme="minorEastAsia"/>
                <w:iCs/>
                <w:sz w:val="20"/>
                <w:lang w:eastAsia="en-AU"/>
              </w:rPr>
              <w:br/>
              <w:t>30 June 2014</w:t>
            </w:r>
          </w:p>
        </w:tc>
      </w:tr>
      <w:tr w:rsidR="007A601D" w:rsidRPr="006A75A2" w:rsidTr="00A67F93">
        <w:tc>
          <w:tcPr>
            <w:tcW w:w="9640" w:type="dxa"/>
            <w:gridSpan w:val="4"/>
            <w:tcBorders>
              <w:top w:val="single" w:sz="6" w:space="0" w:color="auto"/>
              <w:left w:val="nil"/>
              <w:bottom w:val="nil"/>
              <w:right w:val="nil"/>
            </w:tcBorders>
          </w:tcPr>
          <w:p w:rsidR="007A601D" w:rsidRPr="006A75A2" w:rsidRDefault="007A601D" w:rsidP="007A601D">
            <w:pPr>
              <w:pStyle w:val="Tabletext"/>
              <w:rPr>
                <w:rFonts w:eastAsiaTheme="minorEastAsia"/>
                <w:b/>
                <w:bCs/>
                <w:sz w:val="20"/>
                <w:lang w:eastAsia="en-AU"/>
              </w:rPr>
            </w:pPr>
            <w:r w:rsidRPr="006A75A2">
              <w:rPr>
                <w:rFonts w:eastAsiaTheme="minorEastAsia"/>
                <w:b/>
                <w:bCs/>
                <w:sz w:val="20"/>
                <w:lang w:eastAsia="en-AU"/>
              </w:rPr>
              <w:t>Cash and deposits</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Cash balances outside the Public Account</w:t>
            </w:r>
          </w:p>
        </w:tc>
        <w:tc>
          <w:tcPr>
            <w:tcW w:w="14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lang w:eastAsia="en-AU"/>
              </w:rPr>
              <w:t>(156)</w:t>
            </w:r>
          </w:p>
        </w:tc>
        <w:tc>
          <w:tcPr>
            <w:tcW w:w="113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534</w:t>
            </w:r>
          </w:p>
        </w:tc>
        <w:tc>
          <w:tcPr>
            <w:tcW w:w="1259"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378</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Deposit</w:t>
            </w:r>
            <w:r w:rsidR="0067336F" w:rsidRPr="006A75A2">
              <w:rPr>
                <w:rFonts w:eastAsiaTheme="minorEastAsia"/>
                <w:sz w:val="20"/>
                <w:lang w:eastAsia="en-AU"/>
              </w:rPr>
              <w:t>s held with the Public Account –</w:t>
            </w:r>
            <w:r w:rsidRPr="006A75A2">
              <w:rPr>
                <w:rFonts w:eastAsiaTheme="minorEastAsia"/>
                <w:sz w:val="20"/>
                <w:lang w:eastAsia="en-AU"/>
              </w:rPr>
              <w:t xml:space="preserve"> specific trusts</w:t>
            </w:r>
          </w:p>
        </w:tc>
        <w:tc>
          <w:tcPr>
            <w:tcW w:w="1418"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544 928</w:t>
            </w:r>
          </w:p>
        </w:tc>
        <w:tc>
          <w:tcPr>
            <w:tcW w:w="113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5 190</w:t>
            </w:r>
          </w:p>
        </w:tc>
        <w:tc>
          <w:tcPr>
            <w:tcW w:w="1259"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550 118</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Other balances held in the Public Account</w:t>
            </w:r>
          </w:p>
        </w:tc>
        <w:tc>
          <w:tcPr>
            <w:tcW w:w="1418"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2 763 296</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lang w:eastAsia="en-AU"/>
              </w:rPr>
              <w:t>(269 501)</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2 493 795</w:t>
            </w:r>
          </w:p>
        </w:tc>
      </w:tr>
      <w:tr w:rsidR="004E6C32" w:rsidRPr="006A75A2" w:rsidTr="004B5CB1">
        <w:tc>
          <w:tcPr>
            <w:tcW w:w="5829" w:type="dxa"/>
            <w:tcBorders>
              <w:top w:val="single" w:sz="6" w:space="0" w:color="auto"/>
              <w:left w:val="nil"/>
              <w:bottom w:val="nil"/>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Total cash and deposits</w:t>
            </w:r>
          </w:p>
        </w:tc>
        <w:tc>
          <w:tcPr>
            <w:tcW w:w="1418"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3 308 067</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lang w:eastAsia="en-AU"/>
              </w:rPr>
              <w:t>(263 777)</w:t>
            </w:r>
          </w:p>
        </w:tc>
        <w:tc>
          <w:tcPr>
            <w:tcW w:w="1259"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3 044 291</w:t>
            </w: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lang w:eastAsia="en-AU"/>
              </w:rPr>
            </w:pPr>
            <w:r w:rsidRPr="006A75A2">
              <w:rPr>
                <w:rFonts w:eastAsiaTheme="minorEastAsia"/>
                <w:b/>
                <w:bCs/>
                <w:sz w:val="20"/>
                <w:lang w:eastAsia="en-AU"/>
              </w:rPr>
              <w:t>Investments</w:t>
            </w:r>
          </w:p>
        </w:tc>
      </w:tr>
      <w:tr w:rsidR="004E6C32" w:rsidRPr="006A75A2" w:rsidTr="004B5CB1">
        <w:tc>
          <w:tcPr>
            <w:tcW w:w="5829" w:type="dxa"/>
            <w:tcBorders>
              <w:top w:val="nil"/>
              <w:left w:val="nil"/>
              <w:bottom w:val="nil"/>
              <w:right w:val="nil"/>
            </w:tcBorders>
          </w:tcPr>
          <w:p w:rsidR="004E6C32" w:rsidRPr="006A75A2" w:rsidRDefault="004E6C32" w:rsidP="0067336F">
            <w:pPr>
              <w:pStyle w:val="Tabletext"/>
              <w:rPr>
                <w:rFonts w:eastAsiaTheme="minorEastAsia"/>
                <w:sz w:val="20"/>
                <w:lang w:eastAsia="en-AU"/>
              </w:rPr>
            </w:pPr>
            <w:r w:rsidRPr="006A75A2">
              <w:rPr>
                <w:rFonts w:eastAsiaTheme="minorEastAsia"/>
                <w:sz w:val="20"/>
                <w:lang w:eastAsia="en-AU"/>
              </w:rPr>
              <w:t xml:space="preserve">Investments held with the Public Account </w:t>
            </w:r>
            <w:r w:rsidR="0067336F" w:rsidRPr="006A75A2">
              <w:rPr>
                <w:rFonts w:eastAsiaTheme="minorEastAsia"/>
                <w:sz w:val="20"/>
                <w:lang w:eastAsia="en-AU"/>
              </w:rPr>
              <w:t>–</w:t>
            </w:r>
            <w:r w:rsidRPr="006A75A2">
              <w:rPr>
                <w:rFonts w:eastAsiaTheme="minorEastAsia"/>
                <w:sz w:val="20"/>
                <w:lang w:eastAsia="en-AU"/>
              </w:rPr>
              <w:t xml:space="preserve"> specific trusts </w:t>
            </w:r>
          </w:p>
        </w:tc>
        <w:tc>
          <w:tcPr>
            <w:tcW w:w="1418"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13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c>
          <w:tcPr>
            <w:tcW w:w="1259"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Investments held with Victoria</w:t>
            </w:r>
            <w:r w:rsidR="0067336F" w:rsidRPr="006A75A2">
              <w:rPr>
                <w:rFonts w:eastAsiaTheme="minorEastAsia"/>
                <w:sz w:val="20"/>
                <w:lang w:eastAsia="en-AU"/>
              </w:rPr>
              <w:t>n Funds Management Corporation –</w:t>
            </w:r>
            <w:r w:rsidRPr="006A75A2">
              <w:rPr>
                <w:rFonts w:eastAsiaTheme="minorEastAsia"/>
                <w:sz w:val="20"/>
                <w:lang w:eastAsia="en-AU"/>
              </w:rPr>
              <w:t xml:space="preserve"> specific trusts</w:t>
            </w:r>
          </w:p>
        </w:tc>
        <w:tc>
          <w:tcPr>
            <w:tcW w:w="1418"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586 802</w:t>
            </w:r>
          </w:p>
        </w:tc>
        <w:tc>
          <w:tcPr>
            <w:tcW w:w="113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77 526</w:t>
            </w:r>
          </w:p>
        </w:tc>
        <w:tc>
          <w:tcPr>
            <w:tcW w:w="1259"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664 327</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Total investments</w:t>
            </w:r>
          </w:p>
        </w:tc>
        <w:tc>
          <w:tcPr>
            <w:tcW w:w="1418"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586 802</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77 526</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664 327</w:t>
            </w:r>
          </w:p>
        </w:tc>
      </w:tr>
      <w:tr w:rsidR="004E6C32" w:rsidRPr="006A75A2" w:rsidTr="004B5CB1">
        <w:tc>
          <w:tcPr>
            <w:tcW w:w="5829" w:type="dxa"/>
            <w:tcBorders>
              <w:top w:val="single" w:sz="6" w:space="0" w:color="auto"/>
              <w:left w:val="nil"/>
              <w:bottom w:val="nil"/>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Total fund balances</w:t>
            </w:r>
          </w:p>
        </w:tc>
        <w:tc>
          <w:tcPr>
            <w:tcW w:w="1418"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3 894 869</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lang w:eastAsia="en-AU"/>
              </w:rPr>
              <w:t>(186 251)</w:t>
            </w:r>
          </w:p>
        </w:tc>
        <w:tc>
          <w:tcPr>
            <w:tcW w:w="1259" w:type="dxa"/>
            <w:tcBorders>
              <w:top w:val="nil"/>
              <w:left w:val="nil"/>
              <w:bottom w:val="nil"/>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3 708 618</w:t>
            </w:r>
          </w:p>
        </w:tc>
      </w:tr>
      <w:tr w:rsidR="007A601D" w:rsidRPr="006A75A2" w:rsidTr="00A67F93">
        <w:tc>
          <w:tcPr>
            <w:tcW w:w="9640" w:type="dxa"/>
            <w:gridSpan w:val="4"/>
            <w:tcBorders>
              <w:top w:val="nil"/>
              <w:left w:val="nil"/>
              <w:bottom w:val="nil"/>
              <w:right w:val="nil"/>
            </w:tcBorders>
          </w:tcPr>
          <w:p w:rsidR="007A601D" w:rsidRPr="006A75A2" w:rsidRDefault="007A601D" w:rsidP="007A601D">
            <w:pPr>
              <w:pStyle w:val="Tabletext"/>
              <w:rPr>
                <w:rFonts w:eastAsiaTheme="minorEastAsia"/>
                <w:b/>
                <w:sz w:val="20"/>
                <w:lang w:eastAsia="en-AU"/>
              </w:rPr>
            </w:pPr>
            <w:r w:rsidRPr="006A75A2">
              <w:rPr>
                <w:rFonts w:eastAsiaTheme="minorEastAsia"/>
                <w:b/>
                <w:bCs/>
                <w:sz w:val="20"/>
                <w:lang w:eastAsia="en-AU"/>
              </w:rPr>
              <w:t>Less funds held outside the Public Account</w:t>
            </w:r>
          </w:p>
        </w:tc>
      </w:tr>
      <w:tr w:rsidR="004E6C32" w:rsidRPr="006A75A2" w:rsidTr="004B5CB1">
        <w:tc>
          <w:tcPr>
            <w:tcW w:w="5829" w:type="dxa"/>
            <w:tcBorders>
              <w:top w:val="nil"/>
              <w:left w:val="nil"/>
              <w:bottom w:val="nil"/>
              <w:right w:val="nil"/>
            </w:tcBorders>
          </w:tcPr>
          <w:p w:rsidR="004E6C32" w:rsidRPr="006A75A2" w:rsidRDefault="004E6C32" w:rsidP="004B5CB1">
            <w:pPr>
              <w:pStyle w:val="Tabletext"/>
              <w:rPr>
                <w:rFonts w:eastAsiaTheme="minorEastAsia"/>
                <w:sz w:val="20"/>
                <w:lang w:eastAsia="en-AU"/>
              </w:rPr>
            </w:pPr>
            <w:r w:rsidRPr="006A75A2">
              <w:rPr>
                <w:rFonts w:eastAsiaTheme="minorEastAsia"/>
                <w:sz w:val="20"/>
                <w:lang w:eastAsia="en-AU"/>
              </w:rPr>
              <w:t>Cash</w:t>
            </w:r>
          </w:p>
        </w:tc>
        <w:tc>
          <w:tcPr>
            <w:tcW w:w="1418"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sz w:val="20"/>
                <w:lang w:eastAsia="en-AU"/>
              </w:rPr>
              <w:t>(156)</w:t>
            </w:r>
          </w:p>
        </w:tc>
        <w:tc>
          <w:tcPr>
            <w:tcW w:w="1134"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534</w:t>
            </w:r>
          </w:p>
        </w:tc>
        <w:tc>
          <w:tcPr>
            <w:tcW w:w="1259" w:type="dxa"/>
            <w:tcBorders>
              <w:top w:val="nil"/>
              <w:left w:val="nil"/>
              <w:bottom w:val="nil"/>
              <w:right w:val="nil"/>
            </w:tcBorders>
          </w:tcPr>
          <w:p w:rsidR="004E6C32" w:rsidRPr="006A75A2" w:rsidRDefault="004E6C32" w:rsidP="004B5CB1">
            <w:pPr>
              <w:pStyle w:val="TableofFigures"/>
              <w:rPr>
                <w:rFonts w:eastAsiaTheme="minorEastAsia"/>
                <w:sz w:val="20"/>
                <w:lang w:eastAsia="en-AU"/>
              </w:rPr>
            </w:pPr>
            <w:r w:rsidRPr="006A75A2">
              <w:rPr>
                <w:rFonts w:eastAsiaTheme="minorEastAsia"/>
                <w:sz w:val="20"/>
                <w:lang w:eastAsia="en-AU"/>
              </w:rPr>
              <w:t xml:space="preserve">  378</w:t>
            </w:r>
          </w:p>
        </w:tc>
      </w:tr>
      <w:tr w:rsidR="004E6C32" w:rsidRPr="006A75A2" w:rsidTr="004B5CB1">
        <w:tc>
          <w:tcPr>
            <w:tcW w:w="5829" w:type="dxa"/>
            <w:tcBorders>
              <w:top w:val="nil"/>
              <w:left w:val="nil"/>
              <w:bottom w:val="single" w:sz="6" w:space="0" w:color="auto"/>
              <w:right w:val="nil"/>
            </w:tcBorders>
          </w:tcPr>
          <w:p w:rsidR="004E6C32" w:rsidRPr="006A75A2" w:rsidRDefault="004E6C32" w:rsidP="004B5CB1">
            <w:pPr>
              <w:pStyle w:val="Tabletext"/>
              <w:rPr>
                <w:rFonts w:eastAsiaTheme="minorEastAsia"/>
                <w:b/>
                <w:bCs/>
                <w:sz w:val="20"/>
                <w:lang w:eastAsia="en-AU"/>
              </w:rPr>
            </w:pPr>
            <w:r w:rsidRPr="006A75A2">
              <w:rPr>
                <w:rFonts w:eastAsiaTheme="minorEastAsia"/>
                <w:b/>
                <w:bCs/>
                <w:sz w:val="20"/>
                <w:lang w:eastAsia="en-AU"/>
              </w:rPr>
              <w:t>Total fund balances held outside the Public Account</w:t>
            </w:r>
          </w:p>
        </w:tc>
        <w:tc>
          <w:tcPr>
            <w:tcW w:w="1418"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lang w:eastAsia="en-AU"/>
              </w:rPr>
              <w:t>(156)</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534</w:t>
            </w:r>
          </w:p>
        </w:tc>
        <w:tc>
          <w:tcPr>
            <w:tcW w:w="1259"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 xml:space="preserve">  378</w:t>
            </w:r>
          </w:p>
        </w:tc>
      </w:tr>
      <w:tr w:rsidR="004E6C32" w:rsidRPr="006A75A2" w:rsidTr="004B5CB1">
        <w:tc>
          <w:tcPr>
            <w:tcW w:w="5829" w:type="dxa"/>
            <w:tcBorders>
              <w:top w:val="single" w:sz="6" w:space="0" w:color="auto"/>
              <w:left w:val="nil"/>
              <w:bottom w:val="single" w:sz="12" w:space="0" w:color="000000"/>
              <w:right w:val="nil"/>
            </w:tcBorders>
            <w:shd w:val="clear" w:color="auto" w:fill="auto"/>
          </w:tcPr>
          <w:p w:rsidR="004E6C32" w:rsidRPr="006A75A2" w:rsidRDefault="004E6C32" w:rsidP="0067336F">
            <w:pPr>
              <w:pStyle w:val="Tabletext"/>
              <w:rPr>
                <w:rFonts w:eastAsiaTheme="minorEastAsia"/>
                <w:b/>
                <w:bCs/>
                <w:sz w:val="20"/>
                <w:vertAlign w:val="superscript"/>
                <w:lang w:eastAsia="en-AU"/>
              </w:rPr>
            </w:pPr>
            <w:r w:rsidRPr="006A75A2">
              <w:rPr>
                <w:rFonts w:eastAsiaTheme="minorEastAsia"/>
                <w:b/>
                <w:bCs/>
                <w:sz w:val="20"/>
                <w:lang w:eastAsia="en-AU"/>
              </w:rPr>
              <w:t>Total funds held in the Public Account</w:t>
            </w:r>
            <w:r w:rsidRPr="006A75A2">
              <w:rPr>
                <w:rFonts w:eastAsiaTheme="minorEastAsia"/>
                <w:b/>
                <w:bCs/>
                <w:sz w:val="20"/>
                <w:vertAlign w:val="superscript"/>
                <w:lang w:eastAsia="en-AU"/>
              </w:rPr>
              <w:t>(a)</w:t>
            </w:r>
          </w:p>
        </w:tc>
        <w:tc>
          <w:tcPr>
            <w:tcW w:w="141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3 895 025</w:t>
            </w:r>
          </w:p>
        </w:tc>
        <w:tc>
          <w:tcPr>
            <w:tcW w:w="113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b/>
                <w:bCs/>
                <w:sz w:val="20"/>
                <w:lang w:eastAsia="en-AU"/>
              </w:rPr>
              <w:t>(186 785)</w:t>
            </w:r>
          </w:p>
        </w:tc>
        <w:tc>
          <w:tcPr>
            <w:tcW w:w="1259"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20"/>
                <w:lang w:eastAsia="en-AU"/>
              </w:rPr>
            </w:pPr>
            <w:r w:rsidRPr="006A75A2">
              <w:rPr>
                <w:rFonts w:eastAsiaTheme="minorEastAsia"/>
                <w:b/>
                <w:bCs/>
                <w:sz w:val="20"/>
                <w:lang w:eastAsia="en-AU"/>
              </w:rPr>
              <w:t>3 708 240</w:t>
            </w:r>
          </w:p>
        </w:tc>
      </w:tr>
    </w:tbl>
    <w:p w:rsidR="004E6C32" w:rsidRPr="006A75A2" w:rsidRDefault="004E6C32" w:rsidP="004B5CB1">
      <w:pPr>
        <w:pStyle w:val="Notes"/>
      </w:pPr>
      <w:r w:rsidRPr="006A75A2">
        <w:t>Note:</w:t>
      </w:r>
    </w:p>
    <w:p w:rsidR="002A6119" w:rsidRPr="006A75A2" w:rsidRDefault="004E6C32" w:rsidP="002A6119">
      <w:pPr>
        <w:pStyle w:val="Notes"/>
      </w:pPr>
      <w:r w:rsidRPr="006A75A2">
        <w:t xml:space="preserve">(a) </w:t>
      </w:r>
      <w:r w:rsidRPr="006A75A2">
        <w:tab/>
        <w:t>See Note 36 (f) for details of securities and investments including amounts held in the Public Account on behalf of trust accounts.</w:t>
      </w:r>
    </w:p>
    <w:p w:rsidR="002A6119" w:rsidRPr="006A75A2" w:rsidRDefault="002A6119" w:rsidP="002A6119">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(e)</w:t>
      </w:r>
      <w:r w:rsidRPr="006A75A2">
        <w:tab/>
        <w:t>Trust fund summary for the financial year ended 30 June</w:t>
      </w:r>
    </w:p>
    <w:p w:rsidR="004E6C32" w:rsidRPr="006A75A2" w:rsidRDefault="004E6C32" w:rsidP="004B5CB1">
      <w:pPr>
        <w:pStyle w:val="million"/>
        <w:rPr>
          <w:rFonts w:ascii="Times New Roman" w:hAnsi="Times New Roman"/>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821"/>
        <w:gridCol w:w="1276"/>
        <w:gridCol w:w="1543"/>
      </w:tblGrid>
      <w:tr w:rsidR="007A601D" w:rsidRPr="006A75A2" w:rsidTr="00A67F93">
        <w:trPr>
          <w:trHeight w:val="503"/>
        </w:trPr>
        <w:tc>
          <w:tcPr>
            <w:tcW w:w="6821" w:type="dxa"/>
            <w:tcBorders>
              <w:top w:val="single" w:sz="6" w:space="0" w:color="auto"/>
              <w:left w:val="single" w:sz="6" w:space="0" w:color="auto"/>
              <w:right w:val="nil"/>
            </w:tcBorders>
            <w:shd w:val="clear" w:color="000000" w:fill="000000"/>
          </w:tcPr>
          <w:p w:rsidR="007A601D" w:rsidRPr="006A75A2" w:rsidRDefault="007A601D" w:rsidP="004B5CB1">
            <w:pPr>
              <w:pStyle w:val="Tabletext"/>
              <w:rPr>
                <w:rFonts w:eastAsiaTheme="minorEastAsia"/>
                <w:sz w:val="20"/>
                <w:szCs w:val="20"/>
                <w:lang w:eastAsia="en-AU"/>
              </w:rPr>
            </w:pPr>
          </w:p>
        </w:tc>
        <w:tc>
          <w:tcPr>
            <w:tcW w:w="1276" w:type="dxa"/>
            <w:tcBorders>
              <w:top w:val="single" w:sz="6" w:space="0" w:color="auto"/>
              <w:left w:val="nil"/>
              <w:right w:val="nil"/>
            </w:tcBorders>
            <w:shd w:val="clear" w:color="000000" w:fill="000000"/>
          </w:tcPr>
          <w:p w:rsidR="007A601D" w:rsidRPr="006A75A2" w:rsidRDefault="007A601D" w:rsidP="007A601D">
            <w:pPr>
              <w:pStyle w:val="Tabletextheading"/>
              <w:rPr>
                <w:rFonts w:eastAsiaTheme="minorEastAsia"/>
                <w:sz w:val="20"/>
                <w:szCs w:val="20"/>
                <w:lang w:eastAsia="en-AU"/>
              </w:rPr>
            </w:pPr>
            <w:r w:rsidRPr="006A75A2">
              <w:rPr>
                <w:rFonts w:eastAsiaTheme="minorEastAsia"/>
                <w:sz w:val="20"/>
                <w:szCs w:val="20"/>
                <w:lang w:eastAsia="en-AU"/>
              </w:rPr>
              <w:t xml:space="preserve">Balances </w:t>
            </w:r>
            <w:r w:rsidRPr="006A75A2">
              <w:rPr>
                <w:rFonts w:eastAsiaTheme="minorEastAsia"/>
                <w:sz w:val="20"/>
                <w:szCs w:val="20"/>
                <w:lang w:eastAsia="en-AU"/>
              </w:rPr>
              <w:br/>
              <w:t>held 2014</w:t>
            </w:r>
          </w:p>
        </w:tc>
        <w:tc>
          <w:tcPr>
            <w:tcW w:w="1543" w:type="dxa"/>
            <w:tcBorders>
              <w:top w:val="single" w:sz="6" w:space="0" w:color="auto"/>
              <w:left w:val="nil"/>
              <w:right w:val="single" w:sz="6" w:space="0" w:color="auto"/>
            </w:tcBorders>
            <w:shd w:val="clear" w:color="000000" w:fill="000000"/>
          </w:tcPr>
          <w:p w:rsidR="007A601D" w:rsidRPr="006A75A2" w:rsidRDefault="007A601D" w:rsidP="007A601D">
            <w:pPr>
              <w:pStyle w:val="Tabletextheading"/>
              <w:rPr>
                <w:rFonts w:eastAsiaTheme="minorEastAsia"/>
                <w:sz w:val="20"/>
                <w:szCs w:val="20"/>
                <w:lang w:eastAsia="en-AU"/>
              </w:rPr>
            </w:pPr>
            <w:r w:rsidRPr="006A75A2">
              <w:rPr>
                <w:rFonts w:eastAsiaTheme="minorEastAsia"/>
                <w:sz w:val="20"/>
                <w:szCs w:val="20"/>
                <w:lang w:eastAsia="en-AU"/>
              </w:rPr>
              <w:t xml:space="preserve">Balances </w:t>
            </w:r>
            <w:r w:rsidRPr="006A75A2">
              <w:rPr>
                <w:rFonts w:eastAsiaTheme="minorEastAsia"/>
                <w:sz w:val="20"/>
                <w:szCs w:val="20"/>
                <w:lang w:eastAsia="en-AU"/>
              </w:rPr>
              <w:br/>
              <w:t>held 2013</w:t>
            </w:r>
          </w:p>
        </w:tc>
      </w:tr>
      <w:tr w:rsidR="007A601D" w:rsidRPr="006A75A2" w:rsidTr="00A67F93">
        <w:tc>
          <w:tcPr>
            <w:tcW w:w="9640" w:type="dxa"/>
            <w:gridSpan w:val="3"/>
            <w:tcBorders>
              <w:top w:val="single" w:sz="6" w:space="0" w:color="auto"/>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sz w:val="20"/>
                <w:szCs w:val="20"/>
                <w:lang w:eastAsia="en-AU"/>
              </w:rPr>
              <w:t>State Government funds</w:t>
            </w:r>
          </w:p>
        </w:tc>
      </w:tr>
      <w:tr w:rsidR="004E6C32" w:rsidRPr="006A75A2" w:rsidTr="004B5CB1">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Accounts established to receive levies imposed by Parliament and record the expenditure thereof</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451 091</w:t>
            </w:r>
          </w:p>
        </w:tc>
        <w:tc>
          <w:tcPr>
            <w:tcW w:w="15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345 682</w:t>
            </w:r>
          </w:p>
        </w:tc>
      </w:tr>
      <w:tr w:rsidR="004E6C32" w:rsidRPr="006A75A2" w:rsidTr="004B5CB1">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Accounts established to receive monies provided in the annual budget and record the expenditure thereof</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1 187 816</w:t>
            </w:r>
          </w:p>
        </w:tc>
        <w:tc>
          <w:tcPr>
            <w:tcW w:w="15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1 207 414</w:t>
            </w:r>
          </w:p>
        </w:tc>
      </w:tr>
      <w:tr w:rsidR="004E6C32" w:rsidRPr="006A75A2" w:rsidTr="004B5CB1">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Specific purpose operating accounts established for various authorities</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355 045</w:t>
            </w:r>
          </w:p>
        </w:tc>
        <w:tc>
          <w:tcPr>
            <w:tcW w:w="15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306 721</w:t>
            </w:r>
          </w:p>
        </w:tc>
      </w:tr>
      <w:tr w:rsidR="004E6C32" w:rsidRPr="006A75A2" w:rsidTr="004B5CB1">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Suspense and clearing accounts to facilitate accounting procedures</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10 942</w:t>
            </w:r>
          </w:p>
        </w:tc>
        <w:tc>
          <w:tcPr>
            <w:tcW w:w="15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457 648</w:t>
            </w:r>
          </w:p>
        </w:tc>
      </w:tr>
      <w:tr w:rsidR="004E6C32" w:rsidRPr="006A75A2" w:rsidTr="004B5CB1">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Treasury Trust Fund</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269 301</w:t>
            </w:r>
          </w:p>
        </w:tc>
        <w:tc>
          <w:tcPr>
            <w:tcW w:w="15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279 917</w:t>
            </w:r>
          </w:p>
        </w:tc>
      </w:tr>
      <w:tr w:rsidR="004E6C32" w:rsidRPr="006A75A2" w:rsidTr="004B5CB1">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Agency and deposit accounts</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578 785</w:t>
            </w:r>
          </w:p>
        </w:tc>
        <w:tc>
          <w:tcPr>
            <w:tcW w:w="1543" w:type="dxa"/>
            <w:tcBorders>
              <w:top w:val="nil"/>
              <w:left w:val="nil"/>
              <w:bottom w:val="single" w:sz="6" w:space="0" w:color="auto"/>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545 934</w:t>
            </w:r>
          </w:p>
        </w:tc>
      </w:tr>
      <w:tr w:rsidR="004E6C32" w:rsidRPr="006A75A2" w:rsidTr="004B5CB1">
        <w:tc>
          <w:tcPr>
            <w:tcW w:w="6821" w:type="dxa"/>
            <w:tcBorders>
              <w:top w:val="single" w:sz="6" w:space="0" w:color="auto"/>
              <w:left w:val="nil"/>
              <w:bottom w:val="nil"/>
              <w:right w:val="nil"/>
            </w:tcBorders>
          </w:tcPr>
          <w:p w:rsidR="004E6C32" w:rsidRPr="006A75A2" w:rsidRDefault="004E6C32" w:rsidP="004B5CB1">
            <w:pPr>
              <w:pStyle w:val="Tabletext"/>
              <w:rPr>
                <w:rFonts w:eastAsiaTheme="minorEastAsia"/>
                <w:b/>
                <w:sz w:val="20"/>
                <w:szCs w:val="20"/>
                <w:lang w:eastAsia="en-AU"/>
              </w:rPr>
            </w:pPr>
            <w:r w:rsidRPr="006A75A2">
              <w:rPr>
                <w:rFonts w:eastAsiaTheme="minorEastAsia"/>
                <w:b/>
                <w:sz w:val="20"/>
                <w:szCs w:val="20"/>
                <w:lang w:eastAsia="en-AU"/>
              </w:rPr>
              <w:t>Total State Government funds</w:t>
            </w:r>
          </w:p>
        </w:tc>
        <w:tc>
          <w:tcPr>
            <w:tcW w:w="1276"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2 852 979</w:t>
            </w:r>
          </w:p>
        </w:tc>
        <w:tc>
          <w:tcPr>
            <w:tcW w:w="1543"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3 143 316</w:t>
            </w:r>
          </w:p>
        </w:tc>
      </w:tr>
      <w:tr w:rsidR="004E6C32" w:rsidRPr="006A75A2" w:rsidTr="004B5CB1">
        <w:trPr>
          <w:trHeight w:hRule="exact" w:val="120"/>
        </w:trPr>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5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4E6C32" w:rsidRPr="006A75A2" w:rsidTr="004B5CB1">
        <w:tc>
          <w:tcPr>
            <w:tcW w:w="6821" w:type="dxa"/>
            <w:tcBorders>
              <w:top w:val="nil"/>
              <w:left w:val="nil"/>
              <w:bottom w:val="single" w:sz="6" w:space="0" w:color="auto"/>
              <w:right w:val="nil"/>
            </w:tcBorders>
          </w:tcPr>
          <w:p w:rsidR="004E6C32" w:rsidRPr="006A75A2" w:rsidRDefault="004E6C32" w:rsidP="004B5CB1">
            <w:pPr>
              <w:pStyle w:val="Tabletext"/>
              <w:rPr>
                <w:rFonts w:eastAsiaTheme="minorEastAsia"/>
                <w:b/>
                <w:sz w:val="20"/>
                <w:szCs w:val="20"/>
                <w:lang w:eastAsia="en-AU"/>
              </w:rPr>
            </w:pPr>
            <w:r w:rsidRPr="006A75A2">
              <w:rPr>
                <w:rFonts w:eastAsiaTheme="minorEastAsia"/>
                <w:b/>
                <w:sz w:val="20"/>
                <w:szCs w:val="20"/>
                <w:lang w:eastAsia="en-AU"/>
              </w:rPr>
              <w:t>Joint Commonwealth and State funds</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202 028</w:t>
            </w:r>
          </w:p>
        </w:tc>
        <w:tc>
          <w:tcPr>
            <w:tcW w:w="1543" w:type="dxa"/>
            <w:tcBorders>
              <w:top w:val="nil"/>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329 877</w:t>
            </w:r>
          </w:p>
        </w:tc>
      </w:tr>
      <w:tr w:rsidR="004E6C32" w:rsidRPr="006A75A2" w:rsidTr="004B5CB1">
        <w:trPr>
          <w:trHeight w:hRule="exact" w:val="120"/>
        </w:trPr>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5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7A601D" w:rsidRPr="006A75A2" w:rsidTr="00A67F93">
        <w:tc>
          <w:tcPr>
            <w:tcW w:w="9640" w:type="dxa"/>
            <w:gridSpan w:val="3"/>
            <w:tcBorders>
              <w:top w:val="nil"/>
              <w:left w:val="nil"/>
              <w:bottom w:val="nil"/>
              <w:right w:val="nil"/>
            </w:tcBorders>
          </w:tcPr>
          <w:p w:rsidR="007A601D" w:rsidRPr="006A75A2" w:rsidRDefault="007A601D" w:rsidP="007A601D">
            <w:pPr>
              <w:pStyle w:val="Tabletext"/>
              <w:rPr>
                <w:rFonts w:eastAsiaTheme="minorEastAsia"/>
                <w:b/>
                <w:sz w:val="20"/>
                <w:szCs w:val="20"/>
                <w:lang w:eastAsia="en-AU"/>
              </w:rPr>
            </w:pPr>
            <w:r w:rsidRPr="006A75A2">
              <w:rPr>
                <w:rFonts w:eastAsiaTheme="minorEastAsia"/>
                <w:b/>
                <w:sz w:val="20"/>
                <w:szCs w:val="20"/>
                <w:lang w:eastAsia="en-AU"/>
              </w:rPr>
              <w:t>Commonwealth Government funds</w:t>
            </w:r>
          </w:p>
        </w:tc>
      </w:tr>
      <w:tr w:rsidR="004E6C32" w:rsidRPr="006A75A2" w:rsidTr="004B5CB1">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Commonwealth Grants passed on to individuals and organisations </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38 106</w:t>
            </w:r>
          </w:p>
        </w:tc>
        <w:tc>
          <w:tcPr>
            <w:tcW w:w="15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8 028</w:t>
            </w:r>
          </w:p>
        </w:tc>
      </w:tr>
      <w:tr w:rsidR="004E6C32" w:rsidRPr="006A75A2" w:rsidTr="004B5CB1">
        <w:trPr>
          <w:trHeight w:hRule="exact" w:val="120"/>
        </w:trPr>
        <w:tc>
          <w:tcPr>
            <w:tcW w:w="6821" w:type="dxa"/>
            <w:tcBorders>
              <w:top w:val="nil"/>
              <w:left w:val="nil"/>
              <w:bottom w:val="nil"/>
              <w:right w:val="nil"/>
            </w:tcBorders>
          </w:tcPr>
          <w:p w:rsidR="004E6C32" w:rsidRPr="006A75A2" w:rsidRDefault="004E6C32" w:rsidP="004B5CB1">
            <w:pPr>
              <w:pStyle w:val="Tabletext"/>
              <w:rPr>
                <w:rFonts w:eastAsiaTheme="minorEastAsia"/>
                <w:b/>
                <w:sz w:val="20"/>
                <w:szCs w:val="20"/>
                <w:lang w:eastAsia="en-AU"/>
              </w:rPr>
            </w:pPr>
            <w:r w:rsidRPr="006A75A2">
              <w:rPr>
                <w:rFonts w:eastAsiaTheme="minorEastAsia"/>
                <w:b/>
                <w:sz w:val="20"/>
                <w:szCs w:val="20"/>
                <w:lang w:eastAsia="en-AU"/>
              </w:rPr>
              <w:t xml:space="preserve"> </w:t>
            </w:r>
          </w:p>
        </w:tc>
        <w:tc>
          <w:tcPr>
            <w:tcW w:w="1276"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c>
          <w:tcPr>
            <w:tcW w:w="1543" w:type="dxa"/>
            <w:tcBorders>
              <w:top w:val="nil"/>
              <w:left w:val="nil"/>
              <w:bottom w:val="nil"/>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w:t>
            </w:r>
          </w:p>
        </w:tc>
      </w:tr>
      <w:tr w:rsidR="004E6C32" w:rsidRPr="006A75A2" w:rsidTr="004B5CB1">
        <w:tc>
          <w:tcPr>
            <w:tcW w:w="6821"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sz w:val="20"/>
                <w:szCs w:val="20"/>
                <w:lang w:eastAsia="en-AU"/>
              </w:rPr>
            </w:pPr>
            <w:r w:rsidRPr="006A75A2">
              <w:rPr>
                <w:rFonts w:eastAsiaTheme="minorEastAsia"/>
                <w:b/>
                <w:sz w:val="20"/>
                <w:szCs w:val="20"/>
                <w:lang w:eastAsia="en-AU"/>
              </w:rPr>
              <w:t>Total Commonwealth Government funds</w:t>
            </w:r>
          </w:p>
        </w:tc>
        <w:tc>
          <w:tcPr>
            <w:tcW w:w="127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38 106</w:t>
            </w:r>
          </w:p>
        </w:tc>
        <w:tc>
          <w:tcPr>
            <w:tcW w:w="154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8 028</w:t>
            </w:r>
          </w:p>
        </w:tc>
      </w:tr>
      <w:tr w:rsidR="004E6C32" w:rsidRPr="006A75A2" w:rsidTr="004B5CB1">
        <w:trPr>
          <w:trHeight w:hRule="exact" w:val="120"/>
        </w:trPr>
        <w:tc>
          <w:tcPr>
            <w:tcW w:w="6821" w:type="dxa"/>
            <w:tcBorders>
              <w:top w:val="nil"/>
              <w:left w:val="nil"/>
              <w:bottom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276"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543" w:type="dxa"/>
            <w:tcBorders>
              <w:top w:val="nil"/>
              <w:left w:val="nil"/>
              <w:bottom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4E6C32" w:rsidRPr="006A75A2" w:rsidTr="004B5CB1">
        <w:tc>
          <w:tcPr>
            <w:tcW w:w="6821" w:type="dxa"/>
            <w:tcBorders>
              <w:top w:val="nil"/>
              <w:left w:val="nil"/>
              <w:bottom w:val="single" w:sz="6" w:space="0" w:color="auto"/>
              <w:right w:val="nil"/>
            </w:tcBorders>
          </w:tcPr>
          <w:p w:rsidR="004E6C32" w:rsidRPr="006A75A2" w:rsidRDefault="004E6C32" w:rsidP="004B5CB1">
            <w:pPr>
              <w:pStyle w:val="Tabletext"/>
              <w:rPr>
                <w:rFonts w:eastAsiaTheme="minorEastAsia"/>
                <w:b/>
                <w:sz w:val="20"/>
                <w:szCs w:val="20"/>
                <w:lang w:eastAsia="en-AU"/>
              </w:rPr>
            </w:pPr>
            <w:r w:rsidRPr="006A75A2">
              <w:rPr>
                <w:rFonts w:eastAsiaTheme="minorEastAsia"/>
                <w:b/>
                <w:sz w:val="20"/>
                <w:szCs w:val="20"/>
                <w:lang w:eastAsia="en-AU"/>
              </w:rPr>
              <w:t>Prizes, scholarships, research and private donations</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167 544</w:t>
            </w:r>
          </w:p>
        </w:tc>
        <w:tc>
          <w:tcPr>
            <w:tcW w:w="1543" w:type="dxa"/>
            <w:tcBorders>
              <w:top w:val="nil"/>
              <w:left w:val="nil"/>
              <w:bottom w:val="single" w:sz="6" w:space="0" w:color="auto"/>
              <w:right w:val="nil"/>
            </w:tcBorders>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 xml:space="preserve"> 178 439</w:t>
            </w:r>
          </w:p>
        </w:tc>
      </w:tr>
      <w:tr w:rsidR="004E6C32" w:rsidRPr="006A75A2" w:rsidTr="004B5CB1">
        <w:trPr>
          <w:trHeight w:hRule="exact" w:val="120"/>
        </w:trPr>
        <w:tc>
          <w:tcPr>
            <w:tcW w:w="6821" w:type="dxa"/>
            <w:tcBorders>
              <w:top w:val="nil"/>
              <w:left w:val="nil"/>
              <w:right w:val="nil"/>
            </w:tcBorders>
          </w:tcPr>
          <w:p w:rsidR="004E6C32" w:rsidRPr="006A75A2" w:rsidRDefault="004E6C32" w:rsidP="004B5CB1">
            <w:pPr>
              <w:pStyle w:val="Tabletext"/>
              <w:rPr>
                <w:rFonts w:eastAsiaTheme="minorEastAsia"/>
                <w:sz w:val="20"/>
                <w:szCs w:val="20"/>
                <w:lang w:eastAsia="en-AU"/>
              </w:rPr>
            </w:pPr>
            <w:r w:rsidRPr="006A75A2">
              <w:rPr>
                <w:rFonts w:eastAsiaTheme="minorEastAsia"/>
                <w:sz w:val="20"/>
                <w:szCs w:val="20"/>
                <w:lang w:eastAsia="en-AU"/>
              </w:rPr>
              <w:t xml:space="preserve"> </w:t>
            </w:r>
          </w:p>
        </w:tc>
        <w:tc>
          <w:tcPr>
            <w:tcW w:w="1276" w:type="dxa"/>
            <w:tcBorders>
              <w:top w:val="nil"/>
              <w:left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c>
          <w:tcPr>
            <w:tcW w:w="1543" w:type="dxa"/>
            <w:tcBorders>
              <w:top w:val="nil"/>
              <w:left w:val="nil"/>
              <w:right w:val="nil"/>
            </w:tcBorders>
          </w:tcPr>
          <w:p w:rsidR="004E6C32" w:rsidRPr="006A75A2" w:rsidRDefault="004E6C32" w:rsidP="004B5CB1">
            <w:pPr>
              <w:pStyle w:val="TableofFigures"/>
              <w:rPr>
                <w:rFonts w:eastAsiaTheme="minorEastAsia"/>
                <w:sz w:val="20"/>
                <w:szCs w:val="20"/>
                <w:lang w:eastAsia="en-AU"/>
              </w:rPr>
            </w:pPr>
            <w:r w:rsidRPr="006A75A2">
              <w:rPr>
                <w:rFonts w:eastAsiaTheme="minorEastAsia"/>
                <w:sz w:val="20"/>
                <w:szCs w:val="20"/>
                <w:lang w:eastAsia="en-AU"/>
              </w:rPr>
              <w:t xml:space="preserve"> </w:t>
            </w:r>
          </w:p>
        </w:tc>
      </w:tr>
      <w:tr w:rsidR="004E6C32" w:rsidRPr="006A75A2" w:rsidTr="004B5CB1">
        <w:tc>
          <w:tcPr>
            <w:tcW w:w="6821"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b/>
                <w:sz w:val="20"/>
                <w:szCs w:val="20"/>
                <w:lang w:eastAsia="en-AU"/>
              </w:rPr>
            </w:pPr>
            <w:r w:rsidRPr="006A75A2">
              <w:rPr>
                <w:rFonts w:eastAsiaTheme="minorEastAsia"/>
                <w:b/>
                <w:sz w:val="20"/>
                <w:szCs w:val="20"/>
                <w:lang w:eastAsia="en-AU"/>
              </w:rPr>
              <w:t>Total trust fund</w:t>
            </w:r>
          </w:p>
        </w:tc>
        <w:tc>
          <w:tcPr>
            <w:tcW w:w="1276"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3 260 657</w:t>
            </w:r>
          </w:p>
        </w:tc>
        <w:tc>
          <w:tcPr>
            <w:tcW w:w="1543"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b/>
                <w:sz w:val="20"/>
                <w:szCs w:val="20"/>
                <w:lang w:eastAsia="en-AU"/>
              </w:rPr>
            </w:pPr>
            <w:r w:rsidRPr="006A75A2">
              <w:rPr>
                <w:rFonts w:eastAsiaTheme="minorEastAsia"/>
                <w:b/>
                <w:sz w:val="20"/>
                <w:szCs w:val="20"/>
                <w:lang w:eastAsia="en-AU"/>
              </w:rPr>
              <w:t>3 659 660</w:t>
            </w:r>
          </w:p>
        </w:tc>
      </w:tr>
    </w:tbl>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(f)</w:t>
      </w:r>
      <w:r w:rsidRPr="006A75A2">
        <w:tab/>
        <w:t>Details of securities held and included in the balances at 30 June</w:t>
      </w:r>
    </w:p>
    <w:p w:rsidR="004E6C32" w:rsidRPr="006A75A2" w:rsidRDefault="004E6C32" w:rsidP="004B5CB1">
      <w:pPr>
        <w:pStyle w:val="million"/>
      </w:pPr>
      <w:r w:rsidRPr="006A75A2">
        <w:t>($ thousand)</w:t>
      </w:r>
    </w:p>
    <w:tbl>
      <w:tblPr>
        <w:tblW w:w="9648" w:type="dxa"/>
        <w:tblInd w:w="29" w:type="dxa"/>
        <w:tblLayout w:type="fixed"/>
        <w:tblCellMar>
          <w:left w:w="43" w:type="dxa"/>
          <w:right w:w="43" w:type="dxa"/>
        </w:tblCellMar>
        <w:tblLook w:val="0000" w:firstRow="0" w:lastRow="0" w:firstColumn="0" w:lastColumn="0" w:noHBand="0" w:noVBand="0"/>
      </w:tblPr>
      <w:tblGrid>
        <w:gridCol w:w="7214"/>
        <w:gridCol w:w="1217"/>
        <w:gridCol w:w="1217"/>
      </w:tblGrid>
      <w:tr w:rsidR="004E6C32" w:rsidRPr="006A75A2" w:rsidTr="004B5CB1">
        <w:tc>
          <w:tcPr>
            <w:tcW w:w="7214" w:type="dxa"/>
            <w:tcBorders>
              <w:top w:val="single" w:sz="4" w:space="0" w:color="auto"/>
              <w:left w:val="single" w:sz="4" w:space="0" w:color="auto"/>
              <w:bottom w:val="single" w:sz="6" w:space="0" w:color="auto"/>
              <w:right w:val="nil"/>
            </w:tcBorders>
            <w:shd w:val="clear" w:color="auto" w:fill="000000"/>
          </w:tcPr>
          <w:p w:rsidR="004E6C32" w:rsidRPr="006A75A2" w:rsidRDefault="004E6C32" w:rsidP="004B5CB1">
            <w:pPr>
              <w:pStyle w:val="Tabletext"/>
              <w:rPr>
                <w:rFonts w:eastAsiaTheme="minorEastAsia"/>
                <w:lang w:eastAsia="en-AU"/>
              </w:rPr>
            </w:pPr>
          </w:p>
        </w:tc>
        <w:tc>
          <w:tcPr>
            <w:tcW w:w="1217" w:type="dxa"/>
            <w:tcBorders>
              <w:top w:val="single" w:sz="4" w:space="0" w:color="auto"/>
              <w:left w:val="nil"/>
              <w:bottom w:val="single" w:sz="6" w:space="0" w:color="auto"/>
              <w:right w:val="nil"/>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217" w:type="dxa"/>
            <w:tcBorders>
              <w:top w:val="single" w:sz="4" w:space="0" w:color="auto"/>
              <w:left w:val="nil"/>
              <w:bottom w:val="single" w:sz="6" w:space="0" w:color="auto"/>
              <w:right w:val="single" w:sz="4" w:space="0" w:color="auto"/>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120EDE" w:rsidRPr="006A75A2" w:rsidTr="00A67F93">
        <w:tc>
          <w:tcPr>
            <w:tcW w:w="9648" w:type="dxa"/>
            <w:gridSpan w:val="3"/>
            <w:tcBorders>
              <w:top w:val="single" w:sz="4" w:space="0" w:color="auto"/>
              <w:left w:val="nil"/>
              <w:bottom w:val="nil"/>
              <w:right w:val="nil"/>
            </w:tcBorders>
          </w:tcPr>
          <w:p w:rsidR="00120EDE" w:rsidRPr="006A75A2" w:rsidRDefault="00120EDE" w:rsidP="00120EDE">
            <w:pPr>
              <w:pStyle w:val="Tabletext"/>
              <w:rPr>
                <w:rFonts w:eastAsiaTheme="minorEastAsia"/>
                <w:b/>
                <w:bCs/>
                <w:lang w:eastAsia="en-AU"/>
              </w:rPr>
            </w:pPr>
            <w:r w:rsidRPr="006A75A2">
              <w:rPr>
                <w:rFonts w:eastAsiaTheme="minorEastAsia"/>
                <w:b/>
                <w:bCs/>
                <w:lang w:eastAsia="en-AU"/>
              </w:rPr>
              <w:t>Funds held at 30 June</w:t>
            </w:r>
          </w:p>
        </w:tc>
      </w:tr>
      <w:tr w:rsidR="00120EDE" w:rsidRPr="006A75A2" w:rsidTr="00A67F93">
        <w:tc>
          <w:tcPr>
            <w:tcW w:w="9648" w:type="dxa"/>
            <w:gridSpan w:val="3"/>
            <w:tcBorders>
              <w:top w:val="nil"/>
              <w:left w:val="nil"/>
              <w:bottom w:val="nil"/>
              <w:right w:val="nil"/>
            </w:tcBorders>
          </w:tcPr>
          <w:p w:rsidR="00120EDE" w:rsidRPr="006A75A2" w:rsidRDefault="00120EDE" w:rsidP="00120EDE">
            <w:pPr>
              <w:pStyle w:val="Tabletext"/>
              <w:rPr>
                <w:rFonts w:eastAsiaTheme="minorEastAsia"/>
                <w:b/>
                <w:bCs/>
                <w:lang w:eastAsia="en-AU"/>
              </w:rPr>
            </w:pPr>
            <w:r w:rsidRPr="006A75A2">
              <w:rPr>
                <w:rFonts w:eastAsiaTheme="minorEastAsia"/>
                <w:b/>
                <w:bCs/>
                <w:lang w:eastAsia="en-AU"/>
              </w:rPr>
              <w:t>Trust accounts</w:t>
            </w:r>
          </w:p>
        </w:tc>
      </w:tr>
      <w:tr w:rsidR="004E6C32" w:rsidRPr="006A75A2" w:rsidTr="004B5CB1">
        <w:tc>
          <w:tcPr>
            <w:tcW w:w="721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Amounts invested on behalf of specific trust accounts</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1 214 445</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1 131 729</w:t>
            </w:r>
          </w:p>
        </w:tc>
      </w:tr>
      <w:tr w:rsidR="004E6C32" w:rsidRPr="006A75A2" w:rsidTr="004B5CB1">
        <w:tc>
          <w:tcPr>
            <w:tcW w:w="7214"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General account balances</w:t>
            </w:r>
          </w:p>
        </w:tc>
        <w:tc>
          <w:tcPr>
            <w:tcW w:w="121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2 046 212</w:t>
            </w:r>
          </w:p>
        </w:tc>
        <w:tc>
          <w:tcPr>
            <w:tcW w:w="1217"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2 527 931</w:t>
            </w:r>
          </w:p>
        </w:tc>
      </w:tr>
      <w:tr w:rsidR="004E6C32" w:rsidRPr="006A75A2" w:rsidTr="004B5CB1">
        <w:tc>
          <w:tcPr>
            <w:tcW w:w="7214"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trust accounts</w:t>
            </w:r>
          </w:p>
        </w:tc>
        <w:tc>
          <w:tcPr>
            <w:tcW w:w="121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3 260 657</w:t>
            </w:r>
          </w:p>
        </w:tc>
        <w:tc>
          <w:tcPr>
            <w:tcW w:w="121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3 659 660</w:t>
            </w:r>
          </w:p>
        </w:tc>
      </w:tr>
      <w:tr w:rsidR="004E6C32" w:rsidRPr="006A75A2" w:rsidTr="004B5CB1">
        <w:tc>
          <w:tcPr>
            <w:tcW w:w="7214" w:type="dxa"/>
            <w:tcBorders>
              <w:top w:val="nil"/>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Consolidated fund account balance</w:t>
            </w:r>
          </w:p>
        </w:tc>
        <w:tc>
          <w:tcPr>
            <w:tcW w:w="1217"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447 582</w:t>
            </w:r>
          </w:p>
        </w:tc>
        <w:tc>
          <w:tcPr>
            <w:tcW w:w="1217"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235 365</w:t>
            </w:r>
          </w:p>
        </w:tc>
      </w:tr>
      <w:tr w:rsidR="004E6C32" w:rsidRPr="006A75A2" w:rsidTr="004B5CB1">
        <w:tc>
          <w:tcPr>
            <w:tcW w:w="7214"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cs="Calibri"/>
                <w:b/>
                <w:bCs/>
                <w:szCs w:val="22"/>
                <w:lang w:eastAsia="en-AU"/>
              </w:rPr>
            </w:pPr>
            <w:r w:rsidRPr="006A75A2">
              <w:rPr>
                <w:rFonts w:eastAsiaTheme="minorEastAsia"/>
                <w:b/>
                <w:bCs/>
                <w:lang w:eastAsia="en-AU"/>
              </w:rPr>
              <w:t xml:space="preserve">Total funds held </w:t>
            </w:r>
            <w:r w:rsidRPr="006A75A2">
              <w:rPr>
                <w:rFonts w:eastAsiaTheme="minorEastAsia" w:cs="Calibri"/>
                <w:b/>
                <w:bCs/>
                <w:szCs w:val="22"/>
                <w:lang w:eastAsia="en-AU"/>
              </w:rPr>
              <w:t>in the public account</w:t>
            </w:r>
          </w:p>
        </w:tc>
        <w:tc>
          <w:tcPr>
            <w:tcW w:w="1217"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3 708 240</w:t>
            </w:r>
          </w:p>
        </w:tc>
        <w:tc>
          <w:tcPr>
            <w:tcW w:w="1217"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3 895 025</w:t>
            </w:r>
          </w:p>
        </w:tc>
      </w:tr>
      <w:tr w:rsidR="00120EDE" w:rsidRPr="006A75A2" w:rsidTr="00A67F93">
        <w:tc>
          <w:tcPr>
            <w:tcW w:w="9648" w:type="dxa"/>
            <w:gridSpan w:val="3"/>
            <w:tcBorders>
              <w:top w:val="nil"/>
              <w:left w:val="nil"/>
              <w:bottom w:val="nil"/>
              <w:right w:val="nil"/>
            </w:tcBorders>
          </w:tcPr>
          <w:p w:rsidR="00120EDE" w:rsidRPr="006A75A2" w:rsidRDefault="00120EDE" w:rsidP="004B5CB1">
            <w:pPr>
              <w:pStyle w:val="TableofFigures"/>
              <w:rPr>
                <w:rFonts w:eastAsiaTheme="minorEastAsia"/>
                <w:b/>
                <w:bCs/>
                <w:lang w:eastAsia="en-AU"/>
              </w:rPr>
            </w:pPr>
          </w:p>
        </w:tc>
      </w:tr>
      <w:tr w:rsidR="00120EDE" w:rsidRPr="006A75A2" w:rsidTr="00A67F93">
        <w:tc>
          <w:tcPr>
            <w:tcW w:w="9648" w:type="dxa"/>
            <w:gridSpan w:val="3"/>
            <w:tcBorders>
              <w:top w:val="nil"/>
              <w:left w:val="nil"/>
              <w:bottom w:val="nil"/>
              <w:right w:val="nil"/>
            </w:tcBorders>
          </w:tcPr>
          <w:p w:rsidR="00120EDE" w:rsidRPr="006A75A2" w:rsidRDefault="00120EDE" w:rsidP="00120EDE">
            <w:pPr>
              <w:pStyle w:val="Tabletext"/>
              <w:rPr>
                <w:rFonts w:eastAsiaTheme="minorEastAsia"/>
                <w:lang w:eastAsia="en-AU"/>
              </w:rPr>
            </w:pPr>
            <w:r w:rsidRPr="006A75A2">
              <w:rPr>
                <w:rFonts w:eastAsiaTheme="minorEastAsia"/>
                <w:b/>
                <w:bCs/>
                <w:lang w:eastAsia="en-AU"/>
              </w:rPr>
              <w:t>Represented by:</w:t>
            </w:r>
          </w:p>
        </w:tc>
      </w:tr>
      <w:tr w:rsidR="00120EDE" w:rsidRPr="006A75A2" w:rsidTr="00A67F93">
        <w:tc>
          <w:tcPr>
            <w:tcW w:w="9648" w:type="dxa"/>
            <w:gridSpan w:val="3"/>
            <w:tcBorders>
              <w:top w:val="nil"/>
              <w:left w:val="nil"/>
              <w:bottom w:val="nil"/>
              <w:right w:val="nil"/>
            </w:tcBorders>
          </w:tcPr>
          <w:p w:rsidR="00120EDE" w:rsidRPr="006A75A2" w:rsidRDefault="00120EDE" w:rsidP="00120EDE">
            <w:pPr>
              <w:pStyle w:val="Tabletext"/>
              <w:rPr>
                <w:rFonts w:eastAsiaTheme="minorEastAsia"/>
                <w:lang w:eastAsia="en-AU"/>
              </w:rPr>
            </w:pPr>
            <w:r w:rsidRPr="006A75A2">
              <w:rPr>
                <w:rFonts w:eastAsiaTheme="minorEastAsia"/>
                <w:b/>
                <w:bCs/>
                <w:lang w:eastAsia="en-AU"/>
              </w:rPr>
              <w:t>Stocks and securities held with/in –</w:t>
            </w:r>
          </w:p>
        </w:tc>
      </w:tr>
      <w:tr w:rsidR="004E6C32" w:rsidRPr="006A75A2" w:rsidTr="004B5CB1">
        <w:tc>
          <w:tcPr>
            <w:tcW w:w="721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Managed Investments </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626 305</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409 367</w:t>
            </w:r>
          </w:p>
        </w:tc>
      </w:tr>
      <w:tr w:rsidR="004E6C32" w:rsidRPr="006A75A2" w:rsidTr="004B5CB1">
        <w:tc>
          <w:tcPr>
            <w:tcW w:w="7214"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Treasury Corporation of Victoria</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587 701</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722 375</w:t>
            </w:r>
          </w:p>
        </w:tc>
      </w:tr>
      <w:tr w:rsidR="004E6C32" w:rsidRPr="006A75A2" w:rsidTr="004B5CB1">
        <w:tc>
          <w:tcPr>
            <w:tcW w:w="721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217"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1 214 005</w:t>
            </w:r>
          </w:p>
        </w:tc>
        <w:tc>
          <w:tcPr>
            <w:tcW w:w="1217"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1 131 741</w:t>
            </w:r>
          </w:p>
        </w:tc>
      </w:tr>
      <w:tr w:rsidR="00120EDE" w:rsidRPr="006A75A2" w:rsidTr="00A67F93">
        <w:tc>
          <w:tcPr>
            <w:tcW w:w="9648" w:type="dxa"/>
            <w:gridSpan w:val="3"/>
            <w:tcBorders>
              <w:top w:val="nil"/>
              <w:left w:val="nil"/>
              <w:bottom w:val="nil"/>
              <w:right w:val="nil"/>
            </w:tcBorders>
          </w:tcPr>
          <w:p w:rsidR="00120EDE" w:rsidRPr="006A75A2" w:rsidRDefault="00120EDE" w:rsidP="00120EDE">
            <w:pPr>
              <w:pStyle w:val="Tabletext"/>
              <w:rPr>
                <w:rFonts w:eastAsiaTheme="minorEastAsia"/>
                <w:lang w:eastAsia="en-AU"/>
              </w:rPr>
            </w:pPr>
            <w:r w:rsidRPr="006A75A2">
              <w:rPr>
                <w:rFonts w:eastAsiaTheme="minorEastAsia"/>
                <w:b/>
                <w:bCs/>
                <w:lang w:eastAsia="en-AU"/>
              </w:rPr>
              <w:t>Cash and investments held with/in –</w:t>
            </w:r>
          </w:p>
        </w:tc>
      </w:tr>
      <w:tr w:rsidR="004E6C32" w:rsidRPr="006A75A2" w:rsidTr="004B5CB1">
        <w:tc>
          <w:tcPr>
            <w:tcW w:w="721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Treasury Corporation of Victoria </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1 870 794</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1 850 000</w:t>
            </w:r>
          </w:p>
        </w:tc>
      </w:tr>
      <w:tr w:rsidR="004E6C32" w:rsidRPr="006A75A2" w:rsidTr="004B5CB1">
        <w:tc>
          <w:tcPr>
            <w:tcW w:w="7214"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at bank balances held in Australia</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408 170</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419 110</w:t>
            </w:r>
          </w:p>
        </w:tc>
      </w:tr>
      <w:tr w:rsidR="004E6C32" w:rsidRPr="006A75A2" w:rsidTr="004B5CB1">
        <w:tc>
          <w:tcPr>
            <w:tcW w:w="7214"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217"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2 278 965</w:t>
            </w:r>
          </w:p>
        </w:tc>
        <w:tc>
          <w:tcPr>
            <w:tcW w:w="121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2 269 110</w:t>
            </w:r>
          </w:p>
        </w:tc>
      </w:tr>
      <w:tr w:rsidR="004E6C32" w:rsidRPr="006A75A2" w:rsidTr="004B5CB1">
        <w:tc>
          <w:tcPr>
            <w:tcW w:w="7214"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stock, securities, cash and investments</w:t>
            </w:r>
          </w:p>
        </w:tc>
        <w:tc>
          <w:tcPr>
            <w:tcW w:w="121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3 492 970</w:t>
            </w:r>
          </w:p>
        </w:tc>
        <w:tc>
          <w:tcPr>
            <w:tcW w:w="1217"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3 400 851</w:t>
            </w:r>
          </w:p>
        </w:tc>
      </w:tr>
      <w:tr w:rsidR="004E6C32" w:rsidRPr="006A75A2" w:rsidTr="004B5CB1">
        <w:tc>
          <w:tcPr>
            <w:tcW w:w="7214"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Add cash advanced pursuant to Sections 36 and 37 of the </w:t>
            </w:r>
            <w:r w:rsidRPr="006A75A2">
              <w:rPr>
                <w:rFonts w:eastAsiaTheme="minorEastAsia"/>
                <w:i/>
                <w:lang w:eastAsia="en-AU"/>
              </w:rPr>
              <w:t>Financial Management Act</w:t>
            </w:r>
            <w:r w:rsidRPr="006A75A2">
              <w:rPr>
                <w:rFonts w:eastAsiaTheme="minorEastAsia"/>
                <w:lang w:eastAsia="en-AU"/>
              </w:rPr>
              <w:t>, No. 18 of 1994</w:t>
            </w:r>
          </w:p>
        </w:tc>
        <w:tc>
          <w:tcPr>
            <w:tcW w:w="121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215 270</w:t>
            </w:r>
          </w:p>
        </w:tc>
        <w:tc>
          <w:tcPr>
            <w:tcW w:w="121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494 174</w:t>
            </w:r>
          </w:p>
        </w:tc>
      </w:tr>
      <w:tr w:rsidR="004E6C32" w:rsidRPr="006A75A2" w:rsidTr="004B5CB1">
        <w:tc>
          <w:tcPr>
            <w:tcW w:w="7214"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cs="Calibri"/>
                <w:b/>
                <w:bCs/>
                <w:szCs w:val="22"/>
                <w:lang w:eastAsia="en-AU"/>
              </w:rPr>
            </w:pPr>
            <w:r w:rsidRPr="006A75A2">
              <w:rPr>
                <w:rFonts w:eastAsiaTheme="minorEastAsia"/>
                <w:b/>
                <w:bCs/>
                <w:lang w:eastAsia="en-AU"/>
              </w:rPr>
              <w:t xml:space="preserve">Total funds held </w:t>
            </w:r>
            <w:r w:rsidRPr="006A75A2">
              <w:rPr>
                <w:rFonts w:eastAsiaTheme="minorEastAsia" w:cs="Calibri"/>
                <w:b/>
                <w:bCs/>
                <w:szCs w:val="22"/>
                <w:lang w:eastAsia="en-AU"/>
              </w:rPr>
              <w:t>in the public account</w:t>
            </w:r>
          </w:p>
        </w:tc>
        <w:tc>
          <w:tcPr>
            <w:tcW w:w="121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3 708 240</w:t>
            </w:r>
          </w:p>
        </w:tc>
        <w:tc>
          <w:tcPr>
            <w:tcW w:w="1217"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3 895 025</w:t>
            </w:r>
          </w:p>
        </w:tc>
      </w:tr>
    </w:tbl>
    <w:p w:rsidR="004E6C32" w:rsidRPr="006A75A2" w:rsidRDefault="004E6C32" w:rsidP="004B5CB1"/>
    <w:p w:rsidR="004E6C32" w:rsidRPr="006A75A2" w:rsidRDefault="004E6C32" w:rsidP="004B5CB1"/>
    <w:p w:rsidR="004E6C32" w:rsidRPr="006A75A2" w:rsidRDefault="004E6C32" w:rsidP="0067336F">
      <w:pPr>
        <w:pStyle w:val="Heading5"/>
      </w:pPr>
      <w:r w:rsidRPr="006A75A2">
        <w:t>(g)</w:t>
      </w:r>
      <w:r w:rsidRPr="006A75A2">
        <w:tab/>
        <w:t xml:space="preserve">Amounts paid into working accounts pursuant to Section 23 of the </w:t>
      </w:r>
      <w:r w:rsidRPr="006A75A2">
        <w:rPr>
          <w:i/>
        </w:rPr>
        <w:t>Financial Management Act 1994</w:t>
      </w:r>
      <w:r w:rsidRPr="006A75A2">
        <w:t xml:space="preserve"> for the year ended 30 June</w:t>
      </w:r>
    </w:p>
    <w:p w:rsidR="004E6C32" w:rsidRPr="006A75A2" w:rsidRDefault="004E6C32" w:rsidP="004B5CB1">
      <w:pPr>
        <w:pStyle w:val="million"/>
        <w:rPr>
          <w:rFonts w:ascii="Times New Roman" w:hAnsi="Times New Roman"/>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Appropriation transfer equivalent to consolidated fund receipts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10 841</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8 815</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received on credit balances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166</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amounts paid into working accounts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10 979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8 981</w:t>
            </w:r>
          </w:p>
        </w:tc>
      </w:tr>
    </w:tbl>
    <w:p w:rsidR="004E6C32" w:rsidRPr="006A75A2" w:rsidRDefault="004E6C32" w:rsidP="004B5CB1"/>
    <w:p w:rsidR="004E6C32" w:rsidRPr="006A75A2" w:rsidRDefault="004E6C32" w:rsidP="004B5CB1"/>
    <w:p w:rsidR="004E6C32" w:rsidRPr="006A75A2" w:rsidRDefault="004E6C32" w:rsidP="0067336F">
      <w:pPr>
        <w:pStyle w:val="Heading5"/>
      </w:pPr>
      <w:r w:rsidRPr="006A75A2">
        <w:t>(h)</w:t>
      </w:r>
      <w:r w:rsidRPr="006A75A2">
        <w:tab/>
        <w:t xml:space="preserve">Allocations pursuant to Section 28 of the </w:t>
      </w:r>
      <w:r w:rsidRPr="006A75A2">
        <w:rPr>
          <w:i/>
        </w:rPr>
        <w:t>Financial Management Act 1994</w:t>
      </w:r>
      <w:r w:rsidRPr="006A75A2">
        <w:t xml:space="preserve"> for the financial year ended 30 June</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2014</w:t>
            </w: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iCs/>
                <w:lang w:eastAsia="en-AU"/>
              </w:rPr>
            </w:pPr>
            <w:r w:rsidRPr="006A75A2">
              <w:rPr>
                <w:rFonts w:eastAsiaTheme="minorEastAsia"/>
                <w:iCs/>
                <w:lang w:eastAsia="en-AU"/>
              </w:rPr>
              <w:t>2013</w:t>
            </w:r>
          </w:p>
        </w:tc>
      </w:tr>
      <w:tr w:rsidR="00120EDE" w:rsidRPr="006A75A2" w:rsidTr="00A67F93">
        <w:tc>
          <w:tcPr>
            <w:tcW w:w="9640" w:type="dxa"/>
            <w:gridSpan w:val="3"/>
            <w:tcBorders>
              <w:top w:val="single" w:sz="6" w:space="0" w:color="auto"/>
              <w:left w:val="nil"/>
              <w:bottom w:val="nil"/>
              <w:right w:val="nil"/>
            </w:tcBorders>
          </w:tcPr>
          <w:p w:rsidR="00120EDE" w:rsidRPr="006A75A2" w:rsidRDefault="00120EDE" w:rsidP="00120EDE">
            <w:pPr>
              <w:pStyle w:val="Tabletext"/>
              <w:rPr>
                <w:rFonts w:eastAsiaTheme="minorEastAsia"/>
                <w:b/>
                <w:lang w:eastAsia="en-AU"/>
              </w:rPr>
            </w:pPr>
            <w:r w:rsidRPr="006A75A2">
              <w:rPr>
                <w:rFonts w:eastAsiaTheme="minorEastAsia"/>
                <w:b/>
                <w:lang w:eastAsia="en-AU"/>
              </w:rPr>
              <w:t>Section 28 allocations</w:t>
            </w:r>
          </w:p>
        </w:tc>
      </w:tr>
      <w:tr w:rsidR="00120EDE" w:rsidRPr="006A75A2" w:rsidTr="00A67F93">
        <w:tc>
          <w:tcPr>
            <w:tcW w:w="9640" w:type="dxa"/>
            <w:gridSpan w:val="3"/>
            <w:tcBorders>
              <w:top w:val="nil"/>
              <w:left w:val="nil"/>
              <w:bottom w:val="nil"/>
              <w:right w:val="nil"/>
            </w:tcBorders>
          </w:tcPr>
          <w:p w:rsidR="00120EDE" w:rsidRPr="006A75A2" w:rsidRDefault="00120EDE" w:rsidP="00120EDE">
            <w:pPr>
              <w:pStyle w:val="Tabletext"/>
              <w:rPr>
                <w:rFonts w:eastAsiaTheme="minorEastAsia"/>
                <w:b/>
                <w:lang w:eastAsia="en-AU"/>
              </w:rPr>
            </w:pPr>
            <w:r w:rsidRPr="006A75A2">
              <w:rPr>
                <w:rFonts w:eastAsiaTheme="minorEastAsia"/>
                <w:b/>
                <w:lang w:eastAsia="en-AU"/>
              </w:rPr>
              <w:t>(Appropriation for borrowing against future appropriation)</w:t>
            </w:r>
          </w:p>
        </w:tc>
      </w:tr>
      <w:tr w:rsidR="00120EDE" w:rsidRPr="006A75A2" w:rsidTr="00A67F93">
        <w:tc>
          <w:tcPr>
            <w:tcW w:w="9640" w:type="dxa"/>
            <w:gridSpan w:val="3"/>
            <w:tcBorders>
              <w:top w:val="nil"/>
              <w:left w:val="nil"/>
              <w:bottom w:val="nil"/>
              <w:right w:val="nil"/>
            </w:tcBorders>
          </w:tcPr>
          <w:p w:rsidR="00120EDE" w:rsidRPr="006A75A2" w:rsidRDefault="00120EDE" w:rsidP="00120EDE">
            <w:pPr>
              <w:pStyle w:val="Tabletext"/>
              <w:rPr>
                <w:rFonts w:eastAsiaTheme="minorEastAsia"/>
                <w:b/>
                <w:lang w:eastAsia="en-AU"/>
              </w:rPr>
            </w:pPr>
            <w:r w:rsidRPr="006A75A2">
              <w:rPr>
                <w:rFonts w:eastAsiaTheme="minorEastAsia"/>
                <w:b/>
                <w:lang w:eastAsia="en-AU"/>
              </w:rPr>
              <w:t>Department of Environment and Primary Industries</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Addition to net asset base</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1 600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lang w:eastAsia="en-AU"/>
              </w:rPr>
            </w:pPr>
            <w:r w:rsidRPr="006A75A2">
              <w:rPr>
                <w:rFonts w:eastAsiaTheme="minorEastAsia"/>
                <w:b/>
                <w:lang w:eastAsia="en-AU"/>
              </w:rPr>
              <w:t>Total Section 28 allocations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1 600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(i)</w:t>
      </w:r>
      <w:r w:rsidRPr="006A75A2">
        <w:tab/>
        <w:t>Transfers pursuant to Sections 30 and 31 of the Financial Management Act 1994 for the financial year ended 30 June</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12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sz w:val="19"/>
                <w:lang w:eastAsia="en-AU"/>
              </w:rPr>
            </w:pPr>
            <w:r w:rsidRPr="006A75A2">
              <w:rPr>
                <w:rFonts w:eastAsiaTheme="minorEastAsia"/>
                <w:sz w:val="19"/>
                <w:lang w:eastAsia="en-AU"/>
              </w:rPr>
              <w:t>Decrease</w:t>
            </w: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 w:val="19"/>
                <w:lang w:eastAsia="en-AU"/>
              </w:rPr>
            </w:pPr>
            <w:r w:rsidRPr="006A75A2">
              <w:rPr>
                <w:rFonts w:eastAsiaTheme="minorEastAsia"/>
                <w:sz w:val="19"/>
                <w:lang w:eastAsia="en-AU"/>
              </w:rPr>
              <w:t>Increase</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Section 30 transfers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(Transfers between items of departmental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Department of Education and Early Childhood Development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Provision of outputs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31 717</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Additions to the net asset base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31 717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Department of Environment and Primary Industries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Provision of outputs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2 699</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Additions to the net asset base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4 461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Payments made on behalf of the State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1 762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Department of Health</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Provision of outputs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225 000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Additions to the net asset base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225 000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Department of Human Services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Provision of outputs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27 985</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Additions to the net asset base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27 985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Department of Justice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Provision of outputs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78 386</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Additions to the net asset base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78 386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Department of Premier and Cabinet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Provision of outputs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1 993</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Additions to the net asset base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1 993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Department of State Development, Business and Innovation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Provision of outputs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10 000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Additions to the net asset base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5 000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Payments made on behalf of the State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5 000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Department of Transport, Planning and Local Infrastructure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Provision of outputs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84 962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Additions to the net asset base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84 962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Department of Treasury and Finance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Provision of outputs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4 625</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Additions to the net asset base (Section 29 of the </w:t>
            </w:r>
            <w:r w:rsidRPr="006A75A2">
              <w:rPr>
                <w:rFonts w:eastAsiaTheme="minorEastAsia"/>
                <w:i/>
                <w:sz w:val="19"/>
                <w:lang w:eastAsia="en-AU"/>
              </w:rPr>
              <w:t>Financial Management Act, No. 18 of 1994</w:t>
            </w:r>
            <w:r w:rsidRPr="006A75A2">
              <w:rPr>
                <w:rFonts w:eastAsiaTheme="minorEastAsia"/>
                <w:sz w:val="19"/>
                <w:lang w:eastAsia="en-AU"/>
              </w:rPr>
              <w:t xml:space="preserve"> applies)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23 625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Payments made on behalf of the State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19 000</w:t>
            </w:r>
          </w:p>
        </w:tc>
      </w:tr>
      <w:tr w:rsidR="004E6C32" w:rsidRPr="006A75A2" w:rsidTr="004B5CB1">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Section 30 transfers</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488 129</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488 129</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(j)</w:t>
      </w:r>
      <w:r w:rsidRPr="006A75A2">
        <w:tab/>
        <w:t xml:space="preserve">Appropriation of revenue and asset sales proceeds pursuant to Section 29 of the </w:t>
      </w:r>
      <w:r w:rsidRPr="006A75A2">
        <w:rPr>
          <w:i/>
        </w:rPr>
        <w:t>Financial Management Act 1994</w:t>
      </w:r>
      <w:r w:rsidRPr="006A75A2">
        <w:t xml:space="preserve"> for the financial year ended 30 June 2014</w:t>
      </w:r>
    </w:p>
    <w:p w:rsidR="004E6C32" w:rsidRPr="006A75A2" w:rsidRDefault="004E6C32" w:rsidP="004B5CB1">
      <w:pPr>
        <w:pStyle w:val="million"/>
        <w:rPr>
          <w:rFonts w:ascii="Times New Roman" w:hAnsi="Times New Roman"/>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4412"/>
        <w:gridCol w:w="1134"/>
        <w:gridCol w:w="1842"/>
        <w:gridCol w:w="1132"/>
        <w:gridCol w:w="1120"/>
      </w:tblGrid>
      <w:tr w:rsidR="00120EDE" w:rsidRPr="006A75A2" w:rsidTr="00A67F93">
        <w:tc>
          <w:tcPr>
            <w:tcW w:w="4412" w:type="dxa"/>
            <w:tcBorders>
              <w:top w:val="single" w:sz="6" w:space="0" w:color="auto"/>
              <w:left w:val="single" w:sz="6" w:space="0" w:color="auto"/>
              <w:bottom w:val="nil"/>
              <w:right w:val="nil"/>
            </w:tcBorders>
            <w:shd w:val="clear" w:color="000000" w:fill="000000"/>
          </w:tcPr>
          <w:p w:rsidR="00120EDE" w:rsidRPr="006A75A2" w:rsidRDefault="00120EDE" w:rsidP="004B5CB1">
            <w:pPr>
              <w:pStyle w:val="Tabletext"/>
              <w:rPr>
                <w:rFonts w:eastAsiaTheme="minorEastAsia"/>
                <w:i/>
                <w:lang w:eastAsia="en-AU"/>
              </w:rPr>
            </w:pPr>
            <w:r w:rsidRPr="006A75A2">
              <w:rPr>
                <w:rFonts w:eastAsiaTheme="minorEastAsia"/>
                <w:i/>
                <w:lang w:eastAsia="en-AU"/>
              </w:rPr>
              <w:t>Department</w:t>
            </w:r>
          </w:p>
        </w:tc>
        <w:tc>
          <w:tcPr>
            <w:tcW w:w="4108" w:type="dxa"/>
            <w:gridSpan w:val="3"/>
            <w:tcBorders>
              <w:top w:val="single" w:sz="6" w:space="0" w:color="auto"/>
              <w:left w:val="nil"/>
              <w:bottom w:val="nil"/>
              <w:right w:val="nil"/>
            </w:tcBorders>
            <w:shd w:val="clear" w:color="000000" w:fill="000000"/>
          </w:tcPr>
          <w:p w:rsidR="00120EDE" w:rsidRPr="006A75A2" w:rsidRDefault="00120EDE" w:rsidP="004B5CB1">
            <w:pPr>
              <w:pStyle w:val="TabletextheadingCentred"/>
              <w:rPr>
                <w:rFonts w:eastAsiaTheme="minorEastAsia"/>
                <w:lang w:eastAsia="en-AU"/>
              </w:rPr>
            </w:pPr>
            <w:r w:rsidRPr="006A75A2">
              <w:rPr>
                <w:rFonts w:eastAsiaTheme="minorEastAsia"/>
                <w:lang w:eastAsia="en-AU"/>
              </w:rPr>
              <w:t>Source</w:t>
            </w:r>
          </w:p>
        </w:tc>
        <w:tc>
          <w:tcPr>
            <w:tcW w:w="1120" w:type="dxa"/>
            <w:tcBorders>
              <w:top w:val="single" w:sz="6" w:space="0" w:color="auto"/>
              <w:left w:val="nil"/>
              <w:bottom w:val="nil"/>
              <w:right w:val="single" w:sz="6" w:space="0" w:color="auto"/>
            </w:tcBorders>
            <w:shd w:val="clear" w:color="000000" w:fill="000000"/>
          </w:tcPr>
          <w:p w:rsidR="00120EDE" w:rsidRPr="006A75A2" w:rsidRDefault="00120EDE" w:rsidP="004B5CB1">
            <w:pPr>
              <w:pStyle w:val="Tabletextheading"/>
              <w:rPr>
                <w:rFonts w:eastAsiaTheme="minorEastAsia"/>
                <w:lang w:eastAsia="en-AU"/>
              </w:rPr>
            </w:pPr>
            <w:r w:rsidRPr="006A75A2">
              <w:rPr>
                <w:rFonts w:eastAsiaTheme="minorEastAsia"/>
                <w:lang w:eastAsia="en-AU"/>
              </w:rPr>
              <w:t xml:space="preserve">   </w:t>
            </w:r>
          </w:p>
        </w:tc>
      </w:tr>
      <w:tr w:rsidR="004E6C32" w:rsidRPr="006A75A2" w:rsidTr="004B5CB1">
        <w:tc>
          <w:tcPr>
            <w:tcW w:w="4412" w:type="dxa"/>
            <w:tcBorders>
              <w:top w:val="nil"/>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p>
        </w:tc>
        <w:tc>
          <w:tcPr>
            <w:tcW w:w="1134"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Outputs</w:t>
            </w:r>
          </w:p>
        </w:tc>
        <w:tc>
          <w:tcPr>
            <w:tcW w:w="1842"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Commonwealth</w:t>
            </w:r>
          </w:p>
        </w:tc>
        <w:tc>
          <w:tcPr>
            <w:tcW w:w="1132" w:type="dxa"/>
            <w:tcBorders>
              <w:top w:val="nil"/>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Other </w:t>
            </w:r>
          </w:p>
        </w:tc>
        <w:tc>
          <w:tcPr>
            <w:tcW w:w="1120" w:type="dxa"/>
            <w:tcBorders>
              <w:top w:val="nil"/>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 Total </w:t>
            </w:r>
          </w:p>
        </w:tc>
      </w:tr>
      <w:tr w:rsidR="004E6C32" w:rsidRPr="006A75A2" w:rsidTr="004B5CB1">
        <w:tc>
          <w:tcPr>
            <w:tcW w:w="4412"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Education and Early Childhood Development</w:t>
            </w:r>
          </w:p>
        </w:tc>
        <w:tc>
          <w:tcPr>
            <w:tcW w:w="1134"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1 150</w:t>
            </w:r>
          </w:p>
        </w:tc>
        <w:tc>
          <w:tcPr>
            <w:tcW w:w="1842"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444 202</w:t>
            </w:r>
          </w:p>
        </w:tc>
        <w:tc>
          <w:tcPr>
            <w:tcW w:w="1132"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80 526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525 878</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Environment and Primary Industries</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113 196</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71 143</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13 109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197 448</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Health</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295 880</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592 446</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888 326</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Human Services</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14 935</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48 862</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7 360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71 157</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Justice</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205 689</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50 258</w:t>
            </w:r>
          </w:p>
        </w:tc>
        <w:tc>
          <w:tcPr>
            <w:tcW w:w="1132"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10 </w:t>
            </w:r>
            <w:r w:rsidRPr="006A75A2">
              <w:rPr>
                <w:rFonts w:eastAsiaTheme="minorEastAsia" w:cs="Calibri"/>
                <w:szCs w:val="22"/>
                <w:lang w:eastAsia="en-AU"/>
              </w:rPr>
              <w:t>152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266 099</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Premier and Cabinet</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512</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512</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State Development, Business and Innovation</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773</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773</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Transport, Planning and Local Infrastructure</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37 293</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1 089 078</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1 126 371</w:t>
            </w:r>
          </w:p>
        </w:tc>
      </w:tr>
      <w:tr w:rsidR="004E6C32" w:rsidRPr="006A75A2" w:rsidTr="004B5CB1">
        <w:tc>
          <w:tcPr>
            <w:tcW w:w="441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Treasury and Finance</w:t>
            </w:r>
          </w:p>
        </w:tc>
        <w:tc>
          <w:tcPr>
            <w:tcW w:w="1134"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7 </w:t>
            </w:r>
            <w:r w:rsidRPr="006A75A2">
              <w:rPr>
                <w:rFonts w:eastAsiaTheme="minorEastAsia" w:cs="Calibri"/>
                <w:szCs w:val="22"/>
                <w:lang w:eastAsia="en-AU"/>
              </w:rPr>
              <w:t>362</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3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7 362</w:t>
            </w:r>
          </w:p>
        </w:tc>
      </w:tr>
      <w:tr w:rsidR="004E6C32" w:rsidRPr="006A75A2" w:rsidTr="004B5CB1">
        <w:tc>
          <w:tcPr>
            <w:tcW w:w="4412"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Parliament</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 xml:space="preserve"> 23 </w:t>
            </w:r>
            <w:r w:rsidRPr="006A75A2">
              <w:rPr>
                <w:rFonts w:eastAsiaTheme="minorEastAsia" w:cs="Calibri"/>
                <w:szCs w:val="22"/>
                <w:lang w:eastAsia="en-AU"/>
              </w:rPr>
              <w:t>268</w:t>
            </w:r>
          </w:p>
        </w:tc>
        <w:tc>
          <w:tcPr>
            <w:tcW w:w="184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3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23 268</w:t>
            </w:r>
          </w:p>
        </w:tc>
      </w:tr>
      <w:tr w:rsidR="004E6C32" w:rsidRPr="006A75A2" w:rsidTr="004B5CB1">
        <w:tc>
          <w:tcPr>
            <w:tcW w:w="441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Total appropriation </w:t>
            </w:r>
          </w:p>
        </w:tc>
        <w:tc>
          <w:tcPr>
            <w:tcW w:w="113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700 058</w:t>
            </w:r>
          </w:p>
        </w:tc>
        <w:tc>
          <w:tcPr>
            <w:tcW w:w="184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2 295 990</w:t>
            </w:r>
          </w:p>
        </w:tc>
        <w:tc>
          <w:tcPr>
            <w:tcW w:w="113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111 147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3 107 195</w:t>
            </w:r>
          </w:p>
        </w:tc>
      </w:tr>
    </w:tbl>
    <w:p w:rsidR="004E6C32" w:rsidRPr="006A75A2" w:rsidRDefault="004E6C32" w:rsidP="004B5CB1">
      <w:pPr>
        <w:pStyle w:val="Notes"/>
      </w:pPr>
    </w:p>
    <w:p w:rsidR="004E6C32" w:rsidRPr="006A75A2" w:rsidRDefault="004E6C32" w:rsidP="004B5CB1"/>
    <w:p w:rsidR="004E6C32" w:rsidRPr="006A75A2" w:rsidRDefault="004E6C32" w:rsidP="0067336F">
      <w:pPr>
        <w:pStyle w:val="Heading5"/>
      </w:pPr>
      <w:r w:rsidRPr="006A75A2">
        <w:t>(k)</w:t>
      </w:r>
      <w:r w:rsidRPr="006A75A2">
        <w:tab/>
        <w:t xml:space="preserve">Section 32 carryovers – </w:t>
      </w:r>
      <w:r w:rsidRPr="006A75A2">
        <w:rPr>
          <w:i/>
        </w:rPr>
        <w:t>Financial Management Act 1994</w:t>
      </w:r>
      <w:r w:rsidRPr="006A75A2">
        <w:t xml:space="preserve"> for the financial year ended 30 June 2014</w:t>
      </w:r>
    </w:p>
    <w:p w:rsidR="004E6C32" w:rsidRPr="006A75A2" w:rsidRDefault="004E6C32" w:rsidP="004B5CB1">
      <w:r w:rsidRPr="006A75A2">
        <w:t xml:space="preserve">Amounts approved for carryover from 2012-13 pursuant to Section 32 of the </w:t>
      </w:r>
      <w:r w:rsidRPr="006A75A2">
        <w:rPr>
          <w:i/>
        </w:rPr>
        <w:t>Financial Management Act 1994</w:t>
      </w:r>
      <w:r w:rsidRPr="006A75A2">
        <w:t>.</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4695"/>
        <w:gridCol w:w="1134"/>
        <w:gridCol w:w="1276"/>
        <w:gridCol w:w="1507"/>
        <w:gridCol w:w="1028"/>
      </w:tblGrid>
      <w:tr w:rsidR="004E6C32" w:rsidRPr="006A75A2" w:rsidTr="004B5CB1">
        <w:tc>
          <w:tcPr>
            <w:tcW w:w="4695" w:type="dxa"/>
            <w:tcBorders>
              <w:top w:val="single" w:sz="6" w:space="0" w:color="000000"/>
              <w:left w:val="single" w:sz="6" w:space="0" w:color="000000"/>
              <w:bottom w:val="single" w:sz="6" w:space="0" w:color="000000"/>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Department</w:t>
            </w:r>
          </w:p>
        </w:tc>
        <w:tc>
          <w:tcPr>
            <w:tcW w:w="1134" w:type="dxa"/>
            <w:tcBorders>
              <w:top w:val="single" w:sz="6" w:space="0" w:color="000000"/>
              <w:left w:val="nil"/>
              <w:bottom w:val="single" w:sz="6" w:space="0" w:color="000000"/>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Provision of outputs</w:t>
            </w:r>
          </w:p>
        </w:tc>
        <w:tc>
          <w:tcPr>
            <w:tcW w:w="1276" w:type="dxa"/>
            <w:tcBorders>
              <w:top w:val="single" w:sz="6" w:space="0" w:color="000000"/>
              <w:left w:val="nil"/>
              <w:bottom w:val="single" w:sz="6" w:space="0" w:color="000000"/>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Additions to net assets</w:t>
            </w:r>
          </w:p>
        </w:tc>
        <w:tc>
          <w:tcPr>
            <w:tcW w:w="1507" w:type="dxa"/>
            <w:tcBorders>
              <w:top w:val="single" w:sz="6" w:space="0" w:color="000000"/>
              <w:left w:val="nil"/>
              <w:bottom w:val="single" w:sz="6" w:space="0" w:color="000000"/>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Payments made on behalf of State</w:t>
            </w:r>
          </w:p>
        </w:tc>
        <w:tc>
          <w:tcPr>
            <w:tcW w:w="1028" w:type="dxa"/>
            <w:tcBorders>
              <w:top w:val="single" w:sz="6" w:space="0" w:color="000000"/>
              <w:left w:val="nil"/>
              <w:bottom w:val="single" w:sz="6" w:space="0" w:color="000000"/>
              <w:right w:val="single" w:sz="6" w:space="0" w:color="000000"/>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Total carryover</w:t>
            </w:r>
          </w:p>
        </w:tc>
      </w:tr>
      <w:tr w:rsidR="004E6C32" w:rsidRPr="006A75A2" w:rsidTr="004B5CB1">
        <w:tc>
          <w:tcPr>
            <w:tcW w:w="4695" w:type="dxa"/>
            <w:tcBorders>
              <w:top w:val="single" w:sz="6" w:space="0" w:color="000000"/>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Education and Early Childhood Development</w:t>
            </w:r>
          </w:p>
        </w:tc>
        <w:tc>
          <w:tcPr>
            <w:tcW w:w="1134"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220 031</w:t>
            </w:r>
          </w:p>
        </w:tc>
        <w:tc>
          <w:tcPr>
            <w:tcW w:w="1276"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07" w:type="dxa"/>
            <w:tcBorders>
              <w:top w:val="single" w:sz="6" w:space="0" w:color="000000"/>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single" w:sz="6" w:space="0" w:color="000000"/>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220 031</w:t>
            </w:r>
          </w:p>
        </w:tc>
      </w:tr>
      <w:tr w:rsidR="004E6C32" w:rsidRPr="006A75A2" w:rsidTr="004B5CB1">
        <w:tc>
          <w:tcPr>
            <w:tcW w:w="469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Environment and Primary Industries</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112 800</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69 273</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4 386</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186 459</w:t>
            </w:r>
          </w:p>
        </w:tc>
      </w:tr>
      <w:tr w:rsidR="004E6C32" w:rsidRPr="006A75A2" w:rsidTr="004B5CB1">
        <w:tc>
          <w:tcPr>
            <w:tcW w:w="469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Health</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131 320</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96 916</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228 236</w:t>
            </w:r>
          </w:p>
        </w:tc>
      </w:tr>
      <w:tr w:rsidR="004E6C32" w:rsidRPr="006A75A2" w:rsidTr="004B5CB1">
        <w:tc>
          <w:tcPr>
            <w:tcW w:w="469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Human Services</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13 153</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20 202</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33 355</w:t>
            </w:r>
          </w:p>
        </w:tc>
      </w:tr>
      <w:tr w:rsidR="004E6C32" w:rsidRPr="006A75A2" w:rsidTr="004B5CB1">
        <w:tc>
          <w:tcPr>
            <w:tcW w:w="469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Justice</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95 595</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117 263</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212 858</w:t>
            </w:r>
          </w:p>
        </w:tc>
      </w:tr>
      <w:tr w:rsidR="004E6C32" w:rsidRPr="006A75A2" w:rsidTr="004B5CB1">
        <w:tc>
          <w:tcPr>
            <w:tcW w:w="469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Premier and Cabinet</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16 400</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6 450</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22 850</w:t>
            </w:r>
          </w:p>
        </w:tc>
      </w:tr>
      <w:tr w:rsidR="004E6C32" w:rsidRPr="006A75A2" w:rsidTr="004B5CB1">
        <w:tc>
          <w:tcPr>
            <w:tcW w:w="469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State Development, Business and Innovation</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64 285</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30 780</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95 065</w:t>
            </w:r>
          </w:p>
        </w:tc>
      </w:tr>
      <w:tr w:rsidR="004E6C32" w:rsidRPr="006A75A2" w:rsidTr="004B5CB1">
        <w:tc>
          <w:tcPr>
            <w:tcW w:w="469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Transport, Planning and Local Infrastructure</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54 350</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365 950</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420 300</w:t>
            </w:r>
          </w:p>
        </w:tc>
      </w:tr>
      <w:tr w:rsidR="004E6C32" w:rsidRPr="006A75A2" w:rsidTr="004B5CB1">
        <w:tc>
          <w:tcPr>
            <w:tcW w:w="4695"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Treasury and Finance</w:t>
            </w:r>
          </w:p>
        </w:tc>
        <w:tc>
          <w:tcPr>
            <w:tcW w:w="1134"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3 775</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741</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898</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5 414</w:t>
            </w:r>
          </w:p>
        </w:tc>
      </w:tr>
      <w:tr w:rsidR="004E6C32" w:rsidRPr="006A75A2" w:rsidTr="004B5CB1">
        <w:tc>
          <w:tcPr>
            <w:tcW w:w="4695"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Parliament</w:t>
            </w:r>
          </w:p>
        </w:tc>
        <w:tc>
          <w:tcPr>
            <w:tcW w:w="1134"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3 464</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3 464</w:t>
            </w:r>
          </w:p>
        </w:tc>
      </w:tr>
      <w:tr w:rsidR="004E6C32" w:rsidRPr="006A75A2" w:rsidTr="004B5CB1">
        <w:tc>
          <w:tcPr>
            <w:tcW w:w="469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carryovers by department</w:t>
            </w:r>
          </w:p>
        </w:tc>
        <w:tc>
          <w:tcPr>
            <w:tcW w:w="113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715 173</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707 575</w:t>
            </w:r>
          </w:p>
        </w:tc>
        <w:tc>
          <w:tcPr>
            <w:tcW w:w="15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5 284</w:t>
            </w:r>
          </w:p>
        </w:tc>
        <w:tc>
          <w:tcPr>
            <w:tcW w:w="102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1 428 033</w:t>
            </w:r>
          </w:p>
        </w:tc>
      </w:tr>
    </w:tbl>
    <w:p w:rsidR="004E6C32" w:rsidRPr="006A75A2" w:rsidRDefault="004E6C32" w:rsidP="004B5CB1">
      <w:pPr>
        <w:pStyle w:val="Notes"/>
      </w:pPr>
    </w:p>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2A6119" w:rsidRPr="006A75A2" w:rsidRDefault="002A6119" w:rsidP="002A6119">
      <w:pPr>
        <w:pStyle w:val="Heading5"/>
      </w:pPr>
      <w:r w:rsidRPr="006A75A2">
        <w:t>(k)</w:t>
      </w:r>
      <w:r w:rsidRPr="006A75A2">
        <w:tab/>
        <w:t xml:space="preserve">Section 32 carryovers – </w:t>
      </w:r>
      <w:r w:rsidRPr="006A75A2">
        <w:rPr>
          <w:i/>
        </w:rPr>
        <w:t>Financial Management Act 1994</w:t>
      </w:r>
      <w:r w:rsidRPr="006A75A2">
        <w:t xml:space="preserve"> for the financial year ended 30 June 2014 </w:t>
      </w:r>
      <w:r w:rsidRPr="006A75A2">
        <w:rPr>
          <w:i/>
        </w:rPr>
        <w:t>(continued)</w:t>
      </w:r>
    </w:p>
    <w:p w:rsidR="004E6C32" w:rsidRPr="006A75A2" w:rsidRDefault="004E6C32" w:rsidP="004B5CB1">
      <w:r w:rsidRPr="006A75A2">
        <w:t xml:space="preserve">Amounts applied against carryover of appropriations in 2013-14 pursuant to Section 32 of the </w:t>
      </w:r>
      <w:r w:rsidRPr="006A75A2">
        <w:rPr>
          <w:i/>
        </w:rPr>
        <w:t>Financial Management Act 1994</w:t>
      </w:r>
      <w:r w:rsidRPr="006A75A2">
        <w:t>.</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4553"/>
        <w:gridCol w:w="1276"/>
        <w:gridCol w:w="1276"/>
        <w:gridCol w:w="1507"/>
        <w:gridCol w:w="1028"/>
      </w:tblGrid>
      <w:tr w:rsidR="004E6C32" w:rsidRPr="006A75A2" w:rsidTr="004B5CB1">
        <w:tc>
          <w:tcPr>
            <w:tcW w:w="4553"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Left"/>
              <w:rPr>
                <w:rFonts w:eastAsiaTheme="minorEastAsia"/>
                <w:lang w:eastAsia="en-AU"/>
              </w:rPr>
            </w:pPr>
            <w:r w:rsidRPr="006A75A2">
              <w:rPr>
                <w:rFonts w:eastAsiaTheme="minorEastAsia"/>
                <w:lang w:eastAsia="en-AU"/>
              </w:rPr>
              <w:t xml:space="preserve">Department </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Provision of outputs</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Additions to net assets</w:t>
            </w:r>
          </w:p>
        </w:tc>
        <w:tc>
          <w:tcPr>
            <w:tcW w:w="150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Payments made on behalf of State</w:t>
            </w:r>
          </w:p>
        </w:tc>
        <w:tc>
          <w:tcPr>
            <w:tcW w:w="1028"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Total carryover</w:t>
            </w:r>
          </w:p>
        </w:tc>
      </w:tr>
      <w:tr w:rsidR="004E6C32" w:rsidRPr="006A75A2" w:rsidTr="004B5CB1">
        <w:tc>
          <w:tcPr>
            <w:tcW w:w="4553"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Education and Early Childhood Development</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220 031</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220 031</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Environment and Primary Industries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112 717</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60 352</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4 386</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177 456</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Health</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131 320</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131 320</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Human Services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13 153</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20 202</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33 355</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Justice</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90 045</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117 263</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207 308</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Premier and Cabinet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16 397</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6 450</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22 847</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State Development, Business and Innovation</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60 451</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30 775</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91 226</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Transport, Planning and Local Infrastructure</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51 215</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332 085</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383 300</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Treasury and Finance</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3 775</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898</w:t>
            </w:r>
          </w:p>
        </w:tc>
        <w:tc>
          <w:tcPr>
            <w:tcW w:w="1028"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4 673</w:t>
            </w:r>
          </w:p>
        </w:tc>
      </w:tr>
      <w:tr w:rsidR="004E6C32" w:rsidRPr="006A75A2" w:rsidTr="004B5CB1">
        <w:tc>
          <w:tcPr>
            <w:tcW w:w="4553"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Parliament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3 464</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3 464</w:t>
            </w:r>
          </w:p>
        </w:tc>
      </w:tr>
      <w:tr w:rsidR="004E6C32" w:rsidRPr="006A75A2" w:rsidTr="004B5CB1">
        <w:tc>
          <w:tcPr>
            <w:tcW w:w="455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expenditure by department</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702 568</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567 127</w:t>
            </w:r>
          </w:p>
        </w:tc>
        <w:tc>
          <w:tcPr>
            <w:tcW w:w="15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5 284</w:t>
            </w:r>
          </w:p>
        </w:tc>
        <w:tc>
          <w:tcPr>
            <w:tcW w:w="102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1 274 979</w:t>
            </w:r>
          </w:p>
        </w:tc>
      </w:tr>
    </w:tbl>
    <w:p w:rsidR="004E6C32" w:rsidRPr="006A75A2" w:rsidRDefault="004E6C32" w:rsidP="004B5CB1">
      <w:pPr>
        <w:pStyle w:val="million"/>
      </w:pPr>
    </w:p>
    <w:p w:rsidR="004E6C32" w:rsidRPr="006A75A2" w:rsidRDefault="004E6C32" w:rsidP="004B5CB1"/>
    <w:p w:rsidR="004E6C32" w:rsidRPr="006A75A2" w:rsidRDefault="004E6C32" w:rsidP="004B5CB1">
      <w:r w:rsidRPr="006A75A2">
        <w:t xml:space="preserve">Amounts approved for carryover to 2014-15 pursuant to Section 32 of the </w:t>
      </w:r>
      <w:r w:rsidRPr="006A75A2">
        <w:rPr>
          <w:i/>
        </w:rPr>
        <w:t>Financial Management Act 1994</w:t>
      </w:r>
      <w:r w:rsidRPr="006A75A2">
        <w:t>.</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4553"/>
        <w:gridCol w:w="1276"/>
        <w:gridCol w:w="1276"/>
        <w:gridCol w:w="1507"/>
        <w:gridCol w:w="1028"/>
      </w:tblGrid>
      <w:tr w:rsidR="004E6C32" w:rsidRPr="006A75A2" w:rsidTr="004B5CB1">
        <w:tc>
          <w:tcPr>
            <w:tcW w:w="4553" w:type="dxa"/>
            <w:tcBorders>
              <w:top w:val="single" w:sz="6" w:space="0" w:color="auto"/>
              <w:left w:val="single" w:sz="6" w:space="0" w:color="auto"/>
              <w:bottom w:val="single" w:sz="6" w:space="0" w:color="auto"/>
              <w:right w:val="nil"/>
            </w:tcBorders>
            <w:shd w:val="clear" w:color="000000" w:fill="000000"/>
          </w:tcPr>
          <w:p w:rsidR="004E6C32" w:rsidRPr="006A75A2" w:rsidRDefault="00120EDE" w:rsidP="004B5CB1">
            <w:pPr>
              <w:pStyle w:val="TabletextheadingLeft"/>
              <w:rPr>
                <w:rFonts w:eastAsiaTheme="minorEastAsia"/>
                <w:lang w:eastAsia="en-AU"/>
              </w:rPr>
            </w:pPr>
            <w:r w:rsidRPr="006A75A2">
              <w:rPr>
                <w:rFonts w:eastAsiaTheme="minorEastAsia"/>
                <w:lang w:eastAsia="en-AU"/>
              </w:rPr>
              <w:t>D</w:t>
            </w:r>
            <w:r w:rsidR="004E6C32" w:rsidRPr="006A75A2">
              <w:rPr>
                <w:rFonts w:eastAsiaTheme="minorEastAsia"/>
                <w:lang w:eastAsia="en-AU"/>
              </w:rPr>
              <w:t xml:space="preserve">epartment </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Provision of outputs</w:t>
            </w:r>
          </w:p>
        </w:tc>
        <w:tc>
          <w:tcPr>
            <w:tcW w:w="1276"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Additions to net assets</w:t>
            </w:r>
          </w:p>
        </w:tc>
        <w:tc>
          <w:tcPr>
            <w:tcW w:w="1507"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Payments made on behalf of State</w:t>
            </w:r>
          </w:p>
        </w:tc>
        <w:tc>
          <w:tcPr>
            <w:tcW w:w="1028"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Total carryover</w:t>
            </w:r>
          </w:p>
        </w:tc>
      </w:tr>
      <w:tr w:rsidR="004E6C32" w:rsidRPr="006A75A2" w:rsidTr="004B5CB1">
        <w:tc>
          <w:tcPr>
            <w:tcW w:w="4553" w:type="dxa"/>
            <w:tcBorders>
              <w:top w:val="single" w:sz="6" w:space="0" w:color="auto"/>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Education and Early Childhood Development</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229 191</w:t>
            </w:r>
          </w:p>
        </w:tc>
        <w:tc>
          <w:tcPr>
            <w:tcW w:w="1276"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10 184</w:t>
            </w:r>
          </w:p>
        </w:tc>
        <w:tc>
          <w:tcPr>
            <w:tcW w:w="1507"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239 375</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Environment and Primary Industries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153 801</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61 212</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18 088</w:t>
            </w:r>
          </w:p>
        </w:tc>
        <w:tc>
          <w:tcPr>
            <w:tcW w:w="1028"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233 101</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Health</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74 699</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110 061</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184 760</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Human Services</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25 100</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23 537</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48 637</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Justice</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129 861</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105 649</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235 510</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Premier and Cabinet</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13 900</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1 368</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15 268</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State Development, Business and Innovation</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61 709</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35 592</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97 301</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Transport, Planning and Local Infrastructure</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75 721</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480 050</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555 772</w:t>
            </w:r>
          </w:p>
        </w:tc>
      </w:tr>
      <w:tr w:rsidR="004E6C32" w:rsidRPr="006A75A2" w:rsidTr="004B5CB1">
        <w:tc>
          <w:tcPr>
            <w:tcW w:w="455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Treasury and Finance</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1 922</w:t>
            </w:r>
          </w:p>
        </w:tc>
        <w:tc>
          <w:tcPr>
            <w:tcW w:w="1276"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2 757</w:t>
            </w:r>
          </w:p>
        </w:tc>
        <w:tc>
          <w:tcPr>
            <w:tcW w:w="1507"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2 600</w:t>
            </w:r>
          </w:p>
        </w:tc>
        <w:tc>
          <w:tcPr>
            <w:tcW w:w="1028"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7 279</w:t>
            </w:r>
          </w:p>
        </w:tc>
      </w:tr>
      <w:tr w:rsidR="004E6C32" w:rsidRPr="006A75A2" w:rsidTr="004B5CB1">
        <w:tc>
          <w:tcPr>
            <w:tcW w:w="4553"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Parliament</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3 163</w:t>
            </w:r>
          </w:p>
        </w:tc>
        <w:tc>
          <w:tcPr>
            <w:tcW w:w="1276"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507"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028" w:type="dxa"/>
            <w:tcBorders>
              <w:top w:val="nil"/>
              <w:left w:val="nil"/>
              <w:bottom w:val="single" w:sz="6" w:space="0" w:color="auto"/>
              <w:right w:val="nil"/>
            </w:tcBorders>
          </w:tcPr>
          <w:p w:rsidR="004E6C32" w:rsidRPr="006A75A2" w:rsidRDefault="004E6C32" w:rsidP="004B5CB1">
            <w:pPr>
              <w:pStyle w:val="TableofFigures"/>
              <w:rPr>
                <w:rFonts w:eastAsiaTheme="minorEastAsia"/>
                <w:b/>
                <w:lang w:eastAsia="en-AU"/>
              </w:rPr>
            </w:pPr>
            <w:r w:rsidRPr="006A75A2">
              <w:rPr>
                <w:rFonts w:eastAsiaTheme="minorEastAsia"/>
                <w:lang w:eastAsia="en-AU"/>
              </w:rPr>
              <w:t xml:space="preserve"> </w:t>
            </w:r>
            <w:r w:rsidRPr="006A75A2">
              <w:rPr>
                <w:rFonts w:eastAsiaTheme="minorEastAsia"/>
                <w:b/>
                <w:lang w:eastAsia="en-AU"/>
              </w:rPr>
              <w:t>3 163</w:t>
            </w:r>
          </w:p>
        </w:tc>
      </w:tr>
      <w:tr w:rsidR="004E6C32" w:rsidRPr="006A75A2" w:rsidTr="004B5CB1">
        <w:tc>
          <w:tcPr>
            <w:tcW w:w="455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carryovers by department</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769 067</w:t>
            </w:r>
          </w:p>
        </w:tc>
        <w:tc>
          <w:tcPr>
            <w:tcW w:w="127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830 410</w:t>
            </w:r>
          </w:p>
        </w:tc>
        <w:tc>
          <w:tcPr>
            <w:tcW w:w="150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20 688</w:t>
            </w:r>
          </w:p>
        </w:tc>
        <w:tc>
          <w:tcPr>
            <w:tcW w:w="1028"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lang w:eastAsia="en-AU"/>
              </w:rPr>
            </w:pPr>
            <w:r w:rsidRPr="006A75A2">
              <w:rPr>
                <w:rFonts w:eastAsiaTheme="minorEastAsia"/>
                <w:b/>
                <w:lang w:eastAsia="en-AU"/>
              </w:rPr>
              <w:t>1 620 165</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(l)</w:t>
      </w:r>
      <w:r w:rsidRPr="006A75A2">
        <w:tab/>
        <w:t>Payments from Advance to Treasurer for the financial year ended 30 June</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2427"/>
        <w:gridCol w:w="6093"/>
        <w:gridCol w:w="1120"/>
      </w:tblGrid>
      <w:tr w:rsidR="004E6C32" w:rsidRPr="006A75A2" w:rsidTr="00123948">
        <w:trPr>
          <w:cantSplit/>
          <w:tblHeader/>
        </w:trPr>
        <w:tc>
          <w:tcPr>
            <w:tcW w:w="2427"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szCs w:val="22"/>
                <w:lang w:eastAsia="en-AU"/>
              </w:rPr>
            </w:pPr>
            <w:r w:rsidRPr="006A75A2">
              <w:rPr>
                <w:rFonts w:eastAsiaTheme="minorEastAsia"/>
                <w:i/>
                <w:szCs w:val="22"/>
                <w:lang w:eastAsia="en-AU"/>
              </w:rPr>
              <w:t>Department</w:t>
            </w:r>
          </w:p>
        </w:tc>
        <w:tc>
          <w:tcPr>
            <w:tcW w:w="6093"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jc w:val="left"/>
              <w:rPr>
                <w:rFonts w:eastAsiaTheme="minorEastAsia"/>
                <w:szCs w:val="22"/>
                <w:lang w:eastAsia="en-AU"/>
              </w:rPr>
            </w:pPr>
            <w:r w:rsidRPr="006A75A2">
              <w:rPr>
                <w:rFonts w:eastAsiaTheme="minorEastAsia"/>
                <w:szCs w:val="22"/>
                <w:lang w:eastAsia="en-AU"/>
              </w:rPr>
              <w:t>Purpose</w:t>
            </w: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2013-14</w:t>
            </w:r>
          </w:p>
        </w:tc>
      </w:tr>
      <w:tr w:rsidR="00120EDE" w:rsidRPr="006A75A2" w:rsidTr="00123948">
        <w:trPr>
          <w:cantSplit/>
        </w:trPr>
        <w:tc>
          <w:tcPr>
            <w:tcW w:w="2427" w:type="dxa"/>
            <w:vMerge w:val="restart"/>
            <w:tcBorders>
              <w:top w:val="single" w:sz="6" w:space="0" w:color="auto"/>
              <w:left w:val="nil"/>
              <w:right w:val="nil"/>
            </w:tcBorders>
          </w:tcPr>
          <w:p w:rsidR="00120EDE" w:rsidRPr="006A75A2" w:rsidRDefault="00120EDE" w:rsidP="00120EDE">
            <w:pPr>
              <w:pStyle w:val="TableTextnoindent"/>
              <w:rPr>
                <w:rFonts w:eastAsiaTheme="minorEastAsia"/>
                <w:color w:val="auto"/>
                <w:szCs w:val="22"/>
              </w:rPr>
            </w:pPr>
            <w:r w:rsidRPr="006A75A2">
              <w:rPr>
                <w:rFonts w:eastAsiaTheme="minorEastAsia"/>
                <w:color w:val="auto"/>
                <w:szCs w:val="22"/>
              </w:rPr>
              <w:t xml:space="preserve">Education and </w:t>
            </w:r>
            <w:r w:rsidRPr="006A75A2">
              <w:rPr>
                <w:rFonts w:eastAsiaTheme="minorEastAsia"/>
                <w:color w:val="auto"/>
                <w:szCs w:val="22"/>
              </w:rPr>
              <w:br/>
              <w:t>Early Childhood Development</w:t>
            </w:r>
          </w:p>
        </w:tc>
        <w:tc>
          <w:tcPr>
            <w:tcW w:w="6093" w:type="dxa"/>
            <w:tcBorders>
              <w:top w:val="single" w:sz="6" w:space="0" w:color="auto"/>
              <w:left w:val="nil"/>
              <w:bottom w:val="nil"/>
              <w:right w:val="nil"/>
            </w:tcBorders>
          </w:tcPr>
          <w:p w:rsidR="00120EDE" w:rsidRPr="006A75A2" w:rsidRDefault="00120EDE" w:rsidP="00123948">
            <w:pPr>
              <w:pStyle w:val="Tabletext"/>
              <w:rPr>
                <w:rFonts w:eastAsiaTheme="minorEastAsia"/>
              </w:rPr>
            </w:pPr>
            <w:r w:rsidRPr="006A75A2">
              <w:rPr>
                <w:rFonts w:eastAsiaTheme="minorEastAsia"/>
              </w:rPr>
              <w:t>Utilities maintenance funding associated with Mt Waverley North Primary School</w:t>
            </w:r>
          </w:p>
        </w:tc>
        <w:tc>
          <w:tcPr>
            <w:tcW w:w="1120" w:type="dxa"/>
            <w:tcBorders>
              <w:top w:val="single" w:sz="6" w:space="0" w:color="auto"/>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 xml:space="preserve"> 42</w:t>
            </w:r>
          </w:p>
        </w:tc>
      </w:tr>
      <w:tr w:rsidR="00120EDE" w:rsidRPr="006A75A2" w:rsidTr="00123948">
        <w:trPr>
          <w:cantSplit/>
        </w:trPr>
        <w:tc>
          <w:tcPr>
            <w:tcW w:w="2427" w:type="dxa"/>
            <w:vMerge/>
            <w:tcBorders>
              <w:left w:val="nil"/>
              <w:right w:val="nil"/>
            </w:tcBorders>
          </w:tcPr>
          <w:p w:rsidR="00120EDE" w:rsidRPr="006A75A2" w:rsidRDefault="00120EDE" w:rsidP="004B5CB1">
            <w:pPr>
              <w:pStyle w:val="TableTextnoindent"/>
              <w:rPr>
                <w:rFonts w:eastAsiaTheme="minorEastAsia"/>
                <w:color w:val="auto"/>
                <w:szCs w:val="22"/>
              </w:rPr>
            </w:pP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 xml:space="preserve">Kindergarten Enrolment Base Funding </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743</w:t>
            </w:r>
          </w:p>
        </w:tc>
      </w:tr>
      <w:tr w:rsidR="00120EDE" w:rsidRPr="006A75A2" w:rsidTr="00123948">
        <w:trPr>
          <w:cantSplit/>
        </w:trPr>
        <w:tc>
          <w:tcPr>
            <w:tcW w:w="2427" w:type="dxa"/>
            <w:vMerge/>
            <w:tcBorders>
              <w:left w:val="nil"/>
              <w:bottom w:val="nil"/>
              <w:right w:val="nil"/>
            </w:tcBorders>
          </w:tcPr>
          <w:p w:rsidR="00120EDE" w:rsidRPr="006A75A2" w:rsidRDefault="00120EDE" w:rsidP="004B5CB1">
            <w:pPr>
              <w:pStyle w:val="TableTextnoindent"/>
              <w:rPr>
                <w:rFonts w:eastAsiaTheme="minorEastAsia"/>
                <w:color w:val="auto"/>
                <w:szCs w:val="22"/>
              </w:rPr>
            </w:pP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Victorian Training Guarantee</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201 050</w:t>
            </w:r>
          </w:p>
        </w:tc>
      </w:tr>
      <w:tr w:rsidR="004E6C32" w:rsidRPr="006A75A2" w:rsidTr="00123948">
        <w:trPr>
          <w:cantSplit/>
        </w:trPr>
        <w:tc>
          <w:tcPr>
            <w:tcW w:w="2427" w:type="dxa"/>
            <w:tcBorders>
              <w:top w:val="nil"/>
              <w:left w:val="nil"/>
              <w:bottom w:val="single" w:sz="6" w:space="0" w:color="auto"/>
              <w:right w:val="nil"/>
            </w:tcBorders>
          </w:tcPr>
          <w:p w:rsidR="004E6C32" w:rsidRPr="006A75A2" w:rsidRDefault="004E6C32" w:rsidP="004B5CB1">
            <w:pPr>
              <w:pStyle w:val="TableTextnoindent"/>
              <w:rPr>
                <w:rFonts w:eastAsiaTheme="minorEastAsia"/>
                <w:color w:val="auto"/>
                <w:szCs w:val="22"/>
              </w:rPr>
            </w:pPr>
          </w:p>
        </w:tc>
        <w:tc>
          <w:tcPr>
            <w:tcW w:w="6093" w:type="dxa"/>
            <w:tcBorders>
              <w:top w:val="nil"/>
              <w:left w:val="nil"/>
              <w:bottom w:val="single" w:sz="6" w:space="0" w:color="auto"/>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201 835</w:t>
            </w:r>
          </w:p>
        </w:tc>
      </w:tr>
      <w:tr w:rsidR="00120EDE" w:rsidRPr="006A75A2" w:rsidTr="00123948">
        <w:trPr>
          <w:cantSplit/>
        </w:trPr>
        <w:tc>
          <w:tcPr>
            <w:tcW w:w="2427" w:type="dxa"/>
            <w:tcBorders>
              <w:top w:val="nil"/>
              <w:left w:val="nil"/>
              <w:right w:val="nil"/>
            </w:tcBorders>
          </w:tcPr>
          <w:p w:rsidR="00120EDE" w:rsidRPr="006A75A2" w:rsidRDefault="00120EDE" w:rsidP="00120EDE">
            <w:pPr>
              <w:pStyle w:val="TableTextnoindent"/>
              <w:rPr>
                <w:rFonts w:eastAsiaTheme="minorEastAsia"/>
                <w:color w:val="auto"/>
                <w:szCs w:val="22"/>
              </w:rPr>
            </w:pPr>
            <w:r w:rsidRPr="006A75A2">
              <w:rPr>
                <w:rFonts w:eastAsiaTheme="minorEastAsia"/>
                <w:color w:val="auto"/>
                <w:szCs w:val="22"/>
              </w:rPr>
              <w:t xml:space="preserve">Environment and </w:t>
            </w:r>
            <w:r w:rsidR="00123948" w:rsidRPr="006A75A2">
              <w:rPr>
                <w:rFonts w:eastAsiaTheme="minorEastAsia"/>
                <w:color w:val="auto"/>
                <w:szCs w:val="22"/>
              </w:rPr>
              <w:br/>
            </w:r>
            <w:r w:rsidRPr="006A75A2">
              <w:rPr>
                <w:rFonts w:eastAsiaTheme="minorEastAsia"/>
                <w:color w:val="auto"/>
                <w:szCs w:val="22"/>
              </w:rPr>
              <w:t>Primary Industries</w:t>
            </w: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Bushfire season</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67 721</w:t>
            </w:r>
          </w:p>
        </w:tc>
      </w:tr>
      <w:tr w:rsidR="00120EDE" w:rsidRPr="006A75A2" w:rsidTr="00123948">
        <w:trPr>
          <w:cantSplit/>
        </w:trPr>
        <w:tc>
          <w:tcPr>
            <w:tcW w:w="2427" w:type="dxa"/>
            <w:tcBorders>
              <w:left w:val="nil"/>
              <w:bottom w:val="single" w:sz="6" w:space="0" w:color="auto"/>
              <w:right w:val="nil"/>
            </w:tcBorders>
          </w:tcPr>
          <w:p w:rsidR="00120EDE" w:rsidRPr="006A75A2" w:rsidRDefault="00120EDE" w:rsidP="004B5CB1">
            <w:pPr>
              <w:pStyle w:val="TableTextnoindent"/>
              <w:rPr>
                <w:rFonts w:eastAsiaTheme="minorEastAsia"/>
                <w:color w:val="auto"/>
                <w:szCs w:val="22"/>
              </w:rPr>
            </w:pPr>
          </w:p>
        </w:tc>
        <w:tc>
          <w:tcPr>
            <w:tcW w:w="6093" w:type="dxa"/>
            <w:tcBorders>
              <w:top w:val="nil"/>
              <w:left w:val="nil"/>
              <w:bottom w:val="single" w:sz="6" w:space="0" w:color="auto"/>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 xml:space="preserve"> </w:t>
            </w:r>
          </w:p>
        </w:tc>
        <w:tc>
          <w:tcPr>
            <w:tcW w:w="1120" w:type="dxa"/>
            <w:tcBorders>
              <w:top w:val="nil"/>
              <w:left w:val="nil"/>
              <w:bottom w:val="single" w:sz="6" w:space="0" w:color="auto"/>
              <w:right w:val="nil"/>
            </w:tcBorders>
          </w:tcPr>
          <w:p w:rsidR="00120EDE" w:rsidRPr="006A75A2" w:rsidRDefault="00120EDE" w:rsidP="004B5CB1">
            <w:pPr>
              <w:pStyle w:val="TableofFigures"/>
              <w:rPr>
                <w:rFonts w:eastAsiaTheme="minorEastAsia"/>
                <w:b/>
                <w:bCs/>
                <w:szCs w:val="22"/>
                <w:lang w:eastAsia="en-AU"/>
              </w:rPr>
            </w:pPr>
            <w:r w:rsidRPr="006A75A2">
              <w:rPr>
                <w:rFonts w:eastAsiaTheme="minorEastAsia"/>
                <w:b/>
                <w:bCs/>
                <w:szCs w:val="22"/>
                <w:lang w:eastAsia="en-AU"/>
              </w:rPr>
              <w:t>67 721</w:t>
            </w:r>
          </w:p>
        </w:tc>
      </w:tr>
      <w:tr w:rsidR="004E6C32" w:rsidRPr="006A75A2" w:rsidTr="00123948">
        <w:trPr>
          <w:cantSplit/>
        </w:trPr>
        <w:tc>
          <w:tcPr>
            <w:tcW w:w="2427"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Human Services</w:t>
            </w:r>
          </w:p>
        </w:tc>
        <w:tc>
          <w:tcPr>
            <w:tcW w:w="6093"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NDIS launch</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4 000</w:t>
            </w:r>
          </w:p>
        </w:tc>
      </w:tr>
      <w:tr w:rsidR="004E6C32" w:rsidRPr="006A75A2" w:rsidTr="00123948">
        <w:trPr>
          <w:cantSplit/>
        </w:trPr>
        <w:tc>
          <w:tcPr>
            <w:tcW w:w="2427"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6093"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Research into Mandatory Reporting</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80</w:t>
            </w:r>
          </w:p>
        </w:tc>
      </w:tr>
      <w:tr w:rsidR="004E6C32" w:rsidRPr="006A75A2" w:rsidTr="00123948">
        <w:trPr>
          <w:cantSplit/>
        </w:trPr>
        <w:tc>
          <w:tcPr>
            <w:tcW w:w="2427"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6093"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Concessions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1 149</w:t>
            </w:r>
          </w:p>
        </w:tc>
      </w:tr>
      <w:tr w:rsidR="004E6C32" w:rsidRPr="006A75A2" w:rsidTr="00123948">
        <w:trPr>
          <w:cantSplit/>
        </w:trPr>
        <w:tc>
          <w:tcPr>
            <w:tcW w:w="2427" w:type="dxa"/>
            <w:tcBorders>
              <w:top w:val="nil"/>
              <w:left w:val="nil"/>
              <w:bottom w:val="single" w:sz="6" w:space="0" w:color="auto"/>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6093" w:type="dxa"/>
            <w:tcBorders>
              <w:top w:val="nil"/>
              <w:left w:val="nil"/>
              <w:bottom w:val="single" w:sz="6" w:space="0" w:color="auto"/>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5 229</w:t>
            </w:r>
          </w:p>
        </w:tc>
      </w:tr>
      <w:tr w:rsidR="00120EDE" w:rsidRPr="006A75A2" w:rsidTr="00123948">
        <w:trPr>
          <w:cantSplit/>
        </w:trPr>
        <w:tc>
          <w:tcPr>
            <w:tcW w:w="2427" w:type="dxa"/>
            <w:vMerge w:val="restart"/>
            <w:tcBorders>
              <w:top w:val="nil"/>
              <w:left w:val="nil"/>
              <w:right w:val="nil"/>
            </w:tcBorders>
          </w:tcPr>
          <w:p w:rsidR="00120EDE" w:rsidRPr="006A75A2" w:rsidRDefault="00120EDE" w:rsidP="00120EDE">
            <w:pPr>
              <w:pStyle w:val="TableTextnoindent"/>
              <w:rPr>
                <w:rFonts w:eastAsiaTheme="minorEastAsia"/>
                <w:color w:val="auto"/>
                <w:szCs w:val="22"/>
              </w:rPr>
            </w:pPr>
            <w:r w:rsidRPr="006A75A2">
              <w:rPr>
                <w:rFonts w:eastAsiaTheme="minorEastAsia"/>
                <w:color w:val="auto"/>
                <w:szCs w:val="22"/>
              </w:rPr>
              <w:t>Justice</w:t>
            </w: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PSOs radio black spot funding</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4 758</w:t>
            </w:r>
          </w:p>
        </w:tc>
      </w:tr>
      <w:tr w:rsidR="00120EDE" w:rsidRPr="006A75A2" w:rsidTr="00123948">
        <w:trPr>
          <w:cantSplit/>
        </w:trPr>
        <w:tc>
          <w:tcPr>
            <w:tcW w:w="2427" w:type="dxa"/>
            <w:vMerge/>
            <w:tcBorders>
              <w:left w:val="nil"/>
              <w:right w:val="nil"/>
            </w:tcBorders>
          </w:tcPr>
          <w:p w:rsidR="00120EDE" w:rsidRPr="006A75A2" w:rsidRDefault="00120EDE" w:rsidP="004B5CB1">
            <w:pPr>
              <w:pStyle w:val="TableTextnoindent"/>
              <w:rPr>
                <w:rFonts w:eastAsiaTheme="minorEastAsia"/>
                <w:color w:val="auto"/>
                <w:szCs w:val="22"/>
              </w:rPr>
            </w:pP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Bushfire season</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4 907</w:t>
            </w:r>
          </w:p>
        </w:tc>
      </w:tr>
      <w:tr w:rsidR="00120EDE" w:rsidRPr="006A75A2" w:rsidTr="00123948">
        <w:trPr>
          <w:cantSplit/>
        </w:trPr>
        <w:tc>
          <w:tcPr>
            <w:tcW w:w="2427" w:type="dxa"/>
            <w:vMerge/>
            <w:tcBorders>
              <w:left w:val="nil"/>
              <w:bottom w:val="nil"/>
              <w:right w:val="nil"/>
            </w:tcBorders>
          </w:tcPr>
          <w:p w:rsidR="00120EDE" w:rsidRPr="006A75A2" w:rsidRDefault="00120EDE" w:rsidP="004B5CB1">
            <w:pPr>
              <w:pStyle w:val="TableTextnoindent"/>
              <w:rPr>
                <w:rFonts w:eastAsiaTheme="minorEastAsia"/>
                <w:color w:val="auto"/>
                <w:szCs w:val="22"/>
              </w:rPr>
            </w:pP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Arrest Warrants - system improvements</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 xml:space="preserve"> 681</w:t>
            </w:r>
          </w:p>
        </w:tc>
      </w:tr>
      <w:tr w:rsidR="004E6C32" w:rsidRPr="006A75A2" w:rsidTr="00123948">
        <w:trPr>
          <w:cantSplit/>
        </w:trPr>
        <w:tc>
          <w:tcPr>
            <w:tcW w:w="2427" w:type="dxa"/>
            <w:tcBorders>
              <w:top w:val="nil"/>
              <w:left w:val="nil"/>
              <w:bottom w:val="single" w:sz="6" w:space="0" w:color="auto"/>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6093" w:type="dxa"/>
            <w:tcBorders>
              <w:top w:val="nil"/>
              <w:left w:val="nil"/>
              <w:bottom w:val="single" w:sz="6" w:space="0" w:color="auto"/>
              <w:right w:val="nil"/>
            </w:tcBorders>
          </w:tcPr>
          <w:p w:rsidR="004E6C32" w:rsidRPr="006A75A2" w:rsidRDefault="004E6C32" w:rsidP="004B5CB1">
            <w:pPr>
              <w:pStyle w:val="TableTextnoindent"/>
              <w:rPr>
                <w:rFonts w:eastAsiaTheme="minorEastAsia"/>
                <w:b/>
                <w:bCs/>
                <w:color w:val="auto"/>
                <w:szCs w:val="22"/>
              </w:rPr>
            </w:pPr>
            <w:r w:rsidRPr="006A75A2">
              <w:rPr>
                <w:rFonts w:eastAsiaTheme="minorEastAsia"/>
                <w:b/>
                <w:bCs/>
                <w:color w:val="auto"/>
                <w:szCs w:val="22"/>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10 346</w:t>
            </w:r>
          </w:p>
        </w:tc>
      </w:tr>
      <w:tr w:rsidR="004E6C32" w:rsidRPr="006A75A2" w:rsidTr="00123948">
        <w:trPr>
          <w:cantSplit/>
        </w:trPr>
        <w:tc>
          <w:tcPr>
            <w:tcW w:w="2427"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Premier and Cabinet</w:t>
            </w:r>
          </w:p>
        </w:tc>
        <w:tc>
          <w:tcPr>
            <w:tcW w:w="6093"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Parliamentary and Public Legislation Amendment Act 2013</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4 690</w:t>
            </w:r>
          </w:p>
        </w:tc>
      </w:tr>
      <w:tr w:rsidR="004E6C32" w:rsidRPr="006A75A2" w:rsidTr="00123948">
        <w:trPr>
          <w:cantSplit/>
        </w:trPr>
        <w:tc>
          <w:tcPr>
            <w:tcW w:w="2427"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6093"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Arts Centre Melbourne financial sustainability</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1 000</w:t>
            </w:r>
          </w:p>
        </w:tc>
      </w:tr>
      <w:tr w:rsidR="004E6C32" w:rsidRPr="006A75A2" w:rsidTr="00123948">
        <w:trPr>
          <w:cantSplit/>
        </w:trPr>
        <w:tc>
          <w:tcPr>
            <w:tcW w:w="2427"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6093" w:type="dxa"/>
            <w:tcBorders>
              <w:top w:val="nil"/>
              <w:left w:val="nil"/>
              <w:bottom w:val="nil"/>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Shrine Galleries of Remembrance</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22 400</w:t>
            </w:r>
          </w:p>
        </w:tc>
      </w:tr>
      <w:tr w:rsidR="004E6C32" w:rsidRPr="006A75A2" w:rsidTr="00123948">
        <w:trPr>
          <w:cantSplit/>
        </w:trPr>
        <w:tc>
          <w:tcPr>
            <w:tcW w:w="2427" w:type="dxa"/>
            <w:tcBorders>
              <w:top w:val="nil"/>
              <w:left w:val="nil"/>
              <w:bottom w:val="single" w:sz="6" w:space="0" w:color="auto"/>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6093" w:type="dxa"/>
            <w:tcBorders>
              <w:top w:val="nil"/>
              <w:left w:val="nil"/>
              <w:bottom w:val="single" w:sz="6" w:space="0" w:color="auto"/>
              <w:right w:val="nil"/>
            </w:tcBorders>
          </w:tcPr>
          <w:p w:rsidR="004E6C32" w:rsidRPr="006A75A2" w:rsidRDefault="004E6C32" w:rsidP="004B5CB1">
            <w:pPr>
              <w:pStyle w:val="TableTextnoindent"/>
              <w:rPr>
                <w:rFonts w:eastAsiaTheme="minorEastAsia"/>
                <w:b/>
                <w:bCs/>
                <w:color w:val="auto"/>
                <w:szCs w:val="22"/>
              </w:rPr>
            </w:pPr>
            <w:r w:rsidRPr="006A75A2">
              <w:rPr>
                <w:rFonts w:eastAsiaTheme="minorEastAsia"/>
                <w:b/>
                <w:bCs/>
                <w:color w:val="auto"/>
                <w:szCs w:val="22"/>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28 090</w:t>
            </w:r>
          </w:p>
        </w:tc>
      </w:tr>
      <w:tr w:rsidR="00120EDE" w:rsidRPr="006A75A2" w:rsidTr="00123948">
        <w:trPr>
          <w:cantSplit/>
        </w:trPr>
        <w:tc>
          <w:tcPr>
            <w:tcW w:w="2427" w:type="dxa"/>
            <w:vMerge w:val="restart"/>
            <w:tcBorders>
              <w:top w:val="nil"/>
              <w:left w:val="nil"/>
              <w:right w:val="nil"/>
            </w:tcBorders>
          </w:tcPr>
          <w:p w:rsidR="00120EDE" w:rsidRPr="006A75A2" w:rsidRDefault="00120EDE" w:rsidP="00120EDE">
            <w:pPr>
              <w:pStyle w:val="TableTextnoindent"/>
              <w:rPr>
                <w:rFonts w:eastAsiaTheme="minorEastAsia"/>
                <w:color w:val="auto"/>
                <w:szCs w:val="22"/>
              </w:rPr>
            </w:pPr>
            <w:r w:rsidRPr="006A75A2">
              <w:rPr>
                <w:rFonts w:eastAsiaTheme="minorEastAsia"/>
                <w:color w:val="auto"/>
                <w:szCs w:val="22"/>
              </w:rPr>
              <w:t>State Development, Business and Innovation</w:t>
            </w: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Melbourne Convention Centre Development</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2 535</w:t>
            </w:r>
          </w:p>
        </w:tc>
      </w:tr>
      <w:tr w:rsidR="00123948" w:rsidRPr="006A75A2" w:rsidTr="00123948">
        <w:trPr>
          <w:cantSplit/>
          <w:trHeight w:val="95"/>
        </w:trPr>
        <w:tc>
          <w:tcPr>
            <w:tcW w:w="2427" w:type="dxa"/>
            <w:vMerge/>
            <w:tcBorders>
              <w:left w:val="nil"/>
              <w:right w:val="nil"/>
            </w:tcBorders>
          </w:tcPr>
          <w:p w:rsidR="00123948" w:rsidRPr="006A75A2" w:rsidRDefault="00123948" w:rsidP="004B5CB1">
            <w:pPr>
              <w:pStyle w:val="TableTextnoindent"/>
              <w:rPr>
                <w:rFonts w:eastAsiaTheme="minorEastAsia"/>
                <w:color w:val="auto"/>
                <w:szCs w:val="22"/>
              </w:rPr>
            </w:pPr>
          </w:p>
        </w:tc>
        <w:tc>
          <w:tcPr>
            <w:tcW w:w="6093" w:type="dxa"/>
            <w:tcBorders>
              <w:top w:val="nil"/>
              <w:left w:val="nil"/>
              <w:right w:val="nil"/>
            </w:tcBorders>
          </w:tcPr>
          <w:p w:rsidR="00123948" w:rsidRPr="006A75A2" w:rsidRDefault="00123948" w:rsidP="004B5CB1">
            <w:pPr>
              <w:pStyle w:val="TableTextnoindent"/>
              <w:rPr>
                <w:rFonts w:eastAsiaTheme="minorEastAsia"/>
                <w:color w:val="auto"/>
                <w:szCs w:val="22"/>
              </w:rPr>
            </w:pPr>
          </w:p>
        </w:tc>
        <w:tc>
          <w:tcPr>
            <w:tcW w:w="1120" w:type="dxa"/>
            <w:tcBorders>
              <w:top w:val="nil"/>
              <w:left w:val="nil"/>
              <w:right w:val="nil"/>
            </w:tcBorders>
          </w:tcPr>
          <w:p w:rsidR="00123948" w:rsidRPr="006A75A2" w:rsidRDefault="00123948" w:rsidP="004B5CB1">
            <w:pPr>
              <w:pStyle w:val="TableofFigures"/>
              <w:rPr>
                <w:rFonts w:eastAsiaTheme="minorEastAsia"/>
                <w:szCs w:val="22"/>
                <w:lang w:eastAsia="en-AU"/>
              </w:rPr>
            </w:pPr>
          </w:p>
        </w:tc>
      </w:tr>
      <w:tr w:rsidR="004E6C32" w:rsidRPr="006A75A2" w:rsidTr="00123948">
        <w:trPr>
          <w:cantSplit/>
        </w:trPr>
        <w:tc>
          <w:tcPr>
            <w:tcW w:w="2427" w:type="dxa"/>
            <w:tcBorders>
              <w:top w:val="nil"/>
              <w:left w:val="nil"/>
              <w:bottom w:val="single" w:sz="6" w:space="0" w:color="auto"/>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6093" w:type="dxa"/>
            <w:tcBorders>
              <w:top w:val="nil"/>
              <w:left w:val="nil"/>
              <w:bottom w:val="single" w:sz="6" w:space="0" w:color="auto"/>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2 535</w:t>
            </w:r>
          </w:p>
        </w:tc>
      </w:tr>
      <w:tr w:rsidR="00120EDE" w:rsidRPr="006A75A2" w:rsidTr="00123948">
        <w:trPr>
          <w:cantSplit/>
        </w:trPr>
        <w:tc>
          <w:tcPr>
            <w:tcW w:w="2427" w:type="dxa"/>
            <w:vMerge w:val="restart"/>
            <w:tcBorders>
              <w:top w:val="nil"/>
              <w:left w:val="nil"/>
              <w:right w:val="nil"/>
            </w:tcBorders>
          </w:tcPr>
          <w:p w:rsidR="00120EDE" w:rsidRPr="006A75A2" w:rsidRDefault="00120EDE" w:rsidP="00120EDE">
            <w:pPr>
              <w:pStyle w:val="TableTextnoindent"/>
              <w:rPr>
                <w:rFonts w:eastAsiaTheme="minorEastAsia"/>
                <w:color w:val="auto"/>
                <w:szCs w:val="22"/>
              </w:rPr>
            </w:pPr>
            <w:r w:rsidRPr="006A75A2">
              <w:rPr>
                <w:rFonts w:eastAsiaTheme="minorEastAsia"/>
                <w:color w:val="auto"/>
                <w:szCs w:val="22"/>
              </w:rPr>
              <w:t>Treasury and Finance</w:t>
            </w: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Rural Finance Corporation and Port of Melbourne transactions</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 xml:space="preserve"> 958</w:t>
            </w:r>
          </w:p>
        </w:tc>
      </w:tr>
      <w:tr w:rsidR="00120EDE" w:rsidRPr="006A75A2" w:rsidTr="00123948">
        <w:trPr>
          <w:cantSplit/>
        </w:trPr>
        <w:tc>
          <w:tcPr>
            <w:tcW w:w="2427" w:type="dxa"/>
            <w:vMerge/>
            <w:tcBorders>
              <w:left w:val="nil"/>
              <w:right w:val="nil"/>
            </w:tcBorders>
          </w:tcPr>
          <w:p w:rsidR="00120EDE" w:rsidRPr="006A75A2" w:rsidRDefault="00120EDE" w:rsidP="004B5CB1">
            <w:pPr>
              <w:pStyle w:val="TableTextnoindent"/>
              <w:rPr>
                <w:rFonts w:eastAsiaTheme="minorEastAsia"/>
                <w:color w:val="auto"/>
                <w:szCs w:val="22"/>
              </w:rPr>
            </w:pP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Gaming Indemnity</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4 000</w:t>
            </w:r>
          </w:p>
        </w:tc>
      </w:tr>
      <w:tr w:rsidR="00120EDE" w:rsidRPr="006A75A2" w:rsidTr="00123948">
        <w:trPr>
          <w:cantSplit/>
        </w:trPr>
        <w:tc>
          <w:tcPr>
            <w:tcW w:w="2427" w:type="dxa"/>
            <w:vMerge/>
            <w:tcBorders>
              <w:left w:val="nil"/>
              <w:right w:val="nil"/>
            </w:tcBorders>
          </w:tcPr>
          <w:p w:rsidR="00120EDE" w:rsidRPr="006A75A2" w:rsidRDefault="00120EDE" w:rsidP="004B5CB1">
            <w:pPr>
              <w:pStyle w:val="TableTextnoindent"/>
              <w:rPr>
                <w:rFonts w:eastAsiaTheme="minorEastAsia"/>
                <w:color w:val="auto"/>
                <w:szCs w:val="22"/>
              </w:rPr>
            </w:pP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Gambling legal and commercial advice</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4 658</w:t>
            </w:r>
          </w:p>
        </w:tc>
      </w:tr>
      <w:tr w:rsidR="00120EDE" w:rsidRPr="006A75A2" w:rsidTr="00123948">
        <w:trPr>
          <w:cantSplit/>
        </w:trPr>
        <w:tc>
          <w:tcPr>
            <w:tcW w:w="2427" w:type="dxa"/>
            <w:vMerge/>
            <w:tcBorders>
              <w:left w:val="nil"/>
              <w:right w:val="nil"/>
            </w:tcBorders>
          </w:tcPr>
          <w:p w:rsidR="00120EDE" w:rsidRPr="006A75A2" w:rsidRDefault="00120EDE" w:rsidP="004B5CB1">
            <w:pPr>
              <w:pStyle w:val="TableTextnoindent"/>
              <w:rPr>
                <w:rFonts w:eastAsiaTheme="minorEastAsia"/>
                <w:b/>
                <w:bCs/>
                <w:color w:val="auto"/>
                <w:szCs w:val="22"/>
              </w:rPr>
            </w:pP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First Home Owners Grant and State First Home Buyers</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38 000</w:t>
            </w:r>
          </w:p>
        </w:tc>
      </w:tr>
      <w:tr w:rsidR="00120EDE" w:rsidRPr="006A75A2" w:rsidTr="00123948">
        <w:trPr>
          <w:cantSplit/>
        </w:trPr>
        <w:tc>
          <w:tcPr>
            <w:tcW w:w="2427" w:type="dxa"/>
            <w:vMerge/>
            <w:tcBorders>
              <w:left w:val="nil"/>
              <w:bottom w:val="nil"/>
              <w:right w:val="nil"/>
            </w:tcBorders>
          </w:tcPr>
          <w:p w:rsidR="00120EDE" w:rsidRPr="006A75A2" w:rsidRDefault="00120EDE" w:rsidP="004B5CB1">
            <w:pPr>
              <w:pStyle w:val="TableTextnoindent"/>
              <w:rPr>
                <w:rFonts w:eastAsiaTheme="minorEastAsia"/>
                <w:color w:val="auto"/>
                <w:szCs w:val="22"/>
              </w:rPr>
            </w:pPr>
          </w:p>
        </w:tc>
        <w:tc>
          <w:tcPr>
            <w:tcW w:w="6093" w:type="dxa"/>
            <w:tcBorders>
              <w:top w:val="nil"/>
              <w:left w:val="nil"/>
              <w:bottom w:val="nil"/>
              <w:right w:val="nil"/>
            </w:tcBorders>
          </w:tcPr>
          <w:p w:rsidR="00120EDE" w:rsidRPr="006A75A2" w:rsidRDefault="00120EDE" w:rsidP="004B5CB1">
            <w:pPr>
              <w:pStyle w:val="TableTextnoindent"/>
              <w:rPr>
                <w:rFonts w:eastAsiaTheme="minorEastAsia"/>
                <w:color w:val="auto"/>
                <w:szCs w:val="22"/>
              </w:rPr>
            </w:pPr>
            <w:r w:rsidRPr="006A75A2">
              <w:rPr>
                <w:rFonts w:eastAsiaTheme="minorEastAsia"/>
                <w:color w:val="auto"/>
                <w:szCs w:val="22"/>
              </w:rPr>
              <w:t xml:space="preserve">Voluntary departure packages reimbursement </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1 204</w:t>
            </w:r>
          </w:p>
        </w:tc>
      </w:tr>
      <w:tr w:rsidR="004E6C32" w:rsidRPr="006A75A2" w:rsidTr="00123948">
        <w:trPr>
          <w:cantSplit/>
        </w:trPr>
        <w:tc>
          <w:tcPr>
            <w:tcW w:w="2427" w:type="dxa"/>
            <w:tcBorders>
              <w:top w:val="nil"/>
              <w:left w:val="nil"/>
              <w:bottom w:val="single" w:sz="6" w:space="0" w:color="auto"/>
              <w:right w:val="nil"/>
            </w:tcBorders>
          </w:tcPr>
          <w:p w:rsidR="004E6C32" w:rsidRPr="006A75A2" w:rsidRDefault="004E6C32" w:rsidP="004B5CB1">
            <w:pPr>
              <w:pStyle w:val="TableTextnoindent"/>
              <w:rPr>
                <w:rFonts w:eastAsiaTheme="minorEastAsia"/>
                <w:color w:val="auto"/>
                <w:szCs w:val="22"/>
              </w:rPr>
            </w:pPr>
            <w:r w:rsidRPr="006A75A2">
              <w:rPr>
                <w:rFonts w:eastAsiaTheme="minorEastAsia"/>
                <w:color w:val="auto"/>
                <w:szCs w:val="22"/>
              </w:rPr>
              <w:t xml:space="preserve"> </w:t>
            </w:r>
          </w:p>
        </w:tc>
        <w:tc>
          <w:tcPr>
            <w:tcW w:w="6093" w:type="dxa"/>
            <w:tcBorders>
              <w:top w:val="nil"/>
              <w:left w:val="nil"/>
              <w:bottom w:val="single" w:sz="6" w:space="0" w:color="auto"/>
              <w:right w:val="nil"/>
            </w:tcBorders>
          </w:tcPr>
          <w:p w:rsidR="004E6C32" w:rsidRPr="006A75A2" w:rsidRDefault="004E6C32" w:rsidP="004B5CB1">
            <w:pPr>
              <w:pStyle w:val="TableTextnoindent"/>
              <w:rPr>
                <w:rFonts w:eastAsiaTheme="minorEastAsia"/>
                <w:b/>
                <w:bCs/>
                <w:color w:val="auto"/>
                <w:szCs w:val="22"/>
              </w:rPr>
            </w:pPr>
            <w:r w:rsidRPr="006A75A2">
              <w:rPr>
                <w:rFonts w:eastAsiaTheme="minorEastAsia"/>
                <w:b/>
                <w:bCs/>
                <w:color w:val="auto"/>
                <w:szCs w:val="22"/>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Cs w:val="22"/>
                <w:lang w:eastAsia="en-AU"/>
              </w:rPr>
            </w:pPr>
            <w:r w:rsidRPr="006A75A2">
              <w:rPr>
                <w:rFonts w:eastAsiaTheme="minorEastAsia"/>
                <w:b/>
                <w:bCs/>
                <w:szCs w:val="22"/>
                <w:lang w:eastAsia="en-AU"/>
              </w:rPr>
              <w:t>48 820</w:t>
            </w:r>
          </w:p>
        </w:tc>
      </w:tr>
      <w:tr w:rsidR="00120EDE" w:rsidRPr="006A75A2" w:rsidTr="00A67F93">
        <w:trPr>
          <w:cantSplit/>
        </w:trPr>
        <w:tc>
          <w:tcPr>
            <w:tcW w:w="8520" w:type="dxa"/>
            <w:gridSpan w:val="2"/>
            <w:tcBorders>
              <w:top w:val="single" w:sz="6" w:space="0" w:color="auto"/>
              <w:left w:val="nil"/>
              <w:bottom w:val="single" w:sz="12" w:space="0" w:color="000000"/>
              <w:right w:val="nil"/>
            </w:tcBorders>
            <w:shd w:val="clear" w:color="auto" w:fill="auto"/>
          </w:tcPr>
          <w:p w:rsidR="00120EDE" w:rsidRPr="006A75A2" w:rsidRDefault="00120EDE" w:rsidP="00120EDE">
            <w:pPr>
              <w:pStyle w:val="TableTextnoindent"/>
              <w:rPr>
                <w:rFonts w:eastAsiaTheme="minorEastAsia"/>
                <w:b/>
                <w:bCs/>
                <w:color w:val="auto"/>
                <w:szCs w:val="22"/>
              </w:rPr>
            </w:pPr>
            <w:r w:rsidRPr="006A75A2">
              <w:rPr>
                <w:rFonts w:eastAsiaTheme="minorEastAsia"/>
                <w:b/>
                <w:bCs/>
                <w:color w:val="auto"/>
                <w:szCs w:val="22"/>
              </w:rPr>
              <w:t>Total Payments from Advance to the Treasurer</w:t>
            </w:r>
          </w:p>
        </w:tc>
        <w:tc>
          <w:tcPr>
            <w:tcW w:w="1120" w:type="dxa"/>
            <w:tcBorders>
              <w:top w:val="single" w:sz="6" w:space="0" w:color="auto"/>
              <w:left w:val="nil"/>
              <w:bottom w:val="single" w:sz="12" w:space="0" w:color="000000"/>
              <w:right w:val="nil"/>
            </w:tcBorders>
            <w:shd w:val="clear" w:color="auto" w:fill="auto"/>
          </w:tcPr>
          <w:p w:rsidR="00120EDE" w:rsidRPr="006A75A2" w:rsidRDefault="00120EDE" w:rsidP="004B5CB1">
            <w:pPr>
              <w:pStyle w:val="TableofFigures"/>
              <w:rPr>
                <w:rFonts w:eastAsiaTheme="minorEastAsia"/>
                <w:b/>
                <w:bCs/>
                <w:szCs w:val="22"/>
                <w:lang w:eastAsia="en-AU"/>
              </w:rPr>
            </w:pPr>
            <w:r w:rsidRPr="006A75A2">
              <w:rPr>
                <w:rFonts w:eastAsiaTheme="minorEastAsia"/>
                <w:b/>
                <w:bCs/>
                <w:szCs w:val="22"/>
                <w:lang w:eastAsia="en-AU"/>
              </w:rPr>
              <w:t>364 576</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(m)</w:t>
      </w:r>
      <w:r w:rsidRPr="006A75A2">
        <w:tab/>
        <w:t xml:space="preserve">Payments from advances pursuant to Section 35 of the </w:t>
      </w:r>
      <w:r w:rsidRPr="006A75A2">
        <w:rPr>
          <w:i/>
        </w:rPr>
        <w:t xml:space="preserve">Financial Management Act 1994 </w:t>
      </w:r>
      <w:r w:rsidRPr="006A75A2">
        <w:t>for the financial year ended 30 June</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2569"/>
        <w:gridCol w:w="5951"/>
        <w:gridCol w:w="1120"/>
      </w:tblGrid>
      <w:tr w:rsidR="004E6C32" w:rsidRPr="006A75A2" w:rsidTr="00123948">
        <w:trPr>
          <w:cantSplit/>
          <w:tblHeader/>
        </w:trPr>
        <w:tc>
          <w:tcPr>
            <w:tcW w:w="2569"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i/>
                <w:szCs w:val="22"/>
                <w:lang w:eastAsia="en-AU"/>
              </w:rPr>
            </w:pPr>
            <w:r w:rsidRPr="006A75A2">
              <w:rPr>
                <w:rFonts w:eastAsiaTheme="minorEastAsia"/>
                <w:i/>
                <w:szCs w:val="22"/>
                <w:lang w:eastAsia="en-AU"/>
              </w:rPr>
              <w:t>Department</w:t>
            </w:r>
          </w:p>
        </w:tc>
        <w:tc>
          <w:tcPr>
            <w:tcW w:w="5951"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jc w:val="left"/>
              <w:rPr>
                <w:rFonts w:eastAsiaTheme="minorEastAsia"/>
                <w:szCs w:val="22"/>
                <w:lang w:eastAsia="en-AU"/>
              </w:rPr>
            </w:pPr>
            <w:r w:rsidRPr="006A75A2">
              <w:rPr>
                <w:rFonts w:eastAsiaTheme="minorEastAsia"/>
                <w:szCs w:val="22"/>
                <w:lang w:eastAsia="en-AU"/>
              </w:rPr>
              <w:t>Purpose</w:t>
            </w: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szCs w:val="22"/>
                <w:lang w:eastAsia="en-AU"/>
              </w:rPr>
            </w:pPr>
            <w:r w:rsidRPr="006A75A2">
              <w:rPr>
                <w:rFonts w:eastAsiaTheme="minorEastAsia"/>
                <w:szCs w:val="22"/>
                <w:lang w:eastAsia="en-AU"/>
              </w:rPr>
              <w:t>2013-14</w:t>
            </w:r>
          </w:p>
        </w:tc>
      </w:tr>
      <w:tr w:rsidR="00120EDE" w:rsidRPr="006A75A2" w:rsidTr="00123948">
        <w:trPr>
          <w:cantSplit/>
        </w:trPr>
        <w:tc>
          <w:tcPr>
            <w:tcW w:w="2569" w:type="dxa"/>
            <w:vMerge w:val="restart"/>
            <w:tcBorders>
              <w:top w:val="single" w:sz="6" w:space="0" w:color="auto"/>
              <w:left w:val="nil"/>
              <w:right w:val="nil"/>
            </w:tcBorders>
          </w:tcPr>
          <w:p w:rsidR="00120EDE" w:rsidRPr="006A75A2" w:rsidRDefault="00120EDE" w:rsidP="00120EDE">
            <w:pPr>
              <w:pStyle w:val="TableTextnoindent"/>
              <w:rPr>
                <w:rFonts w:eastAsiaTheme="minorEastAsia"/>
                <w:color w:val="auto"/>
                <w:szCs w:val="22"/>
              </w:rPr>
            </w:pPr>
            <w:r w:rsidRPr="006A75A2">
              <w:rPr>
                <w:rFonts w:eastAsiaTheme="minorEastAsia"/>
                <w:color w:val="auto"/>
                <w:szCs w:val="22"/>
              </w:rPr>
              <w:t xml:space="preserve">Education and </w:t>
            </w:r>
            <w:r w:rsidRPr="006A75A2">
              <w:rPr>
                <w:rFonts w:eastAsiaTheme="minorEastAsia"/>
                <w:color w:val="auto"/>
                <w:szCs w:val="22"/>
              </w:rPr>
              <w:br/>
              <w:t xml:space="preserve">Early Childhood </w:t>
            </w:r>
            <w:r w:rsidRPr="006A75A2">
              <w:rPr>
                <w:rFonts w:eastAsiaTheme="minorEastAsia"/>
                <w:color w:val="auto"/>
                <w:szCs w:val="22"/>
              </w:rPr>
              <w:br/>
              <w:t>Development</w:t>
            </w:r>
          </w:p>
        </w:tc>
        <w:tc>
          <w:tcPr>
            <w:tcW w:w="5951" w:type="dxa"/>
            <w:tcBorders>
              <w:top w:val="single" w:sz="6" w:space="0" w:color="auto"/>
              <w:left w:val="nil"/>
              <w:bottom w:val="nil"/>
              <w:right w:val="nil"/>
            </w:tcBorders>
          </w:tcPr>
          <w:p w:rsidR="00120EDE" w:rsidRPr="006A75A2" w:rsidRDefault="00120EDE" w:rsidP="004B5CB1">
            <w:pPr>
              <w:pStyle w:val="TableofFigures"/>
              <w:jc w:val="left"/>
              <w:rPr>
                <w:rFonts w:eastAsiaTheme="minorEastAsia"/>
                <w:szCs w:val="22"/>
                <w:lang w:eastAsia="en-AU"/>
              </w:rPr>
            </w:pPr>
            <w:r w:rsidRPr="006A75A2">
              <w:rPr>
                <w:rFonts w:eastAsiaTheme="minorEastAsia"/>
                <w:szCs w:val="22"/>
                <w:lang w:eastAsia="en-AU"/>
              </w:rPr>
              <w:t>Bendigo TAFE</w:t>
            </w:r>
          </w:p>
        </w:tc>
        <w:tc>
          <w:tcPr>
            <w:tcW w:w="1120" w:type="dxa"/>
            <w:tcBorders>
              <w:top w:val="single" w:sz="6" w:space="0" w:color="auto"/>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 xml:space="preserve"> 6 835</w:t>
            </w:r>
          </w:p>
        </w:tc>
      </w:tr>
      <w:tr w:rsidR="00120EDE" w:rsidRPr="006A75A2" w:rsidTr="00123948">
        <w:trPr>
          <w:cantSplit/>
        </w:trPr>
        <w:tc>
          <w:tcPr>
            <w:tcW w:w="2569" w:type="dxa"/>
            <w:vMerge/>
            <w:tcBorders>
              <w:left w:val="nil"/>
              <w:right w:val="nil"/>
            </w:tcBorders>
          </w:tcPr>
          <w:p w:rsidR="00120EDE" w:rsidRPr="006A75A2" w:rsidRDefault="00120EDE" w:rsidP="004B5CB1">
            <w:pPr>
              <w:pStyle w:val="Tabletext"/>
              <w:rPr>
                <w:rFonts w:eastAsiaTheme="minorEastAsia"/>
                <w:szCs w:val="22"/>
                <w:lang w:eastAsia="en-AU"/>
              </w:rPr>
            </w:pPr>
          </w:p>
        </w:tc>
        <w:tc>
          <w:tcPr>
            <w:tcW w:w="5951" w:type="dxa"/>
            <w:tcBorders>
              <w:top w:val="nil"/>
              <w:left w:val="nil"/>
              <w:bottom w:val="nil"/>
              <w:right w:val="nil"/>
            </w:tcBorders>
          </w:tcPr>
          <w:p w:rsidR="00120EDE" w:rsidRPr="006A75A2" w:rsidRDefault="00120EDE" w:rsidP="004B5CB1">
            <w:pPr>
              <w:pStyle w:val="TableofFigures"/>
              <w:jc w:val="left"/>
              <w:rPr>
                <w:rFonts w:eastAsiaTheme="minorEastAsia"/>
                <w:szCs w:val="22"/>
                <w:lang w:eastAsia="en-AU"/>
              </w:rPr>
            </w:pPr>
            <w:r w:rsidRPr="006A75A2">
              <w:rPr>
                <w:rFonts w:eastAsiaTheme="minorEastAsia"/>
                <w:szCs w:val="22"/>
                <w:lang w:eastAsia="en-AU"/>
              </w:rPr>
              <w:t>Income Contingent Loan</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 xml:space="preserve"> 6 800</w:t>
            </w:r>
          </w:p>
        </w:tc>
      </w:tr>
      <w:tr w:rsidR="00120EDE" w:rsidRPr="006A75A2" w:rsidTr="00123948">
        <w:trPr>
          <w:cantSplit/>
        </w:trPr>
        <w:tc>
          <w:tcPr>
            <w:tcW w:w="2569" w:type="dxa"/>
            <w:vMerge/>
            <w:tcBorders>
              <w:left w:val="nil"/>
              <w:right w:val="nil"/>
            </w:tcBorders>
          </w:tcPr>
          <w:p w:rsidR="00120EDE" w:rsidRPr="006A75A2" w:rsidRDefault="00120EDE" w:rsidP="004B5CB1">
            <w:pPr>
              <w:pStyle w:val="Tabletext"/>
              <w:rPr>
                <w:rFonts w:eastAsiaTheme="minorEastAsia"/>
                <w:szCs w:val="22"/>
                <w:lang w:eastAsia="en-AU"/>
              </w:rPr>
            </w:pPr>
          </w:p>
        </w:tc>
        <w:tc>
          <w:tcPr>
            <w:tcW w:w="5951" w:type="dxa"/>
            <w:tcBorders>
              <w:top w:val="nil"/>
              <w:left w:val="nil"/>
              <w:bottom w:val="nil"/>
              <w:right w:val="nil"/>
            </w:tcBorders>
          </w:tcPr>
          <w:p w:rsidR="00120EDE" w:rsidRPr="006A75A2" w:rsidRDefault="00120EDE" w:rsidP="004B5CB1">
            <w:pPr>
              <w:pStyle w:val="TableofFigures"/>
              <w:jc w:val="left"/>
              <w:rPr>
                <w:rFonts w:eastAsiaTheme="minorEastAsia"/>
                <w:szCs w:val="22"/>
                <w:lang w:eastAsia="en-AU"/>
              </w:rPr>
            </w:pPr>
            <w:r w:rsidRPr="006A75A2">
              <w:rPr>
                <w:rFonts w:eastAsiaTheme="minorEastAsia"/>
                <w:szCs w:val="22"/>
                <w:lang w:eastAsia="en-AU"/>
              </w:rPr>
              <w:t>Enrolment based funding</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 xml:space="preserve"> 122 074</w:t>
            </w:r>
          </w:p>
        </w:tc>
      </w:tr>
      <w:tr w:rsidR="00120EDE" w:rsidRPr="006A75A2" w:rsidTr="00123948">
        <w:trPr>
          <w:cantSplit/>
        </w:trPr>
        <w:tc>
          <w:tcPr>
            <w:tcW w:w="2569" w:type="dxa"/>
            <w:vMerge/>
            <w:tcBorders>
              <w:left w:val="nil"/>
              <w:right w:val="nil"/>
            </w:tcBorders>
          </w:tcPr>
          <w:p w:rsidR="00120EDE" w:rsidRPr="006A75A2" w:rsidRDefault="00120EDE" w:rsidP="004B5CB1">
            <w:pPr>
              <w:pStyle w:val="Tabletext"/>
              <w:rPr>
                <w:rFonts w:eastAsiaTheme="minorEastAsia"/>
                <w:szCs w:val="22"/>
                <w:lang w:eastAsia="en-AU"/>
              </w:rPr>
            </w:pPr>
          </w:p>
        </w:tc>
        <w:tc>
          <w:tcPr>
            <w:tcW w:w="5951" w:type="dxa"/>
            <w:tcBorders>
              <w:top w:val="nil"/>
              <w:left w:val="nil"/>
              <w:bottom w:val="nil"/>
              <w:right w:val="nil"/>
            </w:tcBorders>
          </w:tcPr>
          <w:p w:rsidR="00120EDE" w:rsidRPr="006A75A2" w:rsidRDefault="00120EDE" w:rsidP="004B5CB1">
            <w:pPr>
              <w:pStyle w:val="TableofFigures"/>
              <w:jc w:val="left"/>
              <w:rPr>
                <w:rFonts w:eastAsiaTheme="minorEastAsia"/>
                <w:szCs w:val="22"/>
                <w:lang w:eastAsia="en-AU"/>
              </w:rPr>
            </w:pPr>
            <w:r w:rsidRPr="006A75A2">
              <w:rPr>
                <w:rFonts w:eastAsiaTheme="minorEastAsia"/>
                <w:szCs w:val="22"/>
                <w:lang w:eastAsia="en-AU"/>
              </w:rPr>
              <w:t xml:space="preserve">Resourcing Schools to Raise Performance </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 xml:space="preserve"> 23 913</w:t>
            </w:r>
          </w:p>
        </w:tc>
      </w:tr>
      <w:tr w:rsidR="00120EDE" w:rsidRPr="006A75A2" w:rsidTr="00123948">
        <w:trPr>
          <w:cantSplit/>
        </w:trPr>
        <w:tc>
          <w:tcPr>
            <w:tcW w:w="2569" w:type="dxa"/>
            <w:vMerge/>
            <w:tcBorders>
              <w:left w:val="nil"/>
              <w:right w:val="nil"/>
            </w:tcBorders>
          </w:tcPr>
          <w:p w:rsidR="00120EDE" w:rsidRPr="006A75A2" w:rsidRDefault="00120EDE" w:rsidP="004B5CB1">
            <w:pPr>
              <w:pStyle w:val="Tabletext"/>
              <w:rPr>
                <w:rFonts w:eastAsiaTheme="minorEastAsia"/>
                <w:szCs w:val="22"/>
                <w:lang w:eastAsia="en-AU"/>
              </w:rPr>
            </w:pPr>
          </w:p>
        </w:tc>
        <w:tc>
          <w:tcPr>
            <w:tcW w:w="5951" w:type="dxa"/>
            <w:tcBorders>
              <w:top w:val="nil"/>
              <w:left w:val="nil"/>
              <w:bottom w:val="nil"/>
              <w:right w:val="nil"/>
            </w:tcBorders>
          </w:tcPr>
          <w:p w:rsidR="00120EDE" w:rsidRPr="006A75A2" w:rsidRDefault="00120EDE" w:rsidP="004B5CB1">
            <w:pPr>
              <w:pStyle w:val="TableofFigures"/>
              <w:jc w:val="left"/>
              <w:rPr>
                <w:rFonts w:eastAsiaTheme="minorEastAsia"/>
                <w:szCs w:val="22"/>
                <w:lang w:eastAsia="en-AU"/>
              </w:rPr>
            </w:pPr>
            <w:r w:rsidRPr="006A75A2">
              <w:rPr>
                <w:rFonts w:eastAsiaTheme="minorEastAsia"/>
                <w:szCs w:val="22"/>
                <w:lang w:eastAsia="en-AU"/>
              </w:rPr>
              <w:t>Childrens’ facilities</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 xml:space="preserve"> 15 000</w:t>
            </w:r>
          </w:p>
        </w:tc>
      </w:tr>
      <w:tr w:rsidR="00120EDE" w:rsidRPr="006A75A2" w:rsidTr="00123948">
        <w:trPr>
          <w:cantSplit/>
        </w:trPr>
        <w:tc>
          <w:tcPr>
            <w:tcW w:w="2569" w:type="dxa"/>
            <w:vMerge/>
            <w:tcBorders>
              <w:left w:val="nil"/>
              <w:bottom w:val="nil"/>
              <w:right w:val="nil"/>
            </w:tcBorders>
          </w:tcPr>
          <w:p w:rsidR="00120EDE" w:rsidRPr="006A75A2" w:rsidRDefault="00120EDE" w:rsidP="004B5CB1">
            <w:pPr>
              <w:pStyle w:val="Tabletext"/>
              <w:rPr>
                <w:rFonts w:eastAsiaTheme="minorEastAsia"/>
                <w:szCs w:val="22"/>
                <w:lang w:eastAsia="en-AU"/>
              </w:rPr>
            </w:pPr>
          </w:p>
        </w:tc>
        <w:tc>
          <w:tcPr>
            <w:tcW w:w="5951" w:type="dxa"/>
            <w:tcBorders>
              <w:top w:val="nil"/>
              <w:left w:val="nil"/>
              <w:bottom w:val="nil"/>
              <w:right w:val="nil"/>
            </w:tcBorders>
          </w:tcPr>
          <w:p w:rsidR="00120EDE" w:rsidRPr="006A75A2" w:rsidRDefault="00120EDE" w:rsidP="004B5CB1">
            <w:pPr>
              <w:pStyle w:val="TableofFigures"/>
              <w:jc w:val="left"/>
              <w:rPr>
                <w:rFonts w:eastAsiaTheme="minorEastAsia"/>
                <w:szCs w:val="22"/>
                <w:lang w:eastAsia="en-AU"/>
              </w:rPr>
            </w:pPr>
            <w:r w:rsidRPr="006A75A2">
              <w:rPr>
                <w:rFonts w:eastAsiaTheme="minorEastAsia"/>
                <w:szCs w:val="22"/>
                <w:lang w:eastAsia="en-AU"/>
              </w:rPr>
              <w:t>School Capital Program</w:t>
            </w:r>
          </w:p>
        </w:tc>
        <w:tc>
          <w:tcPr>
            <w:tcW w:w="1120" w:type="dxa"/>
            <w:tcBorders>
              <w:top w:val="nil"/>
              <w:left w:val="nil"/>
              <w:bottom w:val="nil"/>
              <w:right w:val="nil"/>
            </w:tcBorders>
          </w:tcPr>
          <w:p w:rsidR="00120EDE" w:rsidRPr="006A75A2" w:rsidRDefault="00120EDE" w:rsidP="004B5CB1">
            <w:pPr>
              <w:pStyle w:val="TableofFigures"/>
              <w:rPr>
                <w:rFonts w:eastAsiaTheme="minorEastAsia"/>
                <w:szCs w:val="22"/>
                <w:lang w:eastAsia="en-AU"/>
              </w:rPr>
            </w:pPr>
            <w:r w:rsidRPr="006A75A2">
              <w:rPr>
                <w:rFonts w:eastAsiaTheme="minorEastAsia"/>
                <w:szCs w:val="22"/>
                <w:lang w:eastAsia="en-AU"/>
              </w:rPr>
              <w:t xml:space="preserve"> 2 500</w:t>
            </w:r>
          </w:p>
        </w:tc>
      </w:tr>
      <w:tr w:rsidR="004E6C32" w:rsidRPr="006A75A2" w:rsidTr="00123948">
        <w:trPr>
          <w:cantSplit/>
        </w:trPr>
        <w:tc>
          <w:tcPr>
            <w:tcW w:w="2569" w:type="dxa"/>
            <w:tcBorders>
              <w:top w:val="nil"/>
              <w:left w:val="nil"/>
              <w:bottom w:val="single" w:sz="6" w:space="0" w:color="auto"/>
              <w:right w:val="nil"/>
            </w:tcBorders>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 xml:space="preserve"> </w:t>
            </w:r>
          </w:p>
        </w:tc>
        <w:tc>
          <w:tcPr>
            <w:tcW w:w="5951" w:type="dxa"/>
            <w:tcBorders>
              <w:top w:val="nil"/>
              <w:left w:val="nil"/>
              <w:bottom w:val="single" w:sz="6" w:space="0" w:color="auto"/>
              <w:right w:val="nil"/>
            </w:tcBorders>
          </w:tcPr>
          <w:p w:rsidR="004E6C32" w:rsidRPr="006A75A2" w:rsidRDefault="004E6C32" w:rsidP="004B5CB1">
            <w:pPr>
              <w:pStyle w:val="TableofFigures"/>
              <w:jc w:val="left"/>
              <w:rPr>
                <w:rFonts w:eastAsiaTheme="minorEastAsia"/>
                <w:szCs w:val="22"/>
                <w:lang w:eastAsia="en-AU"/>
              </w:rPr>
            </w:pPr>
            <w:r w:rsidRPr="006A75A2">
              <w:rPr>
                <w:rFonts w:eastAsiaTheme="minorEastAsia"/>
                <w:szCs w:val="22"/>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Cs w:val="22"/>
                <w:lang w:eastAsia="en-AU"/>
              </w:rPr>
            </w:pPr>
            <w:r w:rsidRPr="006A75A2">
              <w:rPr>
                <w:rFonts w:eastAsiaTheme="minorEastAsia"/>
                <w:b/>
                <w:szCs w:val="22"/>
                <w:lang w:eastAsia="en-AU"/>
              </w:rPr>
              <w:t xml:space="preserve"> 177 122</w:t>
            </w:r>
          </w:p>
        </w:tc>
      </w:tr>
      <w:tr w:rsidR="004E6C32" w:rsidRPr="006A75A2" w:rsidTr="00123948">
        <w:trPr>
          <w:cantSplit/>
        </w:trPr>
        <w:tc>
          <w:tcPr>
            <w:tcW w:w="2569" w:type="dxa"/>
            <w:tcBorders>
              <w:top w:val="nil"/>
              <w:left w:val="nil"/>
              <w:bottom w:val="nil"/>
              <w:right w:val="nil"/>
            </w:tcBorders>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Premier and Cabinet</w:t>
            </w:r>
          </w:p>
        </w:tc>
        <w:tc>
          <w:tcPr>
            <w:tcW w:w="5951" w:type="dxa"/>
            <w:tcBorders>
              <w:top w:val="nil"/>
              <w:left w:val="nil"/>
              <w:bottom w:val="nil"/>
              <w:right w:val="nil"/>
            </w:tcBorders>
          </w:tcPr>
          <w:p w:rsidR="004E6C32" w:rsidRPr="006A75A2" w:rsidRDefault="004E6C32" w:rsidP="004B5CB1">
            <w:pPr>
              <w:pStyle w:val="TableofFigures"/>
              <w:jc w:val="left"/>
              <w:rPr>
                <w:rFonts w:eastAsiaTheme="minorEastAsia"/>
                <w:szCs w:val="22"/>
                <w:lang w:eastAsia="en-AU"/>
              </w:rPr>
            </w:pPr>
            <w:r w:rsidRPr="006A75A2">
              <w:rPr>
                <w:rFonts w:eastAsiaTheme="minorEastAsia"/>
                <w:szCs w:val="22"/>
                <w:lang w:eastAsia="en-AU"/>
              </w:rPr>
              <w:t>Protective Services Officers</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1 366</w:t>
            </w:r>
          </w:p>
        </w:tc>
      </w:tr>
      <w:tr w:rsidR="004E6C32" w:rsidRPr="006A75A2" w:rsidTr="00123948">
        <w:trPr>
          <w:cantSplit/>
        </w:trPr>
        <w:tc>
          <w:tcPr>
            <w:tcW w:w="2569" w:type="dxa"/>
            <w:tcBorders>
              <w:top w:val="nil"/>
              <w:left w:val="nil"/>
              <w:bottom w:val="nil"/>
              <w:right w:val="nil"/>
            </w:tcBorders>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 xml:space="preserve"> </w:t>
            </w:r>
          </w:p>
        </w:tc>
        <w:tc>
          <w:tcPr>
            <w:tcW w:w="5951" w:type="dxa"/>
            <w:tcBorders>
              <w:top w:val="nil"/>
              <w:left w:val="nil"/>
              <w:bottom w:val="nil"/>
              <w:right w:val="nil"/>
            </w:tcBorders>
          </w:tcPr>
          <w:p w:rsidR="004E6C32" w:rsidRPr="006A75A2" w:rsidRDefault="004E6C32" w:rsidP="004B5CB1">
            <w:pPr>
              <w:pStyle w:val="TableofFigures"/>
              <w:jc w:val="left"/>
              <w:rPr>
                <w:rFonts w:eastAsiaTheme="minorEastAsia"/>
                <w:szCs w:val="22"/>
                <w:lang w:eastAsia="en-AU"/>
              </w:rPr>
            </w:pPr>
            <w:r w:rsidRPr="006A75A2">
              <w:rPr>
                <w:rFonts w:eastAsiaTheme="minorEastAsia"/>
                <w:szCs w:val="22"/>
                <w:lang w:eastAsia="en-AU"/>
              </w:rPr>
              <w:t>Hazelwood Mine Fire Inquiry</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1 457</w:t>
            </w:r>
          </w:p>
        </w:tc>
      </w:tr>
      <w:tr w:rsidR="004E6C32" w:rsidRPr="006A75A2" w:rsidTr="00123948">
        <w:trPr>
          <w:cantSplit/>
        </w:trPr>
        <w:tc>
          <w:tcPr>
            <w:tcW w:w="2569" w:type="dxa"/>
            <w:tcBorders>
              <w:top w:val="nil"/>
              <w:left w:val="nil"/>
              <w:bottom w:val="nil"/>
              <w:right w:val="nil"/>
            </w:tcBorders>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 xml:space="preserve"> </w:t>
            </w:r>
          </w:p>
        </w:tc>
        <w:tc>
          <w:tcPr>
            <w:tcW w:w="5951" w:type="dxa"/>
            <w:tcBorders>
              <w:top w:val="nil"/>
              <w:left w:val="nil"/>
              <w:bottom w:val="nil"/>
              <w:right w:val="nil"/>
            </w:tcBorders>
          </w:tcPr>
          <w:p w:rsidR="004E6C32" w:rsidRPr="006A75A2" w:rsidRDefault="004E6C32" w:rsidP="004B5CB1">
            <w:pPr>
              <w:pStyle w:val="TableofFigures"/>
              <w:jc w:val="left"/>
              <w:rPr>
                <w:rFonts w:eastAsiaTheme="minorEastAsia"/>
                <w:szCs w:val="22"/>
                <w:lang w:eastAsia="en-AU"/>
              </w:rPr>
            </w:pPr>
            <w:r w:rsidRPr="006A75A2">
              <w:rPr>
                <w:rFonts w:eastAsiaTheme="minorEastAsia"/>
                <w:i/>
                <w:szCs w:val="22"/>
                <w:lang w:eastAsia="en-AU"/>
              </w:rPr>
              <w:t>Parliamentary and Public Legislation Amendment</w:t>
            </w:r>
            <w:r w:rsidRPr="006A75A2">
              <w:rPr>
                <w:rFonts w:eastAsiaTheme="minorEastAsia"/>
                <w:szCs w:val="22"/>
                <w:lang w:eastAsia="en-AU"/>
              </w:rPr>
              <w:t xml:space="preserve"> </w:t>
            </w:r>
            <w:r w:rsidRPr="006A75A2">
              <w:rPr>
                <w:rFonts w:eastAsiaTheme="minorEastAsia"/>
                <w:i/>
                <w:szCs w:val="22"/>
                <w:lang w:eastAsia="en-AU"/>
              </w:rPr>
              <w:t>Act 2013</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3 210</w:t>
            </w:r>
          </w:p>
        </w:tc>
      </w:tr>
      <w:tr w:rsidR="004E6C32" w:rsidRPr="006A75A2" w:rsidTr="00123948">
        <w:trPr>
          <w:cantSplit/>
        </w:trPr>
        <w:tc>
          <w:tcPr>
            <w:tcW w:w="2569" w:type="dxa"/>
            <w:tcBorders>
              <w:top w:val="nil"/>
              <w:left w:val="nil"/>
              <w:bottom w:val="single" w:sz="6" w:space="0" w:color="auto"/>
              <w:right w:val="nil"/>
            </w:tcBorders>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 xml:space="preserve"> </w:t>
            </w:r>
          </w:p>
        </w:tc>
        <w:tc>
          <w:tcPr>
            <w:tcW w:w="5951" w:type="dxa"/>
            <w:tcBorders>
              <w:top w:val="nil"/>
              <w:left w:val="nil"/>
              <w:bottom w:val="single" w:sz="6" w:space="0" w:color="auto"/>
              <w:right w:val="nil"/>
            </w:tcBorders>
          </w:tcPr>
          <w:p w:rsidR="004E6C32" w:rsidRPr="006A75A2" w:rsidRDefault="004E6C32" w:rsidP="004B5CB1">
            <w:pPr>
              <w:pStyle w:val="TableofFigures"/>
              <w:jc w:val="left"/>
              <w:rPr>
                <w:rFonts w:eastAsiaTheme="minorEastAsia"/>
                <w:szCs w:val="22"/>
                <w:lang w:eastAsia="en-AU"/>
              </w:rPr>
            </w:pPr>
            <w:r w:rsidRPr="006A75A2">
              <w:rPr>
                <w:rFonts w:eastAsiaTheme="minorEastAsia"/>
                <w:szCs w:val="22"/>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Cs w:val="22"/>
                <w:lang w:eastAsia="en-AU"/>
              </w:rPr>
            </w:pPr>
            <w:r w:rsidRPr="006A75A2">
              <w:rPr>
                <w:rFonts w:eastAsiaTheme="minorEastAsia"/>
                <w:b/>
                <w:szCs w:val="22"/>
                <w:lang w:eastAsia="en-AU"/>
              </w:rPr>
              <w:t xml:space="preserve"> 6 033</w:t>
            </w:r>
          </w:p>
        </w:tc>
      </w:tr>
      <w:tr w:rsidR="004E6C32" w:rsidRPr="006A75A2" w:rsidTr="00123948">
        <w:trPr>
          <w:cantSplit/>
        </w:trPr>
        <w:tc>
          <w:tcPr>
            <w:tcW w:w="2569" w:type="dxa"/>
            <w:tcBorders>
              <w:top w:val="single" w:sz="6" w:space="0" w:color="auto"/>
              <w:left w:val="nil"/>
              <w:bottom w:val="nil"/>
              <w:right w:val="nil"/>
            </w:tcBorders>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Treasury and Finance</w:t>
            </w:r>
          </w:p>
        </w:tc>
        <w:tc>
          <w:tcPr>
            <w:tcW w:w="5951" w:type="dxa"/>
            <w:tcBorders>
              <w:top w:val="single" w:sz="6" w:space="0" w:color="auto"/>
              <w:left w:val="nil"/>
              <w:bottom w:val="nil"/>
              <w:right w:val="nil"/>
            </w:tcBorders>
          </w:tcPr>
          <w:p w:rsidR="004E6C32" w:rsidRPr="006A75A2" w:rsidRDefault="004E6C32" w:rsidP="004B5CB1">
            <w:pPr>
              <w:pStyle w:val="TableofFigures"/>
              <w:jc w:val="left"/>
              <w:rPr>
                <w:rFonts w:eastAsiaTheme="minorEastAsia"/>
                <w:szCs w:val="22"/>
                <w:lang w:eastAsia="en-AU"/>
              </w:rPr>
            </w:pPr>
            <w:r w:rsidRPr="006A75A2">
              <w:rPr>
                <w:rFonts w:eastAsiaTheme="minorEastAsia"/>
                <w:szCs w:val="22"/>
                <w:lang w:eastAsia="en-AU"/>
              </w:rPr>
              <w:t>Health Benefit Levy</w:t>
            </w:r>
          </w:p>
        </w:tc>
        <w:tc>
          <w:tcPr>
            <w:tcW w:w="1120" w:type="dxa"/>
            <w:tcBorders>
              <w:top w:val="nil"/>
              <w:left w:val="nil"/>
              <w:bottom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24 320</w:t>
            </w:r>
          </w:p>
        </w:tc>
      </w:tr>
      <w:tr w:rsidR="004E6C32" w:rsidRPr="006A75A2" w:rsidTr="00123948">
        <w:trPr>
          <w:cantSplit/>
        </w:trPr>
        <w:tc>
          <w:tcPr>
            <w:tcW w:w="2569" w:type="dxa"/>
            <w:tcBorders>
              <w:top w:val="nil"/>
              <w:left w:val="nil"/>
              <w:bottom w:val="single" w:sz="6" w:space="0" w:color="auto"/>
              <w:right w:val="nil"/>
            </w:tcBorders>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 xml:space="preserve"> </w:t>
            </w:r>
          </w:p>
        </w:tc>
        <w:tc>
          <w:tcPr>
            <w:tcW w:w="5951" w:type="dxa"/>
            <w:tcBorders>
              <w:top w:val="nil"/>
              <w:left w:val="nil"/>
              <w:bottom w:val="single" w:sz="6" w:space="0" w:color="auto"/>
              <w:right w:val="nil"/>
            </w:tcBorders>
          </w:tcPr>
          <w:p w:rsidR="004E6C32" w:rsidRPr="006A75A2" w:rsidRDefault="004E6C32" w:rsidP="004B5CB1">
            <w:pPr>
              <w:pStyle w:val="TableofFigures"/>
              <w:jc w:val="left"/>
              <w:rPr>
                <w:rFonts w:eastAsiaTheme="minorEastAsia"/>
                <w:szCs w:val="22"/>
                <w:lang w:eastAsia="en-AU"/>
              </w:rPr>
            </w:pPr>
            <w:r w:rsidRPr="006A75A2">
              <w:rPr>
                <w:rFonts w:eastAsiaTheme="minorEastAsia"/>
                <w:szCs w:val="22"/>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Cs w:val="22"/>
                <w:lang w:eastAsia="en-AU"/>
              </w:rPr>
            </w:pPr>
            <w:r w:rsidRPr="006A75A2">
              <w:rPr>
                <w:rFonts w:eastAsiaTheme="minorEastAsia"/>
                <w:b/>
                <w:szCs w:val="22"/>
                <w:lang w:eastAsia="en-AU"/>
              </w:rPr>
              <w:t xml:space="preserve"> 24 320</w:t>
            </w:r>
          </w:p>
        </w:tc>
      </w:tr>
      <w:tr w:rsidR="004E6C32" w:rsidRPr="006A75A2" w:rsidTr="00123948">
        <w:trPr>
          <w:cantSplit/>
          <w:trHeight w:hRule="exact" w:val="120"/>
        </w:trPr>
        <w:tc>
          <w:tcPr>
            <w:tcW w:w="2569" w:type="dxa"/>
            <w:tcBorders>
              <w:top w:val="nil"/>
              <w:left w:val="nil"/>
              <w:right w:val="nil"/>
            </w:tcBorders>
          </w:tcPr>
          <w:p w:rsidR="004E6C32" w:rsidRPr="006A75A2" w:rsidRDefault="004E6C32" w:rsidP="004B5CB1">
            <w:pPr>
              <w:pStyle w:val="Tabletext"/>
              <w:rPr>
                <w:rFonts w:eastAsiaTheme="minorEastAsia"/>
                <w:szCs w:val="22"/>
                <w:lang w:eastAsia="en-AU"/>
              </w:rPr>
            </w:pPr>
            <w:r w:rsidRPr="006A75A2">
              <w:rPr>
                <w:rFonts w:eastAsiaTheme="minorEastAsia"/>
                <w:szCs w:val="22"/>
                <w:lang w:eastAsia="en-AU"/>
              </w:rPr>
              <w:t xml:space="preserve"> </w:t>
            </w:r>
          </w:p>
        </w:tc>
        <w:tc>
          <w:tcPr>
            <w:tcW w:w="5951" w:type="dxa"/>
            <w:tcBorders>
              <w:top w:val="nil"/>
              <w:left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w:t>
            </w:r>
          </w:p>
        </w:tc>
        <w:tc>
          <w:tcPr>
            <w:tcW w:w="1120" w:type="dxa"/>
            <w:tcBorders>
              <w:top w:val="nil"/>
              <w:left w:val="nil"/>
              <w:right w:val="nil"/>
            </w:tcBorders>
          </w:tcPr>
          <w:p w:rsidR="004E6C32" w:rsidRPr="006A75A2" w:rsidRDefault="004E6C32" w:rsidP="004B5CB1">
            <w:pPr>
              <w:pStyle w:val="TableofFigures"/>
              <w:rPr>
                <w:rFonts w:eastAsiaTheme="minorEastAsia"/>
                <w:szCs w:val="22"/>
                <w:lang w:eastAsia="en-AU"/>
              </w:rPr>
            </w:pPr>
            <w:r w:rsidRPr="006A75A2">
              <w:rPr>
                <w:rFonts w:eastAsiaTheme="minorEastAsia"/>
                <w:szCs w:val="22"/>
                <w:lang w:eastAsia="en-AU"/>
              </w:rPr>
              <w:t xml:space="preserve"> </w:t>
            </w:r>
          </w:p>
        </w:tc>
      </w:tr>
      <w:tr w:rsidR="00120EDE" w:rsidRPr="006A75A2" w:rsidTr="00A67F93">
        <w:trPr>
          <w:cantSplit/>
        </w:trPr>
        <w:tc>
          <w:tcPr>
            <w:tcW w:w="8520" w:type="dxa"/>
            <w:gridSpan w:val="2"/>
            <w:tcBorders>
              <w:top w:val="nil"/>
              <w:left w:val="nil"/>
              <w:bottom w:val="single" w:sz="12" w:space="0" w:color="000000"/>
              <w:right w:val="nil"/>
            </w:tcBorders>
            <w:shd w:val="clear" w:color="auto" w:fill="auto"/>
          </w:tcPr>
          <w:p w:rsidR="00120EDE" w:rsidRPr="006A75A2" w:rsidRDefault="00120EDE" w:rsidP="00120EDE">
            <w:pPr>
              <w:pStyle w:val="Tabletext"/>
              <w:rPr>
                <w:rFonts w:eastAsiaTheme="minorEastAsia"/>
                <w:b/>
                <w:szCs w:val="22"/>
                <w:lang w:eastAsia="en-AU"/>
              </w:rPr>
            </w:pPr>
            <w:r w:rsidRPr="006A75A2">
              <w:rPr>
                <w:rFonts w:eastAsiaTheme="minorEastAsia"/>
                <w:b/>
                <w:szCs w:val="22"/>
                <w:lang w:eastAsia="en-AU"/>
              </w:rPr>
              <w:t xml:space="preserve">Total payments from advances pursuant to Section 35 (4) of the </w:t>
            </w:r>
            <w:r w:rsidR="00123948" w:rsidRPr="006A75A2">
              <w:rPr>
                <w:rFonts w:eastAsiaTheme="minorEastAsia"/>
                <w:b/>
                <w:szCs w:val="22"/>
                <w:lang w:eastAsia="en-AU"/>
              </w:rPr>
              <w:br/>
            </w:r>
            <w:r w:rsidRPr="006A75A2">
              <w:rPr>
                <w:rFonts w:eastAsiaTheme="minorEastAsia"/>
                <w:b/>
                <w:i/>
                <w:szCs w:val="22"/>
                <w:lang w:eastAsia="en-AU"/>
              </w:rPr>
              <w:t>Financial Management Act 1994</w:t>
            </w:r>
            <w:r w:rsidRPr="006A75A2">
              <w:rPr>
                <w:rFonts w:eastAsiaTheme="minorEastAsia"/>
                <w:b/>
                <w:szCs w:val="22"/>
                <w:lang w:eastAsia="en-AU"/>
              </w:rPr>
              <w:t>.</w:t>
            </w:r>
          </w:p>
        </w:tc>
        <w:tc>
          <w:tcPr>
            <w:tcW w:w="1120" w:type="dxa"/>
            <w:tcBorders>
              <w:top w:val="nil"/>
              <w:left w:val="nil"/>
              <w:bottom w:val="single" w:sz="12" w:space="0" w:color="000000"/>
              <w:right w:val="nil"/>
            </w:tcBorders>
            <w:shd w:val="clear" w:color="auto" w:fill="auto"/>
          </w:tcPr>
          <w:p w:rsidR="00120EDE" w:rsidRPr="006A75A2" w:rsidRDefault="00120EDE" w:rsidP="004B5CB1">
            <w:pPr>
              <w:pStyle w:val="TableofFigures"/>
              <w:rPr>
                <w:rFonts w:eastAsiaTheme="minorEastAsia"/>
                <w:b/>
                <w:szCs w:val="22"/>
                <w:lang w:eastAsia="en-AU"/>
              </w:rPr>
            </w:pPr>
            <w:r w:rsidRPr="006A75A2">
              <w:rPr>
                <w:rFonts w:eastAsiaTheme="minorEastAsia"/>
                <w:b/>
                <w:szCs w:val="22"/>
                <w:lang w:eastAsia="en-AU"/>
              </w:rPr>
              <w:t xml:space="preserve"> 207 475</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rsidP="0067336F">
      <w:pPr>
        <w:pStyle w:val="Heading5"/>
      </w:pPr>
      <w:r w:rsidRPr="006A75A2">
        <w:t>(n)</w:t>
      </w:r>
      <w:r w:rsidRPr="006A75A2">
        <w:tab/>
        <w:t>Unused advances carried forward to 2013-14 pursuant to Section 35(4) of the</w:t>
      </w:r>
      <w:r w:rsidRPr="006A75A2">
        <w:rPr>
          <w:i/>
        </w:rPr>
        <w:t xml:space="preserve"> Financial Management Act 1994</w:t>
      </w:r>
    </w:p>
    <w:p w:rsidR="004E6C32" w:rsidRPr="006A75A2" w:rsidRDefault="004E6C32" w:rsidP="004B5CB1">
      <w:r w:rsidRPr="006A75A2">
        <w:t xml:space="preserve">There have been no amounts carried forward to 2013-14 under Section 35(4) of the </w:t>
      </w:r>
      <w:r w:rsidRPr="006A75A2">
        <w:rPr>
          <w:i/>
        </w:rPr>
        <w:t>Financial Management Act, No. 18 of 1994</w:t>
      </w:r>
      <w:r w:rsidRPr="006A75A2">
        <w:t>.</w:t>
      </w:r>
    </w:p>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(o)</w:t>
      </w:r>
      <w:r w:rsidRPr="006A75A2">
        <w:tab/>
        <w:t>Parliamentary authority – Parliament</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280"/>
        <w:gridCol w:w="1534"/>
        <w:gridCol w:w="910"/>
        <w:gridCol w:w="916"/>
      </w:tblGrid>
      <w:tr w:rsidR="00120EDE" w:rsidRPr="006A75A2" w:rsidTr="00120EDE">
        <w:trPr>
          <w:trHeight w:val="51"/>
          <w:tblHeader/>
        </w:trPr>
        <w:tc>
          <w:tcPr>
            <w:tcW w:w="6280" w:type="dxa"/>
            <w:tcBorders>
              <w:top w:val="single" w:sz="6" w:space="0" w:color="000000"/>
              <w:left w:val="single" w:sz="6" w:space="0" w:color="000000"/>
              <w:right w:val="nil"/>
            </w:tcBorders>
            <w:shd w:val="clear" w:color="000000" w:fill="000000"/>
          </w:tcPr>
          <w:p w:rsidR="00120EDE" w:rsidRPr="006A75A2" w:rsidRDefault="00120EDE" w:rsidP="004B5CB1">
            <w:pPr>
              <w:pStyle w:val="TabletextheadingLeft"/>
              <w:rPr>
                <w:rFonts w:eastAsiaTheme="minorEastAsia"/>
                <w:sz w:val="19"/>
                <w:lang w:eastAsia="en-AU"/>
              </w:rPr>
            </w:pPr>
            <w:r w:rsidRPr="006A75A2">
              <w:rPr>
                <w:rFonts w:eastAsiaTheme="minorEastAsia"/>
                <w:sz w:val="19"/>
                <w:lang w:eastAsia="en-AU"/>
              </w:rPr>
              <w:t>Legislative Assembly</w:t>
            </w:r>
          </w:p>
        </w:tc>
        <w:tc>
          <w:tcPr>
            <w:tcW w:w="1534" w:type="dxa"/>
            <w:tcBorders>
              <w:top w:val="single" w:sz="6" w:space="0" w:color="000000"/>
              <w:left w:val="nil"/>
              <w:right w:val="nil"/>
            </w:tcBorders>
            <w:shd w:val="clear" w:color="000000" w:fill="000000"/>
          </w:tcPr>
          <w:p w:rsidR="00120EDE" w:rsidRPr="006A75A2" w:rsidRDefault="00120EDE" w:rsidP="00120EDE">
            <w:pPr>
              <w:pStyle w:val="Tabletextheading"/>
              <w:rPr>
                <w:rFonts w:eastAsiaTheme="minorEastAsia"/>
                <w:sz w:val="19"/>
                <w:lang w:eastAsia="en-AU"/>
              </w:rPr>
            </w:pPr>
            <w:r w:rsidRPr="006A75A2">
              <w:rPr>
                <w:rFonts w:eastAsiaTheme="minorEastAsia"/>
                <w:sz w:val="19"/>
                <w:lang w:eastAsia="en-AU"/>
              </w:rPr>
              <w:t>Parliamentary authority</w:t>
            </w:r>
            <w:r w:rsidRPr="006A75A2">
              <w:rPr>
                <w:rFonts w:eastAsiaTheme="minorEastAsia"/>
                <w:sz w:val="19"/>
                <w:lang w:eastAsia="en-AU"/>
              </w:rPr>
              <w:br/>
              <w:t>2014</w:t>
            </w:r>
            <w:r w:rsidRPr="006A75A2">
              <w:rPr>
                <w:rFonts w:eastAsiaTheme="minorEastAsia"/>
                <w:b/>
                <w:sz w:val="19"/>
                <w:lang w:eastAsia="en-AU"/>
              </w:rPr>
              <w:t xml:space="preserve"> </w:t>
            </w:r>
          </w:p>
        </w:tc>
        <w:tc>
          <w:tcPr>
            <w:tcW w:w="910" w:type="dxa"/>
            <w:tcBorders>
              <w:top w:val="single" w:sz="6" w:space="0" w:color="000000"/>
              <w:left w:val="nil"/>
              <w:right w:val="nil"/>
            </w:tcBorders>
            <w:shd w:val="clear" w:color="000000" w:fill="000000"/>
          </w:tcPr>
          <w:p w:rsidR="00120EDE" w:rsidRPr="006A75A2" w:rsidRDefault="00120EDE" w:rsidP="00120EDE">
            <w:pPr>
              <w:pStyle w:val="Tabletextheading"/>
              <w:rPr>
                <w:rFonts w:eastAsiaTheme="minorEastAsia"/>
                <w:sz w:val="19"/>
                <w:lang w:eastAsia="en-AU"/>
              </w:rPr>
            </w:pPr>
            <w:r w:rsidRPr="006A75A2">
              <w:rPr>
                <w:rFonts w:eastAsiaTheme="minorEastAsia"/>
                <w:sz w:val="19"/>
                <w:lang w:eastAsia="en-AU"/>
              </w:rPr>
              <w:t>Amounts applied 2014</w:t>
            </w:r>
          </w:p>
        </w:tc>
        <w:tc>
          <w:tcPr>
            <w:tcW w:w="916" w:type="dxa"/>
            <w:tcBorders>
              <w:top w:val="single" w:sz="6" w:space="0" w:color="000000"/>
              <w:left w:val="nil"/>
              <w:right w:val="single" w:sz="6" w:space="0" w:color="000000"/>
            </w:tcBorders>
            <w:shd w:val="clear" w:color="000000" w:fill="000000"/>
          </w:tcPr>
          <w:p w:rsidR="00120EDE" w:rsidRPr="006A75A2" w:rsidRDefault="00120EDE" w:rsidP="00120EDE">
            <w:pPr>
              <w:pStyle w:val="Tabletextheading"/>
              <w:rPr>
                <w:rFonts w:eastAsiaTheme="minorEastAsia"/>
                <w:sz w:val="19"/>
                <w:lang w:eastAsia="en-AU"/>
              </w:rPr>
            </w:pPr>
            <w:r w:rsidRPr="006A75A2">
              <w:rPr>
                <w:rFonts w:eastAsiaTheme="minorEastAsia"/>
                <w:sz w:val="19"/>
                <w:lang w:eastAsia="en-AU"/>
              </w:rPr>
              <w:t>Amounts applied 2013</w:t>
            </w:r>
          </w:p>
        </w:tc>
      </w:tr>
      <w:tr w:rsidR="004E6C32" w:rsidRPr="006A75A2" w:rsidTr="004B5CB1">
        <w:tc>
          <w:tcPr>
            <w:tcW w:w="6280" w:type="dxa"/>
            <w:tcBorders>
              <w:top w:val="single" w:sz="6" w:space="0" w:color="000000"/>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534" w:type="dxa"/>
            <w:tcBorders>
              <w:top w:val="single" w:sz="6" w:space="0" w:color="000000"/>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0" w:type="dxa"/>
            <w:tcBorders>
              <w:top w:val="single" w:sz="6" w:space="0" w:color="000000"/>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6" w:type="dxa"/>
            <w:tcBorders>
              <w:top w:val="single" w:sz="6" w:space="0" w:color="000000"/>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Audit Act, No. 2 of 1994</w:t>
            </w:r>
            <w:r w:rsidRPr="006A75A2">
              <w:rPr>
                <w:rFonts w:eastAsiaTheme="minorEastAsia"/>
                <w:sz w:val="19"/>
                <w:lang w:eastAsia="en-AU"/>
              </w:rPr>
              <w:t xml:space="preserve"> – Audit of the Office of the Auditor-General</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17</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17</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16</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Constitution Act, No. 8750 of 1975</w:t>
            </w:r>
            <w:r w:rsidRPr="006A75A2">
              <w:rPr>
                <w:rFonts w:eastAsiaTheme="minorEastAsia"/>
                <w:sz w:val="19"/>
                <w:lang w:eastAsia="en-AU"/>
              </w:rPr>
              <w:t xml:space="preserve"> – Clerk of the Parliaments</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Constitution Act, No. 8750 of 1975</w:t>
            </w:r>
            <w:r w:rsidRPr="006A75A2">
              <w:rPr>
                <w:rFonts w:eastAsiaTheme="minorEastAsia"/>
                <w:sz w:val="19"/>
                <w:lang w:eastAsia="en-AU"/>
              </w:rPr>
              <w:t xml:space="preserve"> – Legislative Assembly </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550</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550</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550</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Parliamentary Salaries and Superannuation Act, No. 7723 of 1968</w:t>
            </w:r>
            <w:r w:rsidRPr="006A75A2">
              <w:rPr>
                <w:rFonts w:eastAsiaTheme="minorEastAsia"/>
                <w:sz w:val="19"/>
                <w:lang w:eastAsia="en-AU"/>
              </w:rPr>
              <w:t xml:space="preserve"> – Salaries and Allowances</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17 657</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17 657</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15 046</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Parliamentary Salaries and Superannuation Act, No. 7723 of 1968</w:t>
            </w:r>
            <w:r w:rsidRPr="006A75A2">
              <w:rPr>
                <w:rFonts w:eastAsiaTheme="minorEastAsia"/>
                <w:sz w:val="19"/>
                <w:lang w:eastAsia="en-AU"/>
              </w:rPr>
              <w:t xml:space="preserve"> – Section 13(1)(c) Contributions</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4 795</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4 795</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6 394</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special appropriations</w:t>
            </w:r>
          </w:p>
        </w:tc>
        <w:tc>
          <w:tcPr>
            <w:tcW w:w="1534"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23 021</w:t>
            </w:r>
          </w:p>
        </w:tc>
        <w:tc>
          <w:tcPr>
            <w:tcW w:w="91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23 021</w:t>
            </w:r>
          </w:p>
        </w:tc>
        <w:tc>
          <w:tcPr>
            <w:tcW w:w="916"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22 008</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4 525</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4 519</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4 411</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4 525</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4 519</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4 411</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4 525</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4 519</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4 411</w:t>
            </w:r>
          </w:p>
        </w:tc>
      </w:tr>
      <w:tr w:rsidR="004E6C32" w:rsidRPr="006A75A2" w:rsidTr="004B5CB1">
        <w:trPr>
          <w:trHeight w:hRule="exact" w:val="120"/>
        </w:trPr>
        <w:tc>
          <w:tcPr>
            <w:tcW w:w="6280" w:type="dxa"/>
            <w:tcBorders>
              <w:top w:val="single" w:sz="6" w:space="0" w:color="auto"/>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6" w:type="dxa"/>
            <w:tcBorders>
              <w:top w:val="single" w:sz="6" w:space="0" w:color="auto"/>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27 546</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27 540</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26 419</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tcBorders>
              <w:top w:val="single" w:sz="6" w:space="0" w:color="auto"/>
              <w:left w:val="single" w:sz="6" w:space="0" w:color="auto"/>
              <w:bottom w:val="single" w:sz="6" w:space="0" w:color="auto"/>
              <w:right w:val="nil"/>
            </w:tcBorders>
            <w:shd w:val="solid" w:color="000000" w:fill="auto"/>
          </w:tcPr>
          <w:p w:rsidR="004E6C32" w:rsidRPr="006A75A2" w:rsidRDefault="004E6C32" w:rsidP="004B5CB1">
            <w:pPr>
              <w:pStyle w:val="TabletextheadingLeft"/>
              <w:rPr>
                <w:rFonts w:eastAsiaTheme="minorEastAsia"/>
                <w:sz w:val="19"/>
                <w:lang w:eastAsia="en-AU"/>
              </w:rPr>
            </w:pPr>
            <w:r w:rsidRPr="006A75A2">
              <w:rPr>
                <w:rFonts w:eastAsiaTheme="minorEastAsia"/>
                <w:sz w:val="19"/>
                <w:lang w:eastAsia="en-AU"/>
              </w:rPr>
              <w:t>Legislative Council</w:t>
            </w:r>
          </w:p>
        </w:tc>
        <w:tc>
          <w:tcPr>
            <w:tcW w:w="1534" w:type="dxa"/>
            <w:tcBorders>
              <w:top w:val="single" w:sz="6" w:space="0" w:color="auto"/>
              <w:left w:val="single" w:sz="6" w:space="0" w:color="auto"/>
              <w:bottom w:val="single" w:sz="6" w:space="0" w:color="auto"/>
              <w:right w:val="nil"/>
            </w:tcBorders>
            <w:shd w:val="solid" w:color="000000"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0" w:type="dxa"/>
            <w:tcBorders>
              <w:top w:val="single" w:sz="6" w:space="0" w:color="auto"/>
              <w:left w:val="single" w:sz="6" w:space="0" w:color="auto"/>
              <w:bottom w:val="single" w:sz="6" w:space="0" w:color="auto"/>
              <w:right w:val="nil"/>
            </w:tcBorders>
            <w:shd w:val="solid" w:color="000000"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6" w:type="dxa"/>
            <w:tcBorders>
              <w:top w:val="single" w:sz="6" w:space="0" w:color="auto"/>
              <w:left w:val="nil"/>
              <w:bottom w:val="single" w:sz="6" w:space="0" w:color="auto"/>
              <w:right w:val="single" w:sz="6" w:space="0" w:color="auto"/>
            </w:tcBorders>
            <w:shd w:val="solid" w:color="000000" w:fill="auto"/>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Audit Act, No. 2 of 1994</w:t>
            </w:r>
            <w:r w:rsidRPr="006A75A2">
              <w:rPr>
                <w:rFonts w:eastAsiaTheme="minorEastAsia"/>
                <w:sz w:val="19"/>
                <w:lang w:eastAsia="en-AU"/>
              </w:rPr>
              <w:t xml:space="preserve"> – Audit of the Office of the Auditor-General</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16</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Constitution Act, No. 8750 of 1975</w:t>
            </w:r>
            <w:r w:rsidRPr="006A75A2">
              <w:rPr>
                <w:rFonts w:eastAsiaTheme="minorEastAsia"/>
                <w:sz w:val="19"/>
                <w:lang w:eastAsia="en-AU"/>
              </w:rPr>
              <w:t xml:space="preserve"> – Legislative Council</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200</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200</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200</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Parliamentary Salaries and Superannuation Act, No. 7723 of 1968</w:t>
            </w:r>
            <w:r w:rsidRPr="006A75A2">
              <w:rPr>
                <w:rFonts w:eastAsiaTheme="minorEastAsia"/>
                <w:sz w:val="19"/>
                <w:lang w:eastAsia="en-AU"/>
              </w:rPr>
              <w:t xml:space="preserve"> – Salaries and Allowances</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8 526</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8 526</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7 507</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Parliamentary Salaries and Superannuation Act, No. 7723 of 1968,</w:t>
            </w:r>
            <w:r w:rsidRPr="006A75A2">
              <w:rPr>
                <w:rFonts w:eastAsiaTheme="minorEastAsia"/>
                <w:sz w:val="19"/>
                <w:lang w:eastAsia="en-AU"/>
              </w:rPr>
              <w:t xml:space="preserve"> Section 13 (1)(c) – Contributions </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2 180</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2 180</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2 906</w:t>
            </w:r>
          </w:p>
        </w:tc>
      </w:tr>
      <w:tr w:rsidR="004E6C32" w:rsidRPr="006A75A2" w:rsidTr="004B5CB1">
        <w:tc>
          <w:tcPr>
            <w:tcW w:w="628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special appropriations</w:t>
            </w:r>
          </w:p>
        </w:tc>
        <w:tc>
          <w:tcPr>
            <w:tcW w:w="153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10 922</w:t>
            </w:r>
          </w:p>
        </w:tc>
        <w:tc>
          <w:tcPr>
            <w:tcW w:w="91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10 922</w:t>
            </w:r>
          </w:p>
        </w:tc>
        <w:tc>
          <w:tcPr>
            <w:tcW w:w="91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10 630</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3 081</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3 076</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2 861</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3 081</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3 076</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2 861</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gross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3 081</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3 076</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2 861</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53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14 003</w:t>
            </w:r>
          </w:p>
        </w:tc>
        <w:tc>
          <w:tcPr>
            <w:tcW w:w="91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13 998</w:t>
            </w:r>
          </w:p>
        </w:tc>
        <w:tc>
          <w:tcPr>
            <w:tcW w:w="91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13 490</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tcBorders>
              <w:top w:val="single" w:sz="6" w:space="0" w:color="auto"/>
              <w:left w:val="single" w:sz="6" w:space="0" w:color="auto"/>
              <w:bottom w:val="single" w:sz="6" w:space="0" w:color="auto"/>
              <w:right w:val="nil"/>
            </w:tcBorders>
            <w:shd w:val="solid" w:color="000000" w:fill="auto"/>
          </w:tcPr>
          <w:p w:rsidR="004E6C32" w:rsidRPr="006A75A2" w:rsidRDefault="004E6C32" w:rsidP="004B5CB1">
            <w:pPr>
              <w:pStyle w:val="TabletextheadingLeft"/>
              <w:rPr>
                <w:rFonts w:eastAsiaTheme="minorEastAsia"/>
                <w:sz w:val="19"/>
                <w:lang w:eastAsia="en-AU"/>
              </w:rPr>
            </w:pPr>
            <w:r w:rsidRPr="006A75A2">
              <w:rPr>
                <w:rFonts w:eastAsiaTheme="minorEastAsia"/>
                <w:sz w:val="19"/>
                <w:lang w:eastAsia="en-AU"/>
              </w:rPr>
              <w:t>Parliamentary Investigatory Committees</w:t>
            </w:r>
          </w:p>
        </w:tc>
        <w:tc>
          <w:tcPr>
            <w:tcW w:w="1534" w:type="dxa"/>
            <w:tcBorders>
              <w:top w:val="single" w:sz="6" w:space="0" w:color="auto"/>
              <w:left w:val="single" w:sz="6" w:space="0" w:color="auto"/>
              <w:bottom w:val="single" w:sz="6" w:space="0" w:color="auto"/>
              <w:right w:val="nil"/>
            </w:tcBorders>
            <w:shd w:val="solid" w:color="000000"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0" w:type="dxa"/>
            <w:tcBorders>
              <w:top w:val="single" w:sz="6" w:space="0" w:color="auto"/>
              <w:left w:val="single" w:sz="6" w:space="0" w:color="auto"/>
              <w:bottom w:val="single" w:sz="6" w:space="0" w:color="auto"/>
              <w:right w:val="nil"/>
            </w:tcBorders>
            <w:shd w:val="solid" w:color="000000"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6" w:type="dxa"/>
            <w:tcBorders>
              <w:top w:val="single" w:sz="6" w:space="0" w:color="auto"/>
              <w:left w:val="nil"/>
              <w:bottom w:val="single" w:sz="6" w:space="0" w:color="auto"/>
              <w:right w:val="single" w:sz="6" w:space="0" w:color="auto"/>
            </w:tcBorders>
            <w:shd w:val="solid" w:color="000000" w:fill="auto"/>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7 196</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7 040</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6 676</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7 196</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7 040</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6 676</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7 196</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7 040</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6 676</w:t>
            </w:r>
          </w:p>
        </w:tc>
      </w:tr>
      <w:tr w:rsidR="004E6C32" w:rsidRPr="006A75A2" w:rsidTr="004B5CB1">
        <w:trPr>
          <w:trHeight w:hRule="exact" w:val="120"/>
        </w:trPr>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53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7 196</w:t>
            </w:r>
          </w:p>
        </w:tc>
        <w:tc>
          <w:tcPr>
            <w:tcW w:w="91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7 040</w:t>
            </w:r>
          </w:p>
        </w:tc>
        <w:tc>
          <w:tcPr>
            <w:tcW w:w="91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6 676</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tcBorders>
              <w:top w:val="single" w:sz="6" w:space="0" w:color="auto"/>
              <w:left w:val="single" w:sz="6" w:space="0" w:color="auto"/>
              <w:bottom w:val="single" w:sz="6" w:space="0" w:color="auto"/>
              <w:right w:val="nil"/>
            </w:tcBorders>
            <w:shd w:val="solid" w:color="000000" w:fill="auto"/>
          </w:tcPr>
          <w:p w:rsidR="004E6C32" w:rsidRPr="006A75A2" w:rsidRDefault="004E6C32" w:rsidP="004B5CB1">
            <w:pPr>
              <w:pStyle w:val="TabletextheadingLeft"/>
              <w:rPr>
                <w:rFonts w:eastAsiaTheme="minorEastAsia"/>
                <w:sz w:val="19"/>
                <w:lang w:eastAsia="en-AU"/>
              </w:rPr>
            </w:pPr>
            <w:r w:rsidRPr="006A75A2">
              <w:rPr>
                <w:rFonts w:eastAsiaTheme="minorEastAsia"/>
                <w:sz w:val="19"/>
                <w:lang w:eastAsia="en-AU"/>
              </w:rPr>
              <w:t>Parliamentary Services</w:t>
            </w:r>
          </w:p>
        </w:tc>
        <w:tc>
          <w:tcPr>
            <w:tcW w:w="1534" w:type="dxa"/>
            <w:tcBorders>
              <w:top w:val="single" w:sz="6" w:space="0" w:color="auto"/>
              <w:left w:val="single" w:sz="6" w:space="0" w:color="auto"/>
              <w:bottom w:val="single" w:sz="6" w:space="0" w:color="auto"/>
              <w:right w:val="nil"/>
            </w:tcBorders>
            <w:shd w:val="solid" w:color="000000"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0" w:type="dxa"/>
            <w:tcBorders>
              <w:top w:val="single" w:sz="6" w:space="0" w:color="auto"/>
              <w:left w:val="single" w:sz="6" w:space="0" w:color="auto"/>
              <w:bottom w:val="single" w:sz="6" w:space="0" w:color="auto"/>
              <w:right w:val="nil"/>
            </w:tcBorders>
            <w:shd w:val="solid" w:color="000000"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6" w:type="dxa"/>
            <w:tcBorders>
              <w:top w:val="single" w:sz="6" w:space="0" w:color="auto"/>
              <w:left w:val="nil"/>
              <w:bottom w:val="single" w:sz="6" w:space="0" w:color="auto"/>
              <w:right w:val="single" w:sz="6" w:space="0" w:color="auto"/>
            </w:tcBorders>
            <w:shd w:val="solid" w:color="000000" w:fill="auto"/>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82 130</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78 742</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69 095</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i/>
                <w:sz w:val="19"/>
                <w:lang w:eastAsia="en-AU"/>
              </w:rPr>
            </w:pPr>
            <w:r w:rsidRPr="006A75A2">
              <w:rPr>
                <w:rFonts w:eastAsiaTheme="minorEastAsia"/>
                <w:sz w:val="19"/>
                <w:lang w:eastAsia="en-AU"/>
              </w:rPr>
              <w:t>Section 29</w:t>
            </w:r>
            <w:r w:rsidRPr="006A75A2">
              <w:rPr>
                <w:rFonts w:eastAsiaTheme="minorEastAsia"/>
                <w:i/>
                <w:sz w:val="19"/>
                <w:lang w:eastAsia="en-AU"/>
              </w:rPr>
              <w:t xml:space="preserve"> Financial Management Act, No. 18 of 1994</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77</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77</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75</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3 464</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3 464</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4 617</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8 160</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85 671</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82 284</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81 947</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534" w:type="dxa"/>
            <w:tcBorders>
              <w:top w:val="nil"/>
              <w:left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85 671</w:t>
            </w:r>
          </w:p>
        </w:tc>
        <w:tc>
          <w:tcPr>
            <w:tcW w:w="910" w:type="dxa"/>
            <w:tcBorders>
              <w:top w:val="nil"/>
              <w:left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82 284</w:t>
            </w:r>
          </w:p>
        </w:tc>
        <w:tc>
          <w:tcPr>
            <w:tcW w:w="916" w:type="dxa"/>
            <w:tcBorders>
              <w:top w:val="nil"/>
              <w:left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81 947</w:t>
            </w:r>
          </w:p>
        </w:tc>
      </w:tr>
      <w:tr w:rsidR="004E6C32" w:rsidRPr="006A75A2" w:rsidTr="004B5CB1">
        <w:trPr>
          <w:trHeight w:hRule="exact" w:val="120"/>
        </w:trPr>
        <w:tc>
          <w:tcPr>
            <w:tcW w:w="6280" w:type="dxa"/>
            <w:tcBorders>
              <w:top w:val="nil"/>
              <w:left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bl>
    <w:p w:rsidR="0086033C" w:rsidRPr="006A75A2" w:rsidRDefault="0086033C"/>
    <w:p w:rsidR="0086033C" w:rsidRPr="006A75A2" w:rsidRDefault="0086033C" w:rsidP="0086033C">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86033C" w:rsidRPr="006A75A2" w:rsidRDefault="0086033C" w:rsidP="0086033C">
      <w:pPr>
        <w:pStyle w:val="Heading5"/>
      </w:pPr>
      <w:r w:rsidRPr="006A75A2">
        <w:t>(o)</w:t>
      </w:r>
      <w:r w:rsidRPr="006A75A2">
        <w:tab/>
        <w:t xml:space="preserve">Parliamentary authority – Parliament </w:t>
      </w:r>
      <w:r w:rsidRPr="006A75A2">
        <w:rPr>
          <w:i/>
        </w:rPr>
        <w:t>(continued)</w:t>
      </w:r>
    </w:p>
    <w:p w:rsidR="0086033C" w:rsidRPr="006A75A2" w:rsidRDefault="0086033C" w:rsidP="0086033C">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280"/>
        <w:gridCol w:w="1534"/>
        <w:gridCol w:w="910"/>
        <w:gridCol w:w="916"/>
      </w:tblGrid>
      <w:tr w:rsidR="0086033C" w:rsidRPr="006A75A2" w:rsidTr="00A659BA">
        <w:trPr>
          <w:trHeight w:val="51"/>
          <w:tblHeader/>
        </w:trPr>
        <w:tc>
          <w:tcPr>
            <w:tcW w:w="6280" w:type="dxa"/>
            <w:tcBorders>
              <w:top w:val="single" w:sz="6" w:space="0" w:color="000000"/>
              <w:left w:val="single" w:sz="6" w:space="0" w:color="000000"/>
              <w:right w:val="nil"/>
            </w:tcBorders>
            <w:shd w:val="clear" w:color="000000" w:fill="000000"/>
          </w:tcPr>
          <w:p w:rsidR="0086033C" w:rsidRPr="006A75A2" w:rsidRDefault="0086033C" w:rsidP="00A659BA">
            <w:pPr>
              <w:pStyle w:val="TabletextheadingLeft"/>
              <w:rPr>
                <w:rFonts w:eastAsiaTheme="minorEastAsia"/>
                <w:sz w:val="19"/>
                <w:lang w:eastAsia="en-AU"/>
              </w:rPr>
            </w:pPr>
            <w:r w:rsidRPr="006A75A2">
              <w:rPr>
                <w:rFonts w:eastAsiaTheme="minorEastAsia"/>
                <w:sz w:val="19"/>
                <w:lang w:eastAsia="en-AU"/>
              </w:rPr>
              <w:t>Parliamentary Services (continued)</w:t>
            </w:r>
          </w:p>
        </w:tc>
        <w:tc>
          <w:tcPr>
            <w:tcW w:w="1534" w:type="dxa"/>
            <w:tcBorders>
              <w:top w:val="single" w:sz="6" w:space="0" w:color="000000"/>
              <w:left w:val="nil"/>
              <w:right w:val="nil"/>
            </w:tcBorders>
            <w:shd w:val="clear" w:color="000000" w:fill="000000"/>
          </w:tcPr>
          <w:p w:rsidR="0086033C" w:rsidRPr="006A75A2" w:rsidRDefault="0086033C" w:rsidP="00A659BA">
            <w:pPr>
              <w:pStyle w:val="Tabletextheading"/>
              <w:rPr>
                <w:rFonts w:eastAsiaTheme="minorEastAsia"/>
                <w:sz w:val="19"/>
                <w:lang w:eastAsia="en-AU"/>
              </w:rPr>
            </w:pPr>
            <w:r w:rsidRPr="006A75A2">
              <w:rPr>
                <w:rFonts w:eastAsiaTheme="minorEastAsia"/>
                <w:sz w:val="19"/>
                <w:lang w:eastAsia="en-AU"/>
              </w:rPr>
              <w:t>Parliamentary authority</w:t>
            </w:r>
            <w:r w:rsidRPr="006A75A2">
              <w:rPr>
                <w:rFonts w:eastAsiaTheme="minorEastAsia"/>
                <w:sz w:val="19"/>
                <w:lang w:eastAsia="en-AU"/>
              </w:rPr>
              <w:br/>
              <w:t>2014</w:t>
            </w:r>
            <w:r w:rsidRPr="006A75A2">
              <w:rPr>
                <w:rFonts w:eastAsiaTheme="minorEastAsia"/>
                <w:b/>
                <w:sz w:val="19"/>
                <w:lang w:eastAsia="en-AU"/>
              </w:rPr>
              <w:t xml:space="preserve"> </w:t>
            </w:r>
          </w:p>
        </w:tc>
        <w:tc>
          <w:tcPr>
            <w:tcW w:w="910" w:type="dxa"/>
            <w:tcBorders>
              <w:top w:val="single" w:sz="6" w:space="0" w:color="000000"/>
              <w:left w:val="nil"/>
              <w:right w:val="nil"/>
            </w:tcBorders>
            <w:shd w:val="clear" w:color="000000" w:fill="000000"/>
          </w:tcPr>
          <w:p w:rsidR="0086033C" w:rsidRPr="006A75A2" w:rsidRDefault="0086033C" w:rsidP="00A659BA">
            <w:pPr>
              <w:pStyle w:val="Tabletextheading"/>
              <w:rPr>
                <w:rFonts w:eastAsiaTheme="minorEastAsia"/>
                <w:sz w:val="19"/>
                <w:lang w:eastAsia="en-AU"/>
              </w:rPr>
            </w:pPr>
            <w:r w:rsidRPr="006A75A2">
              <w:rPr>
                <w:rFonts w:eastAsiaTheme="minorEastAsia"/>
                <w:sz w:val="19"/>
                <w:lang w:eastAsia="en-AU"/>
              </w:rPr>
              <w:t>Amounts applied 2014</w:t>
            </w:r>
          </w:p>
        </w:tc>
        <w:tc>
          <w:tcPr>
            <w:tcW w:w="916" w:type="dxa"/>
            <w:tcBorders>
              <w:top w:val="single" w:sz="6" w:space="0" w:color="000000"/>
              <w:left w:val="nil"/>
              <w:right w:val="single" w:sz="6" w:space="0" w:color="000000"/>
            </w:tcBorders>
            <w:shd w:val="clear" w:color="000000" w:fill="000000"/>
          </w:tcPr>
          <w:p w:rsidR="0086033C" w:rsidRPr="006A75A2" w:rsidRDefault="0086033C" w:rsidP="00A659BA">
            <w:pPr>
              <w:pStyle w:val="Tabletextheading"/>
              <w:rPr>
                <w:rFonts w:eastAsiaTheme="minorEastAsia"/>
                <w:sz w:val="19"/>
                <w:lang w:eastAsia="en-AU"/>
              </w:rPr>
            </w:pPr>
            <w:r w:rsidRPr="006A75A2">
              <w:rPr>
                <w:rFonts w:eastAsiaTheme="minorEastAsia"/>
                <w:sz w:val="19"/>
                <w:lang w:eastAsia="en-AU"/>
              </w:rPr>
              <w:t>Amounts applied 2013</w:t>
            </w:r>
          </w:p>
        </w:tc>
      </w:tr>
      <w:tr w:rsidR="004E6C32" w:rsidRPr="006A75A2" w:rsidTr="004B5CB1">
        <w:tc>
          <w:tcPr>
            <w:tcW w:w="6280" w:type="dxa"/>
            <w:tcBorders>
              <w:left w:val="nil"/>
              <w:bottom w:val="single" w:sz="6" w:space="0" w:color="auto"/>
              <w:right w:val="nil"/>
            </w:tcBorders>
          </w:tcPr>
          <w:p w:rsidR="004E6C32" w:rsidRPr="006A75A2" w:rsidRDefault="004E6C32" w:rsidP="0086033C">
            <w:pPr>
              <w:pStyle w:val="Tabletext"/>
              <w:ind w:left="181" w:hanging="181"/>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534" w:type="dxa"/>
            <w:tcBorders>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85 671</w:t>
            </w:r>
          </w:p>
        </w:tc>
        <w:tc>
          <w:tcPr>
            <w:tcW w:w="910" w:type="dxa"/>
            <w:tcBorders>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82 284</w:t>
            </w:r>
          </w:p>
        </w:tc>
        <w:tc>
          <w:tcPr>
            <w:tcW w:w="916" w:type="dxa"/>
            <w:tcBorders>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81 947</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3 646</w:t>
            </w:r>
          </w:p>
        </w:tc>
      </w:tr>
      <w:tr w:rsidR="004E6C32" w:rsidRPr="006A75A2" w:rsidTr="004B5CB1">
        <w:trPr>
          <w:trHeight w:hRule="exact" w:val="120"/>
        </w:trPr>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p>
        </w:tc>
      </w:tr>
      <w:tr w:rsidR="004E6C32" w:rsidRPr="006A75A2" w:rsidTr="004B5CB1">
        <w:tc>
          <w:tcPr>
            <w:tcW w:w="628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53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85 671</w:t>
            </w:r>
          </w:p>
        </w:tc>
        <w:tc>
          <w:tcPr>
            <w:tcW w:w="91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82 284</w:t>
            </w:r>
          </w:p>
        </w:tc>
        <w:tc>
          <w:tcPr>
            <w:tcW w:w="91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85 593</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tcBorders>
              <w:top w:val="single" w:sz="6" w:space="0" w:color="auto"/>
              <w:left w:val="single" w:sz="6" w:space="0" w:color="auto"/>
              <w:right w:val="nil"/>
            </w:tcBorders>
            <w:shd w:val="solid" w:color="000000" w:fill="auto"/>
          </w:tcPr>
          <w:p w:rsidR="004E6C32" w:rsidRPr="006A75A2" w:rsidRDefault="004E6C32" w:rsidP="004B5CB1">
            <w:pPr>
              <w:pStyle w:val="TabletextheadingLeft"/>
              <w:rPr>
                <w:rFonts w:eastAsiaTheme="minorEastAsia"/>
                <w:sz w:val="19"/>
                <w:lang w:eastAsia="en-AU"/>
              </w:rPr>
            </w:pPr>
            <w:r w:rsidRPr="006A75A2">
              <w:rPr>
                <w:rFonts w:eastAsiaTheme="minorEastAsia"/>
                <w:sz w:val="19"/>
                <w:lang w:eastAsia="en-AU"/>
              </w:rPr>
              <w:t>Auditor-General</w:t>
            </w:r>
          </w:p>
        </w:tc>
        <w:tc>
          <w:tcPr>
            <w:tcW w:w="1534" w:type="dxa"/>
            <w:tcBorders>
              <w:top w:val="nil"/>
              <w:left w:val="nil"/>
              <w:right w:val="nil"/>
            </w:tcBorders>
            <w:shd w:val="solid" w:color="000000" w:fill="auto"/>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right w:val="nil"/>
            </w:tcBorders>
            <w:shd w:val="solid" w:color="000000" w:fill="auto"/>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single" w:sz="6" w:space="0" w:color="auto"/>
              <w:left w:val="nil"/>
              <w:right w:val="single" w:sz="6" w:space="0" w:color="auto"/>
            </w:tcBorders>
            <w:shd w:val="solid" w:color="000000" w:fill="auto"/>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534" w:type="dxa"/>
            <w:tcBorders>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Constitution Act No. 8750 of 1975</w:t>
            </w:r>
            <w:r w:rsidRPr="006A75A2">
              <w:rPr>
                <w:rFonts w:eastAsiaTheme="minorEastAsia"/>
                <w:sz w:val="19"/>
                <w:lang w:eastAsia="en-AU"/>
              </w:rPr>
              <w:t xml:space="preserve"> – Auditor-General</w:t>
            </w:r>
            <w:r w:rsidR="00C96101" w:rsidRPr="006A75A2">
              <w:rPr>
                <w:rFonts w:eastAsiaTheme="minorEastAsia"/>
                <w:sz w:val="19"/>
                <w:lang w:eastAsia="en-AU"/>
              </w:rPr>
              <w:t>’</w:t>
            </w:r>
            <w:r w:rsidRPr="006A75A2">
              <w:rPr>
                <w:rFonts w:eastAsiaTheme="minorEastAsia"/>
                <w:sz w:val="19"/>
                <w:lang w:eastAsia="en-AU"/>
              </w:rPr>
              <w:t>s salary</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495</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495</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362</w:t>
            </w:r>
          </w:p>
        </w:tc>
      </w:tr>
      <w:tr w:rsidR="004E6C32" w:rsidRPr="006A75A2" w:rsidTr="004B5CB1">
        <w:tc>
          <w:tcPr>
            <w:tcW w:w="628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special appropriations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53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495</w:t>
            </w:r>
          </w:p>
        </w:tc>
        <w:tc>
          <w:tcPr>
            <w:tcW w:w="91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495</w:t>
            </w:r>
          </w:p>
        </w:tc>
        <w:tc>
          <w:tcPr>
            <w:tcW w:w="916"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362</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15 286</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15 179</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14 661</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534"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23 191</w:t>
            </w:r>
          </w:p>
        </w:tc>
        <w:tc>
          <w:tcPr>
            <w:tcW w:w="91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23 191</w:t>
            </w:r>
          </w:p>
        </w:tc>
        <w:tc>
          <w:tcPr>
            <w:tcW w:w="916"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23 136</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344</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38 477</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38 370</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38 141</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38 477</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38 370</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38 141</w:t>
            </w:r>
          </w:p>
        </w:tc>
      </w:tr>
      <w:tr w:rsidR="004E6C32" w:rsidRPr="006A75A2" w:rsidTr="004B5CB1">
        <w:trPr>
          <w:trHeight w:hRule="exact" w:val="120"/>
        </w:trPr>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534"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38 972</w:t>
            </w:r>
          </w:p>
        </w:tc>
        <w:tc>
          <w:tcPr>
            <w:tcW w:w="91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38 865</w:t>
            </w:r>
          </w:p>
        </w:tc>
        <w:tc>
          <w:tcPr>
            <w:tcW w:w="916"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38 503</w:t>
            </w:r>
          </w:p>
        </w:tc>
      </w:tr>
      <w:tr w:rsidR="004E6C32" w:rsidRPr="006A75A2" w:rsidTr="004B5CB1">
        <w:trPr>
          <w:trHeight w:hRule="exact" w:val="120"/>
        </w:trPr>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534"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916"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534"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38 972</w:t>
            </w:r>
          </w:p>
        </w:tc>
        <w:tc>
          <w:tcPr>
            <w:tcW w:w="91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38 865</w:t>
            </w:r>
          </w:p>
        </w:tc>
        <w:tc>
          <w:tcPr>
            <w:tcW w:w="916"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38 503</w:t>
            </w:r>
          </w:p>
        </w:tc>
      </w:tr>
    </w:tbl>
    <w:p w:rsidR="004E6C32" w:rsidRPr="006A75A2" w:rsidRDefault="004E6C32" w:rsidP="004B5CB1">
      <w:pPr>
        <w:pStyle w:val="million"/>
      </w:pPr>
    </w:p>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(p)</w:t>
      </w:r>
      <w:r w:rsidRPr="006A75A2">
        <w:tab/>
        <w:t>Parliamentary authority – Education and Early Childhood Development</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5971"/>
        <w:gridCol w:w="309"/>
        <w:gridCol w:w="1120"/>
        <w:gridCol w:w="1120"/>
        <w:gridCol w:w="1120"/>
      </w:tblGrid>
      <w:tr w:rsidR="00A67F93" w:rsidRPr="006A75A2" w:rsidTr="00A67F93">
        <w:trPr>
          <w:trHeight w:val="711"/>
        </w:trPr>
        <w:tc>
          <w:tcPr>
            <w:tcW w:w="5971" w:type="dxa"/>
            <w:tcBorders>
              <w:top w:val="single" w:sz="6" w:space="0" w:color="auto"/>
              <w:left w:val="single" w:sz="6" w:space="0" w:color="auto"/>
              <w:right w:val="nil"/>
            </w:tcBorders>
            <w:shd w:val="clear" w:color="000000" w:fill="000000"/>
          </w:tcPr>
          <w:p w:rsidR="00A67F93" w:rsidRPr="006A75A2" w:rsidRDefault="00A67F93" w:rsidP="004B5CB1">
            <w:pPr>
              <w:pStyle w:val="Tabletext"/>
              <w:rPr>
                <w:rFonts w:eastAsiaTheme="minorEastAsia"/>
                <w:sz w:val="19"/>
                <w:lang w:eastAsia="en-AU"/>
              </w:rPr>
            </w:pPr>
          </w:p>
        </w:tc>
        <w:tc>
          <w:tcPr>
            <w:tcW w:w="1429" w:type="dxa"/>
            <w:gridSpan w:val="2"/>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Parliamentary authority</w:t>
            </w:r>
            <w:r w:rsidRPr="006A75A2">
              <w:rPr>
                <w:rFonts w:eastAsiaTheme="minorEastAsia"/>
                <w:sz w:val="19"/>
                <w:lang w:eastAsia="en-AU"/>
              </w:rPr>
              <w:br/>
              <w:t>2014</w:t>
            </w:r>
          </w:p>
        </w:tc>
        <w:tc>
          <w:tcPr>
            <w:tcW w:w="112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w:t>
            </w:r>
            <w:r w:rsidRPr="006A75A2">
              <w:rPr>
                <w:rFonts w:eastAsiaTheme="minorEastAsia"/>
                <w:sz w:val="19"/>
                <w:lang w:eastAsia="en-AU"/>
              </w:rPr>
              <w:br/>
              <w:t>applied</w:t>
            </w:r>
            <w:r w:rsidRPr="006A75A2">
              <w:rPr>
                <w:rFonts w:eastAsiaTheme="minorEastAsia"/>
                <w:sz w:val="19"/>
                <w:lang w:eastAsia="en-AU"/>
              </w:rPr>
              <w:br/>
              <w:t>2014</w:t>
            </w:r>
          </w:p>
        </w:tc>
        <w:tc>
          <w:tcPr>
            <w:tcW w:w="1120" w:type="dxa"/>
            <w:tcBorders>
              <w:top w:val="single" w:sz="6" w:space="0" w:color="auto"/>
              <w:left w:val="nil"/>
              <w:right w:val="single" w:sz="6" w:space="0" w:color="auto"/>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w:t>
            </w:r>
            <w:r w:rsidRPr="006A75A2">
              <w:rPr>
                <w:rFonts w:eastAsiaTheme="minorEastAsia"/>
                <w:sz w:val="19"/>
                <w:lang w:eastAsia="en-AU"/>
              </w:rPr>
              <w:br/>
              <w:t>applied</w:t>
            </w:r>
            <w:r w:rsidRPr="006A75A2">
              <w:rPr>
                <w:rFonts w:eastAsiaTheme="minorEastAsia"/>
                <w:sz w:val="19"/>
                <w:lang w:eastAsia="en-AU"/>
              </w:rPr>
              <w:br/>
              <w:t>2013</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Education and Training Reform Act No. 24/26 of 2006</w:t>
            </w:r>
            <w:r w:rsidRPr="006A75A2">
              <w:rPr>
                <w:rFonts w:eastAsiaTheme="minorEastAsia"/>
                <w:sz w:val="19"/>
                <w:lang w:eastAsia="en-AU"/>
              </w:rPr>
              <w:t xml:space="preserve"> – Section 5.6.8 – Volunteer Workers Compensation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199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199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227</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10 </w:t>
            </w:r>
            <w:r w:rsidRPr="006A75A2">
              <w:rPr>
                <w:rFonts w:eastAsiaTheme="minorEastAsia"/>
                <w:i/>
                <w:sz w:val="19"/>
                <w:lang w:eastAsia="en-AU"/>
              </w:rPr>
              <w:t>Financial Management Act, No. 18 of 1994</w:t>
            </w:r>
            <w:r w:rsidRPr="006A75A2">
              <w:rPr>
                <w:rFonts w:eastAsiaTheme="minorEastAsia"/>
                <w:sz w:val="19"/>
                <w:lang w:eastAsia="en-AU"/>
              </w:rPr>
              <w:t xml:space="preserve"> – Appropriation of Commonwealth grants etc.</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6 243</w:t>
            </w:r>
          </w:p>
        </w:tc>
      </w:tr>
      <w:tr w:rsidR="004E6C32" w:rsidRPr="006A75A2" w:rsidTr="004B5CB1">
        <w:tc>
          <w:tcPr>
            <w:tcW w:w="6280" w:type="dxa"/>
            <w:gridSpan w:val="2"/>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special appropriations (excluding </w:t>
            </w:r>
            <w:r w:rsidRPr="006A75A2">
              <w:rPr>
                <w:rFonts w:eastAsiaTheme="minorEastAsia"/>
                <w:b/>
                <w:bCs/>
                <w:i/>
                <w:sz w:val="19"/>
                <w:lang w:eastAsia="en-AU"/>
              </w:rPr>
              <w:t xml:space="preserve">Financial Management Act, No. 18 of 1994 </w:t>
            </w:r>
            <w:r w:rsidRPr="006A75A2">
              <w:rPr>
                <w:rFonts w:eastAsiaTheme="minorEastAsia"/>
                <w:b/>
                <w:bCs/>
                <w:sz w:val="19"/>
                <w:lang w:eastAsia="en-AU"/>
              </w:rPr>
              <w:t>Section 33)</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199</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199</w:t>
            </w:r>
          </w:p>
        </w:tc>
        <w:tc>
          <w:tcPr>
            <w:tcW w:w="1120" w:type="dxa"/>
            <w:tcBorders>
              <w:top w:val="single" w:sz="6" w:space="0" w:color="auto"/>
              <w:left w:val="nil"/>
              <w:bottom w:val="single" w:sz="6" w:space="0" w:color="auto"/>
              <w:right w:val="nil"/>
            </w:tcBorders>
            <w:shd w:val="solid" w:color="FFFFFF"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6 470</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9 635 523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9 470 292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9 515 878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514 204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450 144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513 588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220 031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220 031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119 734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175 001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174 622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204 185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201 835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226 563</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10 748 944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10 516 924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10 375 763</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 base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85 919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75 735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1 335</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tabs>
                <w:tab w:val="left" w:pos="4510"/>
              </w:tabs>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34 032</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2 500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2 500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1 000</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88 419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78 235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36 367</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10 837 362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10 595 158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10 412 131</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10 837 561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10 595 357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10 418 600</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43 448</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10 837 561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10 595 357</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10 462 048</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Public account disclosure</w:t>
      </w:r>
      <w:r w:rsidRPr="006A75A2">
        <w:rPr>
          <w:i/>
          <w:kern w:val="0"/>
        </w:rPr>
        <w:t xml:space="preserve"> (continued)</w:t>
      </w:r>
    </w:p>
    <w:p w:rsidR="004E6C32" w:rsidRPr="006A75A2" w:rsidRDefault="004E6C32" w:rsidP="0067336F">
      <w:pPr>
        <w:pStyle w:val="Heading5"/>
      </w:pPr>
      <w:r w:rsidRPr="006A75A2">
        <w:t>(q)</w:t>
      </w:r>
      <w:r w:rsidRPr="006A75A2">
        <w:tab/>
        <w:t>Parliamentary authority – Environment and Primary Industries</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113"/>
        <w:gridCol w:w="167"/>
        <w:gridCol w:w="1120"/>
        <w:gridCol w:w="1120"/>
        <w:gridCol w:w="1120"/>
      </w:tblGrid>
      <w:tr w:rsidR="00A67F93" w:rsidRPr="006A75A2" w:rsidTr="00A67F93">
        <w:trPr>
          <w:trHeight w:val="711"/>
        </w:trPr>
        <w:tc>
          <w:tcPr>
            <w:tcW w:w="6113" w:type="dxa"/>
            <w:tcBorders>
              <w:top w:val="single" w:sz="6" w:space="0" w:color="auto"/>
              <w:left w:val="single" w:sz="6" w:space="0" w:color="auto"/>
              <w:right w:val="nil"/>
            </w:tcBorders>
            <w:shd w:val="clear" w:color="000000" w:fill="000000"/>
          </w:tcPr>
          <w:p w:rsidR="00A67F93" w:rsidRPr="006A75A2" w:rsidRDefault="00A67F93" w:rsidP="004B5CB1">
            <w:pPr>
              <w:pStyle w:val="Tabletext"/>
              <w:rPr>
                <w:rFonts w:eastAsiaTheme="minorEastAsia"/>
                <w:sz w:val="19"/>
                <w:lang w:eastAsia="en-AU"/>
              </w:rPr>
            </w:pPr>
          </w:p>
        </w:tc>
        <w:tc>
          <w:tcPr>
            <w:tcW w:w="1287" w:type="dxa"/>
            <w:gridSpan w:val="2"/>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Parliamentary</w:t>
            </w:r>
            <w:r w:rsidRPr="006A75A2">
              <w:rPr>
                <w:rFonts w:eastAsiaTheme="minorEastAsia"/>
                <w:sz w:val="19"/>
                <w:lang w:eastAsia="en-AU"/>
              </w:rPr>
              <w:br/>
              <w:t>authority</w:t>
            </w:r>
            <w:r w:rsidRPr="006A75A2">
              <w:rPr>
                <w:rFonts w:eastAsiaTheme="minorEastAsia"/>
                <w:sz w:val="19"/>
                <w:lang w:eastAsia="en-AU"/>
              </w:rPr>
              <w:br/>
              <w:t>2014</w:t>
            </w:r>
          </w:p>
        </w:tc>
        <w:tc>
          <w:tcPr>
            <w:tcW w:w="112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w:t>
            </w:r>
            <w:r w:rsidRPr="006A75A2">
              <w:rPr>
                <w:rFonts w:eastAsiaTheme="minorEastAsia"/>
                <w:sz w:val="19"/>
                <w:lang w:eastAsia="en-AU"/>
              </w:rPr>
              <w:br/>
              <w:t>applied</w:t>
            </w:r>
            <w:r w:rsidRPr="006A75A2">
              <w:rPr>
                <w:rFonts w:eastAsiaTheme="minorEastAsia"/>
                <w:sz w:val="19"/>
                <w:lang w:eastAsia="en-AU"/>
              </w:rPr>
              <w:br/>
              <w:t>2014</w:t>
            </w:r>
          </w:p>
        </w:tc>
        <w:tc>
          <w:tcPr>
            <w:tcW w:w="1120" w:type="dxa"/>
            <w:tcBorders>
              <w:top w:val="single" w:sz="6" w:space="0" w:color="auto"/>
              <w:left w:val="nil"/>
              <w:right w:val="single" w:sz="6" w:space="0" w:color="auto"/>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w:t>
            </w:r>
            <w:r w:rsidRPr="006A75A2">
              <w:rPr>
                <w:rFonts w:eastAsiaTheme="minorEastAsia"/>
                <w:sz w:val="19"/>
                <w:lang w:eastAsia="en-AU"/>
              </w:rPr>
              <w:br/>
              <w:t>applied</w:t>
            </w:r>
            <w:r w:rsidRPr="006A75A2">
              <w:rPr>
                <w:rFonts w:eastAsiaTheme="minorEastAsia"/>
                <w:sz w:val="19"/>
                <w:lang w:eastAsia="en-AU"/>
              </w:rPr>
              <w:br/>
              <w:t>2013</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Financial Management Act, No.18 of 1994,</w:t>
            </w:r>
            <w:r w:rsidRPr="006A75A2">
              <w:rPr>
                <w:rFonts w:eastAsiaTheme="minorEastAsia"/>
                <w:sz w:val="19"/>
                <w:lang w:eastAsia="en-AU"/>
              </w:rPr>
              <w:t xml:space="preserve"> Section 10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2 040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2 040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14 545</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Financial Management Act, No.18 of 1994,</w:t>
            </w:r>
            <w:r w:rsidRPr="006A75A2">
              <w:rPr>
                <w:rFonts w:eastAsiaTheme="minorEastAsia"/>
                <w:sz w:val="19"/>
                <w:lang w:eastAsia="en-AU"/>
              </w:rPr>
              <w:t xml:space="preserve"> Section 28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1 600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1 600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special appropriations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3 640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3 640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14 545</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1 225 244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1 064 866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738 064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170 285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150 910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106 635</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112 800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112 717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50 843</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99 322</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77 200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67 721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32 704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Victorian Water Trust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2 358</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r w:rsidRPr="006A75A2">
              <w:rPr>
                <w:rFonts w:eastAsiaTheme="minorEastAsia"/>
                <w:sz w:val="19"/>
                <w:lang w:eastAsia="en-AU"/>
              </w:rPr>
              <w:t xml:space="preserve"> – Victorian Water Trust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769</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1 585 544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1 396 229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1 030 695</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 base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Additions to the net asset base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82 381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39 649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46 659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46 538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8 079</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69 273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60 352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99 171</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 xml:space="preserve">Financial Management Act, No. 18 of 1994 </w:t>
            </w:r>
            <w:r w:rsidRPr="006A75A2">
              <w:rPr>
                <w:rFonts w:eastAsiaTheme="minorEastAsia"/>
                <w:sz w:val="19"/>
                <w:lang w:eastAsia="en-AU"/>
              </w:rPr>
              <w:t>– Victorian Water Trust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6 949</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198 313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146 539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114 199</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Payments made on behalf of the State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Payments made on behalf of the State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893 313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856 805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416 770</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4 123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4 123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for payments made on behalf of the State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897 436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860 928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416 770</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Other</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25 of the </w:t>
            </w:r>
            <w:r w:rsidRPr="006A75A2">
              <w:rPr>
                <w:rFonts w:eastAsiaTheme="minorEastAsia"/>
                <w:i/>
                <w:sz w:val="19"/>
                <w:lang w:eastAsia="en-AU"/>
              </w:rPr>
              <w:t>Murray-Darling Basin Act 1993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27 762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27 762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30 650</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r w:rsidRPr="006A75A2">
              <w:rPr>
                <w:rFonts w:eastAsiaTheme="minorEastAsia"/>
                <w:sz w:val="19"/>
                <w:lang w:eastAsia="en-AU"/>
              </w:rPr>
              <w:t xml:space="preserve"> – Section 25 of the </w:t>
            </w:r>
            <w:r w:rsidRPr="006A75A2">
              <w:rPr>
                <w:rFonts w:eastAsiaTheme="minorEastAsia"/>
                <w:i/>
                <w:sz w:val="19"/>
                <w:lang w:eastAsia="en-AU"/>
              </w:rPr>
              <w:t>Murray-Darling Basin Act 1993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263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263</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Other</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28 025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28 025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30 650</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2 709 318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2 431 721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1 592 314</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2 712 958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2 435 361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1 606 859</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4 342</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2 712 958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2 435 361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1 611 201</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i/>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(r)</w:t>
      </w:r>
      <w:r w:rsidRPr="006A75A2">
        <w:tab/>
        <w:t>Parliamentary authority – Health</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113"/>
        <w:gridCol w:w="167"/>
        <w:gridCol w:w="1120"/>
        <w:gridCol w:w="1120"/>
        <w:gridCol w:w="1120"/>
      </w:tblGrid>
      <w:tr w:rsidR="00A67F93" w:rsidRPr="006A75A2" w:rsidTr="00A67F93">
        <w:trPr>
          <w:trHeight w:val="711"/>
        </w:trPr>
        <w:tc>
          <w:tcPr>
            <w:tcW w:w="6113" w:type="dxa"/>
            <w:tcBorders>
              <w:top w:val="single" w:sz="6" w:space="0" w:color="auto"/>
              <w:left w:val="single" w:sz="6" w:space="0" w:color="auto"/>
              <w:right w:val="nil"/>
            </w:tcBorders>
            <w:shd w:val="clear" w:color="000000" w:fill="000000"/>
          </w:tcPr>
          <w:p w:rsidR="00A67F93" w:rsidRPr="006A75A2" w:rsidRDefault="00A67F93" w:rsidP="004B5CB1">
            <w:pPr>
              <w:pStyle w:val="Tabletext"/>
              <w:rPr>
                <w:rFonts w:eastAsiaTheme="minorEastAsia"/>
                <w:sz w:val="19"/>
                <w:lang w:eastAsia="en-AU"/>
              </w:rPr>
            </w:pPr>
          </w:p>
        </w:tc>
        <w:tc>
          <w:tcPr>
            <w:tcW w:w="1287" w:type="dxa"/>
            <w:gridSpan w:val="2"/>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 xml:space="preserve">Parliamentary </w:t>
            </w:r>
            <w:r w:rsidRPr="006A75A2">
              <w:rPr>
                <w:rFonts w:eastAsiaTheme="minorEastAsia"/>
                <w:sz w:val="19"/>
                <w:lang w:eastAsia="en-AU"/>
              </w:rPr>
              <w:br/>
              <w:t>authority</w:t>
            </w:r>
            <w:r w:rsidRPr="006A75A2">
              <w:rPr>
                <w:rFonts w:eastAsiaTheme="minorEastAsia"/>
                <w:sz w:val="19"/>
                <w:lang w:eastAsia="en-AU"/>
              </w:rPr>
              <w:br/>
              <w:t>2014</w:t>
            </w:r>
          </w:p>
        </w:tc>
        <w:tc>
          <w:tcPr>
            <w:tcW w:w="112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w:t>
            </w:r>
            <w:r w:rsidRPr="006A75A2">
              <w:rPr>
                <w:rFonts w:eastAsiaTheme="minorEastAsia"/>
                <w:sz w:val="19"/>
                <w:lang w:eastAsia="en-AU"/>
              </w:rPr>
              <w:br/>
              <w:t>applied</w:t>
            </w:r>
            <w:r w:rsidRPr="006A75A2">
              <w:rPr>
                <w:rFonts w:eastAsiaTheme="minorEastAsia"/>
                <w:sz w:val="19"/>
                <w:lang w:eastAsia="en-AU"/>
              </w:rPr>
              <w:br/>
              <w:t>2014</w:t>
            </w:r>
          </w:p>
        </w:tc>
        <w:tc>
          <w:tcPr>
            <w:tcW w:w="1120" w:type="dxa"/>
            <w:tcBorders>
              <w:top w:val="single" w:sz="6" w:space="0" w:color="auto"/>
              <w:left w:val="nil"/>
              <w:right w:val="single" w:sz="6" w:space="0" w:color="auto"/>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w:t>
            </w:r>
            <w:r w:rsidRPr="006A75A2">
              <w:rPr>
                <w:rFonts w:eastAsiaTheme="minorEastAsia"/>
                <w:sz w:val="19"/>
                <w:lang w:eastAsia="en-AU"/>
              </w:rPr>
              <w:br/>
              <w:t>applied</w:t>
            </w:r>
            <w:r w:rsidRPr="006A75A2">
              <w:rPr>
                <w:rFonts w:eastAsiaTheme="minorEastAsia"/>
                <w:sz w:val="19"/>
                <w:lang w:eastAsia="en-AU"/>
              </w:rPr>
              <w:br/>
              <w:t>2013</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Casino Control Act No. 47 of 1991,</w:t>
            </w:r>
            <w:r w:rsidRPr="006A75A2">
              <w:rPr>
                <w:rFonts w:eastAsiaTheme="minorEastAsia"/>
                <w:sz w:val="19"/>
                <w:lang w:eastAsia="en-AU"/>
              </w:rPr>
              <w:t xml:space="preserve"> Sections 114 and 114(b)</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15 648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15 648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15 375</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Financial Management Act, No.18 of 1994,</w:t>
            </w:r>
            <w:r w:rsidRPr="006A75A2">
              <w:rPr>
                <w:rFonts w:eastAsiaTheme="minorEastAsia"/>
                <w:sz w:val="19"/>
                <w:lang w:eastAsia="en-AU"/>
              </w:rPr>
              <w:t xml:space="preserve"> Section 10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149 345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149 345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78 076</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Gambling Regulation Act No. 114 of 2003</w:t>
            </w:r>
            <w:r w:rsidRPr="006A75A2">
              <w:rPr>
                <w:rFonts w:eastAsiaTheme="minorEastAsia"/>
                <w:sz w:val="19"/>
                <w:lang w:eastAsia="en-AU"/>
              </w:rPr>
              <w:t xml:space="preserve"> Section 3.6.4 Contributions – Hospitals and Charities Fund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42 334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 xml:space="preserve">Gambling Regulation Act No. 114 of 2003 </w:t>
            </w:r>
            <w:r w:rsidRPr="006A75A2">
              <w:rPr>
                <w:rFonts w:eastAsiaTheme="minorEastAsia"/>
                <w:sz w:val="19"/>
                <w:lang w:eastAsia="en-AU"/>
              </w:rPr>
              <w:t>Section 3.6.11 Contributions – Hospitals and Charities Fund/Mental Hospitals Fund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727 723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727 723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653 452</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Gambling Regulation Act No. 114 of 2003</w:t>
            </w:r>
            <w:r w:rsidRPr="006A75A2">
              <w:rPr>
                <w:rFonts w:eastAsiaTheme="minorEastAsia"/>
                <w:sz w:val="19"/>
                <w:lang w:eastAsia="en-AU"/>
              </w:rPr>
              <w:t xml:space="preserve"> Sections 4.4.11 and 4.6.8 Contributions – Hospitals and Charities Fund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57 604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57 604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71 510</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Gambling Regulation Act No. 114 of 2003</w:t>
            </w:r>
            <w:r w:rsidRPr="006A75A2">
              <w:rPr>
                <w:rFonts w:eastAsiaTheme="minorEastAsia"/>
                <w:sz w:val="19"/>
                <w:lang w:eastAsia="en-AU"/>
              </w:rPr>
              <w:t xml:space="preserve"> Section 5.4.6 Contributions – Hospitals and Charities Fund/Mental Hospitals Fund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326 819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326 819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355 316</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Gambling Regulation Act No. 114 of 2003</w:t>
            </w:r>
            <w:r w:rsidRPr="006A75A2">
              <w:rPr>
                <w:rFonts w:eastAsiaTheme="minorEastAsia"/>
                <w:sz w:val="19"/>
                <w:lang w:eastAsia="en-AU"/>
              </w:rPr>
              <w:t xml:space="preserve"> Section 6A.4.4 Contributions – Hospitals and Charities Fund/Mental Hospitals Fund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3 636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3 636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3 363</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special appropriations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1 280 774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1 280 774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1 219 427</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7 203 374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7 050 153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6 616 512</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928 865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888 326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1 700 938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131 320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131 320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130 750</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91 000</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13 639</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8 263 559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8 069 800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8 552 840</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 base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Additions to the net asset base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70 119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209 925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96 916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376 960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8 640 518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8 069 800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8 552 840</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9 921 292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9 350 574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9 772 268</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73 808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73 808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15 055</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9 995 100</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9 424 382</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9 787 323</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(s)</w:t>
      </w:r>
      <w:r w:rsidRPr="006A75A2">
        <w:tab/>
        <w:t>Parliamentary authority – Human Services</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113"/>
        <w:gridCol w:w="167"/>
        <w:gridCol w:w="1120"/>
        <w:gridCol w:w="1120"/>
        <w:gridCol w:w="1120"/>
      </w:tblGrid>
      <w:tr w:rsidR="00A67F93" w:rsidRPr="006A75A2" w:rsidTr="00A67F93">
        <w:trPr>
          <w:trHeight w:val="711"/>
        </w:trPr>
        <w:tc>
          <w:tcPr>
            <w:tcW w:w="6113" w:type="dxa"/>
            <w:tcBorders>
              <w:top w:val="single" w:sz="6" w:space="0" w:color="auto"/>
              <w:left w:val="single" w:sz="6" w:space="0" w:color="auto"/>
              <w:right w:val="nil"/>
            </w:tcBorders>
            <w:shd w:val="clear" w:color="000000" w:fill="000000"/>
          </w:tcPr>
          <w:p w:rsidR="00A67F93" w:rsidRPr="006A75A2" w:rsidRDefault="00A67F93" w:rsidP="004B5CB1">
            <w:pPr>
              <w:pStyle w:val="Tabletext"/>
              <w:rPr>
                <w:rFonts w:eastAsiaTheme="minorEastAsia"/>
                <w:sz w:val="19"/>
                <w:lang w:eastAsia="en-AU"/>
              </w:rPr>
            </w:pPr>
          </w:p>
        </w:tc>
        <w:tc>
          <w:tcPr>
            <w:tcW w:w="1287" w:type="dxa"/>
            <w:gridSpan w:val="2"/>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Parliamentary authority</w:t>
            </w:r>
            <w:r w:rsidRPr="006A75A2">
              <w:rPr>
                <w:rFonts w:eastAsiaTheme="minorEastAsia"/>
                <w:sz w:val="19"/>
                <w:lang w:eastAsia="en-AU"/>
              </w:rPr>
              <w:br/>
              <w:t>2014</w:t>
            </w:r>
          </w:p>
        </w:tc>
        <w:tc>
          <w:tcPr>
            <w:tcW w:w="112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2014</w:t>
            </w:r>
          </w:p>
        </w:tc>
        <w:tc>
          <w:tcPr>
            <w:tcW w:w="1120" w:type="dxa"/>
            <w:tcBorders>
              <w:top w:val="single" w:sz="6" w:space="0" w:color="auto"/>
              <w:left w:val="nil"/>
              <w:right w:val="single" w:sz="6" w:space="0" w:color="auto"/>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2013</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Gambling Regulation Act No. 114 of 2003</w:t>
            </w:r>
            <w:r w:rsidRPr="006A75A2">
              <w:rPr>
                <w:rFonts w:eastAsiaTheme="minorEastAsia"/>
                <w:sz w:val="19"/>
                <w:lang w:eastAsia="en-AU"/>
              </w:rPr>
              <w:t xml:space="preserve"> Section 5.4.6 Contributions – Hospitals and Charities Fund/Mental Hospitals Fund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63 935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63 935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63 935</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special appropriations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63 935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63 935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63 935</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3 562 561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3 534 864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3 345 821</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55 797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55 797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19 715</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13 153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13 153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20 957</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9 500</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5 229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5 229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52 320</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3 636 740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3 609 044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3 448 313</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 base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Additions to the net asset base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56 022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15 871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38 294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15 360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15 360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12 574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tabs>
                <w:tab w:val="left" w:pos="4565"/>
              </w:tabs>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20 202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20 202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11 260</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500</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91 584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51 433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62 628</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3 728 324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3 660 477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3 510 941</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3 792 259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3 724 412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3 574 876</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2 437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2 437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15 736</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3 794 696</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3 726 848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3 590 612</w:t>
            </w:r>
          </w:p>
        </w:tc>
      </w:tr>
    </w:tbl>
    <w:p w:rsidR="004E6C32" w:rsidRPr="006A75A2" w:rsidRDefault="004E6C32" w:rsidP="004B5CB1">
      <w:pPr>
        <w:pStyle w:val="million"/>
      </w:pPr>
    </w:p>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i/>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(t)</w:t>
      </w:r>
      <w:r w:rsidRPr="006A75A2">
        <w:tab/>
        <w:t>Parliamentary authority – Justice</w:t>
      </w:r>
    </w:p>
    <w:p w:rsidR="004E6C32" w:rsidRPr="006A75A2" w:rsidRDefault="004E6C32" w:rsidP="004B5CB1">
      <w:pPr>
        <w:pStyle w:val="million"/>
        <w:rPr>
          <w:rFonts w:ascii="Times New Roman" w:hAnsi="Times New Roman"/>
          <w:i w:val="0"/>
          <w:szCs w:val="20"/>
          <w:lang w:eastAsia="en-AU"/>
        </w:rPr>
      </w:pPr>
      <w:r w:rsidRPr="006A75A2">
        <w:t>($ thousand)</w:t>
      </w:r>
    </w:p>
    <w:tbl>
      <w:tblPr>
        <w:tblW w:w="9639" w:type="dxa"/>
        <w:tblInd w:w="28" w:type="dxa"/>
        <w:tblLayout w:type="fixed"/>
        <w:tblCellMar>
          <w:left w:w="43" w:type="dxa"/>
          <w:right w:w="43" w:type="dxa"/>
        </w:tblCellMar>
        <w:tblLook w:val="0000" w:firstRow="0" w:lastRow="0" w:firstColumn="0" w:lastColumn="0" w:noHBand="0" w:noVBand="0"/>
      </w:tblPr>
      <w:tblGrid>
        <w:gridCol w:w="6181"/>
        <w:gridCol w:w="419"/>
        <w:gridCol w:w="1060"/>
        <w:gridCol w:w="989"/>
        <w:gridCol w:w="990"/>
      </w:tblGrid>
      <w:tr w:rsidR="00A67F93" w:rsidRPr="006A75A2" w:rsidTr="00A659BA">
        <w:trPr>
          <w:trHeight w:val="705"/>
        </w:trPr>
        <w:tc>
          <w:tcPr>
            <w:tcW w:w="6202" w:type="dxa"/>
            <w:tcBorders>
              <w:top w:val="single" w:sz="6" w:space="0" w:color="auto"/>
              <w:left w:val="single" w:sz="6" w:space="0" w:color="auto"/>
              <w:bottom w:val="single" w:sz="6" w:space="0" w:color="auto"/>
              <w:right w:val="nil"/>
            </w:tcBorders>
            <w:shd w:val="solid" w:color="000000" w:fill="auto"/>
          </w:tcPr>
          <w:p w:rsidR="00A67F93" w:rsidRPr="006A75A2" w:rsidRDefault="00A67F93" w:rsidP="00A67F93">
            <w:pPr>
              <w:autoSpaceDE w:val="0"/>
              <w:autoSpaceDN w:val="0"/>
              <w:adjustRightInd w:val="0"/>
              <w:spacing w:after="0"/>
              <w:rPr>
                <w:rFonts w:ascii="Calibri" w:eastAsiaTheme="minorEastAsia" w:hAnsi="Calibri" w:cs="Calibri"/>
                <w:i/>
                <w:iCs/>
                <w:sz w:val="18"/>
                <w:szCs w:val="22"/>
                <w:lang w:eastAsia="en-AU"/>
              </w:rPr>
            </w:pPr>
          </w:p>
        </w:tc>
        <w:tc>
          <w:tcPr>
            <w:tcW w:w="1483" w:type="dxa"/>
            <w:gridSpan w:val="2"/>
            <w:tcBorders>
              <w:top w:val="single" w:sz="6" w:space="0" w:color="auto"/>
              <w:left w:val="nil"/>
              <w:bottom w:val="single" w:sz="6" w:space="0" w:color="auto"/>
              <w:right w:val="nil"/>
            </w:tcBorders>
            <w:shd w:val="solid" w:color="000000" w:fill="auto"/>
          </w:tcPr>
          <w:p w:rsidR="00A67F93" w:rsidRPr="006A75A2" w:rsidRDefault="00A67F93" w:rsidP="00A67F93">
            <w:pPr>
              <w:autoSpaceDE w:val="0"/>
              <w:autoSpaceDN w:val="0"/>
              <w:adjustRightInd w:val="0"/>
              <w:spacing w:after="0"/>
              <w:jc w:val="right"/>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Parliamentary authority</w:t>
            </w:r>
            <w:r w:rsidRPr="006A75A2">
              <w:rPr>
                <w:rFonts w:ascii="Calibri" w:eastAsiaTheme="minorEastAsia" w:hAnsi="Calibri" w:cs="Calibri"/>
                <w:i/>
                <w:iCs/>
                <w:sz w:val="18"/>
                <w:szCs w:val="22"/>
                <w:lang w:eastAsia="en-AU"/>
              </w:rPr>
              <w:br/>
              <w:t>2014</w:t>
            </w:r>
          </w:p>
        </w:tc>
        <w:tc>
          <w:tcPr>
            <w:tcW w:w="992" w:type="dxa"/>
            <w:tcBorders>
              <w:top w:val="single" w:sz="6" w:space="0" w:color="auto"/>
              <w:left w:val="nil"/>
              <w:bottom w:val="single" w:sz="6" w:space="0" w:color="auto"/>
              <w:right w:val="nil"/>
            </w:tcBorders>
            <w:shd w:val="solid" w:color="000000" w:fill="auto"/>
          </w:tcPr>
          <w:p w:rsidR="00A67F93" w:rsidRPr="006A75A2" w:rsidRDefault="00A67F93" w:rsidP="00A67F93">
            <w:pPr>
              <w:autoSpaceDE w:val="0"/>
              <w:autoSpaceDN w:val="0"/>
              <w:adjustRightInd w:val="0"/>
              <w:spacing w:after="0"/>
              <w:jc w:val="right"/>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Amounts applied 2014</w:t>
            </w:r>
          </w:p>
        </w:tc>
        <w:tc>
          <w:tcPr>
            <w:tcW w:w="993" w:type="dxa"/>
            <w:tcBorders>
              <w:top w:val="single" w:sz="6" w:space="0" w:color="auto"/>
              <w:left w:val="nil"/>
              <w:bottom w:val="single" w:sz="6" w:space="0" w:color="auto"/>
              <w:right w:val="single" w:sz="6" w:space="0" w:color="auto"/>
            </w:tcBorders>
            <w:shd w:val="solid" w:color="000000" w:fill="auto"/>
          </w:tcPr>
          <w:p w:rsidR="00A67F93" w:rsidRPr="006A75A2" w:rsidRDefault="00A67F93" w:rsidP="00A67F93">
            <w:pPr>
              <w:autoSpaceDE w:val="0"/>
              <w:autoSpaceDN w:val="0"/>
              <w:adjustRightInd w:val="0"/>
              <w:spacing w:after="0"/>
              <w:jc w:val="right"/>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Amounts applied 2013</w:t>
            </w:r>
          </w:p>
        </w:tc>
      </w:tr>
      <w:tr w:rsidR="004E6C32" w:rsidRPr="006A75A2" w:rsidTr="00A659BA">
        <w:trPr>
          <w:trHeight w:val="230"/>
        </w:trPr>
        <w:tc>
          <w:tcPr>
            <w:tcW w:w="6622" w:type="dxa"/>
            <w:gridSpan w:val="2"/>
            <w:tcBorders>
              <w:top w:val="single" w:sz="6" w:space="0" w:color="auto"/>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Special appropriations</w:t>
            </w:r>
          </w:p>
        </w:tc>
        <w:tc>
          <w:tcPr>
            <w:tcW w:w="1063" w:type="dxa"/>
            <w:tcBorders>
              <w:top w:val="single" w:sz="6" w:space="0" w:color="auto"/>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2" w:type="dxa"/>
            <w:tcBorders>
              <w:top w:val="single" w:sz="6" w:space="0" w:color="auto"/>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3" w:type="dxa"/>
            <w:tcBorders>
              <w:top w:val="single" w:sz="6" w:space="0" w:color="auto"/>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Constitution Act, No. 8750 of 1975 </w:t>
            </w:r>
            <w:r w:rsidRPr="006A75A2">
              <w:rPr>
                <w:rFonts w:ascii="Calibri" w:eastAsiaTheme="minorEastAsia" w:hAnsi="Calibri" w:cs="Calibri"/>
                <w:iCs/>
                <w:sz w:val="18"/>
                <w:szCs w:val="22"/>
                <w:lang w:eastAsia="en-AU"/>
              </w:rPr>
              <w:t>– Chief Justice</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633</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633</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639</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Constitution Act, No. 8750 of 1975 </w:t>
            </w:r>
            <w:r w:rsidRPr="006A75A2">
              <w:rPr>
                <w:rFonts w:ascii="Calibri" w:eastAsiaTheme="minorEastAsia" w:hAnsi="Calibri" w:cs="Calibri"/>
                <w:iCs/>
                <w:sz w:val="18"/>
                <w:szCs w:val="22"/>
                <w:lang w:eastAsia="en-AU"/>
              </w:rPr>
              <w:t>– Judges of the Court of Appeal</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6 564</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6 564</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5 922</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Constitution Act, No. 8750 of 1975 </w:t>
            </w:r>
            <w:r w:rsidRPr="006A75A2">
              <w:rPr>
                <w:rFonts w:ascii="Calibri" w:eastAsiaTheme="minorEastAsia" w:hAnsi="Calibri" w:cs="Calibri"/>
                <w:iCs/>
                <w:sz w:val="18"/>
                <w:szCs w:val="22"/>
                <w:lang w:eastAsia="en-AU"/>
              </w:rPr>
              <w:t>– President, Court of Appeal</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46</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46</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482</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Constitution Act, No. 8750 of 1975 </w:t>
            </w:r>
            <w:r w:rsidRPr="006A75A2">
              <w:rPr>
                <w:rFonts w:ascii="Calibri" w:eastAsiaTheme="minorEastAsia" w:hAnsi="Calibri" w:cs="Calibri"/>
                <w:iCs/>
                <w:sz w:val="18"/>
                <w:szCs w:val="22"/>
                <w:lang w:eastAsia="en-AU"/>
              </w:rPr>
              <w:t>– Judges Supreme Court</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18 539</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18 539</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17 617</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County Court Act, No. 6230 of 1958 </w:t>
            </w:r>
            <w:r w:rsidRPr="006A75A2">
              <w:rPr>
                <w:rFonts w:ascii="Calibri" w:eastAsiaTheme="minorEastAsia" w:hAnsi="Calibri" w:cs="Calibri"/>
                <w:iCs/>
                <w:sz w:val="18"/>
                <w:szCs w:val="22"/>
                <w:lang w:eastAsia="en-AU"/>
              </w:rPr>
              <w:t>– Judges</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27 808</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27 808</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27 249</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Crown Proceedings Act, No. 6232 of 1958</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546 113</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546 113</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2 339</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Victorian Civil and Administrative Tribunal Act 53 of 1998 </w:t>
            </w:r>
            <w:r w:rsidRPr="006A75A2">
              <w:rPr>
                <w:rFonts w:ascii="Calibri" w:eastAsiaTheme="minorEastAsia" w:hAnsi="Calibri" w:cs="Calibri"/>
                <w:iCs/>
                <w:sz w:val="18"/>
                <w:szCs w:val="22"/>
                <w:lang w:eastAsia="en-AU"/>
              </w:rPr>
              <w:t>section 17AA</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6 725</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6 725</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Juries Act No.53 of 2000, </w:t>
            </w:r>
            <w:r w:rsidRPr="006A75A2">
              <w:rPr>
                <w:rFonts w:ascii="Calibri" w:eastAsiaTheme="minorEastAsia" w:hAnsi="Calibri" w:cs="Calibri"/>
                <w:iCs/>
                <w:sz w:val="18"/>
                <w:szCs w:val="22"/>
                <w:lang w:eastAsia="en-AU"/>
              </w:rPr>
              <w:t>Section 59</w:t>
            </w:r>
            <w:r w:rsidRPr="006A75A2">
              <w:rPr>
                <w:rFonts w:ascii="Calibri" w:eastAsiaTheme="minorEastAsia" w:hAnsi="Calibri" w:cs="Calibri"/>
                <w:i/>
                <w:iCs/>
                <w:sz w:val="18"/>
                <w:szCs w:val="22"/>
                <w:lang w:eastAsia="en-AU"/>
              </w:rPr>
              <w:t xml:space="preserve"> </w:t>
            </w:r>
            <w:r w:rsidRPr="006A75A2">
              <w:rPr>
                <w:rFonts w:ascii="Calibri" w:eastAsiaTheme="minorEastAsia" w:hAnsi="Calibri" w:cs="Calibri"/>
                <w:iCs/>
                <w:sz w:val="18"/>
                <w:szCs w:val="22"/>
                <w:lang w:eastAsia="en-AU"/>
              </w:rPr>
              <w:t>– Compensation to Jurors</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20</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20</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372</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Electoral Act, No. 23 of 2002,</w:t>
            </w:r>
            <w:r w:rsidRPr="006A75A2">
              <w:rPr>
                <w:rFonts w:ascii="Calibri" w:eastAsiaTheme="minorEastAsia" w:hAnsi="Calibri" w:cs="Calibri"/>
                <w:iCs/>
                <w:sz w:val="18"/>
                <w:szCs w:val="22"/>
                <w:lang w:eastAsia="en-AU"/>
              </w:rPr>
              <w:t xml:space="preserve"> Section 181 </w:t>
            </w:r>
            <w:r w:rsidRPr="006A75A2">
              <w:rPr>
                <w:rFonts w:ascii="Calibri" w:eastAsiaTheme="minorEastAsia" w:hAnsi="Calibri" w:cs="Calibri"/>
                <w:sz w:val="18"/>
                <w:szCs w:val="22"/>
                <w:lang w:eastAsia="en-AU"/>
              </w:rPr>
              <w:t>–</w:t>
            </w:r>
            <w:r w:rsidRPr="006A75A2">
              <w:rPr>
                <w:rFonts w:ascii="Calibri" w:eastAsiaTheme="minorEastAsia" w:hAnsi="Calibri" w:cs="Calibri"/>
                <w:iCs/>
                <w:sz w:val="18"/>
                <w:szCs w:val="22"/>
                <w:lang w:eastAsia="en-AU"/>
              </w:rPr>
              <w:t xml:space="preserve"> Electoral Expenses</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25 392</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25 392</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42 489</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Electoral Act, No. 23 of 2002,</w:t>
            </w:r>
            <w:r w:rsidRPr="006A75A2">
              <w:rPr>
                <w:rFonts w:ascii="Calibri" w:eastAsiaTheme="minorEastAsia" w:hAnsi="Calibri" w:cs="Calibri"/>
                <w:iCs/>
                <w:sz w:val="18"/>
                <w:szCs w:val="22"/>
                <w:lang w:eastAsia="en-AU"/>
              </w:rPr>
              <w:t xml:space="preserve"> Section 215 – Entitlement</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16</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16</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78</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Financial Management Act, No. 18 of 1994,</w:t>
            </w:r>
            <w:r w:rsidRPr="006A75A2">
              <w:rPr>
                <w:rFonts w:ascii="Calibri" w:eastAsiaTheme="minorEastAsia" w:hAnsi="Calibri" w:cs="Calibri"/>
                <w:iCs/>
                <w:sz w:val="18"/>
                <w:szCs w:val="22"/>
                <w:lang w:eastAsia="en-AU"/>
              </w:rPr>
              <w:t xml:space="preserve"> Section 10</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1 963</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1 963</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EastLink Project Act No 39 of 2004,</w:t>
            </w:r>
            <w:r w:rsidRPr="006A75A2">
              <w:rPr>
                <w:rFonts w:ascii="Calibri" w:eastAsiaTheme="minorEastAsia" w:hAnsi="Calibri" w:cs="Calibri"/>
                <w:iCs/>
                <w:sz w:val="18"/>
                <w:szCs w:val="22"/>
                <w:lang w:eastAsia="en-AU"/>
              </w:rPr>
              <w:t xml:space="preserve"> Section 26</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1 357</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1 357</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1 142</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Magistrates Court Act, No. 51 of 1989</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46 861</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46 861</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44 651</w:t>
            </w:r>
          </w:p>
        </w:tc>
      </w:tr>
      <w:tr w:rsidR="004E6C32" w:rsidRPr="006A75A2" w:rsidTr="00A659BA">
        <w:trPr>
          <w:trHeight w:val="218"/>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Melbourne City Link Act, No. 107 of 1995,</w:t>
            </w:r>
            <w:r w:rsidRPr="006A75A2">
              <w:rPr>
                <w:rFonts w:ascii="Calibri" w:eastAsiaTheme="minorEastAsia" w:hAnsi="Calibri" w:cs="Calibri"/>
                <w:iCs/>
                <w:sz w:val="18"/>
                <w:szCs w:val="22"/>
                <w:lang w:eastAsia="en-AU"/>
              </w:rPr>
              <w:t xml:space="preserve"> Section 14 (4)</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2 584</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2 584</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2 797</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Victims of Crime Assistance Act, No. 81 of 1996 </w:t>
            </w:r>
            <w:r w:rsidRPr="006A75A2">
              <w:rPr>
                <w:rFonts w:ascii="Calibri" w:eastAsiaTheme="minorEastAsia" w:hAnsi="Calibri" w:cs="Calibri"/>
                <w:iCs/>
                <w:sz w:val="18"/>
                <w:szCs w:val="22"/>
                <w:lang w:eastAsia="en-AU"/>
              </w:rPr>
              <w:t>– Tribunal</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2 880</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2 880</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2 365</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Victims of Crime Assistance Act, No. 81 of 1996 </w:t>
            </w:r>
            <w:r w:rsidRPr="006A75A2">
              <w:rPr>
                <w:rFonts w:ascii="Calibri" w:eastAsiaTheme="minorEastAsia" w:hAnsi="Calibri" w:cs="Calibri"/>
                <w:i/>
                <w:sz w:val="18"/>
                <w:szCs w:val="22"/>
                <w:lang w:eastAsia="en-AU"/>
              </w:rPr>
              <w:t>–</w:t>
            </w:r>
            <w:r w:rsidRPr="006A75A2">
              <w:rPr>
                <w:rFonts w:ascii="Calibri" w:eastAsiaTheme="minorEastAsia" w:hAnsi="Calibri" w:cs="Calibri"/>
                <w:i/>
                <w:iCs/>
                <w:sz w:val="18"/>
                <w:szCs w:val="22"/>
                <w:lang w:eastAsia="en-AU"/>
              </w:rPr>
              <w:t xml:space="preserve"> </w:t>
            </w:r>
            <w:r w:rsidRPr="006A75A2">
              <w:rPr>
                <w:rFonts w:ascii="Calibri" w:eastAsiaTheme="minorEastAsia" w:hAnsi="Calibri" w:cs="Calibri"/>
                <w:iCs/>
                <w:sz w:val="18"/>
                <w:szCs w:val="22"/>
                <w:lang w:eastAsia="en-AU"/>
              </w:rPr>
              <w:t>Criminal Injuries Compensation</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39 122</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39 122</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41 338</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 xml:space="preserve">Emergency Management Act No 30/1986 </w:t>
            </w:r>
            <w:r w:rsidRPr="006A75A2">
              <w:rPr>
                <w:rFonts w:ascii="Calibri" w:eastAsiaTheme="minorEastAsia" w:hAnsi="Calibri" w:cs="Calibri"/>
                <w:iCs/>
                <w:sz w:val="18"/>
                <w:szCs w:val="22"/>
                <w:lang w:eastAsia="en-AU"/>
              </w:rPr>
              <w:t>Section 32 – Volunteer Workers Compensation</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322</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322</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134</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Victorian State Emergency Services Volunteer Workers Compensation – Act No. 51 of 2005</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150</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150</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135</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i/>
                <w:iCs/>
                <w:sz w:val="18"/>
                <w:szCs w:val="22"/>
                <w:lang w:eastAsia="en-AU"/>
              </w:rPr>
              <w:t>Work Cover Authority Fund, Corrections Act 1986,</w:t>
            </w:r>
            <w:r w:rsidRPr="006A75A2">
              <w:rPr>
                <w:rFonts w:ascii="Calibri" w:eastAsiaTheme="minorEastAsia" w:hAnsi="Calibri" w:cs="Calibri"/>
                <w:iCs/>
                <w:sz w:val="18"/>
                <w:szCs w:val="22"/>
                <w:lang w:eastAsia="en-AU"/>
              </w:rPr>
              <w:t xml:space="preserve"> Part 9D, S.104ZW</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58</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58</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91</w:t>
            </w:r>
          </w:p>
        </w:tc>
      </w:tr>
      <w:tr w:rsidR="004E6C32" w:rsidRPr="006A75A2" w:rsidTr="00A659BA">
        <w:trPr>
          <w:trHeight w:val="230"/>
        </w:trPr>
        <w:tc>
          <w:tcPr>
            <w:tcW w:w="6622" w:type="dxa"/>
            <w:gridSpan w:val="2"/>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Total special appropriations (excluding </w:t>
            </w:r>
            <w:r w:rsidRPr="006A75A2">
              <w:rPr>
                <w:rFonts w:ascii="Calibri" w:eastAsiaTheme="minorEastAsia" w:hAnsi="Calibri" w:cs="Calibri"/>
                <w:b/>
                <w:bCs/>
                <w:i/>
                <w:iCs/>
                <w:sz w:val="18"/>
                <w:szCs w:val="22"/>
                <w:lang w:eastAsia="en-AU"/>
              </w:rPr>
              <w:t xml:space="preserve">Financial Management Act, No. 18 of 1994 </w:t>
            </w:r>
            <w:r w:rsidRPr="006A75A2">
              <w:rPr>
                <w:rFonts w:ascii="Calibri" w:eastAsiaTheme="minorEastAsia" w:hAnsi="Calibri" w:cs="Calibri"/>
                <w:b/>
                <w:bCs/>
                <w:sz w:val="18"/>
                <w:szCs w:val="22"/>
                <w:lang w:eastAsia="en-AU"/>
              </w:rPr>
              <w:t>Section 33)</w:t>
            </w:r>
          </w:p>
        </w:tc>
        <w:tc>
          <w:tcPr>
            <w:tcW w:w="1063"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727 153</w:t>
            </w:r>
          </w:p>
        </w:tc>
        <w:tc>
          <w:tcPr>
            <w:tcW w:w="992"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727 153</w:t>
            </w:r>
          </w:p>
        </w:tc>
        <w:tc>
          <w:tcPr>
            <w:tcW w:w="993" w:type="dxa"/>
            <w:tcBorders>
              <w:top w:val="single" w:sz="6" w:space="0" w:color="auto"/>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189 841</w:t>
            </w:r>
          </w:p>
        </w:tc>
      </w:tr>
      <w:tr w:rsidR="004E6C32" w:rsidRPr="006A75A2" w:rsidTr="00A659BA">
        <w:trPr>
          <w:trHeight w:hRule="exact" w:val="12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Annual appropriations</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Provision of outputs</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Provision of outputs – net application</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4 870 028</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4 736 931</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3 807 784</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Section 29 </w:t>
            </w:r>
            <w:r w:rsidRPr="006A75A2">
              <w:rPr>
                <w:rFonts w:ascii="Calibri" w:eastAsiaTheme="minorEastAsia" w:hAnsi="Calibri" w:cs="Calibri"/>
                <w:i/>
                <w:sz w:val="18"/>
                <w:szCs w:val="22"/>
                <w:lang w:eastAsia="en-AU"/>
              </w:rPr>
              <w:t>Financial Management Act, No. 18 of 1994</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255 947</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255 947</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238 663</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Section 32 </w:t>
            </w:r>
            <w:r w:rsidRPr="006A75A2">
              <w:rPr>
                <w:rFonts w:ascii="Calibri" w:eastAsiaTheme="minorEastAsia" w:hAnsi="Calibri" w:cs="Calibri"/>
                <w:i/>
                <w:sz w:val="18"/>
                <w:szCs w:val="22"/>
                <w:lang w:eastAsia="en-AU"/>
              </w:rPr>
              <w:t>Financial Management Act, No. 18 of 1994</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95 595</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90 045</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68 018</w:t>
            </w:r>
          </w:p>
        </w:tc>
      </w:tr>
      <w:tr w:rsidR="004E6C32" w:rsidRPr="006A75A2" w:rsidTr="00A659BA">
        <w:trPr>
          <w:trHeight w:val="230"/>
        </w:trPr>
        <w:tc>
          <w:tcPr>
            <w:tcW w:w="6622" w:type="dxa"/>
            <w:gridSpan w:val="2"/>
            <w:tcBorders>
              <w:top w:val="nil"/>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Advance to Treasurer </w:t>
            </w:r>
          </w:p>
        </w:tc>
        <w:tc>
          <w:tcPr>
            <w:tcW w:w="106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10 011</w:t>
            </w:r>
          </w:p>
        </w:tc>
        <w:tc>
          <w:tcPr>
            <w:tcW w:w="992"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10 011</w:t>
            </w:r>
          </w:p>
        </w:tc>
        <w:tc>
          <w:tcPr>
            <w:tcW w:w="99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42 410</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Total provision of outputs – gross application</w:t>
            </w:r>
          </w:p>
        </w:tc>
        <w:tc>
          <w:tcPr>
            <w:tcW w:w="1063"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5 231 581</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5 092 934</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4 156 875</w:t>
            </w:r>
          </w:p>
        </w:tc>
      </w:tr>
      <w:tr w:rsidR="004E6C32" w:rsidRPr="006A75A2" w:rsidTr="00A659BA">
        <w:trPr>
          <w:trHeight w:hRule="exact" w:val="12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Additions to the net asset base</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Additions to the net asset base – net application</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630 508</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135 076</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64 444</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Section 29 </w:t>
            </w:r>
            <w:r w:rsidRPr="006A75A2">
              <w:rPr>
                <w:rFonts w:ascii="Calibri" w:eastAsiaTheme="minorEastAsia" w:hAnsi="Calibri" w:cs="Calibri"/>
                <w:i/>
                <w:sz w:val="18"/>
                <w:szCs w:val="22"/>
                <w:lang w:eastAsia="en-AU"/>
              </w:rPr>
              <w:t>Financial Management Act, No. 18 of 1994</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10 152</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10 152</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10 090</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Section 32 </w:t>
            </w:r>
            <w:r w:rsidRPr="006A75A2">
              <w:rPr>
                <w:rFonts w:ascii="Calibri" w:eastAsiaTheme="minorEastAsia" w:hAnsi="Calibri" w:cs="Calibri"/>
                <w:i/>
                <w:sz w:val="18"/>
                <w:szCs w:val="22"/>
                <w:lang w:eastAsia="en-AU"/>
              </w:rPr>
              <w:t>Financial Management Act, No. 18 of 1994</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117 263</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117 263</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40 343</w:t>
            </w:r>
          </w:p>
        </w:tc>
      </w:tr>
      <w:tr w:rsidR="004E6C32" w:rsidRPr="006A75A2" w:rsidTr="00A659BA">
        <w:trPr>
          <w:trHeight w:val="230"/>
        </w:trPr>
        <w:tc>
          <w:tcPr>
            <w:tcW w:w="6622" w:type="dxa"/>
            <w:gridSpan w:val="2"/>
            <w:tcBorders>
              <w:top w:val="nil"/>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Advance to Treasurer </w:t>
            </w:r>
          </w:p>
        </w:tc>
        <w:tc>
          <w:tcPr>
            <w:tcW w:w="106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335</w:t>
            </w:r>
          </w:p>
        </w:tc>
        <w:tc>
          <w:tcPr>
            <w:tcW w:w="992"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335</w:t>
            </w:r>
          </w:p>
        </w:tc>
        <w:tc>
          <w:tcPr>
            <w:tcW w:w="99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Total additions to the net asset base – gross application</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758 258</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262 826</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114 877</w:t>
            </w:r>
          </w:p>
        </w:tc>
      </w:tr>
      <w:tr w:rsidR="004E6C32" w:rsidRPr="006A75A2" w:rsidTr="00A659BA">
        <w:trPr>
          <w:trHeight w:hRule="exact" w:val="12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Payments made on behalf of the State</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Payments made on behalf of the State – net application</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54 461</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28 644</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35 420</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Total for payments made on behalf of the State – gross application</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54 461</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28 644</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35 420</w:t>
            </w:r>
          </w:p>
        </w:tc>
      </w:tr>
      <w:tr w:rsidR="004E6C32" w:rsidRPr="006A75A2" w:rsidTr="00A659BA">
        <w:trPr>
          <w:trHeight w:hRule="exact" w:val="12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Other</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r>
      <w:tr w:rsidR="004E6C32" w:rsidRPr="006A75A2" w:rsidTr="00A659BA">
        <w:trPr>
          <w:trHeight w:val="80"/>
        </w:trPr>
        <w:tc>
          <w:tcPr>
            <w:tcW w:w="6622" w:type="dxa"/>
            <w:gridSpan w:val="2"/>
            <w:tcBorders>
              <w:top w:val="nil"/>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i/>
                <w:iCs/>
                <w:sz w:val="18"/>
                <w:szCs w:val="22"/>
                <w:lang w:eastAsia="en-AU"/>
              </w:rPr>
            </w:pPr>
            <w:r w:rsidRPr="006A75A2">
              <w:rPr>
                <w:rFonts w:ascii="Calibri" w:eastAsiaTheme="minorEastAsia" w:hAnsi="Calibri" w:cs="Calibri"/>
                <w:sz w:val="18"/>
                <w:szCs w:val="22"/>
                <w:lang w:eastAsia="en-AU"/>
              </w:rPr>
              <w:t xml:space="preserve">Victorian Law Reform Commission – pursuant to Section 17 (b) of the </w:t>
            </w:r>
            <w:r w:rsidRPr="006A75A2">
              <w:rPr>
                <w:rFonts w:ascii="Calibri" w:eastAsiaTheme="minorEastAsia" w:hAnsi="Calibri" w:cs="Calibri"/>
                <w:i/>
                <w:iCs/>
                <w:sz w:val="18"/>
                <w:szCs w:val="22"/>
                <w:lang w:eastAsia="en-AU"/>
              </w:rPr>
              <w:t>Victorian Law Reform Commission Act 2000</w:t>
            </w:r>
          </w:p>
        </w:tc>
        <w:tc>
          <w:tcPr>
            <w:tcW w:w="106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747</w:t>
            </w:r>
          </w:p>
        </w:tc>
        <w:tc>
          <w:tcPr>
            <w:tcW w:w="992"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741</w:t>
            </w:r>
          </w:p>
        </w:tc>
        <w:tc>
          <w:tcPr>
            <w:tcW w:w="99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791</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Total other</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747</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741</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791</w:t>
            </w:r>
          </w:p>
        </w:tc>
      </w:tr>
      <w:tr w:rsidR="004E6C32" w:rsidRPr="006A75A2" w:rsidTr="00A659BA">
        <w:trPr>
          <w:trHeight w:hRule="exact" w:val="12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w:t>
            </w:r>
          </w:p>
        </w:tc>
      </w:tr>
      <w:tr w:rsidR="004E6C32" w:rsidRPr="006A75A2" w:rsidTr="00A659BA">
        <w:trPr>
          <w:trHeight w:val="230"/>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Total annual appropriations gross application</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6 045 047</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5 385 145</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4 307 962</w:t>
            </w:r>
          </w:p>
        </w:tc>
      </w:tr>
      <w:tr w:rsidR="004E6C32" w:rsidRPr="006A75A2" w:rsidTr="00A659BA">
        <w:trPr>
          <w:trHeight w:hRule="exact" w:val="120"/>
        </w:trPr>
        <w:tc>
          <w:tcPr>
            <w:tcW w:w="6622" w:type="dxa"/>
            <w:gridSpan w:val="2"/>
            <w:tcBorders>
              <w:top w:val="nil"/>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106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2"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r>
      <w:tr w:rsidR="004E6C32" w:rsidRPr="006A75A2" w:rsidTr="00A659BA">
        <w:trPr>
          <w:trHeight w:val="65"/>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Total Parliamentary authority (excluding </w:t>
            </w:r>
            <w:r w:rsidRPr="006A75A2">
              <w:rPr>
                <w:rFonts w:ascii="Calibri" w:eastAsiaTheme="minorEastAsia" w:hAnsi="Calibri" w:cs="Calibri"/>
                <w:b/>
                <w:bCs/>
                <w:i/>
                <w:iCs/>
                <w:sz w:val="18"/>
                <w:szCs w:val="22"/>
                <w:lang w:eastAsia="en-AU"/>
              </w:rPr>
              <w:t>Financial Management Act, No. 18 of 1994</w:t>
            </w:r>
            <w:r w:rsidRPr="006A75A2">
              <w:rPr>
                <w:rFonts w:ascii="Calibri" w:eastAsiaTheme="minorEastAsia" w:hAnsi="Calibri" w:cs="Calibri"/>
                <w:b/>
                <w:bCs/>
                <w:sz w:val="18"/>
                <w:szCs w:val="22"/>
                <w:lang w:eastAsia="en-AU"/>
              </w:rPr>
              <w:t xml:space="preserve"> Section 33)</w:t>
            </w:r>
          </w:p>
        </w:tc>
        <w:tc>
          <w:tcPr>
            <w:tcW w:w="106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6 772 200</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6 112 298</w:t>
            </w:r>
          </w:p>
        </w:tc>
        <w:tc>
          <w:tcPr>
            <w:tcW w:w="993"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4 497 803</w:t>
            </w:r>
          </w:p>
        </w:tc>
      </w:tr>
      <w:tr w:rsidR="004E6C32" w:rsidRPr="006A75A2" w:rsidTr="00A659BA">
        <w:trPr>
          <w:trHeight w:hRule="exact" w:val="120"/>
        </w:trPr>
        <w:tc>
          <w:tcPr>
            <w:tcW w:w="6622" w:type="dxa"/>
            <w:gridSpan w:val="2"/>
            <w:tcBorders>
              <w:top w:val="nil"/>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106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2"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r>
      <w:tr w:rsidR="004E6C32" w:rsidRPr="006A75A2" w:rsidTr="00A659BA">
        <w:trPr>
          <w:trHeight w:val="158"/>
        </w:trPr>
        <w:tc>
          <w:tcPr>
            <w:tcW w:w="6622" w:type="dxa"/>
            <w:gridSpan w:val="2"/>
            <w:tcBorders>
              <w:top w:val="nil"/>
              <w:left w:val="nil"/>
              <w:bottom w:val="nil"/>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Amounts issued under the authority of the </w:t>
            </w:r>
            <w:r w:rsidRPr="006A75A2">
              <w:rPr>
                <w:rFonts w:ascii="Calibri" w:eastAsiaTheme="minorEastAsia" w:hAnsi="Calibri" w:cs="Calibri"/>
                <w:b/>
                <w:bCs/>
                <w:i/>
                <w:sz w:val="18"/>
                <w:szCs w:val="22"/>
                <w:lang w:eastAsia="en-AU"/>
              </w:rPr>
              <w:t>Financial Management Act, No. 18 of 1994,</w:t>
            </w:r>
            <w:r w:rsidRPr="006A75A2">
              <w:rPr>
                <w:rFonts w:ascii="Calibri" w:eastAsiaTheme="minorEastAsia" w:hAnsi="Calibri" w:cs="Calibri"/>
                <w:b/>
                <w:bCs/>
                <w:sz w:val="18"/>
                <w:szCs w:val="22"/>
                <w:lang w:eastAsia="en-AU"/>
              </w:rPr>
              <w:t xml:space="preserve"> Section 33 (Special Appropriation) relating to prior year appropriations</w:t>
            </w:r>
          </w:p>
        </w:tc>
        <w:tc>
          <w:tcPr>
            <w:tcW w:w="1063"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49 137</w:t>
            </w:r>
          </w:p>
        </w:tc>
        <w:tc>
          <w:tcPr>
            <w:tcW w:w="992" w:type="dxa"/>
            <w:tcBorders>
              <w:top w:val="nil"/>
              <w:left w:val="nil"/>
              <w:bottom w:val="nil"/>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sz w:val="18"/>
                <w:szCs w:val="22"/>
                <w:lang w:eastAsia="en-AU"/>
              </w:rPr>
            </w:pPr>
            <w:r w:rsidRPr="006A75A2">
              <w:rPr>
                <w:rFonts w:ascii="Calibri" w:eastAsiaTheme="minorEastAsia" w:hAnsi="Calibri" w:cs="Calibri"/>
                <w:sz w:val="18"/>
                <w:szCs w:val="22"/>
                <w:lang w:eastAsia="en-AU"/>
              </w:rPr>
              <w:t xml:space="preserve"> 49 137</w:t>
            </w:r>
          </w:p>
        </w:tc>
        <w:tc>
          <w:tcPr>
            <w:tcW w:w="993" w:type="dxa"/>
            <w:tcBorders>
              <w:top w:val="nil"/>
              <w:left w:val="nil"/>
              <w:bottom w:val="nil"/>
              <w:right w:val="nil"/>
            </w:tcBorders>
            <w:shd w:val="solid" w:color="FFFFFF" w:fill="auto"/>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11 693</w:t>
            </w:r>
          </w:p>
        </w:tc>
      </w:tr>
      <w:tr w:rsidR="004E6C32" w:rsidRPr="006A75A2" w:rsidTr="00A659BA">
        <w:trPr>
          <w:trHeight w:hRule="exact" w:val="120"/>
        </w:trPr>
        <w:tc>
          <w:tcPr>
            <w:tcW w:w="6622" w:type="dxa"/>
            <w:gridSpan w:val="2"/>
            <w:tcBorders>
              <w:top w:val="nil"/>
              <w:left w:val="nil"/>
              <w:bottom w:val="single" w:sz="6"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106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2"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c>
          <w:tcPr>
            <w:tcW w:w="993" w:type="dxa"/>
            <w:tcBorders>
              <w:top w:val="nil"/>
              <w:left w:val="nil"/>
              <w:bottom w:val="single" w:sz="6"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 xml:space="preserve"> </w:t>
            </w:r>
          </w:p>
        </w:tc>
      </w:tr>
      <w:tr w:rsidR="004E6C32" w:rsidRPr="006A75A2" w:rsidTr="00A659BA">
        <w:trPr>
          <w:trHeight w:val="230"/>
        </w:trPr>
        <w:tc>
          <w:tcPr>
            <w:tcW w:w="6622" w:type="dxa"/>
            <w:gridSpan w:val="2"/>
            <w:tcBorders>
              <w:top w:val="nil"/>
              <w:left w:val="nil"/>
              <w:bottom w:val="single" w:sz="12" w:space="0" w:color="auto"/>
              <w:right w:val="nil"/>
            </w:tcBorders>
          </w:tcPr>
          <w:p w:rsidR="004E6C32" w:rsidRPr="006A75A2" w:rsidRDefault="004E6C32" w:rsidP="004B5CB1">
            <w:pPr>
              <w:autoSpaceDE w:val="0"/>
              <w:autoSpaceDN w:val="0"/>
              <w:adjustRightInd w:val="0"/>
              <w:spacing w:after="0"/>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Total Parliamentary authority</w:t>
            </w:r>
          </w:p>
        </w:tc>
        <w:tc>
          <w:tcPr>
            <w:tcW w:w="1063" w:type="dxa"/>
            <w:tcBorders>
              <w:top w:val="nil"/>
              <w:left w:val="nil"/>
              <w:bottom w:val="single" w:sz="12"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6 821 337</w:t>
            </w:r>
          </w:p>
        </w:tc>
        <w:tc>
          <w:tcPr>
            <w:tcW w:w="992" w:type="dxa"/>
            <w:tcBorders>
              <w:top w:val="nil"/>
              <w:left w:val="nil"/>
              <w:bottom w:val="single" w:sz="12"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6 161 435</w:t>
            </w:r>
          </w:p>
        </w:tc>
        <w:tc>
          <w:tcPr>
            <w:tcW w:w="993" w:type="dxa"/>
            <w:tcBorders>
              <w:top w:val="nil"/>
              <w:left w:val="nil"/>
              <w:bottom w:val="single" w:sz="12" w:space="0" w:color="auto"/>
              <w:right w:val="nil"/>
            </w:tcBorders>
          </w:tcPr>
          <w:p w:rsidR="004E6C32" w:rsidRPr="006A75A2" w:rsidRDefault="004E6C32" w:rsidP="004B5CB1">
            <w:pPr>
              <w:autoSpaceDE w:val="0"/>
              <w:autoSpaceDN w:val="0"/>
              <w:adjustRightInd w:val="0"/>
              <w:spacing w:after="0"/>
              <w:jc w:val="right"/>
              <w:rPr>
                <w:rFonts w:ascii="Calibri" w:eastAsiaTheme="minorEastAsia" w:hAnsi="Calibri" w:cs="Calibri"/>
                <w:b/>
                <w:bCs/>
                <w:sz w:val="18"/>
                <w:szCs w:val="22"/>
                <w:lang w:eastAsia="en-AU"/>
              </w:rPr>
            </w:pPr>
            <w:r w:rsidRPr="006A75A2">
              <w:rPr>
                <w:rFonts w:ascii="Calibri" w:eastAsiaTheme="minorEastAsia" w:hAnsi="Calibri" w:cs="Calibri"/>
                <w:b/>
                <w:bCs/>
                <w:sz w:val="18"/>
                <w:szCs w:val="22"/>
                <w:lang w:eastAsia="en-AU"/>
              </w:rPr>
              <w:t>4 509 496</w:t>
            </w:r>
          </w:p>
        </w:tc>
      </w:tr>
    </w:tbl>
    <w:p w:rsidR="004E6C32" w:rsidRPr="006A75A2" w:rsidRDefault="004E6C32" w:rsidP="004B5CB1">
      <w:pPr>
        <w:pStyle w:val="million"/>
      </w:pPr>
    </w:p>
    <w:p w:rsidR="004E6C32" w:rsidRPr="006A75A2" w:rsidRDefault="004E6C32" w:rsidP="004B5CB1">
      <w:pPr>
        <w:pStyle w:val="Heading2NotesContd"/>
        <w:rPr>
          <w:i/>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(u)</w:t>
      </w:r>
      <w:r w:rsidRPr="006A75A2">
        <w:tab/>
        <w:t>Parliamentary authority – Planning and Community Development</w:t>
      </w:r>
      <w:r w:rsidRPr="006A75A2">
        <w:rPr>
          <w:vertAlign w:val="superscript"/>
        </w:rPr>
        <w:t>(a)</w:t>
      </w:r>
    </w:p>
    <w:p w:rsidR="004E6C32" w:rsidRPr="006A75A2" w:rsidRDefault="004E6C32" w:rsidP="004B5CB1">
      <w:pPr>
        <w:pStyle w:val="million"/>
        <w:rPr>
          <w:rFonts w:ascii="Times New Roman" w:hAnsi="Times New Roman"/>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280"/>
        <w:gridCol w:w="1250"/>
        <w:gridCol w:w="1040"/>
        <w:gridCol w:w="1070"/>
      </w:tblGrid>
      <w:tr w:rsidR="00A67F93" w:rsidRPr="006A75A2" w:rsidTr="00A67F93">
        <w:trPr>
          <w:trHeight w:val="711"/>
        </w:trPr>
        <w:tc>
          <w:tcPr>
            <w:tcW w:w="6280" w:type="dxa"/>
            <w:tcBorders>
              <w:top w:val="single" w:sz="6" w:space="0" w:color="auto"/>
              <w:left w:val="single" w:sz="6" w:space="0" w:color="auto"/>
              <w:right w:val="nil"/>
            </w:tcBorders>
            <w:shd w:val="clear" w:color="000000" w:fill="000000"/>
          </w:tcPr>
          <w:p w:rsidR="00A67F93" w:rsidRPr="006A75A2" w:rsidRDefault="00A67F93" w:rsidP="004B5CB1">
            <w:pPr>
              <w:pStyle w:val="Tabletext"/>
              <w:rPr>
                <w:rFonts w:eastAsiaTheme="minorEastAsia"/>
                <w:sz w:val="19"/>
                <w:lang w:eastAsia="en-AU"/>
              </w:rPr>
            </w:pPr>
          </w:p>
        </w:tc>
        <w:tc>
          <w:tcPr>
            <w:tcW w:w="125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 xml:space="preserve">Parliamentary </w:t>
            </w:r>
            <w:r w:rsidRPr="006A75A2">
              <w:rPr>
                <w:rFonts w:eastAsiaTheme="minorEastAsia"/>
                <w:sz w:val="19"/>
                <w:lang w:eastAsia="en-AU"/>
              </w:rPr>
              <w:br/>
              <w:t xml:space="preserve">authority </w:t>
            </w:r>
            <w:r w:rsidRPr="006A75A2">
              <w:rPr>
                <w:rFonts w:eastAsiaTheme="minorEastAsia"/>
                <w:sz w:val="19"/>
                <w:lang w:eastAsia="en-AU"/>
              </w:rPr>
              <w:br/>
              <w:t>2014</w:t>
            </w:r>
          </w:p>
        </w:tc>
        <w:tc>
          <w:tcPr>
            <w:tcW w:w="104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2014</w:t>
            </w:r>
          </w:p>
        </w:tc>
        <w:tc>
          <w:tcPr>
            <w:tcW w:w="1070" w:type="dxa"/>
            <w:tcBorders>
              <w:top w:val="single" w:sz="6" w:space="0" w:color="auto"/>
              <w:left w:val="nil"/>
              <w:right w:val="single" w:sz="6" w:space="0" w:color="auto"/>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2013</w:t>
            </w:r>
          </w:p>
        </w:tc>
      </w:tr>
      <w:tr w:rsidR="004E6C32" w:rsidRPr="006A75A2" w:rsidTr="004B5CB1">
        <w:tc>
          <w:tcPr>
            <w:tcW w:w="628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25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07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Payments to Growth Areas Public Transport Fund pursuant to section 46QB of the </w:t>
            </w:r>
            <w:r w:rsidRPr="006A75A2">
              <w:rPr>
                <w:rFonts w:eastAsiaTheme="minorEastAsia"/>
                <w:i/>
                <w:sz w:val="19"/>
                <w:lang w:eastAsia="en-AU"/>
              </w:rPr>
              <w:t>Planning and Environment Act No. 45 of 1987</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7 000</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Payments to Building New Communities Fund pursuant to section 46QB of the </w:t>
            </w:r>
            <w:r w:rsidRPr="006A75A2">
              <w:rPr>
                <w:rFonts w:eastAsiaTheme="minorEastAsia"/>
                <w:i/>
                <w:sz w:val="19"/>
                <w:lang w:eastAsia="en-AU"/>
              </w:rPr>
              <w:t>Planning and Environment Act No. 45 of 1987</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7 000</w:t>
            </w:r>
          </w:p>
        </w:tc>
      </w:tr>
      <w:tr w:rsidR="004E6C32" w:rsidRPr="006A75A2" w:rsidTr="004B5CB1">
        <w:tc>
          <w:tcPr>
            <w:tcW w:w="628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special appropriations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25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w:t>
            </w:r>
          </w:p>
        </w:tc>
        <w:tc>
          <w:tcPr>
            <w:tcW w:w="104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w:t>
            </w:r>
          </w:p>
        </w:tc>
        <w:tc>
          <w:tcPr>
            <w:tcW w:w="107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14 000</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25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4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7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25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4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7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298 297</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465</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11 649</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25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6 494</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25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316 905</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5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4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7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assets base</w:t>
            </w:r>
          </w:p>
        </w:tc>
        <w:tc>
          <w:tcPr>
            <w:tcW w:w="125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4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7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Additions to the net asset base – net application</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126 838</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9 318</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2 670</w:t>
            </w:r>
          </w:p>
        </w:tc>
      </w:tr>
      <w:tr w:rsidR="004E6C32" w:rsidRPr="006A75A2" w:rsidTr="004B5CB1">
        <w:tc>
          <w:tcPr>
            <w:tcW w:w="628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25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7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138 827</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Payments made on behalf of the State</w:t>
            </w:r>
          </w:p>
        </w:tc>
        <w:tc>
          <w:tcPr>
            <w:tcW w:w="125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4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7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Payments made on behalf of the State – net application</w:t>
            </w:r>
          </w:p>
        </w:tc>
        <w:tc>
          <w:tcPr>
            <w:tcW w:w="125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156</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for payments made on behalf of the State – gross application</w:t>
            </w:r>
          </w:p>
        </w:tc>
        <w:tc>
          <w:tcPr>
            <w:tcW w:w="125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156</w:t>
            </w:r>
          </w:p>
        </w:tc>
      </w:tr>
      <w:tr w:rsidR="004E6C32" w:rsidRPr="006A75A2" w:rsidTr="004B5CB1">
        <w:trPr>
          <w:trHeight w:hRule="exact" w:val="120"/>
        </w:trPr>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5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4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7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Other </w:t>
            </w:r>
          </w:p>
        </w:tc>
        <w:tc>
          <w:tcPr>
            <w:tcW w:w="125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4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7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 to Regional Growth Fund pursuant to Section 4 of the </w:t>
            </w:r>
            <w:r w:rsidRPr="006A75A2">
              <w:rPr>
                <w:rFonts w:eastAsiaTheme="minorEastAsia"/>
                <w:i/>
                <w:sz w:val="19"/>
                <w:lang w:eastAsia="en-AU"/>
              </w:rPr>
              <w:t>Regional Growth Fund Act No. 8 of 2011</w:t>
            </w:r>
            <w:r w:rsidRPr="006A75A2">
              <w:rPr>
                <w:rFonts w:eastAsiaTheme="minorEastAsia"/>
                <w:sz w:val="19"/>
                <w:lang w:eastAsia="en-AU"/>
              </w:rPr>
              <w:t xml:space="preserve"> </w:t>
            </w:r>
          </w:p>
        </w:tc>
        <w:tc>
          <w:tcPr>
            <w:tcW w:w="125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122 000</w:t>
            </w:r>
          </w:p>
        </w:tc>
      </w:tr>
      <w:tr w:rsidR="004E6C32" w:rsidRPr="006A75A2" w:rsidTr="004B5CB1">
        <w:tc>
          <w:tcPr>
            <w:tcW w:w="6280"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other</w:t>
            </w:r>
          </w:p>
        </w:tc>
        <w:tc>
          <w:tcPr>
            <w:tcW w:w="125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4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7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122 000</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25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577 888</w:t>
            </w:r>
          </w:p>
        </w:tc>
      </w:tr>
      <w:tr w:rsidR="004E6C32" w:rsidRPr="006A75A2" w:rsidTr="004B5CB1">
        <w:trPr>
          <w:trHeight w:hRule="exact" w:val="120"/>
        </w:trPr>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5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7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25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4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7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591 888</w:t>
            </w:r>
          </w:p>
        </w:tc>
      </w:tr>
      <w:tr w:rsidR="004E6C32" w:rsidRPr="006A75A2" w:rsidTr="004B5CB1">
        <w:tc>
          <w:tcPr>
            <w:tcW w:w="6280"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25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4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7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26 200</w:t>
            </w:r>
          </w:p>
        </w:tc>
      </w:tr>
      <w:tr w:rsidR="004E6C32" w:rsidRPr="006A75A2" w:rsidTr="004B5CB1">
        <w:trPr>
          <w:trHeight w:hRule="exact" w:val="120"/>
        </w:trPr>
        <w:tc>
          <w:tcPr>
            <w:tcW w:w="6280"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5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4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07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25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4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07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618 088</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Effective 1 July 2013 the Department of Planning and Community Development ceased to exist and had its functions and operations transferred to other government departments.</w:t>
      </w:r>
    </w:p>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(v)</w:t>
      </w:r>
      <w:r w:rsidRPr="006A75A2">
        <w:tab/>
        <w:t>Parliamentary authority – Premier and Cabinet</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113"/>
        <w:gridCol w:w="1287"/>
        <w:gridCol w:w="1120"/>
        <w:gridCol w:w="1120"/>
      </w:tblGrid>
      <w:tr w:rsidR="00A67F93" w:rsidRPr="006A75A2" w:rsidTr="00A67F93">
        <w:trPr>
          <w:trHeight w:val="711"/>
        </w:trPr>
        <w:tc>
          <w:tcPr>
            <w:tcW w:w="6113" w:type="dxa"/>
            <w:tcBorders>
              <w:top w:val="single" w:sz="6" w:space="0" w:color="auto"/>
              <w:left w:val="single" w:sz="6" w:space="0" w:color="auto"/>
              <w:right w:val="nil"/>
            </w:tcBorders>
            <w:shd w:val="clear" w:color="000000" w:fill="000000"/>
          </w:tcPr>
          <w:p w:rsidR="00A67F93" w:rsidRPr="006A75A2" w:rsidRDefault="00A67F93" w:rsidP="004B5CB1">
            <w:pPr>
              <w:pStyle w:val="Tabletext"/>
              <w:rPr>
                <w:rFonts w:eastAsiaTheme="minorEastAsia"/>
                <w:sz w:val="19"/>
                <w:lang w:eastAsia="en-AU"/>
              </w:rPr>
            </w:pPr>
          </w:p>
        </w:tc>
        <w:tc>
          <w:tcPr>
            <w:tcW w:w="1287"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 xml:space="preserve">Parliamentary authority </w:t>
            </w:r>
            <w:r w:rsidRPr="006A75A2">
              <w:rPr>
                <w:rFonts w:eastAsiaTheme="minorEastAsia"/>
                <w:sz w:val="19"/>
                <w:lang w:eastAsia="en-AU"/>
              </w:rPr>
              <w:br/>
              <w:t>2014</w:t>
            </w:r>
          </w:p>
        </w:tc>
        <w:tc>
          <w:tcPr>
            <w:tcW w:w="112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2014</w:t>
            </w:r>
          </w:p>
        </w:tc>
        <w:tc>
          <w:tcPr>
            <w:tcW w:w="1120" w:type="dxa"/>
            <w:tcBorders>
              <w:top w:val="single" w:sz="6" w:space="0" w:color="auto"/>
              <w:left w:val="nil"/>
              <w:right w:val="single" w:sz="6" w:space="0" w:color="auto"/>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2013</w:t>
            </w:r>
          </w:p>
        </w:tc>
      </w:tr>
      <w:tr w:rsidR="004E6C32" w:rsidRPr="006A75A2" w:rsidTr="004B5CB1">
        <w:tc>
          <w:tcPr>
            <w:tcW w:w="6113" w:type="dxa"/>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287"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Constitution Act, No. 8750 of 1975</w:t>
            </w:r>
            <w:r w:rsidRPr="006A75A2">
              <w:rPr>
                <w:rFonts w:eastAsiaTheme="minorEastAsia"/>
                <w:sz w:val="19"/>
                <w:lang w:eastAsia="en-AU"/>
              </w:rPr>
              <w:t xml:space="preserve"> – Executive Council</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50</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Constitution Act, No. 8750 of 1975</w:t>
            </w:r>
            <w:r w:rsidRPr="006A75A2">
              <w:rPr>
                <w:rFonts w:eastAsiaTheme="minorEastAsia"/>
                <w:sz w:val="19"/>
                <w:lang w:eastAsia="en-AU"/>
              </w:rPr>
              <w:t xml:space="preserve"> – Governor</w:t>
            </w:r>
            <w:r w:rsidR="00C96101" w:rsidRPr="006A75A2">
              <w:rPr>
                <w:rFonts w:eastAsiaTheme="minorEastAsia"/>
                <w:sz w:val="19"/>
                <w:lang w:eastAsia="en-AU"/>
              </w:rPr>
              <w:t>’</w:t>
            </w:r>
            <w:r w:rsidRPr="006A75A2">
              <w:rPr>
                <w:rFonts w:eastAsiaTheme="minorEastAsia"/>
                <w:sz w:val="19"/>
                <w:lang w:eastAsia="en-AU"/>
              </w:rPr>
              <w:t>s Salary</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427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427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418</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i/>
                <w:sz w:val="19"/>
                <w:lang w:eastAsia="en-AU"/>
              </w:rPr>
            </w:pPr>
            <w:r w:rsidRPr="006A75A2">
              <w:rPr>
                <w:rFonts w:eastAsiaTheme="minorEastAsia"/>
                <w:i/>
                <w:sz w:val="19"/>
                <w:lang w:eastAsia="en-AU"/>
              </w:rPr>
              <w:t>Ombudsman Act, No. 8414 of 1973</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511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511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493</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i/>
                <w:sz w:val="19"/>
                <w:lang w:eastAsia="en-AU"/>
              </w:rPr>
            </w:pPr>
            <w:r w:rsidRPr="006A75A2">
              <w:rPr>
                <w:rFonts w:eastAsiaTheme="minorEastAsia"/>
                <w:i/>
                <w:sz w:val="19"/>
                <w:lang w:eastAsia="en-AU"/>
              </w:rPr>
              <w:t>Parliamentary Salaries and Superannuation Act, No. 7723 of 1968</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7 663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7 663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7 317</w:t>
            </w:r>
          </w:p>
        </w:tc>
      </w:tr>
      <w:tr w:rsidR="004E6C32" w:rsidRPr="006A75A2" w:rsidTr="004B5CB1">
        <w:tc>
          <w:tcPr>
            <w:tcW w:w="6113"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special appropriations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287"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8 650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8 650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8 278</w:t>
            </w:r>
          </w:p>
        </w:tc>
      </w:tr>
      <w:tr w:rsidR="004E6C32" w:rsidRPr="006A75A2" w:rsidTr="004B5CB1">
        <w:trPr>
          <w:trHeight w:hRule="exact" w:val="120"/>
        </w:trPr>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87"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287"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287"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563 662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549 210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528 613</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i/>
                <w:sz w:val="19"/>
                <w:lang w:eastAsia="en-AU"/>
              </w:rPr>
            </w:pPr>
            <w:r w:rsidRPr="006A75A2">
              <w:rPr>
                <w:rFonts w:eastAsiaTheme="minorEastAsia"/>
                <w:sz w:val="19"/>
                <w:lang w:eastAsia="en-AU"/>
              </w:rPr>
              <w:t>Section 29</w:t>
            </w:r>
            <w:r w:rsidRPr="006A75A2">
              <w:rPr>
                <w:rFonts w:eastAsiaTheme="minorEastAsia"/>
                <w:i/>
                <w:sz w:val="19"/>
                <w:lang w:eastAsia="en-AU"/>
              </w:rPr>
              <w:t xml:space="preserve"> Financial Management Act, No. 18 of 1994</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512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512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867</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16 400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16 397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16 350</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287"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4 576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4 576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113"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287"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5 690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5 690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2 986</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287"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590 840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576 385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548 816</w:t>
            </w:r>
          </w:p>
        </w:tc>
      </w:tr>
      <w:tr w:rsidR="004E6C32" w:rsidRPr="006A75A2" w:rsidTr="004B5CB1">
        <w:trPr>
          <w:trHeight w:hRule="exact" w:val="120"/>
        </w:trPr>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87"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 base</w:t>
            </w:r>
          </w:p>
        </w:tc>
        <w:tc>
          <w:tcPr>
            <w:tcW w:w="1287"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Additions to the net asset base – net application</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14 244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12 876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13 292</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6 450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6 450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113" w:type="dxa"/>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287"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22 400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22 400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780</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287"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43 094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41 726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14 072</w:t>
            </w:r>
          </w:p>
        </w:tc>
      </w:tr>
      <w:tr w:rsidR="004E6C32" w:rsidRPr="006A75A2" w:rsidTr="004B5CB1">
        <w:trPr>
          <w:trHeight w:hRule="exact" w:val="120"/>
        </w:trPr>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87"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Payments made on behalf of the State</w:t>
            </w:r>
          </w:p>
        </w:tc>
        <w:tc>
          <w:tcPr>
            <w:tcW w:w="1287"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287"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1 457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payments made on behalf of the State – gross application</w:t>
            </w:r>
          </w:p>
        </w:tc>
        <w:tc>
          <w:tcPr>
            <w:tcW w:w="1287"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1 457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r>
      <w:tr w:rsidR="004E6C32" w:rsidRPr="006A75A2" w:rsidTr="004B5CB1">
        <w:trPr>
          <w:trHeight w:hRule="exact" w:val="120"/>
        </w:trPr>
        <w:tc>
          <w:tcPr>
            <w:tcW w:w="6113"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87"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287"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635 434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619 568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562 888</w:t>
            </w:r>
          </w:p>
        </w:tc>
      </w:tr>
      <w:tr w:rsidR="004E6C32" w:rsidRPr="006A75A2" w:rsidTr="004B5CB1">
        <w:trPr>
          <w:trHeight w:hRule="exact" w:val="120"/>
        </w:trPr>
        <w:tc>
          <w:tcPr>
            <w:tcW w:w="6113"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287"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113"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287"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644 084</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628 218</w:t>
            </w:r>
          </w:p>
        </w:tc>
        <w:tc>
          <w:tcPr>
            <w:tcW w:w="1120" w:type="dxa"/>
            <w:tcBorders>
              <w:top w:val="nil"/>
              <w:left w:val="nil"/>
              <w:bottom w:val="single" w:sz="12"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571 166</w:t>
            </w:r>
          </w:p>
        </w:tc>
      </w:tr>
      <w:tr w:rsidR="004E6C32" w:rsidRPr="006A75A2" w:rsidTr="004B5CB1">
        <w:tc>
          <w:tcPr>
            <w:tcW w:w="6113" w:type="dxa"/>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287"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1 110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1 110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6 485</w:t>
            </w:r>
          </w:p>
        </w:tc>
      </w:tr>
      <w:tr w:rsidR="004E6C32" w:rsidRPr="006A75A2" w:rsidTr="004B5CB1">
        <w:tc>
          <w:tcPr>
            <w:tcW w:w="611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287"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645 194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629 328</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577 651</w:t>
            </w:r>
          </w:p>
        </w:tc>
      </w:tr>
    </w:tbl>
    <w:p w:rsidR="004E6C32" w:rsidRPr="006A75A2" w:rsidRDefault="004E6C32" w:rsidP="004B5CB1"/>
    <w:p w:rsidR="004E6C32" w:rsidRPr="006A75A2" w:rsidRDefault="004E6C32" w:rsidP="004B5CB1"/>
    <w:p w:rsidR="004E6C32" w:rsidRPr="006A75A2" w:rsidRDefault="004E6C32" w:rsidP="004B5CB1"/>
    <w:p w:rsidR="004E6C32" w:rsidRPr="006A75A2" w:rsidRDefault="004E6C32" w:rsidP="004B5CB1"/>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(w)</w:t>
      </w:r>
      <w:r w:rsidRPr="006A75A2">
        <w:tab/>
        <w:t>Parliamentary authority – Primary Industries</w:t>
      </w:r>
      <w:r w:rsidRPr="006A75A2">
        <w:rPr>
          <w:vertAlign w:val="superscript"/>
        </w:rPr>
        <w:t>(a)</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113"/>
        <w:gridCol w:w="167"/>
        <w:gridCol w:w="1120"/>
        <w:gridCol w:w="1120"/>
        <w:gridCol w:w="1120"/>
      </w:tblGrid>
      <w:tr w:rsidR="00A67F93" w:rsidRPr="006A75A2" w:rsidTr="00A67F93">
        <w:trPr>
          <w:trHeight w:val="711"/>
        </w:trPr>
        <w:tc>
          <w:tcPr>
            <w:tcW w:w="6113" w:type="dxa"/>
            <w:tcBorders>
              <w:top w:val="single" w:sz="6" w:space="0" w:color="auto"/>
              <w:left w:val="single" w:sz="6" w:space="0" w:color="auto"/>
              <w:right w:val="nil"/>
            </w:tcBorders>
            <w:shd w:val="clear" w:color="000000" w:fill="000000"/>
          </w:tcPr>
          <w:p w:rsidR="00A67F93" w:rsidRPr="006A75A2" w:rsidRDefault="00A67F93" w:rsidP="004B5CB1">
            <w:pPr>
              <w:pStyle w:val="Tabletext"/>
              <w:rPr>
                <w:rFonts w:eastAsiaTheme="minorEastAsia"/>
                <w:sz w:val="19"/>
                <w:lang w:eastAsia="en-AU"/>
              </w:rPr>
            </w:pPr>
          </w:p>
        </w:tc>
        <w:tc>
          <w:tcPr>
            <w:tcW w:w="1287" w:type="dxa"/>
            <w:gridSpan w:val="2"/>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Parliamentary authority</w:t>
            </w:r>
            <w:r w:rsidRPr="006A75A2">
              <w:rPr>
                <w:rFonts w:eastAsiaTheme="minorEastAsia"/>
                <w:sz w:val="19"/>
                <w:lang w:eastAsia="en-AU"/>
              </w:rPr>
              <w:br/>
              <w:t>2014</w:t>
            </w:r>
          </w:p>
        </w:tc>
        <w:tc>
          <w:tcPr>
            <w:tcW w:w="112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2014</w:t>
            </w:r>
          </w:p>
        </w:tc>
        <w:tc>
          <w:tcPr>
            <w:tcW w:w="1120" w:type="dxa"/>
            <w:tcBorders>
              <w:top w:val="single" w:sz="6" w:space="0" w:color="auto"/>
              <w:left w:val="nil"/>
              <w:right w:val="single" w:sz="6" w:space="0" w:color="auto"/>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2013</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316 542</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65 396</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57 649</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12 269</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451 856</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 base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Additions to the net asset base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3 897</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24 700</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28 601</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480 456</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480 456</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8 300</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488 756</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Effective 1 July 2013 the Department of Primary Industries ceased to exist and had its functions and operations transferred to other government departments.</w:t>
      </w:r>
    </w:p>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(x)</w:t>
      </w:r>
      <w:r w:rsidRPr="006A75A2">
        <w:tab/>
        <w:t>Parliamentary authority – State Development, Business and Innovation</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5829"/>
        <w:gridCol w:w="451"/>
        <w:gridCol w:w="1120"/>
        <w:gridCol w:w="1120"/>
        <w:gridCol w:w="1120"/>
      </w:tblGrid>
      <w:tr w:rsidR="00A67F93" w:rsidRPr="006A75A2" w:rsidTr="00A67F93">
        <w:trPr>
          <w:trHeight w:val="711"/>
        </w:trPr>
        <w:tc>
          <w:tcPr>
            <w:tcW w:w="5829" w:type="dxa"/>
            <w:tcBorders>
              <w:top w:val="single" w:sz="6" w:space="0" w:color="000000"/>
              <w:left w:val="single" w:sz="6" w:space="0" w:color="000000"/>
              <w:right w:val="nil"/>
            </w:tcBorders>
            <w:shd w:val="clear" w:color="000000" w:fill="000000"/>
          </w:tcPr>
          <w:p w:rsidR="00A67F93" w:rsidRPr="006A75A2" w:rsidRDefault="00A67F93" w:rsidP="004B5CB1">
            <w:pPr>
              <w:pStyle w:val="Tabletext"/>
              <w:rPr>
                <w:rFonts w:eastAsiaTheme="minorEastAsia"/>
                <w:sz w:val="19"/>
                <w:lang w:eastAsia="en-AU"/>
              </w:rPr>
            </w:pPr>
          </w:p>
        </w:tc>
        <w:tc>
          <w:tcPr>
            <w:tcW w:w="1571" w:type="dxa"/>
            <w:gridSpan w:val="2"/>
            <w:tcBorders>
              <w:top w:val="single" w:sz="6" w:space="0" w:color="000000"/>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Parliamentary authority</w:t>
            </w:r>
            <w:r w:rsidRPr="006A75A2">
              <w:rPr>
                <w:rFonts w:eastAsiaTheme="minorEastAsia"/>
                <w:sz w:val="19"/>
                <w:lang w:eastAsia="en-AU"/>
              </w:rPr>
              <w:br/>
              <w:t>2014</w:t>
            </w:r>
          </w:p>
        </w:tc>
        <w:tc>
          <w:tcPr>
            <w:tcW w:w="1120" w:type="dxa"/>
            <w:tcBorders>
              <w:top w:val="single" w:sz="6" w:space="0" w:color="000000"/>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w:t>
            </w:r>
            <w:r w:rsidRPr="006A75A2">
              <w:rPr>
                <w:rFonts w:eastAsiaTheme="minorEastAsia"/>
                <w:sz w:val="19"/>
                <w:lang w:eastAsia="en-AU"/>
              </w:rPr>
              <w:br/>
              <w:t>applied</w:t>
            </w:r>
            <w:r w:rsidRPr="006A75A2">
              <w:rPr>
                <w:rFonts w:eastAsiaTheme="minorEastAsia"/>
                <w:sz w:val="19"/>
                <w:lang w:eastAsia="en-AU"/>
              </w:rPr>
              <w:br/>
              <w:t>2014</w:t>
            </w:r>
          </w:p>
        </w:tc>
        <w:tc>
          <w:tcPr>
            <w:tcW w:w="1120" w:type="dxa"/>
            <w:tcBorders>
              <w:top w:val="single" w:sz="6" w:space="0" w:color="000000"/>
              <w:left w:val="nil"/>
              <w:right w:val="single" w:sz="6" w:space="0" w:color="000000"/>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w:t>
            </w:r>
            <w:r w:rsidRPr="006A75A2">
              <w:rPr>
                <w:rFonts w:eastAsiaTheme="minorEastAsia"/>
                <w:sz w:val="19"/>
                <w:lang w:eastAsia="en-AU"/>
              </w:rPr>
              <w:br/>
              <w:t>applied</w:t>
            </w:r>
            <w:r w:rsidRPr="006A75A2">
              <w:rPr>
                <w:rFonts w:eastAsiaTheme="minorEastAsia"/>
                <w:sz w:val="19"/>
                <w:lang w:eastAsia="en-AU"/>
              </w:rPr>
              <w:br/>
              <w:t>2013</w:t>
            </w:r>
          </w:p>
        </w:tc>
      </w:tr>
      <w:tr w:rsidR="004E6C32" w:rsidRPr="006A75A2" w:rsidTr="004B5CB1">
        <w:tc>
          <w:tcPr>
            <w:tcW w:w="6280" w:type="dxa"/>
            <w:gridSpan w:val="2"/>
            <w:tcBorders>
              <w:top w:val="single" w:sz="6" w:space="0" w:color="000000"/>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000000"/>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625 786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515 000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386 324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4 823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773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1 078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64 285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60 451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42 126</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8 604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694 894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576 223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438 131</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 base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Additions to the net asset base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76 367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13 058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117 157</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30 780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30 775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3 354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107 147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43 834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120 511</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Payments made on behalf of the State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Payments made on behalf of the State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59 000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58 343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59 000</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2 535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2 535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for payments made on behalf of the State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61 535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60 878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59 000</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Other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 to Regional Growth Fund pursuant to Section 4 of the </w:t>
            </w:r>
            <w:r w:rsidRPr="006A75A2">
              <w:rPr>
                <w:rFonts w:eastAsiaTheme="minorEastAsia"/>
                <w:i/>
                <w:sz w:val="19"/>
                <w:lang w:eastAsia="en-AU"/>
              </w:rPr>
              <w:t>Regional Growth Fund Act No. 8 of 2011</w:t>
            </w:r>
            <w:r w:rsidRPr="006A75A2">
              <w:rPr>
                <w:rFonts w:eastAsiaTheme="minorEastAsia"/>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136 000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136 000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other</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136 000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136 000</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999 576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816 935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617 642</w:t>
            </w:r>
          </w:p>
        </w:tc>
      </w:tr>
      <w:tr w:rsidR="004E6C32" w:rsidRPr="006A75A2" w:rsidTr="004B5CB1">
        <w:tc>
          <w:tcPr>
            <w:tcW w:w="6280" w:type="dxa"/>
            <w:gridSpan w:val="2"/>
            <w:tcBorders>
              <w:top w:val="single" w:sz="6" w:space="0" w:color="auto"/>
              <w:left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single" w:sz="6" w:space="0" w:color="auto"/>
              <w:left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999 576</w:t>
            </w:r>
          </w:p>
        </w:tc>
        <w:tc>
          <w:tcPr>
            <w:tcW w:w="1120" w:type="dxa"/>
            <w:tcBorders>
              <w:top w:val="single" w:sz="6" w:space="0" w:color="auto"/>
              <w:left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816 935</w:t>
            </w:r>
          </w:p>
        </w:tc>
        <w:tc>
          <w:tcPr>
            <w:tcW w:w="1120" w:type="dxa"/>
            <w:tcBorders>
              <w:top w:val="single" w:sz="6" w:space="0" w:color="auto"/>
              <w:left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617 642</w:t>
            </w:r>
          </w:p>
        </w:tc>
      </w:tr>
      <w:tr w:rsidR="004E6C32" w:rsidRPr="006A75A2" w:rsidTr="004B5CB1">
        <w:tc>
          <w:tcPr>
            <w:tcW w:w="6280" w:type="dxa"/>
            <w:gridSpan w:val="2"/>
            <w:tcBorders>
              <w:left w:val="nil"/>
              <w:bottom w:val="single" w:sz="6" w:space="0" w:color="auto"/>
              <w:right w:val="nil"/>
            </w:tcBorders>
          </w:tcPr>
          <w:p w:rsidR="004E6C32" w:rsidRPr="006A75A2" w:rsidRDefault="004E6C32" w:rsidP="004B5CB1">
            <w:pPr>
              <w:pStyle w:val="Tabletext"/>
              <w:rPr>
                <w:rFonts w:eastAsiaTheme="minorEastAsia" w:cs="Calibri"/>
                <w:b/>
                <w:bCs/>
                <w:sz w:val="19"/>
                <w:szCs w:val="22"/>
                <w:lang w:eastAsia="en-AU"/>
              </w:rPr>
            </w:pPr>
            <w:r w:rsidRPr="006A75A2">
              <w:rPr>
                <w:rFonts w:eastAsiaTheme="minorEastAsia"/>
                <w:b/>
                <w:bCs/>
                <w:sz w:val="19"/>
                <w:lang w:eastAsia="en-AU"/>
              </w:rPr>
              <w:t xml:space="preserve">Amounts </w:t>
            </w:r>
            <w:r w:rsidRPr="006A75A2">
              <w:rPr>
                <w:rFonts w:eastAsiaTheme="minorEastAsia" w:cs="Calibri"/>
                <w:b/>
                <w:bCs/>
                <w:sz w:val="19"/>
                <w:szCs w:val="22"/>
                <w:lang w:eastAsia="en-AU"/>
              </w:rPr>
              <w:t xml:space="preserve">issued under the authority of the </w:t>
            </w:r>
            <w:r w:rsidRPr="006A75A2">
              <w:rPr>
                <w:rFonts w:eastAsiaTheme="minorEastAsia" w:cs="Calibri"/>
                <w:b/>
                <w:bCs/>
                <w:i/>
                <w:sz w:val="19"/>
                <w:szCs w:val="22"/>
                <w:lang w:eastAsia="en-AU"/>
              </w:rPr>
              <w:t>Financial Management Act, No. 18 of 1994,</w:t>
            </w:r>
            <w:r w:rsidRPr="006A75A2">
              <w:rPr>
                <w:rFonts w:eastAsiaTheme="minorEastAsia" w:cs="Calibri"/>
                <w:b/>
                <w:bCs/>
                <w:sz w:val="19"/>
                <w:szCs w:val="22"/>
                <w:lang w:eastAsia="en-AU"/>
              </w:rPr>
              <w:t xml:space="preserve"> Section 33 (Special Appropriation) relating to prior year appropriations</w:t>
            </w:r>
          </w:p>
        </w:tc>
        <w:tc>
          <w:tcPr>
            <w:tcW w:w="1120" w:type="dxa"/>
            <w:tcBorders>
              <w:left w:val="nil"/>
              <w:bottom w:val="single" w:sz="6" w:space="0" w:color="auto"/>
              <w:right w:val="nil"/>
            </w:tcBorders>
          </w:tcPr>
          <w:p w:rsidR="004E6C32" w:rsidRPr="006A75A2" w:rsidRDefault="004E6C32" w:rsidP="004B5CB1">
            <w:pPr>
              <w:pStyle w:val="TableofFigures"/>
              <w:rPr>
                <w:rFonts w:eastAsiaTheme="minorEastAsia" w:cs="Calibri"/>
                <w:b/>
                <w:bCs/>
                <w:sz w:val="19"/>
                <w:szCs w:val="22"/>
                <w:lang w:eastAsia="en-AU"/>
              </w:rPr>
            </w:pPr>
            <w:r w:rsidRPr="006A75A2">
              <w:rPr>
                <w:rFonts w:eastAsiaTheme="minorEastAsia"/>
                <w:b/>
                <w:sz w:val="19"/>
                <w:lang w:eastAsia="en-AU"/>
              </w:rPr>
              <w:t xml:space="preserve"> 1</w:t>
            </w:r>
            <w:r w:rsidRPr="006A75A2">
              <w:rPr>
                <w:rFonts w:eastAsiaTheme="minorEastAsia" w:cs="Calibri"/>
                <w:b/>
                <w:bCs/>
                <w:sz w:val="19"/>
                <w:szCs w:val="22"/>
                <w:lang w:eastAsia="en-AU"/>
              </w:rPr>
              <w:t xml:space="preserve"> 556</w:t>
            </w:r>
          </w:p>
        </w:tc>
        <w:tc>
          <w:tcPr>
            <w:tcW w:w="1120" w:type="dxa"/>
            <w:tcBorders>
              <w:left w:val="nil"/>
              <w:bottom w:val="single" w:sz="6" w:space="0" w:color="auto"/>
              <w:right w:val="nil"/>
            </w:tcBorders>
          </w:tcPr>
          <w:p w:rsidR="004E6C32" w:rsidRPr="006A75A2" w:rsidRDefault="004E6C32" w:rsidP="004B5CB1">
            <w:pPr>
              <w:pStyle w:val="TableofFigures"/>
              <w:rPr>
                <w:rFonts w:eastAsiaTheme="minorEastAsia" w:cs="Calibri"/>
                <w:b/>
                <w:bCs/>
                <w:sz w:val="19"/>
                <w:szCs w:val="22"/>
                <w:lang w:eastAsia="en-AU"/>
              </w:rPr>
            </w:pPr>
            <w:r w:rsidRPr="006A75A2">
              <w:rPr>
                <w:rFonts w:eastAsiaTheme="minorEastAsia"/>
                <w:b/>
                <w:sz w:val="19"/>
                <w:lang w:eastAsia="en-AU"/>
              </w:rPr>
              <w:t xml:space="preserve"> 1</w:t>
            </w:r>
            <w:r w:rsidRPr="006A75A2">
              <w:rPr>
                <w:rFonts w:eastAsiaTheme="minorEastAsia" w:cs="Calibri"/>
                <w:b/>
                <w:bCs/>
                <w:sz w:val="19"/>
                <w:szCs w:val="22"/>
                <w:lang w:eastAsia="en-AU"/>
              </w:rPr>
              <w:t xml:space="preserve"> 556</w:t>
            </w:r>
          </w:p>
        </w:tc>
        <w:tc>
          <w:tcPr>
            <w:tcW w:w="1120" w:type="dxa"/>
            <w:tcBorders>
              <w:left w:val="nil"/>
              <w:bottom w:val="single" w:sz="6" w:space="0" w:color="auto"/>
              <w:right w:val="nil"/>
            </w:tcBorders>
          </w:tcPr>
          <w:p w:rsidR="004E6C32" w:rsidRPr="006A75A2" w:rsidRDefault="004E6C32" w:rsidP="004B5CB1">
            <w:pPr>
              <w:pStyle w:val="TableofFigures"/>
              <w:rPr>
                <w:rFonts w:eastAsiaTheme="minorEastAsia" w:cs="Calibri"/>
                <w:b/>
                <w:bCs/>
                <w:sz w:val="19"/>
                <w:szCs w:val="22"/>
                <w:lang w:eastAsia="en-AU"/>
              </w:rPr>
            </w:pPr>
            <w:r w:rsidRPr="006A75A2">
              <w:rPr>
                <w:rFonts w:eastAsiaTheme="minorEastAsia"/>
                <w:b/>
                <w:sz w:val="19"/>
                <w:lang w:eastAsia="en-AU"/>
              </w:rPr>
              <w:t>..</w:t>
            </w:r>
          </w:p>
        </w:tc>
      </w:tr>
      <w:tr w:rsidR="004E6C32" w:rsidRPr="006A75A2" w:rsidTr="004B5CB1">
        <w:trPr>
          <w:trHeight w:hRule="exact" w:val="120"/>
        </w:trPr>
        <w:tc>
          <w:tcPr>
            <w:tcW w:w="6280" w:type="dxa"/>
            <w:gridSpan w:val="2"/>
            <w:tcBorders>
              <w:top w:val="single" w:sz="6" w:space="0" w:color="auto"/>
              <w:left w:val="nil"/>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single" w:sz="6" w:space="0" w:color="auto"/>
              <w:left w:val="nil"/>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single" w:sz="6" w:space="0" w:color="auto"/>
              <w:left w:val="nil"/>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single" w:sz="6" w:space="0" w:color="auto"/>
              <w:left w:val="nil"/>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left w:val="nil"/>
              <w:bottom w:val="single" w:sz="12" w:space="0" w:color="000000"/>
              <w:right w:val="nil"/>
            </w:tcBorders>
            <w:shd w:val="clear" w:color="auto" w:fill="auto"/>
          </w:tcPr>
          <w:p w:rsidR="004E6C32" w:rsidRPr="006A75A2" w:rsidRDefault="004E6C32" w:rsidP="004B5CB1">
            <w:pPr>
              <w:pStyle w:val="Tabletext"/>
              <w:rPr>
                <w:rFonts w:eastAsiaTheme="minorEastAsia" w:cs="Calibri"/>
                <w:b/>
                <w:bCs/>
                <w:sz w:val="19"/>
                <w:szCs w:val="22"/>
                <w:lang w:eastAsia="en-AU"/>
              </w:rPr>
            </w:pPr>
            <w:r w:rsidRPr="006A75A2">
              <w:rPr>
                <w:rFonts w:eastAsiaTheme="minorEastAsia" w:cs="Calibri"/>
                <w:b/>
                <w:bCs/>
                <w:sz w:val="19"/>
                <w:szCs w:val="22"/>
                <w:lang w:eastAsia="en-AU"/>
              </w:rPr>
              <w:t>Total Parliamentary authority</w:t>
            </w:r>
          </w:p>
        </w:tc>
        <w:tc>
          <w:tcPr>
            <w:tcW w:w="1120" w:type="dxa"/>
            <w:tcBorders>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Cs w:val="22"/>
                <w:lang w:eastAsia="en-AU"/>
              </w:rPr>
            </w:pPr>
            <w:r w:rsidRPr="006A75A2">
              <w:rPr>
                <w:rFonts w:eastAsiaTheme="minorEastAsia" w:cs="Calibri"/>
                <w:b/>
                <w:bCs/>
                <w:sz w:val="19"/>
                <w:szCs w:val="22"/>
                <w:lang w:eastAsia="en-AU"/>
              </w:rPr>
              <w:t>1 001 132</w:t>
            </w:r>
          </w:p>
        </w:tc>
        <w:tc>
          <w:tcPr>
            <w:tcW w:w="1120" w:type="dxa"/>
            <w:tcBorders>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19"/>
                <w:szCs w:val="22"/>
                <w:lang w:eastAsia="en-AU"/>
              </w:rPr>
            </w:pPr>
            <w:r w:rsidRPr="006A75A2">
              <w:rPr>
                <w:rFonts w:eastAsiaTheme="minorEastAsia" w:cs="Calibri"/>
                <w:b/>
                <w:bCs/>
                <w:sz w:val="19"/>
                <w:szCs w:val="22"/>
                <w:lang w:eastAsia="en-AU"/>
              </w:rPr>
              <w:t xml:space="preserve"> 818 491</w:t>
            </w:r>
          </w:p>
        </w:tc>
        <w:tc>
          <w:tcPr>
            <w:tcW w:w="1120" w:type="dxa"/>
            <w:tcBorders>
              <w:left w:val="nil"/>
              <w:bottom w:val="single" w:sz="12" w:space="0" w:color="000000"/>
              <w:right w:val="nil"/>
            </w:tcBorders>
            <w:shd w:val="clear" w:color="auto" w:fill="auto"/>
          </w:tcPr>
          <w:p w:rsidR="004E6C32" w:rsidRPr="006A75A2" w:rsidRDefault="004E6C32" w:rsidP="004B5CB1">
            <w:pPr>
              <w:pStyle w:val="TableofFigures"/>
              <w:rPr>
                <w:rFonts w:eastAsiaTheme="minorEastAsia" w:cs="Calibri"/>
                <w:b/>
                <w:bCs/>
                <w:sz w:val="19"/>
                <w:szCs w:val="22"/>
                <w:lang w:eastAsia="en-AU"/>
              </w:rPr>
            </w:pPr>
            <w:r w:rsidRPr="006A75A2">
              <w:rPr>
                <w:rFonts w:eastAsiaTheme="minorEastAsia" w:cs="Calibri"/>
                <w:b/>
                <w:bCs/>
                <w:sz w:val="19"/>
                <w:szCs w:val="22"/>
                <w:lang w:eastAsia="en-AU"/>
              </w:rPr>
              <w:t xml:space="preserve"> 617 642</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(y)</w:t>
      </w:r>
      <w:r w:rsidRPr="006A75A2">
        <w:tab/>
        <w:t>Parliamentary authority – Transport, Planning and Local Infrastructure</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5829"/>
        <w:gridCol w:w="451"/>
        <w:gridCol w:w="116"/>
        <w:gridCol w:w="284"/>
        <w:gridCol w:w="720"/>
        <w:gridCol w:w="1120"/>
        <w:gridCol w:w="1120"/>
      </w:tblGrid>
      <w:tr w:rsidR="00A67F93" w:rsidRPr="006A75A2" w:rsidTr="00A67F93">
        <w:trPr>
          <w:trHeight w:val="711"/>
        </w:trPr>
        <w:tc>
          <w:tcPr>
            <w:tcW w:w="5829" w:type="dxa"/>
            <w:tcBorders>
              <w:top w:val="single" w:sz="6" w:space="0" w:color="auto"/>
              <w:left w:val="single" w:sz="6" w:space="0" w:color="auto"/>
              <w:right w:val="nil"/>
            </w:tcBorders>
            <w:shd w:val="clear" w:color="000000" w:fill="000000"/>
          </w:tcPr>
          <w:p w:rsidR="00A67F93" w:rsidRPr="006A75A2" w:rsidRDefault="00A67F93" w:rsidP="004B5CB1">
            <w:pPr>
              <w:pStyle w:val="Tabletext"/>
              <w:rPr>
                <w:rFonts w:eastAsiaTheme="minorEastAsia"/>
                <w:sz w:val="19"/>
                <w:lang w:eastAsia="en-AU"/>
              </w:rPr>
            </w:pPr>
          </w:p>
        </w:tc>
        <w:tc>
          <w:tcPr>
            <w:tcW w:w="1571" w:type="dxa"/>
            <w:gridSpan w:val="4"/>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Parliamentary authority</w:t>
            </w:r>
            <w:r w:rsidRPr="006A75A2">
              <w:rPr>
                <w:rFonts w:eastAsiaTheme="minorEastAsia"/>
                <w:sz w:val="19"/>
                <w:lang w:eastAsia="en-AU"/>
              </w:rPr>
              <w:br/>
              <w:t>2014</w:t>
            </w:r>
          </w:p>
        </w:tc>
        <w:tc>
          <w:tcPr>
            <w:tcW w:w="112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2014</w:t>
            </w:r>
          </w:p>
        </w:tc>
        <w:tc>
          <w:tcPr>
            <w:tcW w:w="1120" w:type="dxa"/>
            <w:tcBorders>
              <w:top w:val="single" w:sz="6" w:space="0" w:color="auto"/>
              <w:left w:val="nil"/>
              <w:right w:val="single" w:sz="6" w:space="0" w:color="auto"/>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2013</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120" w:type="dxa"/>
            <w:gridSpan w:val="3"/>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i/>
                <w:sz w:val="19"/>
                <w:lang w:eastAsia="en-AU"/>
              </w:rPr>
            </w:pPr>
            <w:r w:rsidRPr="006A75A2">
              <w:rPr>
                <w:rFonts w:eastAsiaTheme="minorEastAsia"/>
                <w:i/>
                <w:sz w:val="19"/>
                <w:lang w:eastAsia="en-AU"/>
              </w:rPr>
              <w:t xml:space="preserve">Financial Management Act, No. 18 of 1994, </w:t>
            </w:r>
            <w:r w:rsidRPr="006A75A2">
              <w:rPr>
                <w:rFonts w:eastAsiaTheme="minorEastAsia"/>
                <w:sz w:val="19"/>
                <w:lang w:eastAsia="en-AU"/>
              </w:rPr>
              <w:t>Section 10</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95 067</w:t>
            </w:r>
          </w:p>
        </w:tc>
      </w:tr>
      <w:tr w:rsidR="004E6C32" w:rsidRPr="006A75A2" w:rsidTr="004B5CB1">
        <w:tc>
          <w:tcPr>
            <w:tcW w:w="6396" w:type="dxa"/>
            <w:gridSpan w:val="3"/>
            <w:tcBorders>
              <w:top w:val="nil"/>
              <w:left w:val="nil"/>
              <w:bottom w:val="nil"/>
              <w:right w:val="nil"/>
            </w:tcBorders>
          </w:tcPr>
          <w:p w:rsidR="004E6C32" w:rsidRPr="006A75A2" w:rsidRDefault="004E6C32" w:rsidP="004B5CB1">
            <w:pPr>
              <w:pStyle w:val="Tabletext"/>
              <w:rPr>
                <w:rFonts w:eastAsiaTheme="minorEastAsia"/>
                <w:i/>
                <w:sz w:val="19"/>
                <w:lang w:eastAsia="en-AU"/>
              </w:rPr>
            </w:pPr>
            <w:r w:rsidRPr="006A75A2">
              <w:rPr>
                <w:rFonts w:eastAsiaTheme="minorEastAsia"/>
                <w:i/>
                <w:sz w:val="19"/>
                <w:lang w:eastAsia="en-AU"/>
              </w:rPr>
              <w:t>Transport (Compliance and Miscellaneous) Act 1983,</w:t>
            </w:r>
            <w:r w:rsidRPr="006A75A2">
              <w:rPr>
                <w:rFonts w:eastAsiaTheme="minorEastAsia"/>
                <w:sz w:val="19"/>
                <w:lang w:eastAsia="en-AU"/>
              </w:rPr>
              <w:t xml:space="preserve"> Section 213A (4)</w:t>
            </w:r>
          </w:p>
        </w:tc>
        <w:tc>
          <w:tcPr>
            <w:tcW w:w="1004" w:type="dxa"/>
            <w:gridSpan w:val="2"/>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1 690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1 690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1 598</w:t>
            </w:r>
          </w:p>
        </w:tc>
      </w:tr>
      <w:tr w:rsidR="004E6C32" w:rsidRPr="006A75A2" w:rsidTr="004B5CB1">
        <w:tc>
          <w:tcPr>
            <w:tcW w:w="6396" w:type="dxa"/>
            <w:gridSpan w:val="3"/>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Payments to Growth Areas Public Transport Fund pursuant to Section 30 of the </w:t>
            </w:r>
            <w:r w:rsidRPr="006A75A2">
              <w:rPr>
                <w:rFonts w:eastAsiaTheme="minorEastAsia"/>
                <w:i/>
                <w:sz w:val="19"/>
                <w:lang w:eastAsia="en-AU"/>
              </w:rPr>
              <w:t>Planning and Environment (Growth Areas Infrastructure Contribution) Act 2010</w:t>
            </w:r>
          </w:p>
        </w:tc>
        <w:tc>
          <w:tcPr>
            <w:tcW w:w="1004" w:type="dxa"/>
            <w:gridSpan w:val="2"/>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680" w:type="dxa"/>
            <w:gridSpan w:val="4"/>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Payments to Building New Communities Fund pursuant to Section 30 of the </w:t>
            </w:r>
            <w:r w:rsidRPr="006A75A2">
              <w:rPr>
                <w:rFonts w:eastAsiaTheme="minorEastAsia"/>
                <w:i/>
                <w:sz w:val="19"/>
                <w:lang w:eastAsia="en-AU"/>
              </w:rPr>
              <w:t>Planning and Environment Act (Growth Areas Infrastructure Contribution) Act 2010</w:t>
            </w:r>
          </w:p>
        </w:tc>
        <w:tc>
          <w:tcPr>
            <w:tcW w:w="7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special appropriations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gridSpan w:val="3"/>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16 690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16 690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96 665</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5 110 796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5 026 180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4 567 773</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279 465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247 755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222 944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54 350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51 215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181 129</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gridSpan w:val="3"/>
            <w:tcBorders>
              <w:top w:val="nil"/>
              <w:left w:val="nil"/>
              <w:bottom w:val="single" w:sz="6" w:space="0" w:color="auto"/>
              <w:right w:val="nil"/>
            </w:tcBorders>
            <w:shd w:val="solid" w:color="FFFFFF" w:fill="auto"/>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83 568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5 444 611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5 325 149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5 055 414</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 base</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Additions to the net asset base – net application</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1 847 305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1 132 645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1 013 471</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1 128 617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878 617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528 600</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gridSpan w:val="3"/>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365 950</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332 085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410 343</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3 341 872</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2 343 347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1 952 414</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Payments made on behalf of the State</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Payments made on behalf of the State – net application</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850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155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for payments made on behalf of the State – gross application</w:t>
            </w:r>
          </w:p>
        </w:tc>
        <w:tc>
          <w:tcPr>
            <w:tcW w:w="1120" w:type="dxa"/>
            <w:gridSpan w:val="3"/>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850</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155</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 gross application</w:t>
            </w:r>
          </w:p>
        </w:tc>
        <w:tc>
          <w:tcPr>
            <w:tcW w:w="1120" w:type="dxa"/>
            <w:gridSpan w:val="3"/>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8 787 332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7 668 651</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7 007 828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8 804 023</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7 685 341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7 104 493</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120" w:type="dxa"/>
            <w:gridSpan w:val="3"/>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120" w:type="dxa"/>
            <w:gridSpan w:val="3"/>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6 293</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gridSpan w:val="3"/>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120" w:type="dxa"/>
            <w:gridSpan w:val="3"/>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8 804 023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7 685 341</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7 110 786</w:t>
            </w:r>
          </w:p>
        </w:tc>
      </w:tr>
    </w:tbl>
    <w:p w:rsidR="004E6C32" w:rsidRPr="006A75A2" w:rsidRDefault="004E6C32" w:rsidP="004B5CB1"/>
    <w:p w:rsidR="004E6C32" w:rsidRPr="006A75A2" w:rsidRDefault="004E6C32" w:rsidP="004B5CB1"/>
    <w:p w:rsidR="004E6C32" w:rsidRPr="006A75A2" w:rsidRDefault="004E6C32" w:rsidP="004B5CB1"/>
    <w:p w:rsidR="004E6C32" w:rsidRPr="006A75A2" w:rsidRDefault="004E6C32">
      <w:pPr>
        <w:spacing w:after="0"/>
        <w:rPr>
          <w:rFonts w:ascii="Calibri" w:hAnsi="Calibri"/>
          <w:b/>
        </w:rPr>
      </w:pPr>
      <w:r w:rsidRPr="006A75A2">
        <w:br w:type="page"/>
      </w: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pPr>
      <w:r w:rsidRPr="006A75A2">
        <w:t>(z)</w:t>
      </w:r>
      <w:r w:rsidRPr="006A75A2">
        <w:tab/>
        <w:t>Parliamentary authority – Treasury and Finance</w:t>
      </w:r>
    </w:p>
    <w:p w:rsidR="004E6C32" w:rsidRPr="006A75A2" w:rsidRDefault="004E6C32" w:rsidP="004B5CB1">
      <w:pPr>
        <w:pStyle w:val="million"/>
        <w:rPr>
          <w:rFonts w:ascii="Times New Roman" w:hAnsi="Times New Roman"/>
          <w:i w:val="0"/>
          <w:szCs w:val="20"/>
          <w:lang w:eastAsia="en-AU"/>
        </w:rPr>
      </w:pPr>
      <w:r w:rsidRPr="006A75A2">
        <w:t>($ thousand)</w:t>
      </w:r>
    </w:p>
    <w:tbl>
      <w:tblPr>
        <w:tblW w:w="9640" w:type="dxa"/>
        <w:tblInd w:w="28" w:type="dxa"/>
        <w:tblLayout w:type="fixed"/>
        <w:tblCellMar>
          <w:left w:w="45" w:type="dxa"/>
          <w:right w:w="45" w:type="dxa"/>
        </w:tblCellMar>
        <w:tblLook w:val="0000" w:firstRow="0" w:lastRow="0" w:firstColumn="0" w:lastColumn="0" w:noHBand="0" w:noVBand="0"/>
      </w:tblPr>
      <w:tblGrid>
        <w:gridCol w:w="6113"/>
        <w:gridCol w:w="167"/>
        <w:gridCol w:w="1120"/>
        <w:gridCol w:w="1120"/>
        <w:gridCol w:w="1120"/>
      </w:tblGrid>
      <w:tr w:rsidR="00A67F93" w:rsidRPr="006A75A2" w:rsidTr="00A67F93">
        <w:trPr>
          <w:trHeight w:val="711"/>
        </w:trPr>
        <w:tc>
          <w:tcPr>
            <w:tcW w:w="6113" w:type="dxa"/>
            <w:tcBorders>
              <w:top w:val="single" w:sz="6" w:space="0" w:color="auto"/>
              <w:left w:val="single" w:sz="6" w:space="0" w:color="auto"/>
              <w:right w:val="nil"/>
            </w:tcBorders>
            <w:shd w:val="clear" w:color="000000" w:fill="000000"/>
          </w:tcPr>
          <w:p w:rsidR="00A67F93" w:rsidRPr="006A75A2" w:rsidRDefault="00A67F93" w:rsidP="004B5CB1">
            <w:pPr>
              <w:pStyle w:val="Tabletext"/>
              <w:rPr>
                <w:rFonts w:eastAsiaTheme="minorEastAsia"/>
                <w:sz w:val="19"/>
                <w:lang w:eastAsia="en-AU"/>
              </w:rPr>
            </w:pPr>
          </w:p>
        </w:tc>
        <w:tc>
          <w:tcPr>
            <w:tcW w:w="1287" w:type="dxa"/>
            <w:gridSpan w:val="2"/>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Parliamentary authority</w:t>
            </w:r>
            <w:r w:rsidRPr="006A75A2">
              <w:rPr>
                <w:rFonts w:eastAsiaTheme="minorEastAsia"/>
                <w:sz w:val="19"/>
                <w:lang w:eastAsia="en-AU"/>
              </w:rPr>
              <w:br/>
              <w:t>2014</w:t>
            </w:r>
          </w:p>
        </w:tc>
        <w:tc>
          <w:tcPr>
            <w:tcW w:w="1120" w:type="dxa"/>
            <w:tcBorders>
              <w:top w:val="single" w:sz="6" w:space="0" w:color="auto"/>
              <w:left w:val="nil"/>
              <w:right w:val="nil"/>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2014</w:t>
            </w:r>
          </w:p>
        </w:tc>
        <w:tc>
          <w:tcPr>
            <w:tcW w:w="1120" w:type="dxa"/>
            <w:tcBorders>
              <w:top w:val="single" w:sz="6" w:space="0" w:color="auto"/>
              <w:left w:val="nil"/>
              <w:right w:val="single" w:sz="6" w:space="0" w:color="auto"/>
            </w:tcBorders>
            <w:shd w:val="clear" w:color="000000" w:fill="000000"/>
          </w:tcPr>
          <w:p w:rsidR="00A67F93" w:rsidRPr="006A75A2" w:rsidRDefault="00A67F93" w:rsidP="00A67F93">
            <w:pPr>
              <w:pStyle w:val="Tabletextheading"/>
              <w:rPr>
                <w:rFonts w:eastAsiaTheme="minorEastAsia"/>
                <w:sz w:val="19"/>
                <w:lang w:eastAsia="en-AU"/>
              </w:rPr>
            </w:pPr>
            <w:r w:rsidRPr="006A75A2">
              <w:rPr>
                <w:rFonts w:eastAsiaTheme="minorEastAsia"/>
                <w:sz w:val="19"/>
                <w:lang w:eastAsia="en-AU"/>
              </w:rPr>
              <w:t>Amounts applied</w:t>
            </w:r>
            <w:r w:rsidRPr="006A75A2">
              <w:rPr>
                <w:rFonts w:eastAsiaTheme="minorEastAsia"/>
                <w:sz w:val="19"/>
                <w:lang w:eastAsia="en-AU"/>
              </w:rPr>
              <w:br/>
              <w:t>2013</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Special appropriations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Constitution Act, No. 8750 of 1975</w:t>
            </w:r>
            <w:r w:rsidRPr="006A75A2">
              <w:rPr>
                <w:rFonts w:eastAsiaTheme="minorEastAsia"/>
                <w:sz w:val="19"/>
                <w:lang w:eastAsia="en-AU"/>
              </w:rPr>
              <w:t xml:space="preserve"> – Governor</w:t>
            </w:r>
            <w:r w:rsidR="00C96101" w:rsidRPr="006A75A2">
              <w:rPr>
                <w:rFonts w:eastAsiaTheme="minorEastAsia"/>
                <w:sz w:val="19"/>
                <w:lang w:eastAsia="en-AU"/>
              </w:rPr>
              <w:t>’</w:t>
            </w:r>
            <w:r w:rsidRPr="006A75A2">
              <w:rPr>
                <w:rFonts w:eastAsiaTheme="minorEastAsia"/>
                <w:sz w:val="19"/>
                <w:lang w:eastAsia="en-AU"/>
              </w:rPr>
              <w:t>s Pension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983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983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946</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Constitution Act, No. 8750 of 1975</w:t>
            </w:r>
            <w:r w:rsidRPr="006A75A2">
              <w:rPr>
                <w:rFonts w:eastAsiaTheme="minorEastAsia"/>
                <w:sz w:val="19"/>
                <w:lang w:eastAsia="en-AU"/>
              </w:rPr>
              <w:t xml:space="preserve"> – Supreme Court Judges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9 561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9 561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9 328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County Court Act, No. 6230 of 1958</w:t>
            </w:r>
            <w:r w:rsidRPr="006A75A2">
              <w:rPr>
                <w:rFonts w:eastAsiaTheme="minorEastAsia"/>
                <w:sz w:val="19"/>
                <w:lang w:eastAsia="en-AU"/>
              </w:rPr>
              <w:t xml:space="preserve"> – Judges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13 238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13 238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12 915</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Financial Management Act, No. 18 of 1994,</w:t>
            </w:r>
            <w:r w:rsidRPr="006A75A2">
              <w:rPr>
                <w:rFonts w:eastAsiaTheme="minorEastAsia"/>
                <w:sz w:val="19"/>
                <w:lang w:eastAsia="en-AU"/>
              </w:rPr>
              <w:t xml:space="preserve"> Section 10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1 588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Financial Management Act, No. 18 of 1994,</w:t>
            </w:r>
            <w:r w:rsidRPr="006A75A2">
              <w:rPr>
                <w:rFonts w:eastAsiaTheme="minorEastAsia"/>
                <w:sz w:val="19"/>
                <w:lang w:eastAsia="en-AU"/>
              </w:rPr>
              <w:t xml:space="preserve"> Section 39 – Interest on Advances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8 683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8 683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1 152</w:t>
            </w:r>
          </w:p>
        </w:tc>
      </w:tr>
      <w:tr w:rsidR="004E6C32" w:rsidRPr="006A75A2" w:rsidTr="004B5CB1">
        <w:tc>
          <w:tcPr>
            <w:tcW w:w="6280" w:type="dxa"/>
            <w:gridSpan w:val="2"/>
            <w:tcBorders>
              <w:top w:val="nil"/>
              <w:left w:val="nil"/>
              <w:bottom w:val="nil"/>
              <w:right w:val="nil"/>
            </w:tcBorders>
          </w:tcPr>
          <w:p w:rsidR="004E6C32" w:rsidRPr="006A75A2" w:rsidRDefault="004E6C32" w:rsidP="00A67F93">
            <w:pPr>
              <w:pStyle w:val="Tabletext"/>
              <w:rPr>
                <w:rFonts w:eastAsiaTheme="minorEastAsia"/>
                <w:sz w:val="19"/>
                <w:lang w:eastAsia="en-AU"/>
              </w:rPr>
            </w:pPr>
            <w:r w:rsidRPr="006A75A2">
              <w:rPr>
                <w:rFonts w:eastAsiaTheme="minorEastAsia"/>
                <w:i/>
                <w:sz w:val="19"/>
                <w:lang w:eastAsia="en-AU"/>
              </w:rPr>
              <w:t>Gambling Regulation Act No.114 of 2003,</w:t>
            </w:r>
            <w:r w:rsidRPr="006A75A2">
              <w:rPr>
                <w:rFonts w:eastAsiaTheme="minorEastAsia"/>
                <w:sz w:val="19"/>
                <w:lang w:eastAsia="en-AU"/>
              </w:rPr>
              <w:t xml:space="preserve"> Section 3.6.12 </w:t>
            </w:r>
            <w:r w:rsidR="00A67F93" w:rsidRPr="006A75A2">
              <w:rPr>
                <w:rFonts w:eastAsiaTheme="minorEastAsia"/>
                <w:sz w:val="19"/>
                <w:lang w:eastAsia="en-AU"/>
              </w:rPr>
              <w:t>–</w:t>
            </w:r>
            <w:r w:rsidRPr="006A75A2">
              <w:rPr>
                <w:rFonts w:eastAsiaTheme="minorEastAsia"/>
                <w:sz w:val="19"/>
                <w:lang w:eastAsia="en-AU"/>
              </w:rPr>
              <w:t xml:space="preserve"> Community Support Fund</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93 211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93 211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84 973</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Liquor Control Reform Act, No. 94 of 1988,</w:t>
            </w:r>
            <w:r w:rsidRPr="006A75A2">
              <w:rPr>
                <w:rFonts w:eastAsiaTheme="minorEastAsia"/>
                <w:sz w:val="19"/>
                <w:lang w:eastAsia="en-AU"/>
              </w:rPr>
              <w:t xml:space="preserve"> Section 177 (2)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2 487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2 487</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3 023</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State Electricity Commission Act 1958,</w:t>
            </w:r>
            <w:r w:rsidRPr="006A75A2">
              <w:rPr>
                <w:rFonts w:eastAsiaTheme="minorEastAsia"/>
                <w:sz w:val="19"/>
                <w:lang w:eastAsia="en-AU"/>
              </w:rPr>
              <w:t xml:space="preserve"> Section 85B(2) – Indemnity</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104 604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104 604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126 004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State Superannuation Act, No. 50 of 1988,</w:t>
            </w:r>
            <w:r w:rsidRPr="006A75A2">
              <w:rPr>
                <w:rFonts w:eastAsiaTheme="minorEastAsia"/>
                <w:sz w:val="19"/>
                <w:lang w:eastAsia="en-AU"/>
              </w:rPr>
              <w:t xml:space="preserve"> Section 90 (2) – Contributions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1 035 753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1 035 753</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934 881</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State Owned Enterprises Act, No. 92 of 1992,</w:t>
            </w:r>
            <w:r w:rsidRPr="006A75A2">
              <w:rPr>
                <w:rFonts w:eastAsiaTheme="minorEastAsia"/>
                <w:sz w:val="19"/>
                <w:lang w:eastAsia="en-AU"/>
              </w:rPr>
              <w:t xml:space="preserve"> Section 88 – State equivalent taxation payments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1 039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1 039</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835</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Taxation (Interest on Overpayments) Act, No. 35 of 1986,</w:t>
            </w:r>
            <w:r w:rsidRPr="006A75A2">
              <w:rPr>
                <w:rFonts w:eastAsiaTheme="minorEastAsia"/>
                <w:sz w:val="19"/>
                <w:lang w:eastAsia="en-AU"/>
              </w:rPr>
              <w:t xml:space="preserve"> Section 11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1 725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1 725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829</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i/>
                <w:sz w:val="19"/>
                <w:lang w:eastAsia="en-AU"/>
              </w:rPr>
              <w:t>Treasury Corporation of Victoria Act No. 80 of 1992,</w:t>
            </w:r>
            <w:r w:rsidRPr="006A75A2">
              <w:rPr>
                <w:rFonts w:eastAsiaTheme="minorEastAsia"/>
                <w:sz w:val="19"/>
                <w:lang w:eastAsia="en-AU"/>
              </w:rPr>
              <w:t xml:space="preserve"> Section 38 – Debt Retirement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14 536</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14 536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6 870</w:t>
            </w:r>
          </w:p>
        </w:tc>
      </w:tr>
      <w:tr w:rsidR="004E6C32" w:rsidRPr="006A75A2" w:rsidTr="004B5CB1">
        <w:tc>
          <w:tcPr>
            <w:tcW w:w="6280" w:type="dxa"/>
            <w:gridSpan w:val="2"/>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special appropriations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1 285 818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1 285 818</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1 183 343</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Annual appropriations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Provision of outputs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Provision of outputs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244 412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241 528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229 404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29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7 362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7 362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6 678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3 775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3 775</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1 235</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Advance to Treasurer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2 249</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2 162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8 881</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provision of outputs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257 798</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254 827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246 198</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Additions to the net asset base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Additions to the net asset base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2 962</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17 504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741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single" w:sz="6" w:space="0" w:color="auto"/>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additions to the net asset base – gross application</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3 703</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17 504</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Payments made on behalf of the State</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Payments made on behalf of the State – net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1 811 074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1 808 474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2 218 418</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32 </w:t>
            </w:r>
            <w:r w:rsidRPr="006A75A2">
              <w:rPr>
                <w:rFonts w:eastAsiaTheme="minorEastAsia"/>
                <w:i/>
                <w:sz w:val="19"/>
                <w:lang w:eastAsia="en-AU"/>
              </w:rPr>
              <w:t>Financial Management Act, No. 18 of 1994</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898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898</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6 764</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Section 35 </w:t>
            </w:r>
            <w:r w:rsidRPr="006A75A2">
              <w:rPr>
                <w:rFonts w:eastAsiaTheme="minorEastAsia"/>
                <w:i/>
                <w:sz w:val="19"/>
                <w:lang w:eastAsia="en-AU"/>
              </w:rPr>
              <w:t>Financial Management Act, No. 18 of 1994</w:t>
            </w:r>
            <w:r w:rsidRPr="006A75A2">
              <w:rPr>
                <w:rFonts w:eastAsiaTheme="minorEastAsia"/>
                <w:sz w:val="19"/>
                <w:lang w:eastAsia="en-AU"/>
              </w:rPr>
              <w:t xml:space="preserve"> (temporary advances)</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24 320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24 320</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Advance to the Treasurer</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47 582</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46 658</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3 952</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for payments made on behalf of the State –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1 883 874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1 880 349</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2 229 134</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Advance to Treasurer to meet urgent claims that may arise before Parliamentary sanction is obtained, which will afterwards be submitted for Parliamentary authority</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378 161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364 576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 xml:space="preserve"> 503 331</w:t>
            </w:r>
          </w:p>
        </w:tc>
      </w:tr>
      <w:tr w:rsidR="004E6C32" w:rsidRPr="006A75A2" w:rsidTr="004B5CB1">
        <w:trPr>
          <w:trHeight w:hRule="exact" w:val="120"/>
        </w:trPr>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sz w:val="19"/>
                <w:lang w:eastAsia="en-AU"/>
              </w:rPr>
            </w:pPr>
            <w:r w:rsidRPr="006A75A2">
              <w:rPr>
                <w:rFonts w:eastAsiaTheme="minorEastAsia"/>
                <w:sz w:val="19"/>
                <w:lang w:eastAsia="en-AU"/>
              </w:rPr>
              <w:t xml:space="preserve">Payments approved under Advance to Treasurer and brought to account under the relevant departments </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(378 161)</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(364 576)</w:t>
            </w:r>
          </w:p>
        </w:tc>
        <w:tc>
          <w:tcPr>
            <w:tcW w:w="1120" w:type="dxa"/>
            <w:tcBorders>
              <w:top w:val="nil"/>
              <w:left w:val="nil"/>
              <w:bottom w:val="nil"/>
              <w:right w:val="nil"/>
            </w:tcBorders>
          </w:tcPr>
          <w:p w:rsidR="004E6C32" w:rsidRPr="006A75A2" w:rsidRDefault="004E6C32" w:rsidP="004B5CB1">
            <w:pPr>
              <w:pStyle w:val="TableofFigures"/>
              <w:rPr>
                <w:rFonts w:eastAsiaTheme="minorEastAsia"/>
                <w:sz w:val="19"/>
                <w:lang w:eastAsia="en-AU"/>
              </w:rPr>
            </w:pPr>
            <w:r w:rsidRPr="006A75A2">
              <w:rPr>
                <w:rFonts w:eastAsiaTheme="minorEastAsia"/>
                <w:sz w:val="19"/>
                <w:lang w:eastAsia="en-AU"/>
              </w:rPr>
              <w:t>(503 331)</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nil"/>
              <w:left w:val="nil"/>
              <w:bottom w:val="nil"/>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annual appropriations gross application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2 145 375</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2 135 176</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2 492 836</w:t>
            </w:r>
          </w:p>
        </w:tc>
      </w:tr>
      <w:tr w:rsidR="004E6C32" w:rsidRPr="006A75A2" w:rsidTr="004B5CB1">
        <w:trPr>
          <w:trHeight w:hRule="exact" w:val="120"/>
        </w:trPr>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sz w:val="19"/>
                <w:lang w:eastAsia="en-AU"/>
              </w:rPr>
            </w:pPr>
            <w:r w:rsidRPr="006A75A2">
              <w:rPr>
                <w:rFonts w:eastAsiaTheme="minorEastAsia"/>
                <w:b/>
                <w:sz w:val="19"/>
                <w:lang w:eastAsia="en-AU"/>
              </w:rPr>
              <w:t xml:space="preserve"> </w:t>
            </w:r>
          </w:p>
        </w:tc>
      </w:tr>
      <w:tr w:rsidR="004E6C32" w:rsidRPr="006A75A2" w:rsidTr="004B5CB1">
        <w:tc>
          <w:tcPr>
            <w:tcW w:w="6280" w:type="dxa"/>
            <w:gridSpan w:val="2"/>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Total Parliamentary authority (excluding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3 431 193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3 420 994</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3 676 179</w:t>
            </w:r>
          </w:p>
        </w:tc>
      </w:tr>
      <w:tr w:rsidR="004E6C32" w:rsidRPr="006A75A2" w:rsidTr="004B5CB1">
        <w:tc>
          <w:tcPr>
            <w:tcW w:w="6280" w:type="dxa"/>
            <w:gridSpan w:val="2"/>
            <w:tcBorders>
              <w:top w:val="nil"/>
              <w:left w:val="nil"/>
              <w:bottom w:val="single" w:sz="6" w:space="0" w:color="auto"/>
              <w:right w:val="nil"/>
            </w:tcBorders>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 xml:space="preserve">Amounts issued under the authority of the </w:t>
            </w:r>
            <w:r w:rsidRPr="006A75A2">
              <w:rPr>
                <w:rFonts w:eastAsiaTheme="minorEastAsia"/>
                <w:b/>
                <w:bCs/>
                <w:i/>
                <w:sz w:val="19"/>
                <w:lang w:eastAsia="en-AU"/>
              </w:rPr>
              <w:t>Financial Management Act, No. 18 of 1994,</w:t>
            </w:r>
            <w:r w:rsidRPr="006A75A2">
              <w:rPr>
                <w:rFonts w:eastAsiaTheme="minorEastAsia"/>
                <w:b/>
                <w:bCs/>
                <w:sz w:val="19"/>
                <w:lang w:eastAsia="en-AU"/>
              </w:rPr>
              <w:t xml:space="preserve"> Section 33 (Special Appropriation) relating to prior year appropriations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 xml:space="preserve"> 1 680</w:t>
            </w:r>
          </w:p>
        </w:tc>
      </w:tr>
      <w:tr w:rsidR="004E6C32" w:rsidRPr="006A75A2" w:rsidTr="004B5CB1">
        <w:tc>
          <w:tcPr>
            <w:tcW w:w="6280" w:type="dxa"/>
            <w:gridSpan w:val="2"/>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sz w:val="19"/>
                <w:lang w:eastAsia="en-AU"/>
              </w:rPr>
            </w:pPr>
            <w:r w:rsidRPr="006A75A2">
              <w:rPr>
                <w:rFonts w:eastAsiaTheme="minorEastAsia"/>
                <w:b/>
                <w:bCs/>
                <w:sz w:val="19"/>
                <w:lang w:eastAsia="en-AU"/>
              </w:rPr>
              <w:t>Total Parliamentary authority</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3 431 193</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3 420 994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sz w:val="19"/>
                <w:lang w:eastAsia="en-AU"/>
              </w:rPr>
            </w:pPr>
            <w:r w:rsidRPr="006A75A2">
              <w:rPr>
                <w:rFonts w:eastAsiaTheme="minorEastAsia"/>
                <w:b/>
                <w:bCs/>
                <w:sz w:val="19"/>
                <w:lang w:eastAsia="en-AU"/>
              </w:rPr>
              <w:t>3 677 859</w:t>
            </w:r>
          </w:p>
        </w:tc>
      </w:tr>
    </w:tbl>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Pr>
        <w:pStyle w:val="million"/>
      </w:pPr>
    </w:p>
    <w:p w:rsidR="004E6C32" w:rsidRPr="006A75A2" w:rsidRDefault="004E6C32" w:rsidP="004B5CB1">
      <w:pPr>
        <w:pStyle w:val="Heading2NotesContd"/>
        <w:rPr>
          <w:kern w:val="0"/>
        </w:rPr>
      </w:pPr>
      <w:r w:rsidRPr="006A75A2">
        <w:rPr>
          <w:kern w:val="0"/>
        </w:rPr>
        <w:lastRenderedPageBreak/>
        <w:t>Note 39:</w:t>
      </w:r>
      <w:r w:rsidRPr="006A75A2">
        <w:rPr>
          <w:kern w:val="0"/>
        </w:rPr>
        <w:tab/>
        <w:t xml:space="preserve">Public account disclosure </w:t>
      </w:r>
      <w:r w:rsidRPr="006A75A2">
        <w:rPr>
          <w:i/>
          <w:kern w:val="0"/>
        </w:rPr>
        <w:t>(continued)</w:t>
      </w:r>
    </w:p>
    <w:p w:rsidR="004E6C32" w:rsidRPr="006A75A2" w:rsidRDefault="004E6C32" w:rsidP="0067336F">
      <w:pPr>
        <w:pStyle w:val="Heading5"/>
        <w:rPr>
          <w:lang w:eastAsia="en-AU"/>
        </w:rPr>
      </w:pPr>
      <w:r w:rsidRPr="006A75A2">
        <w:rPr>
          <w:lang w:eastAsia="en-AU"/>
        </w:rPr>
        <w:t>(aa)</w:t>
      </w:r>
      <w:r w:rsidRPr="006A75A2">
        <w:rPr>
          <w:lang w:eastAsia="en-AU"/>
        </w:rPr>
        <w:tab/>
        <w:t>Government guarantee</w:t>
      </w:r>
    </w:p>
    <w:p w:rsidR="004E6C32" w:rsidRPr="006A75A2" w:rsidRDefault="004E6C32" w:rsidP="004B5CB1">
      <w:pPr>
        <w:pStyle w:val="Heading4"/>
      </w:pPr>
      <w:r w:rsidRPr="006A75A2">
        <w:t>Details of payments made in fulfilment of any guarantee by the Government</w:t>
      </w:r>
    </w:p>
    <w:p w:rsidR="004E6C32" w:rsidRPr="006A75A2" w:rsidRDefault="004E6C32" w:rsidP="004B5CB1">
      <w:r w:rsidRPr="006A75A2">
        <w:t>There have been no payments made during 2013-14 in fulfilment of any guarantee by the Government.</w:t>
      </w:r>
    </w:p>
    <w:p w:rsidR="004E6C32" w:rsidRPr="006A75A2" w:rsidRDefault="004E6C32" w:rsidP="004B5CB1">
      <w:pPr>
        <w:pStyle w:val="Heading4"/>
      </w:pPr>
      <w:r w:rsidRPr="006A75A2">
        <w:t>Money received or recovered in respect of any guarantee payments</w:t>
      </w:r>
    </w:p>
    <w:p w:rsidR="004E6C32" w:rsidRPr="006A75A2" w:rsidRDefault="004E6C32" w:rsidP="004B5CB1">
      <w:r w:rsidRPr="006A75A2">
        <w:t>There has been no money recovered during 2013-14 in respect of any guarantee payments.</w:t>
      </w:r>
    </w:p>
    <w:p w:rsidR="004E6C32" w:rsidRPr="006A75A2" w:rsidRDefault="004E6C32">
      <w:pPr>
        <w:spacing w:after="0"/>
        <w:rPr>
          <w:rFonts w:ascii="Calibri" w:hAnsi="Calibri"/>
          <w:b/>
          <w:bCs/>
          <w:sz w:val="28"/>
          <w:szCs w:val="22"/>
        </w:rPr>
      </w:pPr>
      <w:r w:rsidRPr="006A75A2">
        <w:rPr>
          <w:bCs/>
        </w:rPr>
        <w:br w:type="page"/>
      </w:r>
    </w:p>
    <w:p w:rsidR="004E6C32" w:rsidRPr="006A75A2" w:rsidRDefault="004E6C32" w:rsidP="004B5CB1">
      <w:pPr>
        <w:pStyle w:val="Heading2Notes"/>
        <w:spacing w:before="120"/>
        <w:rPr>
          <w:bCs/>
          <w:kern w:val="0"/>
        </w:rPr>
      </w:pPr>
      <w:bookmarkStart w:id="71" w:name="_Toc400040287"/>
      <w:r w:rsidRPr="006A75A2">
        <w:rPr>
          <w:bCs/>
          <w:kern w:val="0"/>
        </w:rPr>
        <w:lastRenderedPageBreak/>
        <w:t>Note 40:</w:t>
      </w:r>
      <w:r w:rsidRPr="006A75A2">
        <w:rPr>
          <w:bCs/>
          <w:kern w:val="0"/>
        </w:rPr>
        <w:tab/>
        <w:t>Glossary of technical terms</w:t>
      </w:r>
      <w:bookmarkEnd w:id="71"/>
    </w:p>
    <w:p w:rsidR="004E6C32" w:rsidRPr="006A75A2" w:rsidRDefault="004E6C32" w:rsidP="004B5CB1">
      <w:r w:rsidRPr="006A75A2">
        <w:t>The following is a summary of the major technical terms used in this report.</w:t>
      </w:r>
    </w:p>
    <w:p w:rsidR="004E6C32" w:rsidRPr="006A75A2" w:rsidRDefault="004E6C32" w:rsidP="004B5CB1">
      <w:pPr>
        <w:pStyle w:val="Heading3"/>
        <w:rPr>
          <w:kern w:val="0"/>
        </w:rPr>
      </w:pPr>
      <w:r w:rsidRPr="006A75A2">
        <w:rPr>
          <w:kern w:val="0"/>
        </w:rPr>
        <w:t>ABS GFS manual</w:t>
      </w:r>
    </w:p>
    <w:p w:rsidR="004E6C32" w:rsidRPr="006A75A2" w:rsidRDefault="004E6C32" w:rsidP="004B5CB1">
      <w:r w:rsidRPr="006A75A2">
        <w:t xml:space="preserve">The ABS publication </w:t>
      </w:r>
      <w:r w:rsidRPr="006A75A2">
        <w:rPr>
          <w:i/>
        </w:rPr>
        <w:t>Australian System of Government Finance Statistics: Concepts, Sources and Methods 2005</w:t>
      </w:r>
      <w:r w:rsidRPr="006A75A2">
        <w:t xml:space="preserve"> as updated from time to time.</w:t>
      </w:r>
    </w:p>
    <w:p w:rsidR="004E6C32" w:rsidRPr="006A75A2" w:rsidRDefault="004E6C32" w:rsidP="004B5CB1">
      <w:pPr>
        <w:pStyle w:val="Heading3"/>
        <w:rPr>
          <w:kern w:val="0"/>
        </w:rPr>
      </w:pPr>
      <w:r w:rsidRPr="006A75A2">
        <w:rPr>
          <w:kern w:val="0"/>
        </w:rPr>
        <w:t>Advances paid</w:t>
      </w:r>
    </w:p>
    <w:p w:rsidR="004E6C32" w:rsidRPr="006A75A2" w:rsidRDefault="004E6C32" w:rsidP="004B5CB1">
      <w:r w:rsidRPr="006A75A2">
        <w:t>Loans acquired for policy rather than liquidity management purposes. These include long and short</w:t>
      </w:r>
      <w:r w:rsidRPr="006A75A2">
        <w:noBreakHyphen/>
        <w:t>term loans, non</w:t>
      </w:r>
      <w:r w:rsidRPr="006A75A2">
        <w:noBreakHyphen/>
        <w:t>marketable debentures and long and short</w:t>
      </w:r>
      <w:r w:rsidRPr="006A75A2">
        <w:noBreakHyphen/>
        <w:t>term promissory agreements (bonds and bills) issued to public sector units for achieving government policy objectives.</w:t>
      </w:r>
    </w:p>
    <w:p w:rsidR="004E6C32" w:rsidRPr="006A75A2" w:rsidRDefault="004E6C32" w:rsidP="004B5CB1">
      <w:pPr>
        <w:pStyle w:val="Heading3"/>
        <w:rPr>
          <w:kern w:val="0"/>
        </w:rPr>
      </w:pPr>
      <w:r w:rsidRPr="006A75A2">
        <w:rPr>
          <w:kern w:val="0"/>
        </w:rPr>
        <w:t>Biological assets</w:t>
      </w:r>
    </w:p>
    <w:p w:rsidR="004E6C32" w:rsidRPr="006A75A2" w:rsidRDefault="004E6C32" w:rsidP="004B5CB1">
      <w:r w:rsidRPr="006A75A2">
        <w:t>Biological assets may comprise of commercial forests and also any living animal, plant or agricultural produce that is the harvested product of biological assets.</w:t>
      </w:r>
    </w:p>
    <w:p w:rsidR="004E6C32" w:rsidRPr="006A75A2" w:rsidRDefault="004E6C32" w:rsidP="004B5CB1">
      <w:pPr>
        <w:pStyle w:val="Heading3"/>
        <w:rPr>
          <w:kern w:val="0"/>
        </w:rPr>
      </w:pPr>
      <w:r w:rsidRPr="006A75A2">
        <w:rPr>
          <w:kern w:val="0"/>
        </w:rPr>
        <w:t>Borrowings</w:t>
      </w:r>
    </w:p>
    <w:p w:rsidR="004E6C32" w:rsidRPr="006A75A2" w:rsidRDefault="004E6C32" w:rsidP="004B5CB1">
      <w:r w:rsidRPr="006A75A2">
        <w:t>Borrowings refer to interest bearing liabilities mainly raised from public borrowings raised through the Treasury Corporation of Victoria and finance leases and other interest bearing arrangements. Borrowings exclude liabilities raised from other government entities, which are classified as deposits held and advances received.</w:t>
      </w:r>
    </w:p>
    <w:p w:rsidR="004E6C32" w:rsidRPr="006A75A2" w:rsidRDefault="004E6C32" w:rsidP="004B5CB1">
      <w:pPr>
        <w:pStyle w:val="Heading3"/>
        <w:rPr>
          <w:kern w:val="0"/>
        </w:rPr>
      </w:pPr>
      <w:r w:rsidRPr="006A75A2">
        <w:rPr>
          <w:kern w:val="0"/>
        </w:rPr>
        <w:t>Capital grants</w:t>
      </w:r>
    </w:p>
    <w:p w:rsidR="004E6C32" w:rsidRPr="006A75A2" w:rsidRDefault="004E6C32" w:rsidP="004B5CB1">
      <w:r w:rsidRPr="006A75A2">
        <w:t>Transactions in which the ownership of an asset (other than cash and inventories) is transferred from one institutional unit to another, in which cash is transferred to enable the recipient to acquire another asset or in which the funds realised by the disposal of another asset are transferred, for which no economic benefits of equal value are receivable or payable in return.</w:t>
      </w:r>
    </w:p>
    <w:p w:rsidR="004E6C32" w:rsidRPr="006A75A2" w:rsidRDefault="004E6C32" w:rsidP="004B5CB1">
      <w:pPr>
        <w:pStyle w:val="Heading3"/>
        <w:rPr>
          <w:kern w:val="0"/>
        </w:rPr>
      </w:pPr>
      <w:r w:rsidRPr="006A75A2">
        <w:rPr>
          <w:kern w:val="0"/>
        </w:rPr>
        <w:t>Cash surplus/deficit</w:t>
      </w:r>
    </w:p>
    <w:p w:rsidR="004E6C32" w:rsidRPr="006A75A2" w:rsidRDefault="004E6C32" w:rsidP="004B5CB1">
      <w:r w:rsidRPr="006A75A2">
        <w:t>Net cash flows from operating activities plus net cash flows from investments in non financial assets (less dividends paid for the PNFC and PFC sectors).</w:t>
      </w:r>
    </w:p>
    <w:p w:rsidR="004E6C32" w:rsidRPr="006A75A2" w:rsidRDefault="004E6C32" w:rsidP="004B5CB1">
      <w:pPr>
        <w:pStyle w:val="Heading3"/>
        <w:rPr>
          <w:kern w:val="0"/>
        </w:rPr>
      </w:pPr>
      <w:r w:rsidRPr="006A75A2">
        <w:rPr>
          <w:kern w:val="0"/>
        </w:rPr>
        <w:t>Cash surplus/deficit – ABS GFS version</w:t>
      </w:r>
    </w:p>
    <w:p w:rsidR="004E6C32" w:rsidRPr="006A75A2" w:rsidRDefault="004E6C32" w:rsidP="004B5CB1">
      <w:r w:rsidRPr="006A75A2">
        <w:t>Equal to the cash surplus deficit (above) less the value of assets acquired under finance leases and similar arrangements.</w:t>
      </w:r>
    </w:p>
    <w:p w:rsidR="004E6C32" w:rsidRPr="006A75A2" w:rsidRDefault="004E6C32" w:rsidP="004B5CB1">
      <w:pPr>
        <w:pStyle w:val="Heading3"/>
        <w:rPr>
          <w:kern w:val="0"/>
        </w:rPr>
      </w:pPr>
      <w:r w:rsidRPr="006A75A2">
        <w:rPr>
          <w:kern w:val="0"/>
        </w:rPr>
        <w:t>Change in net worth</w:t>
      </w:r>
    </w:p>
    <w:p w:rsidR="004E6C32" w:rsidRPr="006A75A2" w:rsidRDefault="004E6C32" w:rsidP="004B5CB1">
      <w:r w:rsidRPr="006A75A2">
        <w:t>Change in net worth (comprehensive result) is revenue from transactions less expenses from transactions plus other economic flows and measures the variation in a government</w:t>
      </w:r>
      <w:r w:rsidR="00C96101" w:rsidRPr="006A75A2">
        <w:t>’</w:t>
      </w:r>
      <w:r w:rsidRPr="006A75A2">
        <w:t>s accumulated assets and liabilities.</w:t>
      </w:r>
    </w:p>
    <w:p w:rsidR="004E6C32" w:rsidRPr="006A75A2" w:rsidRDefault="004E6C32" w:rsidP="004B5CB1">
      <w:pPr>
        <w:pStyle w:val="Heading3"/>
        <w:rPr>
          <w:kern w:val="0"/>
        </w:rPr>
      </w:pPr>
      <w:r w:rsidRPr="006A75A2">
        <w:rPr>
          <w:kern w:val="0"/>
        </w:rPr>
        <w:t>Comprehensive result</w:t>
      </w:r>
    </w:p>
    <w:p w:rsidR="004E6C32" w:rsidRPr="006A75A2" w:rsidRDefault="004E6C32" w:rsidP="004B5CB1">
      <w:r w:rsidRPr="006A75A2">
        <w:t>Comprehensive result is the amount included in the operating statement representing total change in net worth other than transactions with owners as owners.</w:t>
      </w:r>
    </w:p>
    <w:p w:rsidR="004E6C32" w:rsidRPr="006A75A2" w:rsidRDefault="004E6C32" w:rsidP="004B5CB1">
      <w:pPr>
        <w:pStyle w:val="Heading2NotesContd"/>
        <w:rPr>
          <w:i/>
          <w:kern w:val="0"/>
        </w:rPr>
      </w:pPr>
      <w:r w:rsidRPr="006A75A2">
        <w:rPr>
          <w:kern w:val="0"/>
        </w:rPr>
        <w:lastRenderedPageBreak/>
        <w:t>Note 40:</w:t>
      </w:r>
      <w:r w:rsidRPr="006A75A2">
        <w:rPr>
          <w:kern w:val="0"/>
        </w:rPr>
        <w:tab/>
        <w:t xml:space="preserve">Glossary of technical terms </w:t>
      </w:r>
      <w:r w:rsidRPr="006A75A2">
        <w:rPr>
          <w:i/>
          <w:kern w:val="0"/>
        </w:rPr>
        <w:t>(continued)</w:t>
      </w:r>
    </w:p>
    <w:p w:rsidR="004E6C32" w:rsidRPr="006A75A2" w:rsidRDefault="004E6C32" w:rsidP="004B5CB1">
      <w:pPr>
        <w:pStyle w:val="Heading3"/>
        <w:rPr>
          <w:kern w:val="0"/>
        </w:rPr>
      </w:pPr>
      <w:r w:rsidRPr="006A75A2">
        <w:rPr>
          <w:kern w:val="0"/>
        </w:rPr>
        <w:t>Current grants</w:t>
      </w:r>
    </w:p>
    <w:p w:rsidR="004E6C32" w:rsidRPr="006A75A2" w:rsidRDefault="004E6C32" w:rsidP="004B5CB1">
      <w:r w:rsidRPr="006A75A2">
        <w:t>Amounts payable or receivable for current purposes for which no economic benefits of equal value are receivable or payable in return.</w:t>
      </w:r>
    </w:p>
    <w:p w:rsidR="004E6C32" w:rsidRPr="006A75A2" w:rsidRDefault="004E6C32" w:rsidP="004B5CB1">
      <w:pPr>
        <w:pStyle w:val="Heading3"/>
        <w:rPr>
          <w:kern w:val="0"/>
        </w:rPr>
      </w:pPr>
      <w:r w:rsidRPr="006A75A2">
        <w:rPr>
          <w:kern w:val="0"/>
        </w:rPr>
        <w:t>Effective interest method</w:t>
      </w:r>
    </w:p>
    <w:p w:rsidR="004E6C32" w:rsidRPr="006A75A2" w:rsidRDefault="004E6C32" w:rsidP="004B5CB1">
      <w:r w:rsidRPr="006A75A2">
        <w:t>The effective interest method is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rsidR="004E6C32" w:rsidRPr="006A75A2" w:rsidRDefault="004E6C32" w:rsidP="004B5CB1">
      <w:pPr>
        <w:pStyle w:val="Heading3"/>
        <w:rPr>
          <w:kern w:val="0"/>
        </w:rPr>
      </w:pPr>
      <w:r w:rsidRPr="006A75A2">
        <w:rPr>
          <w:kern w:val="0"/>
        </w:rPr>
        <w:t>Employee expenses</w:t>
      </w:r>
    </w:p>
    <w:p w:rsidR="004E6C32" w:rsidRPr="006A75A2" w:rsidRDefault="004E6C32" w:rsidP="004B5CB1">
      <w:r w:rsidRPr="006A75A2">
        <w:t>These expenses include all costs related to employment including wages and salaries, fringe benefits tax, leave entitlements, redundancy payments, defined benefits superannuation plans and defined contribution superannuation plans.</w:t>
      </w:r>
    </w:p>
    <w:p w:rsidR="004E6C32" w:rsidRPr="006A75A2" w:rsidRDefault="004E6C32" w:rsidP="004B5CB1">
      <w:pPr>
        <w:pStyle w:val="Heading3"/>
        <w:rPr>
          <w:kern w:val="0"/>
        </w:rPr>
      </w:pPr>
      <w:r w:rsidRPr="006A75A2">
        <w:rPr>
          <w:kern w:val="0"/>
        </w:rPr>
        <w:t>Financial asset</w:t>
      </w:r>
    </w:p>
    <w:p w:rsidR="004E6C32" w:rsidRPr="006A75A2" w:rsidRDefault="004E6C32" w:rsidP="004B5CB1">
      <w:r w:rsidRPr="006A75A2">
        <w:t>A financial asset is any asset that is:</w:t>
      </w:r>
    </w:p>
    <w:p w:rsidR="004E6C32" w:rsidRPr="006A75A2" w:rsidRDefault="004E6C32" w:rsidP="004B5CB1">
      <w:pPr>
        <w:ind w:left="360" w:hanging="360"/>
      </w:pPr>
      <w:r w:rsidRPr="006A75A2">
        <w:t>(a)</w:t>
      </w:r>
      <w:r w:rsidRPr="006A75A2">
        <w:tab/>
        <w:t>cash;</w:t>
      </w:r>
    </w:p>
    <w:p w:rsidR="004E6C32" w:rsidRPr="006A75A2" w:rsidRDefault="004E6C32" w:rsidP="004B5CB1">
      <w:pPr>
        <w:ind w:left="360" w:hanging="360"/>
      </w:pPr>
      <w:r w:rsidRPr="006A75A2">
        <w:t>(b)</w:t>
      </w:r>
      <w:r w:rsidRPr="006A75A2">
        <w:tab/>
        <w:t>an equity instrument of another entity;</w:t>
      </w:r>
    </w:p>
    <w:p w:rsidR="004E6C32" w:rsidRPr="006A75A2" w:rsidRDefault="004E6C32" w:rsidP="004B5CB1">
      <w:pPr>
        <w:ind w:left="360" w:hanging="360"/>
      </w:pPr>
      <w:r w:rsidRPr="006A75A2">
        <w:t>(c)</w:t>
      </w:r>
      <w:r w:rsidRPr="006A75A2">
        <w:tab/>
        <w:t>a contractual right:</w:t>
      </w:r>
    </w:p>
    <w:p w:rsidR="004E6C32" w:rsidRPr="006A75A2" w:rsidRDefault="004E6C32" w:rsidP="004B5CB1">
      <w:pPr>
        <w:pStyle w:val="DashText"/>
      </w:pPr>
      <w:r w:rsidRPr="006A75A2">
        <w:t>to receive cash or another financial asset from another entity; or</w:t>
      </w:r>
    </w:p>
    <w:p w:rsidR="004E6C32" w:rsidRPr="006A75A2" w:rsidRDefault="004E6C32" w:rsidP="004B5CB1">
      <w:pPr>
        <w:pStyle w:val="DashText"/>
      </w:pPr>
      <w:r w:rsidRPr="006A75A2">
        <w:t>to exchange financial assets or financial liabilities with another entity under conditions that are potentially favourable to the entity; or</w:t>
      </w:r>
    </w:p>
    <w:p w:rsidR="004E6C32" w:rsidRPr="006A75A2" w:rsidRDefault="004E6C32" w:rsidP="004B5CB1">
      <w:pPr>
        <w:ind w:left="360" w:hanging="360"/>
      </w:pPr>
      <w:r w:rsidRPr="006A75A2">
        <w:t>(d)</w:t>
      </w:r>
      <w:r w:rsidRPr="006A75A2">
        <w:tab/>
        <w:t>a contract that will or may be settled in the entity</w:t>
      </w:r>
      <w:r w:rsidR="00C96101" w:rsidRPr="006A75A2">
        <w:t>’</w:t>
      </w:r>
      <w:r w:rsidRPr="006A75A2">
        <w:t>s own equity instruments and is:</w:t>
      </w:r>
    </w:p>
    <w:p w:rsidR="004E6C32" w:rsidRPr="006A75A2" w:rsidRDefault="004E6C32" w:rsidP="004B5CB1">
      <w:pPr>
        <w:pStyle w:val="DashText"/>
      </w:pPr>
      <w:r w:rsidRPr="006A75A2">
        <w:t>a non derivative for which the entity is or may be obliged to receive a variable number of the entity</w:t>
      </w:r>
      <w:r w:rsidR="00C96101" w:rsidRPr="006A75A2">
        <w:t>’</w:t>
      </w:r>
      <w:r w:rsidRPr="006A75A2">
        <w:t>s own equity instruments; or</w:t>
      </w:r>
    </w:p>
    <w:p w:rsidR="004E6C32" w:rsidRPr="006A75A2" w:rsidRDefault="004E6C32" w:rsidP="004B5CB1">
      <w:pPr>
        <w:pStyle w:val="DashText"/>
      </w:pPr>
      <w:r w:rsidRPr="006A75A2">
        <w:t>a derivative that will or may be settled other than by the exchange of a fixed amount of cash or another financial asset for a fixed number of the entity</w:t>
      </w:r>
      <w:r w:rsidR="00C96101" w:rsidRPr="006A75A2">
        <w:t>’</w:t>
      </w:r>
      <w:r w:rsidRPr="006A75A2">
        <w:t>s own equity instruments.</w:t>
      </w:r>
    </w:p>
    <w:p w:rsidR="004E6C32" w:rsidRPr="006A75A2" w:rsidRDefault="004E6C32" w:rsidP="004B5CB1">
      <w:pPr>
        <w:pStyle w:val="Heading3"/>
        <w:rPr>
          <w:kern w:val="0"/>
        </w:rPr>
      </w:pPr>
      <w:r w:rsidRPr="006A75A2">
        <w:rPr>
          <w:kern w:val="0"/>
        </w:rPr>
        <w:t>Fiscal aggregates</w:t>
      </w:r>
    </w:p>
    <w:p w:rsidR="004E6C32" w:rsidRPr="006A75A2" w:rsidRDefault="004E6C32" w:rsidP="004B5CB1">
      <w:r w:rsidRPr="006A75A2">
        <w:t xml:space="preserve">Analytical balances that are useful for macroeconomic analysis purposes, including assessing the impact of a government and its sectors on the economy. Key fiscal aggregates defined under ABS GFS manual are required to be disclosed under AASB 1049 </w:t>
      </w:r>
      <w:r w:rsidRPr="006A75A2">
        <w:rPr>
          <w:i/>
        </w:rPr>
        <w:t>Whole of Government and General Government Sector Financial Reporting</w:t>
      </w:r>
      <w:r w:rsidRPr="006A75A2">
        <w:t>. They are: opening net worth, net operating balance, net lending/(borrowing), change in net worth due to revaluations, change in net worth due to other changes in the volume of assets, total change in net worth, closing net worth, and cash surplus/(deficit). AASB 1049 also allows additional fiscal aggregates to be included such as net financial worth, net financial liabilities and net debt.</w:t>
      </w:r>
    </w:p>
    <w:p w:rsidR="004E6C32" w:rsidRPr="006A75A2" w:rsidRDefault="004E6C32">
      <w:pPr>
        <w:spacing w:after="0"/>
        <w:rPr>
          <w:rFonts w:ascii="Calibri" w:hAnsi="Calibri"/>
          <w:b/>
          <w:i/>
          <w:sz w:val="26"/>
          <w:szCs w:val="22"/>
        </w:rPr>
      </w:pPr>
      <w:r w:rsidRPr="006A75A2">
        <w:br w:type="page"/>
      </w:r>
    </w:p>
    <w:p w:rsidR="004E6C32" w:rsidRPr="006A75A2" w:rsidRDefault="004E6C32" w:rsidP="004B5CB1">
      <w:pPr>
        <w:pStyle w:val="Heading2NotesContd"/>
        <w:rPr>
          <w:i/>
          <w:kern w:val="0"/>
        </w:rPr>
      </w:pPr>
      <w:r w:rsidRPr="006A75A2">
        <w:rPr>
          <w:kern w:val="0"/>
        </w:rPr>
        <w:lastRenderedPageBreak/>
        <w:t>Note 40:</w:t>
      </w:r>
      <w:r w:rsidRPr="006A75A2">
        <w:rPr>
          <w:kern w:val="0"/>
        </w:rPr>
        <w:tab/>
        <w:t xml:space="preserve">Glossary of technical terms </w:t>
      </w:r>
      <w:r w:rsidRPr="006A75A2">
        <w:rPr>
          <w:i/>
          <w:kern w:val="0"/>
        </w:rPr>
        <w:t>(continued)</w:t>
      </w:r>
    </w:p>
    <w:p w:rsidR="004E6C32" w:rsidRPr="006A75A2" w:rsidRDefault="004E6C32" w:rsidP="004B5CB1">
      <w:pPr>
        <w:pStyle w:val="Heading3"/>
        <w:rPr>
          <w:kern w:val="0"/>
        </w:rPr>
      </w:pPr>
      <w:r w:rsidRPr="006A75A2">
        <w:rPr>
          <w:kern w:val="0"/>
        </w:rPr>
        <w:t>General government sector</w:t>
      </w:r>
    </w:p>
    <w:p w:rsidR="004E6C32" w:rsidRPr="006A75A2" w:rsidRDefault="004E6C32" w:rsidP="004B5CB1">
      <w:r w:rsidRPr="006A75A2">
        <w:t>The general government sector includes all government departments, offices and other bodies engaged in providing services free of charge or at prices significantly below their cost of production. General government services include those which are mainly non market in nature, those which are largely for collective consumption by the community and those which involve the transfer or redistribution of income. These services are financed mainly through taxes, other compulsory levies and user charges. A listing of all entities comprising the general government sector is included in Note 42.</w:t>
      </w:r>
    </w:p>
    <w:p w:rsidR="004E6C32" w:rsidRPr="006A75A2" w:rsidRDefault="004E6C32" w:rsidP="004B5CB1">
      <w:pPr>
        <w:pStyle w:val="Heading3"/>
        <w:rPr>
          <w:kern w:val="0"/>
        </w:rPr>
      </w:pPr>
      <w:r w:rsidRPr="006A75A2">
        <w:rPr>
          <w:kern w:val="0"/>
        </w:rPr>
        <w:t>Government Finance Statistics</w:t>
      </w:r>
    </w:p>
    <w:p w:rsidR="004E6C32" w:rsidRPr="006A75A2" w:rsidRDefault="004E6C32" w:rsidP="004B5CB1">
      <w:r w:rsidRPr="006A75A2">
        <w:t>Government Finance Statistics (GFS) enables policymakers and analysts to study developments in the financial operations, financial position and liquidity situation of the Government. More details about the GFS can be found in the Australian Bureau of Statistics (ABS) GFS manual</w:t>
      </w:r>
      <w:r w:rsidRPr="006A75A2">
        <w:rPr>
          <w:i/>
        </w:rPr>
        <w:t xml:space="preserve"> Australian System of Government Finance Statistics: Concepts, Sources and Methods 2005</w:t>
      </w:r>
      <w:r w:rsidRPr="006A75A2">
        <w:t>.</w:t>
      </w:r>
    </w:p>
    <w:p w:rsidR="004E6C32" w:rsidRPr="006A75A2" w:rsidRDefault="004E6C32" w:rsidP="004B5CB1">
      <w:pPr>
        <w:pStyle w:val="Heading3"/>
        <w:rPr>
          <w:kern w:val="0"/>
        </w:rPr>
      </w:pPr>
      <w:r w:rsidRPr="006A75A2">
        <w:rPr>
          <w:kern w:val="0"/>
        </w:rPr>
        <w:t>Grants</w:t>
      </w:r>
    </w:p>
    <w:p w:rsidR="004E6C32" w:rsidRPr="006A75A2" w:rsidRDefault="004E6C32" w:rsidP="004B5CB1">
      <w:r w:rsidRPr="006A75A2">
        <w:t xml:space="preserve">Transactions in which one unit provides goods, services, assets (or extinguishes a liability) or labour to another unit without receiving approximately equal value in return. Grants can either be of a current or capital nature (see current grants and capital grants). </w:t>
      </w:r>
    </w:p>
    <w:p w:rsidR="004E6C32" w:rsidRPr="006A75A2" w:rsidRDefault="004E6C32" w:rsidP="004B5CB1">
      <w:r w:rsidRPr="006A75A2">
        <w:t>While grants to governments may result in the provision of some goods or services to the transferor, they do not give the transferor a claim to receive benefits directly of approximately equal value. Receipt and sacrifice of approximately equal value may occur, but only by coincidence. For example, governments are not obliged to provide commensurate benefits, in the form of goods or services, to particular taxpayers in return for their taxes. For this reason, grants are referred to by the AASB as involuntary transfers and are termed non reciprocal transfers.</w:t>
      </w:r>
    </w:p>
    <w:p w:rsidR="004E6C32" w:rsidRPr="006A75A2" w:rsidRDefault="004E6C32" w:rsidP="004B5CB1">
      <w:r w:rsidRPr="006A75A2">
        <w:t xml:space="preserve">Grants can be paid as general purpose grants which refers to grants which are not subject to conditions regarding their use. Alternatively, they may be paid as specific purpose grants which are paid for a particular purpose and/or have conditions attached regarding their use. </w:t>
      </w:r>
    </w:p>
    <w:p w:rsidR="004E6C32" w:rsidRPr="006A75A2" w:rsidRDefault="004E6C32" w:rsidP="004B5CB1">
      <w:pPr>
        <w:pStyle w:val="Heading3"/>
        <w:rPr>
          <w:kern w:val="0"/>
        </w:rPr>
      </w:pPr>
      <w:r w:rsidRPr="006A75A2">
        <w:rPr>
          <w:kern w:val="0"/>
        </w:rPr>
        <w:t>Grants for on</w:t>
      </w:r>
      <w:r w:rsidRPr="006A75A2">
        <w:rPr>
          <w:kern w:val="0"/>
        </w:rPr>
        <w:noBreakHyphen/>
        <w:t>passing</w:t>
      </w:r>
    </w:p>
    <w:p w:rsidR="004E6C32" w:rsidRPr="006A75A2" w:rsidRDefault="004E6C32" w:rsidP="004B5CB1">
      <w:r w:rsidRPr="006A75A2">
        <w:t>All grants paid to one institutional sector (e.g. a state</w:t>
      </w:r>
      <w:r w:rsidRPr="006A75A2">
        <w:noBreakHyphen/>
        <w:t>based general government entity) to be passed on to another institutional sector (e.g. local government or a private non profit institution).</w:t>
      </w:r>
    </w:p>
    <w:p w:rsidR="004E6C32" w:rsidRPr="006A75A2" w:rsidRDefault="004E6C32" w:rsidP="004B5CB1">
      <w:pPr>
        <w:pStyle w:val="Heading3"/>
        <w:rPr>
          <w:kern w:val="0"/>
        </w:rPr>
      </w:pPr>
      <w:r w:rsidRPr="006A75A2">
        <w:rPr>
          <w:kern w:val="0"/>
        </w:rPr>
        <w:t>Infrastructure systems</w:t>
      </w:r>
    </w:p>
    <w:p w:rsidR="004E6C32" w:rsidRPr="006A75A2" w:rsidRDefault="004E6C32" w:rsidP="004B5CB1">
      <w:r w:rsidRPr="006A75A2">
        <w:t>Infrastructure systems provide essential services used in the delivery of final services or products. They are generally a complex interconnected network of individual assets and mainly include sewerage systems, water storage and supply systems, and public transport assets owned by the State.</w:t>
      </w:r>
    </w:p>
    <w:p w:rsidR="004E6C32" w:rsidRPr="006A75A2" w:rsidRDefault="004E6C32" w:rsidP="004B5CB1">
      <w:pPr>
        <w:pStyle w:val="Heading3"/>
        <w:rPr>
          <w:kern w:val="0"/>
        </w:rPr>
      </w:pPr>
      <w:r w:rsidRPr="006A75A2">
        <w:rPr>
          <w:kern w:val="0"/>
        </w:rPr>
        <w:t>Intangible produced assets</w:t>
      </w:r>
    </w:p>
    <w:p w:rsidR="004E6C32" w:rsidRPr="006A75A2" w:rsidRDefault="004E6C32" w:rsidP="004B5CB1">
      <w:r w:rsidRPr="006A75A2">
        <w:t>Refer to produced assets in this glossary.</w:t>
      </w:r>
    </w:p>
    <w:p w:rsidR="004E6C32" w:rsidRPr="006A75A2" w:rsidRDefault="004E6C32" w:rsidP="004B5CB1">
      <w:pPr>
        <w:pStyle w:val="Heading3"/>
        <w:rPr>
          <w:kern w:val="0"/>
        </w:rPr>
      </w:pPr>
      <w:r w:rsidRPr="006A75A2">
        <w:rPr>
          <w:kern w:val="0"/>
        </w:rPr>
        <w:t>Intangible non</w:t>
      </w:r>
      <w:r w:rsidRPr="006A75A2">
        <w:rPr>
          <w:kern w:val="0"/>
        </w:rPr>
        <w:noBreakHyphen/>
        <w:t>produced assets</w:t>
      </w:r>
    </w:p>
    <w:p w:rsidR="004E6C32" w:rsidRPr="006A75A2" w:rsidRDefault="004E6C32" w:rsidP="004B5CB1">
      <w:r w:rsidRPr="006A75A2">
        <w:t>Refer to non</w:t>
      </w:r>
      <w:r w:rsidRPr="006A75A2">
        <w:noBreakHyphen/>
        <w:t>produced assets in this glossary.</w:t>
      </w:r>
    </w:p>
    <w:p w:rsidR="004E6C32" w:rsidRPr="006A75A2" w:rsidRDefault="004E6C32" w:rsidP="004B5CB1">
      <w:pPr>
        <w:pStyle w:val="Heading2NotesContd"/>
        <w:rPr>
          <w:i/>
          <w:kern w:val="0"/>
        </w:rPr>
      </w:pPr>
      <w:r w:rsidRPr="006A75A2">
        <w:rPr>
          <w:kern w:val="0"/>
        </w:rPr>
        <w:lastRenderedPageBreak/>
        <w:t>Note 40:</w:t>
      </w:r>
      <w:r w:rsidRPr="006A75A2">
        <w:rPr>
          <w:kern w:val="0"/>
        </w:rPr>
        <w:tab/>
        <w:t xml:space="preserve">Glossary of technical terms </w:t>
      </w:r>
      <w:r w:rsidRPr="006A75A2">
        <w:rPr>
          <w:i/>
          <w:kern w:val="0"/>
        </w:rPr>
        <w:t>(continued)</w:t>
      </w:r>
    </w:p>
    <w:p w:rsidR="004E6C32" w:rsidRPr="006A75A2" w:rsidRDefault="004E6C32" w:rsidP="004B5CB1">
      <w:pPr>
        <w:pStyle w:val="Heading3"/>
        <w:rPr>
          <w:kern w:val="0"/>
        </w:rPr>
      </w:pPr>
      <w:r w:rsidRPr="006A75A2">
        <w:rPr>
          <w:kern w:val="0"/>
        </w:rPr>
        <w:t>Interest expense</w:t>
      </w:r>
    </w:p>
    <w:p w:rsidR="004E6C32" w:rsidRPr="006A75A2" w:rsidRDefault="004E6C32" w:rsidP="004B5CB1">
      <w:pPr>
        <w:rPr>
          <w:rFonts w:ascii="Calibri" w:hAnsi="Calibri"/>
          <w:b/>
          <w:sz w:val="28"/>
          <w:szCs w:val="22"/>
        </w:rPr>
      </w:pPr>
      <w:r w:rsidRPr="006A75A2">
        <w:t>Interest expense represents costs incurred in connection with borrowings. It includes interest on advances, loans, overdrafts, bonds and bills, deposits, interest components of finance lease repayments, and amortisation of discounts or premiums in relation to borrowings.</w:t>
      </w:r>
    </w:p>
    <w:p w:rsidR="004E6C32" w:rsidRPr="006A75A2" w:rsidRDefault="004E6C32" w:rsidP="004B5CB1">
      <w:pPr>
        <w:pStyle w:val="Heading3"/>
        <w:rPr>
          <w:kern w:val="0"/>
        </w:rPr>
      </w:pPr>
      <w:r w:rsidRPr="006A75A2">
        <w:rPr>
          <w:kern w:val="0"/>
        </w:rPr>
        <w:t>Key fiscal aggregates</w:t>
      </w:r>
    </w:p>
    <w:p w:rsidR="004E6C32" w:rsidRPr="006A75A2" w:rsidRDefault="004E6C32" w:rsidP="004B5CB1">
      <w:r w:rsidRPr="006A75A2">
        <w:t>Referred to as analytical balances in the ABS GFS manual, key fiscal aggregates are data identified as useful for macroeconomic analysis purposes, including assessing the impact of a government and its sectors on the economy. They are:</w:t>
      </w:r>
    </w:p>
    <w:p w:rsidR="004E6C32" w:rsidRPr="006A75A2" w:rsidRDefault="004E6C32" w:rsidP="004B5CB1">
      <w:pPr>
        <w:pStyle w:val="BulletText"/>
      </w:pPr>
      <w:r w:rsidRPr="006A75A2">
        <w:t>opening net worth;</w:t>
      </w:r>
    </w:p>
    <w:p w:rsidR="004E6C32" w:rsidRPr="006A75A2" w:rsidRDefault="004E6C32" w:rsidP="004B5CB1">
      <w:pPr>
        <w:pStyle w:val="BulletText"/>
      </w:pPr>
      <w:r w:rsidRPr="006A75A2">
        <w:t>net operating balance;</w:t>
      </w:r>
    </w:p>
    <w:p w:rsidR="004E6C32" w:rsidRPr="006A75A2" w:rsidRDefault="004E6C32" w:rsidP="004B5CB1">
      <w:pPr>
        <w:pStyle w:val="BulletText"/>
      </w:pPr>
      <w:r w:rsidRPr="006A75A2">
        <w:t>net lending/(borrowing);</w:t>
      </w:r>
    </w:p>
    <w:p w:rsidR="004E6C32" w:rsidRPr="006A75A2" w:rsidRDefault="004E6C32" w:rsidP="004B5CB1">
      <w:pPr>
        <w:pStyle w:val="BulletText"/>
      </w:pPr>
      <w:r w:rsidRPr="006A75A2">
        <w:t>change in net worth due to revaluations;</w:t>
      </w:r>
    </w:p>
    <w:p w:rsidR="004E6C32" w:rsidRPr="006A75A2" w:rsidRDefault="004E6C32" w:rsidP="004B5CB1">
      <w:pPr>
        <w:pStyle w:val="BulletText"/>
      </w:pPr>
      <w:r w:rsidRPr="006A75A2">
        <w:t>change in net worth due to other changes in the volume of assets;</w:t>
      </w:r>
    </w:p>
    <w:p w:rsidR="004E6C32" w:rsidRPr="006A75A2" w:rsidRDefault="004E6C32" w:rsidP="004B5CB1">
      <w:pPr>
        <w:pStyle w:val="BulletText"/>
      </w:pPr>
      <w:r w:rsidRPr="006A75A2">
        <w:t xml:space="preserve">total change in net worth; </w:t>
      </w:r>
    </w:p>
    <w:p w:rsidR="004E6C32" w:rsidRPr="006A75A2" w:rsidRDefault="004E6C32" w:rsidP="004B5CB1">
      <w:pPr>
        <w:pStyle w:val="BulletText"/>
      </w:pPr>
      <w:r w:rsidRPr="006A75A2">
        <w:t>closing net worth; and</w:t>
      </w:r>
    </w:p>
    <w:p w:rsidR="004E6C32" w:rsidRPr="006A75A2" w:rsidRDefault="004E6C32" w:rsidP="004B5CB1">
      <w:pPr>
        <w:pStyle w:val="BulletText"/>
      </w:pPr>
      <w:r w:rsidRPr="006A75A2">
        <w:t>cash surplus/(deficit).</w:t>
      </w:r>
    </w:p>
    <w:p w:rsidR="004E6C32" w:rsidRPr="006A75A2" w:rsidRDefault="004E6C32" w:rsidP="004B5CB1">
      <w:pPr>
        <w:pStyle w:val="Heading3"/>
        <w:rPr>
          <w:kern w:val="0"/>
        </w:rPr>
      </w:pPr>
      <w:r w:rsidRPr="006A75A2">
        <w:rPr>
          <w:kern w:val="0"/>
        </w:rPr>
        <w:t>Net acquisition of non</w:t>
      </w:r>
      <w:r w:rsidRPr="006A75A2">
        <w:rPr>
          <w:kern w:val="0"/>
        </w:rPr>
        <w:noBreakHyphen/>
        <w:t>financial assets (from transactions)</w:t>
      </w:r>
    </w:p>
    <w:p w:rsidR="004E6C32" w:rsidRPr="006A75A2" w:rsidRDefault="004E6C32" w:rsidP="004B5CB1">
      <w:r w:rsidRPr="006A75A2">
        <w:t>Purchases (and other acquisitions) of non</w:t>
      </w:r>
      <w:r w:rsidRPr="006A75A2">
        <w:noBreakHyphen/>
        <w:t>financial assets less sales (or disposals) of non</w:t>
      </w:r>
      <w:r w:rsidRPr="006A75A2">
        <w:noBreakHyphen/>
        <w:t>financial assets less depreciation plus changes in inventories and other movements in non</w:t>
      </w:r>
      <w:r w:rsidRPr="006A75A2">
        <w:noBreakHyphen/>
        <w:t>financial assets. Includes only those increases or decreases in non</w:t>
      </w:r>
      <w:r w:rsidRPr="006A75A2">
        <w:noBreakHyphen/>
        <w:t>financial assets resulting from transactions and therefore excludes write offs, impairment write downs and revaluations.</w:t>
      </w:r>
    </w:p>
    <w:p w:rsidR="004E6C32" w:rsidRPr="006A75A2" w:rsidRDefault="004E6C32" w:rsidP="004B5CB1">
      <w:pPr>
        <w:pStyle w:val="Heading3"/>
        <w:rPr>
          <w:kern w:val="0"/>
        </w:rPr>
      </w:pPr>
      <w:r w:rsidRPr="006A75A2">
        <w:rPr>
          <w:kern w:val="0"/>
        </w:rPr>
        <w:t>Net cash flows from investments in financial assets (liquidity management purposes)</w:t>
      </w:r>
    </w:p>
    <w:p w:rsidR="004E6C32" w:rsidRPr="006A75A2" w:rsidRDefault="004E6C32" w:rsidP="004B5CB1">
      <w:r w:rsidRPr="006A75A2">
        <w:t xml:space="preserve">Net cash flows from investments in financial assets (liquidity management purposes) are 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 </w:t>
      </w:r>
    </w:p>
    <w:p w:rsidR="004E6C32" w:rsidRPr="006A75A2" w:rsidRDefault="004E6C32" w:rsidP="004B5CB1">
      <w:pPr>
        <w:pStyle w:val="Heading3"/>
        <w:rPr>
          <w:kern w:val="0"/>
        </w:rPr>
      </w:pPr>
      <w:r w:rsidRPr="006A75A2">
        <w:rPr>
          <w:kern w:val="0"/>
        </w:rPr>
        <w:t>Net cash flows from investments in financial assets (policy purposes)</w:t>
      </w:r>
    </w:p>
    <w:p w:rsidR="004E6C32" w:rsidRPr="006A75A2" w:rsidRDefault="004E6C32" w:rsidP="004B5CB1">
      <w:r w:rsidRPr="006A75A2">
        <w:t>Net cash flows from investments in financial assets (policy purposes) represents cash payments made for acquiring financial assets for policy purposes, less cash receipts from the repayment and liquidation of such investments in financial assets.</w:t>
      </w:r>
    </w:p>
    <w:p w:rsidR="004E6C32" w:rsidRPr="006A75A2" w:rsidRDefault="004E6C32" w:rsidP="004B5CB1">
      <w:r w:rsidRPr="006A75A2">
        <w:t xml:space="preserve">Acquisition of financial assets for policy purposes is distinguished from investments in financial assets (liquidity management purposes) by the underlying government motivation for acquiring the assets. Acquisition of financial assets for policy purposes includes loans made by government that are motivated by Government policies, such as encouraging the development of certain industries or assisting people affected by natural disaster. </w:t>
      </w:r>
    </w:p>
    <w:p w:rsidR="004E6C32" w:rsidRPr="006A75A2" w:rsidRDefault="004E6C32" w:rsidP="004B5CB1">
      <w:r w:rsidRPr="006A75A2">
        <w:t>For the general government sector, this item also includes cash flows arising from the acquisition and disposal by government of its investments (contributed capital) in entities in the public non</w:t>
      </w:r>
      <w:r w:rsidRPr="006A75A2">
        <w:noBreakHyphen/>
        <w:t>financial corporations and public financial corporations sectors.</w:t>
      </w:r>
    </w:p>
    <w:p w:rsidR="004E6C32" w:rsidRPr="006A75A2" w:rsidRDefault="004E6C32" w:rsidP="004B5CB1">
      <w:pPr>
        <w:pStyle w:val="Heading2NotesContd"/>
        <w:rPr>
          <w:i/>
          <w:kern w:val="0"/>
        </w:rPr>
      </w:pPr>
      <w:r w:rsidRPr="006A75A2">
        <w:rPr>
          <w:kern w:val="0"/>
        </w:rPr>
        <w:lastRenderedPageBreak/>
        <w:t>Note 40:</w:t>
      </w:r>
      <w:r w:rsidRPr="006A75A2">
        <w:rPr>
          <w:kern w:val="0"/>
        </w:rPr>
        <w:tab/>
        <w:t xml:space="preserve">Glossary of technical terms </w:t>
      </w:r>
      <w:r w:rsidRPr="006A75A2">
        <w:rPr>
          <w:i/>
          <w:kern w:val="0"/>
        </w:rPr>
        <w:t>(continued)</w:t>
      </w:r>
    </w:p>
    <w:p w:rsidR="004E6C32" w:rsidRPr="006A75A2" w:rsidRDefault="004E6C32" w:rsidP="004B5CB1">
      <w:pPr>
        <w:pStyle w:val="Heading3"/>
        <w:rPr>
          <w:kern w:val="0"/>
        </w:rPr>
      </w:pPr>
      <w:r w:rsidRPr="006A75A2">
        <w:rPr>
          <w:kern w:val="0"/>
        </w:rPr>
        <w:t>Net debt</w:t>
      </w:r>
    </w:p>
    <w:p w:rsidR="004E6C32" w:rsidRPr="006A75A2" w:rsidRDefault="004E6C32" w:rsidP="004B5CB1">
      <w:r w:rsidRPr="006A75A2">
        <w:t>Net debt equals sum of deposits held, advances received, government securities, loans and other borrowing less the sum of cash and deposits, advances paid and investments, loans and placements. For the PFC sector, this also includes loans receivable from other sector entities.</w:t>
      </w:r>
    </w:p>
    <w:p w:rsidR="004E6C32" w:rsidRPr="006A75A2" w:rsidRDefault="004E6C32" w:rsidP="004B5CB1">
      <w:pPr>
        <w:pStyle w:val="Heading3"/>
        <w:rPr>
          <w:kern w:val="0"/>
        </w:rPr>
      </w:pPr>
      <w:r w:rsidRPr="006A75A2">
        <w:rPr>
          <w:kern w:val="0"/>
        </w:rPr>
        <w:t>Net financial liabilities</w:t>
      </w:r>
    </w:p>
    <w:p w:rsidR="004E6C32" w:rsidRPr="006A75A2" w:rsidRDefault="004E6C32" w:rsidP="004B5CB1">
      <w:r w:rsidRPr="006A75A2">
        <w:t>Total liabilities less financial assets, other than equity in PNFCs and PFCs. This measure is broader than net debt as it includes significant liabilities, other than borrowings (e.g. accrued employee liabilities such as superannuation and long service leave entitlements). For the PNFC and PFC sectors, it is equal to negative net financial worth.</w:t>
      </w:r>
    </w:p>
    <w:p w:rsidR="004E6C32" w:rsidRPr="006A75A2" w:rsidRDefault="004E6C32" w:rsidP="004B5CB1">
      <w:pPr>
        <w:pStyle w:val="Heading3"/>
        <w:rPr>
          <w:kern w:val="0"/>
        </w:rPr>
      </w:pPr>
      <w:r w:rsidRPr="006A75A2">
        <w:rPr>
          <w:kern w:val="0"/>
        </w:rPr>
        <w:t>Net financial worth</w:t>
      </w:r>
    </w:p>
    <w:p w:rsidR="004E6C32" w:rsidRPr="006A75A2" w:rsidRDefault="004E6C32" w:rsidP="004B5CB1">
      <w:r w:rsidRPr="006A75A2">
        <w:t>Net financial worth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rsidR="004E6C32" w:rsidRPr="006A75A2" w:rsidRDefault="004E6C32" w:rsidP="004B5CB1">
      <w:pPr>
        <w:pStyle w:val="Heading3"/>
        <w:rPr>
          <w:kern w:val="0"/>
        </w:rPr>
      </w:pPr>
      <w:r w:rsidRPr="006A75A2">
        <w:rPr>
          <w:kern w:val="0"/>
        </w:rPr>
        <w:t xml:space="preserve">Net gain on equity investments in other sector entities </w:t>
      </w:r>
    </w:p>
    <w:p w:rsidR="004E6C32" w:rsidRPr="006A75A2" w:rsidRDefault="004E6C32" w:rsidP="004B5CB1">
      <w:r w:rsidRPr="006A75A2">
        <w:t>Net gain on equity investments in other sector entities measured at proportional share of the carrying amount of net assets/(liabilities) represents the net gains relating to the equity held by the general government sector in other sector entities. It arises from a change in the carrying amount of net assets of the subsidiaries. The net gains are measured based on the proportional share of the subsidiary</w:t>
      </w:r>
      <w:r w:rsidR="00C96101" w:rsidRPr="006A75A2">
        <w:t>’</w:t>
      </w:r>
      <w:r w:rsidRPr="006A75A2">
        <w:t>s carrying amount of net assets/(liabilities) before elimination of inter sector balances.</w:t>
      </w:r>
    </w:p>
    <w:p w:rsidR="004E6C32" w:rsidRPr="006A75A2" w:rsidRDefault="004E6C32" w:rsidP="004B5CB1">
      <w:pPr>
        <w:pStyle w:val="Heading3"/>
        <w:rPr>
          <w:kern w:val="0"/>
        </w:rPr>
      </w:pPr>
      <w:r w:rsidRPr="006A75A2">
        <w:rPr>
          <w:kern w:val="0"/>
        </w:rPr>
        <w:t>Net lending/borrowing</w:t>
      </w:r>
    </w:p>
    <w:p w:rsidR="004E6C32" w:rsidRPr="006A75A2" w:rsidRDefault="004E6C32" w:rsidP="004B5CB1">
      <w:r w:rsidRPr="006A75A2">
        <w:t>The financing requirement of government, calculated as the net operating balance less the net acquisition of non financial assets. It also equals transactions in financial assets less transactions in liabilities. A positive result reflects a net lending position and a negative result reflects a net borrowing position.</w:t>
      </w:r>
    </w:p>
    <w:p w:rsidR="004E6C32" w:rsidRPr="006A75A2" w:rsidRDefault="004E6C32" w:rsidP="004B5CB1">
      <w:pPr>
        <w:pStyle w:val="Heading3"/>
        <w:rPr>
          <w:kern w:val="0"/>
        </w:rPr>
      </w:pPr>
      <w:r w:rsidRPr="006A75A2">
        <w:rPr>
          <w:kern w:val="0"/>
        </w:rPr>
        <w:t>Net operating balance – net result from transactions</w:t>
      </w:r>
    </w:p>
    <w:p w:rsidR="004E6C32" w:rsidRPr="006A75A2" w:rsidRDefault="004E6C32" w:rsidP="004B5CB1">
      <w:r w:rsidRPr="006A75A2">
        <w:t>Net result from transactions or net operating balance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rsidR="004E6C32" w:rsidRPr="006A75A2" w:rsidRDefault="004E6C32" w:rsidP="004B5CB1">
      <w:pPr>
        <w:pStyle w:val="Heading3"/>
        <w:rPr>
          <w:kern w:val="0"/>
        </w:rPr>
      </w:pPr>
      <w:r w:rsidRPr="006A75A2">
        <w:rPr>
          <w:kern w:val="0"/>
        </w:rPr>
        <w:t>Net result</w:t>
      </w:r>
    </w:p>
    <w:p w:rsidR="004E6C32" w:rsidRPr="006A75A2" w:rsidRDefault="004E6C32" w:rsidP="004B5CB1">
      <w:r w:rsidRPr="006A75A2">
        <w:t xml:space="preserve">Net result is a measure of financial performance of the operations for the period. It is the net result of items of revenue, gains and expenses (including losses) recognised for the period, excluding those that are classified as </w:t>
      </w:r>
      <w:r w:rsidR="00C96101" w:rsidRPr="006A75A2">
        <w:t>‘</w:t>
      </w:r>
      <w:r w:rsidRPr="006A75A2">
        <w:t>other non owner movements in equity</w:t>
      </w:r>
      <w:r w:rsidR="00C96101" w:rsidRPr="006A75A2">
        <w:t>’</w:t>
      </w:r>
      <w:r w:rsidRPr="006A75A2">
        <w:t>.</w:t>
      </w:r>
    </w:p>
    <w:p w:rsidR="004E6C32" w:rsidRPr="006A75A2" w:rsidRDefault="004E6C32" w:rsidP="004B5CB1">
      <w:pPr>
        <w:pStyle w:val="Heading3"/>
        <w:rPr>
          <w:kern w:val="0"/>
        </w:rPr>
      </w:pPr>
      <w:r w:rsidRPr="006A75A2">
        <w:rPr>
          <w:kern w:val="0"/>
        </w:rPr>
        <w:t>Net worth</w:t>
      </w:r>
    </w:p>
    <w:p w:rsidR="004E6C32" w:rsidRPr="006A75A2" w:rsidRDefault="004E6C32" w:rsidP="004B5CB1">
      <w:r w:rsidRPr="006A75A2">
        <w:t>Assets less liabilities, which is an economic measure of wealth.</w:t>
      </w:r>
    </w:p>
    <w:p w:rsidR="004E6C32" w:rsidRPr="006A75A2" w:rsidRDefault="004E6C32" w:rsidP="004B5CB1">
      <w:pPr>
        <w:pStyle w:val="Heading2NotesContd"/>
        <w:rPr>
          <w:i/>
          <w:kern w:val="0"/>
        </w:rPr>
      </w:pPr>
      <w:r w:rsidRPr="006A75A2">
        <w:rPr>
          <w:kern w:val="0"/>
        </w:rPr>
        <w:lastRenderedPageBreak/>
        <w:t>Note 40:</w:t>
      </w:r>
      <w:r w:rsidRPr="006A75A2">
        <w:rPr>
          <w:kern w:val="0"/>
        </w:rPr>
        <w:tab/>
        <w:t xml:space="preserve">Glossary of technical terms </w:t>
      </w:r>
      <w:r w:rsidRPr="006A75A2">
        <w:rPr>
          <w:i/>
          <w:kern w:val="0"/>
        </w:rPr>
        <w:t>(continued)</w:t>
      </w:r>
    </w:p>
    <w:p w:rsidR="004E6C32" w:rsidRPr="006A75A2" w:rsidRDefault="004E6C32" w:rsidP="004B5CB1">
      <w:pPr>
        <w:pStyle w:val="Heading3"/>
        <w:rPr>
          <w:kern w:val="0"/>
        </w:rPr>
      </w:pPr>
      <w:r w:rsidRPr="006A75A2">
        <w:rPr>
          <w:kern w:val="0"/>
        </w:rPr>
        <w:t>Non</w:t>
      </w:r>
      <w:r w:rsidRPr="006A75A2">
        <w:rPr>
          <w:kern w:val="0"/>
        </w:rPr>
        <w:noBreakHyphen/>
        <w:t>financial assets</w:t>
      </w:r>
    </w:p>
    <w:p w:rsidR="004E6C32" w:rsidRPr="006A75A2" w:rsidRDefault="004E6C32" w:rsidP="004B5CB1">
      <w:r w:rsidRPr="006A75A2">
        <w:t>Non</w:t>
      </w:r>
      <w:r w:rsidRPr="006A75A2">
        <w:noBreakHyphen/>
        <w:t>financial assets are all assets that are not financial assets. It includes inventories, land, buildings, infrastructure, road networks, land under roads, plant and equipment, cultural and heritage assets, intangibles and biological assets such as commercial forests.</w:t>
      </w:r>
    </w:p>
    <w:p w:rsidR="004E6C32" w:rsidRPr="006A75A2" w:rsidRDefault="004E6C32" w:rsidP="004B5CB1">
      <w:pPr>
        <w:pStyle w:val="Heading3"/>
        <w:rPr>
          <w:kern w:val="0"/>
        </w:rPr>
      </w:pPr>
      <w:r w:rsidRPr="006A75A2">
        <w:rPr>
          <w:kern w:val="0"/>
        </w:rPr>
        <w:t>Non</w:t>
      </w:r>
      <w:r w:rsidRPr="006A75A2">
        <w:rPr>
          <w:kern w:val="0"/>
        </w:rPr>
        <w:noBreakHyphen/>
        <w:t>financial public sector</w:t>
      </w:r>
    </w:p>
    <w:p w:rsidR="004E6C32" w:rsidRPr="006A75A2" w:rsidRDefault="004E6C32" w:rsidP="004B5CB1">
      <w:r w:rsidRPr="006A75A2">
        <w:t>The non</w:t>
      </w:r>
      <w:r w:rsidRPr="006A75A2">
        <w:noBreakHyphen/>
        <w:t>financial public sector (NFPS) represents the consolidated transactions and assets and liabilities of the general government and PNFC sectors. In compiling statistics for the non</w:t>
      </w:r>
      <w:r w:rsidRPr="006A75A2">
        <w:noBreakHyphen/>
        <w:t>financial public sector, transactions and debtor creditor relationships between sub sectors are eliminated to avoid double counting.</w:t>
      </w:r>
    </w:p>
    <w:p w:rsidR="004E6C32" w:rsidRPr="006A75A2" w:rsidRDefault="004E6C32" w:rsidP="004B5CB1">
      <w:pPr>
        <w:pStyle w:val="Heading3"/>
        <w:rPr>
          <w:kern w:val="0"/>
        </w:rPr>
      </w:pPr>
      <w:r w:rsidRPr="006A75A2">
        <w:rPr>
          <w:kern w:val="0"/>
        </w:rPr>
        <w:t>Non</w:t>
      </w:r>
      <w:r w:rsidRPr="006A75A2">
        <w:rPr>
          <w:kern w:val="0"/>
        </w:rPr>
        <w:noBreakHyphen/>
        <w:t>produced assets</w:t>
      </w:r>
    </w:p>
    <w:p w:rsidR="004E6C32" w:rsidRPr="006A75A2" w:rsidRDefault="004E6C32" w:rsidP="004B5CB1">
      <w:r w:rsidRPr="006A75A2">
        <w:t>Non</w:t>
      </w:r>
      <w:r w:rsidRPr="006A75A2">
        <w:noBreakHyphen/>
        <w:t>produced assets are assets needed for production that have not themselves been produced. They include land, subsoil assets, and certain intangible assets. Non</w:t>
      </w:r>
      <w:r w:rsidRPr="006A75A2">
        <w:noBreakHyphen/>
        <w:t xml:space="preserve">produced intangibles are intangible assets needed for production that have not themselves been produced. They include constructs of society such as patents. </w:t>
      </w:r>
    </w:p>
    <w:p w:rsidR="004E6C32" w:rsidRPr="006A75A2" w:rsidRDefault="004E6C32" w:rsidP="004B5CB1">
      <w:pPr>
        <w:pStyle w:val="Heading3"/>
        <w:rPr>
          <w:kern w:val="0"/>
        </w:rPr>
      </w:pPr>
      <w:r w:rsidRPr="006A75A2">
        <w:rPr>
          <w:kern w:val="0"/>
        </w:rPr>
        <w:t>Operating result</w:t>
      </w:r>
    </w:p>
    <w:p w:rsidR="004E6C32" w:rsidRPr="006A75A2" w:rsidRDefault="004E6C32" w:rsidP="004B5CB1">
      <w:r w:rsidRPr="006A75A2">
        <w:t xml:space="preserve">Operating result is a measure of financial performance of the operations for the period. It is the net result of items of revenue, gains and expenses (including losses) recognised for the period, excluding those that are classified as </w:t>
      </w:r>
      <w:r w:rsidR="00C96101" w:rsidRPr="006A75A2">
        <w:t>‘</w:t>
      </w:r>
      <w:r w:rsidRPr="006A75A2">
        <w:t>other non owner movements in equity</w:t>
      </w:r>
      <w:r w:rsidR="00C96101" w:rsidRPr="006A75A2">
        <w:t>’</w:t>
      </w:r>
      <w:r w:rsidRPr="006A75A2">
        <w:t xml:space="preserve">. Refer also </w:t>
      </w:r>
      <w:r w:rsidR="00C96101" w:rsidRPr="006A75A2">
        <w:t>‘</w:t>
      </w:r>
      <w:r w:rsidRPr="006A75A2">
        <w:t>net result</w:t>
      </w:r>
      <w:r w:rsidR="00C96101" w:rsidRPr="006A75A2">
        <w:t>’</w:t>
      </w:r>
      <w:r w:rsidRPr="006A75A2">
        <w:t xml:space="preserve">. </w:t>
      </w:r>
    </w:p>
    <w:p w:rsidR="004E6C32" w:rsidRPr="006A75A2" w:rsidRDefault="004E6C32" w:rsidP="004B5CB1">
      <w:pPr>
        <w:pStyle w:val="Heading3"/>
        <w:rPr>
          <w:kern w:val="0"/>
        </w:rPr>
      </w:pPr>
      <w:r w:rsidRPr="006A75A2">
        <w:rPr>
          <w:kern w:val="0"/>
        </w:rPr>
        <w:t>Other economic flows</w:t>
      </w:r>
    </w:p>
    <w:p w:rsidR="004E6C32" w:rsidRPr="006A75A2" w:rsidRDefault="004E6C32" w:rsidP="004B5CB1">
      <w:r w:rsidRPr="006A75A2">
        <w:t>Other economic flows are changes in the volume or value of an asset or liability that do not result from transactions. In simple terms, other economic flows are changes arising from market remeasurements. They include gains and losses from disposals, revaluations and impairments of non current physical and intangible assets; actuarial gains and losses arising from defined benefit superannuation plans; fair value changes of financial instruments and agricultural assets; and depletion of natural assets (non</w:t>
      </w:r>
      <w:r w:rsidRPr="006A75A2">
        <w:noBreakHyphen/>
        <w:t>produced) from their use or removal.</w:t>
      </w:r>
    </w:p>
    <w:p w:rsidR="004E6C32" w:rsidRPr="006A75A2" w:rsidRDefault="004E6C32" w:rsidP="004B5CB1">
      <w:pPr>
        <w:pStyle w:val="Heading3"/>
        <w:rPr>
          <w:kern w:val="0"/>
        </w:rPr>
      </w:pPr>
      <w:r w:rsidRPr="006A75A2">
        <w:rPr>
          <w:kern w:val="0"/>
        </w:rPr>
        <w:t>Other superannuation expense</w:t>
      </w:r>
    </w:p>
    <w:p w:rsidR="004E6C32" w:rsidRPr="006A75A2" w:rsidRDefault="004E6C32" w:rsidP="004B5CB1">
      <w:r w:rsidRPr="006A75A2">
        <w:t>Includes all superannuation expenses from transactions except superannuation interest cost. Generally includes current service cost, which is the increase in entitlements associated with the employment services provided by employees in the current period. Superannuation actuarial gains/(losses) are excluded as they are considered other economic flows.</w:t>
      </w:r>
    </w:p>
    <w:p w:rsidR="004E6C32" w:rsidRPr="006A75A2" w:rsidRDefault="004E6C32" w:rsidP="004B5CB1">
      <w:pPr>
        <w:pStyle w:val="Heading3"/>
        <w:rPr>
          <w:kern w:val="0"/>
        </w:rPr>
      </w:pPr>
      <w:r w:rsidRPr="006A75A2">
        <w:rPr>
          <w:kern w:val="0"/>
        </w:rPr>
        <w:t>Payables</w:t>
      </w:r>
    </w:p>
    <w:p w:rsidR="004E6C32" w:rsidRPr="006A75A2" w:rsidRDefault="004E6C32" w:rsidP="004B5CB1">
      <w:r w:rsidRPr="006A75A2">
        <w:t>Includes short and long</w:t>
      </w:r>
      <w:r w:rsidRPr="006A75A2">
        <w:noBreakHyphen/>
        <w:t>term trade debt and accounts payable, grants and interest payable.</w:t>
      </w:r>
    </w:p>
    <w:p w:rsidR="004E6C32" w:rsidRPr="006A75A2" w:rsidRDefault="004E6C32" w:rsidP="004B5CB1">
      <w:pPr>
        <w:pStyle w:val="Heading3"/>
        <w:rPr>
          <w:kern w:val="0"/>
        </w:rPr>
      </w:pPr>
      <w:r w:rsidRPr="006A75A2">
        <w:rPr>
          <w:kern w:val="0"/>
        </w:rPr>
        <w:t>Produced assets</w:t>
      </w:r>
    </w:p>
    <w:p w:rsidR="004E6C32" w:rsidRPr="006A75A2" w:rsidRDefault="004E6C32" w:rsidP="004B5CB1">
      <w:r w:rsidRPr="006A75A2">
        <w:t>Produced assets include buildings, plant and equipment, inventories, cultivated assets and certain intangible assets. Intangible produced assets may include computer software, motion picture films and research and development costs (which does not include the start up costs associated with capital projects).</w:t>
      </w:r>
    </w:p>
    <w:p w:rsidR="004E6C32" w:rsidRPr="006A75A2" w:rsidRDefault="004E6C32" w:rsidP="004B5CB1">
      <w:pPr>
        <w:pStyle w:val="Heading2NotesContd"/>
        <w:rPr>
          <w:i/>
          <w:kern w:val="0"/>
        </w:rPr>
      </w:pPr>
      <w:r w:rsidRPr="006A75A2">
        <w:rPr>
          <w:kern w:val="0"/>
        </w:rPr>
        <w:lastRenderedPageBreak/>
        <w:t>Note 40:</w:t>
      </w:r>
      <w:r w:rsidRPr="006A75A2">
        <w:rPr>
          <w:kern w:val="0"/>
        </w:rPr>
        <w:tab/>
        <w:t xml:space="preserve">Glossary of technical terms </w:t>
      </w:r>
      <w:r w:rsidRPr="006A75A2">
        <w:rPr>
          <w:i/>
          <w:kern w:val="0"/>
        </w:rPr>
        <w:t>(continued)</w:t>
      </w:r>
    </w:p>
    <w:p w:rsidR="004E6C32" w:rsidRPr="006A75A2" w:rsidRDefault="004E6C32" w:rsidP="004B5CB1">
      <w:pPr>
        <w:pStyle w:val="Heading3"/>
        <w:rPr>
          <w:kern w:val="0"/>
        </w:rPr>
      </w:pPr>
      <w:r w:rsidRPr="006A75A2">
        <w:rPr>
          <w:kern w:val="0"/>
        </w:rPr>
        <w:t>Public financial corporations sector</w:t>
      </w:r>
    </w:p>
    <w:p w:rsidR="004E6C32" w:rsidRPr="006A75A2" w:rsidRDefault="004E6C32" w:rsidP="004B5CB1">
      <w:r w:rsidRPr="006A75A2">
        <w:t>The public financial corporations are bodies primarily engaged in the provision of financial intermediation services or auxiliary financial services. They are able to incur financial liabilities on their own account (e.g. taking deposits, issuing securities or providing insurance services). The public financial corporation sector includes the Treasury Corporation of Victoria and the Transport Accident Commission. Estimates are not published for the public financial corporation sector. A listing of all PFCs controlled by the Victorian Government is included in Note 42.</w:t>
      </w:r>
    </w:p>
    <w:p w:rsidR="004E6C32" w:rsidRPr="006A75A2" w:rsidRDefault="004E6C32" w:rsidP="004B5CB1">
      <w:pPr>
        <w:pStyle w:val="Heading3"/>
        <w:rPr>
          <w:kern w:val="0"/>
        </w:rPr>
      </w:pPr>
      <w:r w:rsidRPr="006A75A2">
        <w:rPr>
          <w:kern w:val="0"/>
        </w:rPr>
        <w:t>Public non</w:t>
      </w:r>
      <w:r w:rsidRPr="006A75A2">
        <w:rPr>
          <w:kern w:val="0"/>
        </w:rPr>
        <w:noBreakHyphen/>
        <w:t>financial corporations sector</w:t>
      </w:r>
    </w:p>
    <w:p w:rsidR="004E6C32" w:rsidRPr="006A75A2" w:rsidRDefault="004E6C32" w:rsidP="004B5CB1">
      <w:r w:rsidRPr="006A75A2">
        <w:t>The public non</w:t>
      </w:r>
      <w:r w:rsidRPr="006A75A2">
        <w:noBreakHyphen/>
        <w:t>financial corporations (PNFC) sector comprises bodies mainly engaged in the production of goods and services (of a non</w:t>
      </w:r>
      <w:r w:rsidRPr="006A75A2">
        <w:noBreakHyphen/>
        <w:t>financial nature) for sale in the market place at prices that aim to recover most of the costs involved (e.g. water and port authorities). In general, PNFCs are legally distinguishable from the governments which own them. A listing of all PNFCs controlled by the Victorian Government is included in Note 42.</w:t>
      </w:r>
    </w:p>
    <w:p w:rsidR="004E6C32" w:rsidRPr="006A75A2" w:rsidRDefault="004E6C32" w:rsidP="004B5CB1">
      <w:pPr>
        <w:pStyle w:val="Heading3"/>
        <w:rPr>
          <w:kern w:val="0"/>
        </w:rPr>
      </w:pPr>
      <w:r w:rsidRPr="006A75A2">
        <w:rPr>
          <w:kern w:val="0"/>
        </w:rPr>
        <w:t>Quasi corporation</w:t>
      </w:r>
    </w:p>
    <w:p w:rsidR="004E6C32" w:rsidRPr="006A75A2" w:rsidRDefault="004E6C32" w:rsidP="004B5CB1">
      <w:r w:rsidRPr="006A75A2">
        <w:t>An unincorporated enterprise that functions as if it were a corporation, has the same relationship with its owner as a corporation, and keeps a separate set of accounts.</w:t>
      </w:r>
    </w:p>
    <w:p w:rsidR="004E6C32" w:rsidRPr="006A75A2" w:rsidRDefault="004E6C32" w:rsidP="004B5CB1">
      <w:pPr>
        <w:pStyle w:val="Heading3"/>
        <w:rPr>
          <w:kern w:val="0"/>
        </w:rPr>
      </w:pPr>
      <w:r w:rsidRPr="006A75A2">
        <w:rPr>
          <w:kern w:val="0"/>
        </w:rPr>
        <w:t>Receivables</w:t>
      </w:r>
    </w:p>
    <w:p w:rsidR="004E6C32" w:rsidRPr="006A75A2" w:rsidRDefault="004E6C32" w:rsidP="004B5CB1">
      <w:r w:rsidRPr="006A75A2">
        <w:t>Includes short and long</w:t>
      </w:r>
      <w:r w:rsidRPr="006A75A2">
        <w:noBreakHyphen/>
        <w:t>term trade credit and accounts receivable, grants, taxes and interest receivable.</w:t>
      </w:r>
    </w:p>
    <w:p w:rsidR="004E6C32" w:rsidRPr="006A75A2" w:rsidRDefault="004E6C32" w:rsidP="004B5CB1">
      <w:pPr>
        <w:pStyle w:val="Heading3"/>
        <w:rPr>
          <w:kern w:val="0"/>
        </w:rPr>
      </w:pPr>
      <w:r w:rsidRPr="006A75A2">
        <w:rPr>
          <w:kern w:val="0"/>
        </w:rPr>
        <w:t>Roads</w:t>
      </w:r>
    </w:p>
    <w:p w:rsidR="004E6C32" w:rsidRPr="006A75A2" w:rsidRDefault="004E6C32" w:rsidP="004B5CB1">
      <w:r w:rsidRPr="006A75A2">
        <w:t xml:space="preserve">Roads include road pavement and road works in progress. All land under roads is included under the category of </w:t>
      </w:r>
      <w:r w:rsidR="00C96101" w:rsidRPr="006A75A2">
        <w:t>‘</w:t>
      </w:r>
      <w:r w:rsidRPr="006A75A2">
        <w:t>land</w:t>
      </w:r>
      <w:r w:rsidR="00C96101" w:rsidRPr="006A75A2">
        <w:t>’</w:t>
      </w:r>
      <w:r w:rsidRPr="006A75A2">
        <w:t>.</w:t>
      </w:r>
    </w:p>
    <w:p w:rsidR="004E6C32" w:rsidRPr="006A75A2" w:rsidRDefault="004E6C32" w:rsidP="004B5CB1">
      <w:pPr>
        <w:pStyle w:val="Heading3"/>
        <w:rPr>
          <w:kern w:val="0"/>
        </w:rPr>
      </w:pPr>
      <w:r w:rsidRPr="006A75A2">
        <w:rPr>
          <w:kern w:val="0"/>
        </w:rPr>
        <w:t>Road infrastructure</w:t>
      </w:r>
    </w:p>
    <w:p w:rsidR="004E6C32" w:rsidRPr="006A75A2" w:rsidRDefault="004E6C32" w:rsidP="004B5CB1">
      <w:r w:rsidRPr="006A75A2">
        <w:t>Road infrastructure mainly includes sound barriers, bridges and traffic signal control systems.</w:t>
      </w:r>
    </w:p>
    <w:p w:rsidR="004E6C32" w:rsidRPr="006A75A2" w:rsidRDefault="004E6C32" w:rsidP="004B5CB1">
      <w:pPr>
        <w:pStyle w:val="Heading3"/>
        <w:rPr>
          <w:kern w:val="0"/>
        </w:rPr>
      </w:pPr>
      <w:r w:rsidRPr="006A75A2">
        <w:rPr>
          <w:kern w:val="0"/>
        </w:rPr>
        <w:t>Sale of goods and services</w:t>
      </w:r>
    </w:p>
    <w:p w:rsidR="004E6C32" w:rsidRPr="006A75A2" w:rsidRDefault="004E6C32" w:rsidP="004B5CB1">
      <w:r w:rsidRPr="006A75A2">
        <w:t>Refers to revenue from the direct provision of goods and services, and includes fees and charges for services rendered, sales of goods and services, fees from regulatory services and work done as an agent for private enterprises. It also includes rental income under operating leases and on produced assets such as buildings and entertainment, but excludes rent income from the use of non</w:t>
      </w:r>
      <w:r w:rsidRPr="006A75A2">
        <w:noBreakHyphen/>
        <w:t>produced assets such as land. User charges includes sale of goods and services revenue.</w:t>
      </w:r>
    </w:p>
    <w:p w:rsidR="004E6C32" w:rsidRPr="006A75A2" w:rsidRDefault="004E6C32" w:rsidP="004B5CB1">
      <w:pPr>
        <w:pStyle w:val="Heading3"/>
        <w:rPr>
          <w:kern w:val="0"/>
        </w:rPr>
      </w:pPr>
      <w:r w:rsidRPr="006A75A2">
        <w:rPr>
          <w:kern w:val="0"/>
        </w:rPr>
        <w:t>Superannuation interest expense</w:t>
      </w:r>
    </w:p>
    <w:p w:rsidR="004E6C32" w:rsidRPr="006A75A2" w:rsidRDefault="004E6C32" w:rsidP="004B5CB1">
      <w:r w:rsidRPr="006A75A2">
        <w:t>The expense resulting from the increase in the liability due to the fact that, for all participants in the scheme, retirement (and death) is one year nearer, and so one fewer discount factors must be used to calculate the present value of the benefits for each future year. The net superannuation interest expense is calculated using the discount rate (a long-term Government bond rate) without reference to the expected rate of investment return on plan assets.</w:t>
      </w:r>
    </w:p>
    <w:p w:rsidR="004E6C32" w:rsidRPr="006A75A2" w:rsidRDefault="004E6C32" w:rsidP="004B5CB1">
      <w:pPr>
        <w:pStyle w:val="Heading2NotesContd"/>
        <w:rPr>
          <w:i/>
          <w:kern w:val="0"/>
        </w:rPr>
      </w:pPr>
      <w:r w:rsidRPr="006A75A2">
        <w:rPr>
          <w:kern w:val="0"/>
        </w:rPr>
        <w:lastRenderedPageBreak/>
        <w:t>Note 40:</w:t>
      </w:r>
      <w:r w:rsidRPr="006A75A2">
        <w:rPr>
          <w:kern w:val="0"/>
        </w:rPr>
        <w:tab/>
        <w:t xml:space="preserve">Glossary of technical terms </w:t>
      </w:r>
      <w:r w:rsidRPr="006A75A2">
        <w:rPr>
          <w:i/>
          <w:kern w:val="0"/>
        </w:rPr>
        <w:t>(continued)</w:t>
      </w:r>
    </w:p>
    <w:p w:rsidR="004E6C32" w:rsidRPr="006A75A2" w:rsidRDefault="004E6C32" w:rsidP="004B5CB1">
      <w:pPr>
        <w:pStyle w:val="Heading3"/>
        <w:rPr>
          <w:kern w:val="0"/>
        </w:rPr>
      </w:pPr>
      <w:r w:rsidRPr="006A75A2">
        <w:rPr>
          <w:kern w:val="0"/>
        </w:rPr>
        <w:t>Superannuation – other</w:t>
      </w:r>
    </w:p>
    <w:p w:rsidR="004E6C32" w:rsidRPr="006A75A2" w:rsidRDefault="004E6C32" w:rsidP="004B5CB1">
      <w:r w:rsidRPr="006A75A2">
        <w:t>Includes all superannuation expenses from transactions except superannuation interest cost. It generally includes current service cost, which is the increase in entitlements associated with the employment services provided by employees in the current period. Superannuation actuarial gains/losses are excluded as they are considered other economic flows.</w:t>
      </w:r>
    </w:p>
    <w:p w:rsidR="004E6C32" w:rsidRPr="006A75A2" w:rsidRDefault="004E6C32" w:rsidP="004B5CB1">
      <w:pPr>
        <w:pStyle w:val="Heading3"/>
        <w:rPr>
          <w:kern w:val="0"/>
        </w:rPr>
      </w:pPr>
      <w:r w:rsidRPr="006A75A2">
        <w:rPr>
          <w:kern w:val="0"/>
        </w:rPr>
        <w:t>Taxation revenue</w:t>
      </w:r>
    </w:p>
    <w:p w:rsidR="004E6C32" w:rsidRPr="006A75A2" w:rsidRDefault="004E6C32" w:rsidP="004B5CB1">
      <w:r w:rsidRPr="006A75A2">
        <w:t>Taxation revenue represents revenue received from the State</w:t>
      </w:r>
      <w:r w:rsidR="00C96101" w:rsidRPr="006A75A2">
        <w:t>’</w:t>
      </w:r>
      <w:r w:rsidRPr="006A75A2">
        <w:t>s taxpayers and includes: payroll tax, land tax, duties levied principally on conveyances and land transfers, gambling taxes levied mainly on private lotteries, electronic gaming machines, casino operations and racing, insurance duty relating to compulsory third party, life and non</w:t>
      </w:r>
      <w:r w:rsidRPr="006A75A2">
        <w:noBreakHyphen/>
        <w:t>life policies, insurance company contributions to fire brigades, Fire Services Property Levy, motor vehicle taxes, including registration fees and duty on registrations and transfers, levies (including the environmental levy) on statutory corporations in other sectors of government; and other taxes, including landfill levies, licence and concession fees.</w:t>
      </w:r>
    </w:p>
    <w:p w:rsidR="004E6C32" w:rsidRPr="006A75A2" w:rsidRDefault="004E6C32" w:rsidP="004B5CB1">
      <w:pPr>
        <w:pStyle w:val="Heading3"/>
        <w:rPr>
          <w:kern w:val="0"/>
        </w:rPr>
      </w:pPr>
      <w:r w:rsidRPr="006A75A2">
        <w:rPr>
          <w:kern w:val="0"/>
        </w:rPr>
        <w:t>Transactions</w:t>
      </w:r>
    </w:p>
    <w:p w:rsidR="004E6C32" w:rsidRPr="006A75A2" w:rsidRDefault="004E6C32" w:rsidP="004B5CB1">
      <w:r w:rsidRPr="006A75A2">
        <w:t xml:space="preserve">Transactions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w:t>
      </w:r>
    </w:p>
    <w:p w:rsidR="004E6C32" w:rsidRPr="006A75A2" w:rsidRDefault="004E6C32" w:rsidP="004B5CB1">
      <w:r w:rsidRPr="006A75A2">
        <w:t>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rsidR="004E6C32" w:rsidRPr="006A75A2" w:rsidRDefault="004E6C32">
      <w:pPr>
        <w:spacing w:after="0"/>
      </w:pPr>
      <w:r w:rsidRPr="006A75A2">
        <w:br w:type="page"/>
      </w:r>
    </w:p>
    <w:p w:rsidR="004E6C32" w:rsidRPr="006A75A2" w:rsidRDefault="004E6C32" w:rsidP="004B5CB1">
      <w:pPr>
        <w:pStyle w:val="Heading2Notes"/>
        <w:spacing w:before="120"/>
        <w:rPr>
          <w:bCs/>
          <w:kern w:val="0"/>
        </w:rPr>
      </w:pPr>
      <w:bookmarkStart w:id="72" w:name="_Toc400040288"/>
      <w:r w:rsidRPr="006A75A2">
        <w:rPr>
          <w:bCs/>
          <w:kern w:val="0"/>
        </w:rPr>
        <w:lastRenderedPageBreak/>
        <w:t>Note 41:</w:t>
      </w:r>
      <w:r w:rsidRPr="006A75A2">
        <w:rPr>
          <w:bCs/>
          <w:kern w:val="0"/>
        </w:rPr>
        <w:tab/>
        <w:t>Government purpose classification</w:t>
      </w:r>
      <w:bookmarkEnd w:id="72"/>
    </w:p>
    <w:p w:rsidR="004E6C32" w:rsidRPr="006A75A2" w:rsidRDefault="004E6C32" w:rsidP="004B5CB1">
      <w:r w:rsidRPr="006A75A2">
        <w:t>The Government purpose classification (GPC) classifies expenses and acquisition of non</w:t>
      </w:r>
      <w:r w:rsidRPr="006A75A2">
        <w:noBreakHyphen/>
        <w:t>financial assets of the public sector and general government sector in terms of the purposes for which the transactions are made. As required under AASB 1049, total assets of the State and general government sector are also required to be allocated to purpose classification where possible to do so. The major groups reflect the broad objectives of government and the groups and subgroups detail the means by which these broad objectives are achieved.</w:t>
      </w:r>
    </w:p>
    <w:p w:rsidR="004E6C32" w:rsidRPr="006A75A2" w:rsidRDefault="004E6C32" w:rsidP="004B5CB1">
      <w:pPr>
        <w:pStyle w:val="Heading3"/>
        <w:rPr>
          <w:kern w:val="0"/>
        </w:rPr>
      </w:pPr>
      <w:r w:rsidRPr="006A75A2">
        <w:rPr>
          <w:kern w:val="0"/>
        </w:rPr>
        <w:t>General public services</w:t>
      </w:r>
    </w:p>
    <w:p w:rsidR="004E6C32" w:rsidRPr="006A75A2" w:rsidRDefault="004E6C32" w:rsidP="004B5CB1">
      <w:r w:rsidRPr="006A75A2">
        <w:t>Include legislative and executive affairs, financial and fiscal affairs, external affairs, foreign economic aid, general research, general economic and social services, general statistical services and government superannuation benefits.</w:t>
      </w:r>
    </w:p>
    <w:p w:rsidR="004E6C32" w:rsidRPr="006A75A2" w:rsidRDefault="004E6C32" w:rsidP="004B5CB1">
      <w:pPr>
        <w:pStyle w:val="Heading3"/>
        <w:rPr>
          <w:kern w:val="0"/>
        </w:rPr>
      </w:pPr>
      <w:r w:rsidRPr="006A75A2">
        <w:rPr>
          <w:kern w:val="0"/>
        </w:rPr>
        <w:t>Public order and safety</w:t>
      </w:r>
    </w:p>
    <w:p w:rsidR="004E6C32" w:rsidRPr="006A75A2" w:rsidRDefault="004E6C32" w:rsidP="004B5CB1">
      <w:r w:rsidRPr="006A75A2">
        <w:t>Includes police and fire protection services, law courts and legal services, prisons and corrective services, and control of domestic animals and livestock.</w:t>
      </w:r>
    </w:p>
    <w:p w:rsidR="004E6C32" w:rsidRPr="006A75A2" w:rsidRDefault="004E6C32" w:rsidP="004B5CB1">
      <w:pPr>
        <w:pStyle w:val="Heading3"/>
        <w:rPr>
          <w:kern w:val="0"/>
        </w:rPr>
      </w:pPr>
      <w:r w:rsidRPr="006A75A2">
        <w:rPr>
          <w:kern w:val="0"/>
        </w:rPr>
        <w:t>Education</w:t>
      </w:r>
    </w:p>
    <w:p w:rsidR="004E6C32" w:rsidRPr="006A75A2" w:rsidRDefault="004E6C32" w:rsidP="004B5CB1">
      <w:r w:rsidRPr="006A75A2">
        <w:t>Includes primary and secondary education, university and other higher education, technical and further education, preschool and special education and transportation of students.</w:t>
      </w:r>
    </w:p>
    <w:p w:rsidR="004E6C32" w:rsidRPr="006A75A2" w:rsidRDefault="004E6C32" w:rsidP="004B5CB1">
      <w:pPr>
        <w:pStyle w:val="Heading3"/>
        <w:rPr>
          <w:kern w:val="0"/>
        </w:rPr>
      </w:pPr>
      <w:r w:rsidRPr="006A75A2">
        <w:rPr>
          <w:kern w:val="0"/>
        </w:rPr>
        <w:t>Health</w:t>
      </w:r>
    </w:p>
    <w:p w:rsidR="004E6C32" w:rsidRPr="006A75A2" w:rsidRDefault="004E6C32" w:rsidP="004B5CB1">
      <w:r w:rsidRPr="006A75A2">
        <w:t>Includes general hospitals, repatriation hospitals, mental health institutions, nursing homes, special hospitals, hospital benefits, medical clinics and practitioners, dental clinics and practitioners, maternal and infant health, ambulance services, medical benefits, school and other public health services, pharmaceuticals, medical aids and appliances and health research.</w:t>
      </w:r>
    </w:p>
    <w:p w:rsidR="004E6C32" w:rsidRPr="006A75A2" w:rsidRDefault="004E6C32" w:rsidP="004B5CB1">
      <w:pPr>
        <w:pStyle w:val="Heading3"/>
        <w:rPr>
          <w:kern w:val="0"/>
        </w:rPr>
      </w:pPr>
      <w:r w:rsidRPr="006A75A2">
        <w:rPr>
          <w:kern w:val="0"/>
        </w:rPr>
        <w:t>Social security and welfare</w:t>
      </w:r>
    </w:p>
    <w:p w:rsidR="004E6C32" w:rsidRPr="006A75A2" w:rsidRDefault="004E6C32" w:rsidP="004B5CB1">
      <w:r w:rsidRPr="006A75A2">
        <w:t>Includes sickness benefits; benefits to ex</w:t>
      </w:r>
      <w:r w:rsidRPr="006A75A2">
        <w:noBreakHyphen/>
        <w:t>servicemen and their dependants; invalid and other permanent disablement benefits; old age benefits; widows; deserted wives; divorcee and orphan benefits; unemployment benefits; family and child benefits; sole parent benefits; family and child welfare; and aged and handicapped welfare.</w:t>
      </w:r>
    </w:p>
    <w:p w:rsidR="004E6C32" w:rsidRPr="006A75A2" w:rsidRDefault="004E6C32" w:rsidP="004B5CB1">
      <w:pPr>
        <w:pStyle w:val="Heading3"/>
        <w:rPr>
          <w:kern w:val="0"/>
        </w:rPr>
      </w:pPr>
      <w:r w:rsidRPr="006A75A2">
        <w:rPr>
          <w:kern w:val="0"/>
        </w:rPr>
        <w:t>Housing and community amenities</w:t>
      </w:r>
    </w:p>
    <w:p w:rsidR="004E6C32" w:rsidRPr="006A75A2" w:rsidRDefault="004E6C32" w:rsidP="004B5CB1">
      <w:r w:rsidRPr="006A75A2">
        <w:t>Includes housing and community development, water supply, household garbage and other sanitation, sewerage, urban stormwater drainage, protection of the environment and street lighting.</w:t>
      </w:r>
    </w:p>
    <w:p w:rsidR="004E6C32" w:rsidRPr="006A75A2" w:rsidRDefault="004E6C32" w:rsidP="004B5CB1">
      <w:pPr>
        <w:pStyle w:val="Heading3"/>
        <w:rPr>
          <w:kern w:val="0"/>
        </w:rPr>
      </w:pPr>
      <w:r w:rsidRPr="006A75A2">
        <w:rPr>
          <w:kern w:val="0"/>
        </w:rPr>
        <w:t>Recreation and culture</w:t>
      </w:r>
    </w:p>
    <w:p w:rsidR="004E6C32" w:rsidRPr="006A75A2" w:rsidRDefault="004E6C32" w:rsidP="004B5CB1">
      <w:r w:rsidRPr="006A75A2">
        <w:t>Includes public halls and civic centres, swimming pools and beaches, national parks and wildlife, libraries, creative and performing arts, museums, art galleries, broadcasting and film production.</w:t>
      </w:r>
    </w:p>
    <w:p w:rsidR="004E6C32" w:rsidRPr="006A75A2" w:rsidRDefault="004E6C32" w:rsidP="004B5CB1">
      <w:pPr>
        <w:pStyle w:val="Heading3"/>
        <w:rPr>
          <w:kern w:val="0"/>
        </w:rPr>
      </w:pPr>
      <w:r w:rsidRPr="006A75A2">
        <w:rPr>
          <w:kern w:val="0"/>
        </w:rPr>
        <w:t>Fuel and energy</w:t>
      </w:r>
    </w:p>
    <w:p w:rsidR="004E6C32" w:rsidRPr="006A75A2" w:rsidRDefault="004E6C32" w:rsidP="004B5CB1">
      <w:r w:rsidRPr="006A75A2">
        <w:t>Includes coal, petroleum, gas, nuclear affairs and electricity.</w:t>
      </w:r>
    </w:p>
    <w:p w:rsidR="004E6C32" w:rsidRPr="006A75A2" w:rsidRDefault="004E6C32" w:rsidP="004B5CB1">
      <w:pPr>
        <w:pStyle w:val="Heading3"/>
        <w:rPr>
          <w:kern w:val="0"/>
        </w:rPr>
      </w:pPr>
      <w:r w:rsidRPr="006A75A2">
        <w:rPr>
          <w:kern w:val="0"/>
        </w:rPr>
        <w:t>Agriculture, forestry, fishing and hunting</w:t>
      </w:r>
    </w:p>
    <w:p w:rsidR="004E6C32" w:rsidRPr="006A75A2" w:rsidRDefault="004E6C32" w:rsidP="004B5CB1">
      <w:r w:rsidRPr="006A75A2">
        <w:t>Includes agricultural land management, agricultural water resources management, agricultural support schemes, agricultural research and extension services, forestry, fishing and hunting.</w:t>
      </w:r>
    </w:p>
    <w:p w:rsidR="004E6C32" w:rsidRPr="006A75A2" w:rsidRDefault="004E6C32" w:rsidP="004B5CB1">
      <w:pPr>
        <w:pStyle w:val="Heading2NotesContd"/>
        <w:spacing w:before="120"/>
        <w:rPr>
          <w:i/>
          <w:kern w:val="0"/>
        </w:rPr>
      </w:pPr>
      <w:r w:rsidRPr="006A75A2">
        <w:rPr>
          <w:kern w:val="0"/>
        </w:rPr>
        <w:lastRenderedPageBreak/>
        <w:t>Note 41:</w:t>
      </w:r>
      <w:r w:rsidRPr="006A75A2">
        <w:rPr>
          <w:kern w:val="0"/>
        </w:rPr>
        <w:tab/>
        <w:t xml:space="preserve">Government purpose classification </w:t>
      </w:r>
      <w:r w:rsidRPr="006A75A2">
        <w:rPr>
          <w:i/>
          <w:kern w:val="0"/>
        </w:rPr>
        <w:t>(continued)</w:t>
      </w:r>
    </w:p>
    <w:p w:rsidR="004E6C32" w:rsidRPr="006A75A2" w:rsidRDefault="004E6C32" w:rsidP="004B5CB1">
      <w:pPr>
        <w:pStyle w:val="Heading3"/>
        <w:rPr>
          <w:kern w:val="0"/>
        </w:rPr>
      </w:pPr>
      <w:r w:rsidRPr="006A75A2">
        <w:rPr>
          <w:kern w:val="0"/>
        </w:rPr>
        <w:t>Mining, manufacturing and construction</w:t>
      </w:r>
    </w:p>
    <w:p w:rsidR="004E6C32" w:rsidRPr="006A75A2" w:rsidRDefault="004E6C32" w:rsidP="004B5CB1">
      <w:r w:rsidRPr="006A75A2">
        <w:t>Includes activities relating to prospecting, mining and mineral resources development; manufacturing activities and research into manufacturing methods, materials and industrial management; and activities associated with the building and construction industry.</w:t>
      </w:r>
    </w:p>
    <w:p w:rsidR="004E6C32" w:rsidRPr="006A75A2" w:rsidRDefault="004E6C32" w:rsidP="004B5CB1">
      <w:pPr>
        <w:pStyle w:val="Heading3"/>
        <w:rPr>
          <w:kern w:val="0"/>
        </w:rPr>
      </w:pPr>
      <w:r w:rsidRPr="006A75A2">
        <w:rPr>
          <w:kern w:val="0"/>
        </w:rPr>
        <w:t>Transport and communications</w:t>
      </w:r>
    </w:p>
    <w:p w:rsidR="004E6C32" w:rsidRPr="006A75A2" w:rsidRDefault="004E6C32" w:rsidP="004B5CB1">
      <w:r w:rsidRPr="006A75A2">
        <w:t>Includes road construction, road maintenance, parking, water transport, rail transport, air transport, pipelines, multi</w:t>
      </w:r>
      <w:r w:rsidRPr="006A75A2">
        <w:noBreakHyphen/>
        <w:t>mode urban transit systems and communications.</w:t>
      </w:r>
    </w:p>
    <w:p w:rsidR="004E6C32" w:rsidRPr="006A75A2" w:rsidRDefault="004E6C32" w:rsidP="004B5CB1">
      <w:pPr>
        <w:pStyle w:val="Heading3"/>
        <w:rPr>
          <w:kern w:val="0"/>
        </w:rPr>
      </w:pPr>
      <w:r w:rsidRPr="006A75A2">
        <w:rPr>
          <w:kern w:val="0"/>
        </w:rPr>
        <w:t>Other economic affairs</w:t>
      </w:r>
    </w:p>
    <w:p w:rsidR="004E6C32" w:rsidRPr="006A75A2" w:rsidRDefault="004E6C32" w:rsidP="004B5CB1">
      <w:r w:rsidRPr="006A75A2">
        <w:t>Includes storage, saleyards, markets, tourism and area promotion and labour and employment affairs.</w:t>
      </w:r>
    </w:p>
    <w:p w:rsidR="004E6C32" w:rsidRPr="006A75A2" w:rsidRDefault="004E6C32" w:rsidP="004B5CB1">
      <w:pPr>
        <w:pStyle w:val="Heading3"/>
        <w:rPr>
          <w:kern w:val="0"/>
        </w:rPr>
      </w:pPr>
      <w:r w:rsidRPr="006A75A2">
        <w:rPr>
          <w:kern w:val="0"/>
        </w:rPr>
        <w:t>Other purposes</w:t>
      </w:r>
    </w:p>
    <w:p w:rsidR="004E6C32" w:rsidRPr="006A75A2" w:rsidRDefault="004E6C32" w:rsidP="004B5CB1">
      <w:r w:rsidRPr="006A75A2">
        <w:t>Includes public debt transactions, general purpose inter government transactions and natural disaster relief.</w:t>
      </w:r>
    </w:p>
    <w:p w:rsidR="004E6C32" w:rsidRPr="006A75A2" w:rsidRDefault="004E6C32" w:rsidP="004B5CB1"/>
    <w:p w:rsidR="004E6C32" w:rsidRPr="006A75A2" w:rsidRDefault="004E6C32">
      <w:pPr>
        <w:spacing w:after="0"/>
        <w:rPr>
          <w:rFonts w:ascii="Calibri" w:hAnsi="Calibri"/>
          <w:b/>
          <w:sz w:val="28"/>
          <w:szCs w:val="22"/>
        </w:rPr>
      </w:pPr>
      <w:r w:rsidRPr="006A75A2">
        <w:br w:type="page"/>
      </w:r>
    </w:p>
    <w:p w:rsidR="004E6C32" w:rsidRPr="006A75A2" w:rsidRDefault="004E6C32" w:rsidP="004B5CB1">
      <w:pPr>
        <w:pStyle w:val="Heading2Notes"/>
        <w:rPr>
          <w:kern w:val="0"/>
        </w:rPr>
      </w:pPr>
      <w:bookmarkStart w:id="73" w:name="_Toc367947900"/>
      <w:bookmarkStart w:id="74" w:name="_Toc400040289"/>
      <w:r w:rsidRPr="006A75A2">
        <w:rPr>
          <w:kern w:val="0"/>
        </w:rPr>
        <w:lastRenderedPageBreak/>
        <w:t>Note 42:</w:t>
      </w:r>
      <w:r w:rsidRPr="006A75A2">
        <w:rPr>
          <w:kern w:val="0"/>
        </w:rPr>
        <w:tab/>
        <w:t>Controlled entities</w:t>
      </w:r>
      <w:bookmarkEnd w:id="73"/>
      <w:bookmarkEnd w:id="74"/>
      <w:r w:rsidRPr="006A75A2">
        <w:rPr>
          <w:kern w:val="0"/>
        </w:rPr>
        <w:t xml:space="preserve"> </w:t>
      </w:r>
    </w:p>
    <w:p w:rsidR="004E6C32" w:rsidRPr="006A75A2" w:rsidRDefault="004E6C32" w:rsidP="004B5CB1">
      <w:pPr>
        <w:spacing w:after="60"/>
      </w:pPr>
      <w:r w:rsidRPr="006A75A2">
        <w:t>The following is a list of significant controlled entities which have been consolidated for the purposes of the financial report. Minor wholly owned subsidiaries of these controlled entities are not separately disclosed in the listing below.</w:t>
      </w:r>
    </w:p>
    <w:p w:rsidR="004E6C32" w:rsidRPr="006A75A2" w:rsidRDefault="004E6C32" w:rsidP="004B5CB1">
      <w:pPr>
        <w:spacing w:after="60"/>
      </w:pPr>
      <w:r w:rsidRPr="006A75A2">
        <w:t>For further details on consolidation policy, refer to Note 1(D) Basis of consolidation in the summary of significant accounting policies. The list provides the names of significant controlled entities in the PNFC and PFC sectors which have been accounted for as equity investments, measured at the proportionate share of the carrying amount of their net assets, refer also Note 1(D). Unless otherwise noted below, all such entities are wholly owned.</w:t>
      </w:r>
    </w:p>
    <w:p w:rsidR="004E6C32" w:rsidRPr="006A75A2" w:rsidRDefault="004E6C32" w:rsidP="004B5CB1">
      <w:pPr>
        <w:spacing w:after="60"/>
        <w:rPr>
          <w:rFonts w:asciiTheme="minorHAnsi" w:hAnsiTheme="minorHAnsi" w:cstheme="minorHAnsi"/>
          <w:sz w:val="21"/>
          <w:szCs w:val="21"/>
        </w:rPr>
      </w:pPr>
    </w:p>
    <w:tbl>
      <w:tblPr>
        <w:tblW w:w="9630" w:type="dxa"/>
        <w:tblInd w:w="43" w:type="dxa"/>
        <w:tblLayout w:type="fixed"/>
        <w:tblCellMar>
          <w:left w:w="43" w:type="dxa"/>
          <w:right w:w="43" w:type="dxa"/>
        </w:tblCellMar>
        <w:tblLook w:val="0000" w:firstRow="0" w:lastRow="0" w:firstColumn="0" w:lastColumn="0" w:noHBand="0" w:noVBand="0"/>
      </w:tblPr>
      <w:tblGrid>
        <w:gridCol w:w="5670"/>
        <w:gridCol w:w="142"/>
        <w:gridCol w:w="1028"/>
        <w:gridCol w:w="1440"/>
        <w:gridCol w:w="1350"/>
      </w:tblGrid>
      <w:tr w:rsidR="004E6C32" w:rsidRPr="006A75A2" w:rsidTr="004B5CB1">
        <w:trPr>
          <w:cantSplit/>
          <w:tblHeader/>
        </w:trPr>
        <w:tc>
          <w:tcPr>
            <w:tcW w:w="5670" w:type="dxa"/>
            <w:tcBorders>
              <w:top w:val="nil"/>
              <w:left w:val="single" w:sz="6" w:space="0" w:color="auto"/>
              <w:bottom w:val="single" w:sz="6" w:space="0" w:color="auto"/>
              <w:right w:val="nil"/>
            </w:tcBorders>
            <w:shd w:val="clear" w:color="auto" w:fill="000000"/>
            <w:vAlign w:val="bottom"/>
          </w:tcPr>
          <w:p w:rsidR="004E6C32" w:rsidRPr="006A75A2" w:rsidRDefault="004E6C32" w:rsidP="004B5CB1">
            <w:pPr>
              <w:numPr>
                <w:ilvl w:val="1"/>
                <w:numId w:val="0"/>
              </w:numPr>
              <w:spacing w:after="0"/>
              <w:rPr>
                <w:rFonts w:asciiTheme="minorHAnsi" w:hAnsiTheme="minorHAnsi" w:cstheme="minorHAnsi"/>
                <w:i/>
                <w:sz w:val="21"/>
                <w:szCs w:val="21"/>
                <w:lang w:eastAsia="en-AU"/>
              </w:rPr>
            </w:pPr>
          </w:p>
        </w:tc>
        <w:tc>
          <w:tcPr>
            <w:tcW w:w="1170" w:type="dxa"/>
            <w:gridSpan w:val="2"/>
            <w:tcBorders>
              <w:top w:val="nil"/>
              <w:left w:val="nil"/>
              <w:bottom w:val="single" w:sz="6" w:space="0" w:color="auto"/>
              <w:right w:val="nil"/>
            </w:tcBorders>
            <w:shd w:val="clear" w:color="auto" w:fill="000000"/>
            <w:vAlign w:val="bottom"/>
          </w:tcPr>
          <w:p w:rsidR="004E6C32" w:rsidRPr="006A75A2" w:rsidRDefault="004E6C32" w:rsidP="004B5CB1">
            <w:pPr>
              <w:numPr>
                <w:ilvl w:val="1"/>
                <w:numId w:val="0"/>
              </w:numPr>
              <w:spacing w:after="0"/>
              <w:jc w:val="center"/>
              <w:rPr>
                <w:rFonts w:asciiTheme="minorHAnsi" w:hAnsiTheme="minorHAnsi" w:cstheme="minorHAnsi"/>
                <w:i/>
                <w:sz w:val="21"/>
                <w:szCs w:val="21"/>
                <w:lang w:eastAsia="en-AU"/>
              </w:rPr>
            </w:pPr>
          </w:p>
        </w:tc>
        <w:tc>
          <w:tcPr>
            <w:tcW w:w="2790" w:type="dxa"/>
            <w:gridSpan w:val="2"/>
            <w:tcBorders>
              <w:top w:val="nil"/>
              <w:left w:val="nil"/>
              <w:bottom w:val="single" w:sz="6" w:space="0" w:color="auto"/>
              <w:right w:val="single" w:sz="6" w:space="0" w:color="auto"/>
            </w:tcBorders>
            <w:shd w:val="clear" w:color="auto" w:fill="000000"/>
          </w:tcPr>
          <w:p w:rsidR="004E6C32" w:rsidRPr="006A75A2" w:rsidRDefault="004E6C32" w:rsidP="004B5CB1">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Entities included as investments in other sectors</w:t>
            </w:r>
          </w:p>
        </w:tc>
      </w:tr>
      <w:tr w:rsidR="004E6C32" w:rsidRPr="006A75A2" w:rsidTr="004B5CB1">
        <w:trPr>
          <w:cantSplit/>
          <w:tblHeader/>
        </w:trPr>
        <w:tc>
          <w:tcPr>
            <w:tcW w:w="5670" w:type="dxa"/>
            <w:tcBorders>
              <w:top w:val="nil"/>
              <w:left w:val="single" w:sz="6" w:space="0" w:color="auto"/>
              <w:bottom w:val="single" w:sz="6" w:space="0" w:color="auto"/>
              <w:right w:val="nil"/>
            </w:tcBorders>
            <w:shd w:val="clear" w:color="auto" w:fill="000000"/>
            <w:vAlign w:val="bottom"/>
          </w:tcPr>
          <w:p w:rsidR="004E6C32" w:rsidRPr="006A75A2" w:rsidRDefault="004E6C32" w:rsidP="0067336F">
            <w:pPr>
              <w:numPr>
                <w:ilvl w:val="1"/>
                <w:numId w:val="0"/>
              </w:numPr>
              <w:spacing w:after="0"/>
              <w:rPr>
                <w:rFonts w:asciiTheme="minorHAnsi" w:hAnsiTheme="minorHAnsi" w:cstheme="minorHAnsi"/>
                <w:i/>
                <w:sz w:val="21"/>
                <w:szCs w:val="21"/>
                <w:vertAlign w:val="superscript"/>
                <w:lang w:eastAsia="en-AU"/>
              </w:rPr>
            </w:pPr>
            <w:r w:rsidRPr="006A75A2">
              <w:rPr>
                <w:rFonts w:asciiTheme="minorHAnsi" w:hAnsiTheme="minorHAnsi" w:cstheme="minorHAnsi"/>
                <w:i/>
                <w:sz w:val="21"/>
                <w:szCs w:val="21"/>
                <w:lang w:eastAsia="en-AU"/>
              </w:rPr>
              <w:t>Controlled entities</w:t>
            </w:r>
            <w:r w:rsidRPr="006A75A2">
              <w:rPr>
                <w:rFonts w:asciiTheme="minorHAnsi" w:hAnsiTheme="minorHAnsi" w:cstheme="minorHAnsi"/>
                <w:i/>
                <w:sz w:val="21"/>
                <w:szCs w:val="21"/>
                <w:vertAlign w:val="superscript"/>
                <w:lang w:eastAsia="en-AU"/>
              </w:rPr>
              <w:t>(a)</w:t>
            </w:r>
          </w:p>
        </w:tc>
        <w:tc>
          <w:tcPr>
            <w:tcW w:w="1170" w:type="dxa"/>
            <w:gridSpan w:val="2"/>
            <w:tcBorders>
              <w:top w:val="nil"/>
              <w:left w:val="nil"/>
              <w:bottom w:val="single" w:sz="6" w:space="0" w:color="auto"/>
              <w:right w:val="nil"/>
            </w:tcBorders>
            <w:shd w:val="clear" w:color="auto" w:fill="000000"/>
            <w:vAlign w:val="bottom"/>
          </w:tcPr>
          <w:p w:rsidR="004E6C32" w:rsidRPr="006A75A2" w:rsidRDefault="004E6C32" w:rsidP="004B5CB1">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General government</w:t>
            </w:r>
          </w:p>
        </w:tc>
        <w:tc>
          <w:tcPr>
            <w:tcW w:w="1440" w:type="dxa"/>
            <w:tcBorders>
              <w:top w:val="nil"/>
              <w:left w:val="nil"/>
              <w:bottom w:val="single" w:sz="6" w:space="0" w:color="auto"/>
              <w:right w:val="nil"/>
            </w:tcBorders>
            <w:shd w:val="clear" w:color="auto" w:fill="000000"/>
          </w:tcPr>
          <w:p w:rsidR="004E6C32" w:rsidRPr="006A75A2" w:rsidRDefault="004E6C32" w:rsidP="004B5CB1">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non</w:t>
            </w:r>
            <w:r w:rsidRPr="006A75A2">
              <w:rPr>
                <w:rFonts w:asciiTheme="minorHAnsi" w:hAnsiTheme="minorHAnsi" w:cstheme="minorHAnsi"/>
                <w:sz w:val="21"/>
                <w:szCs w:val="21"/>
                <w:lang w:eastAsia="en-AU"/>
              </w:rPr>
              <w:noBreakHyphen/>
            </w:r>
            <w:r w:rsidRPr="006A75A2">
              <w:rPr>
                <w:rFonts w:asciiTheme="minorHAnsi" w:hAnsiTheme="minorHAnsi" w:cstheme="minorHAnsi"/>
                <w:i/>
                <w:sz w:val="21"/>
                <w:szCs w:val="21"/>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4E6C32" w:rsidRPr="006A75A2" w:rsidRDefault="004E6C32" w:rsidP="004B5CB1">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financial corporation</w:t>
            </w:r>
          </w:p>
        </w:tc>
      </w:tr>
      <w:tr w:rsidR="004E6C32" w:rsidRPr="006A75A2" w:rsidTr="00A659BA">
        <w:tc>
          <w:tcPr>
            <w:tcW w:w="5812" w:type="dxa"/>
            <w:gridSpan w:val="2"/>
            <w:tcBorders>
              <w:top w:val="nil"/>
              <w:bottom w:val="nil"/>
              <w:right w:val="nil"/>
            </w:tcBorders>
          </w:tcPr>
          <w:p w:rsidR="004E6C32" w:rsidRPr="006A75A2" w:rsidRDefault="004E6C32" w:rsidP="0067336F">
            <w:pPr>
              <w:tabs>
                <w:tab w:val="right" w:pos="6257"/>
              </w:tabs>
              <w:spacing w:after="0"/>
              <w:rPr>
                <w:rFonts w:asciiTheme="minorHAnsi" w:hAnsiTheme="minorHAnsi" w:cstheme="minorHAnsi"/>
                <w:b/>
                <w:bCs/>
                <w:sz w:val="21"/>
                <w:szCs w:val="21"/>
                <w:lang w:eastAsia="en-AU"/>
              </w:rPr>
            </w:pPr>
            <w:r w:rsidRPr="006A75A2">
              <w:rPr>
                <w:rFonts w:asciiTheme="minorHAnsi" w:hAnsiTheme="minorHAnsi" w:cstheme="minorHAnsi"/>
                <w:b/>
                <w:bCs/>
                <w:sz w:val="21"/>
                <w:szCs w:val="21"/>
                <w:lang w:eastAsia="en-AU"/>
              </w:rPr>
              <w:t>Department of Education and Early Childhood Development</w:t>
            </w:r>
            <w:r w:rsidRPr="006A75A2">
              <w:rPr>
                <w:rFonts w:asciiTheme="minorHAnsi" w:hAnsiTheme="minorHAnsi" w:cstheme="minorHAnsi"/>
                <w:b/>
                <w:bCs/>
                <w:sz w:val="21"/>
                <w:szCs w:val="21"/>
                <w:vertAlign w:val="superscript"/>
                <w:lang w:eastAsia="en-AU"/>
              </w:rPr>
              <w:t>(b)</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tcBorders>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Adult Community and Further Education Board </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Adult Multicultural Education Services </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TAFEs including: </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Bendigo Regional Institute of TAFE</w:t>
            </w:r>
            <w:r w:rsidRPr="006A75A2">
              <w:rPr>
                <w:rFonts w:asciiTheme="minorHAnsi" w:hAnsiTheme="minorHAnsi" w:cstheme="minorHAnsi"/>
                <w:b/>
                <w:bCs/>
                <w:sz w:val="21"/>
                <w:szCs w:val="21"/>
                <w:vertAlign w:val="superscript"/>
                <w:lang w:eastAsia="en-AU"/>
              </w:rPr>
              <w:t>(c)</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Box Hill Institute of TAFE </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Chisholm Institute of TAFE</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67336F">
            <w:pPr>
              <w:spacing w:after="0"/>
              <w:ind w:left="180" w:hanging="142"/>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Federation Training</w:t>
            </w:r>
            <w:r w:rsidRPr="006A75A2">
              <w:rPr>
                <w:rFonts w:asciiTheme="minorHAnsi" w:hAnsiTheme="minorHAnsi" w:cstheme="minorHAnsi"/>
                <w:b/>
                <w:bCs/>
                <w:sz w:val="21"/>
                <w:szCs w:val="21"/>
                <w:vertAlign w:val="superscript"/>
                <w:lang w:eastAsia="en-AU"/>
              </w:rPr>
              <w:t>(d)</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Gordon Institute of TAFE</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Goulburn Ovens Institute of TAFE</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Holmesglen Institute of TAFE</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241"/>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International Fibre Centre Limited</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Kangan Institute of TAFE</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Northern Melbourne Institute of TAFE</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South West Institute of TAFE</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ab/>
              <w:t>Sunraysia Institute of TAFE</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William Angliss Institute of TAFE</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Wodonga Institute of TAFE </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
                <w:sz w:val="21"/>
                <w:szCs w:val="21"/>
              </w:rPr>
              <w:br w:type="page"/>
            </w:r>
            <w:r w:rsidRPr="006A75A2">
              <w:rPr>
                <w:rFonts w:asciiTheme="minorHAnsi" w:hAnsiTheme="minorHAnsi" w:cstheme="minorHAnsi"/>
                <w:sz w:val="21"/>
                <w:szCs w:val="21"/>
                <w:lang w:eastAsia="en-AU"/>
              </w:rPr>
              <w:t>Victorian Curriculum and Assessment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Institute of Teaching</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single" w:sz="4" w:space="0" w:color="auto"/>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Registration and Qualifications Authority</w:t>
            </w:r>
          </w:p>
        </w:tc>
        <w:tc>
          <w:tcPr>
            <w:tcW w:w="1028" w:type="dxa"/>
            <w:tcBorders>
              <w:top w:val="nil"/>
              <w:left w:val="nil"/>
              <w:bottom w:val="single" w:sz="4" w:space="0" w:color="auto"/>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single" w:sz="4" w:space="0" w:color="auto"/>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single" w:sz="4" w:space="0" w:color="auto"/>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single" w:sz="4" w:space="0" w:color="auto"/>
              <w:left w:val="nil"/>
              <w:right w:val="nil"/>
            </w:tcBorders>
            <w:shd w:val="clear" w:color="auto" w:fill="auto"/>
          </w:tcPr>
          <w:p w:rsidR="004E6C32" w:rsidRPr="006A75A2" w:rsidRDefault="004E6C32" w:rsidP="004B5CB1">
            <w:pPr>
              <w:spacing w:after="0"/>
              <w:ind w:left="187" w:hanging="187"/>
              <w:rPr>
                <w:rFonts w:asciiTheme="minorHAnsi" w:hAnsiTheme="minorHAnsi" w:cstheme="minorHAnsi"/>
                <w:b/>
                <w:bCs/>
                <w:sz w:val="21"/>
                <w:szCs w:val="21"/>
                <w:lang w:eastAsia="en-AU"/>
              </w:rPr>
            </w:pPr>
            <w:r w:rsidRPr="006A75A2">
              <w:rPr>
                <w:rFonts w:asciiTheme="minorHAnsi" w:hAnsiTheme="minorHAnsi" w:cstheme="minorHAnsi"/>
                <w:b/>
                <w:bCs/>
                <w:sz w:val="21"/>
                <w:szCs w:val="21"/>
                <w:lang w:eastAsia="en-AU"/>
              </w:rPr>
              <w:t>Department of Environment and Primary Industries</w:t>
            </w:r>
          </w:p>
        </w:tc>
        <w:tc>
          <w:tcPr>
            <w:tcW w:w="1028" w:type="dxa"/>
            <w:tcBorders>
              <w:top w:val="single" w:sz="4" w:space="0" w:color="auto"/>
              <w:left w:val="nil"/>
              <w:right w:val="nil"/>
            </w:tcBorders>
            <w:shd w:val="clear" w:color="auto" w:fill="auto"/>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4" w:space="0" w:color="auto"/>
              <w:left w:val="nil"/>
              <w:right w:val="nil"/>
            </w:tcBorders>
            <w:shd w:val="clear" w:color="auto" w:fill="auto"/>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single" w:sz="4" w:space="0" w:color="auto"/>
              <w:left w:val="nil"/>
              <w:right w:val="nil"/>
            </w:tcBorders>
            <w:shd w:val="clear" w:color="auto" w:fill="auto"/>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Catchment Management Authorities including:</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Corangamite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East Gippsland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Glenelg Hopkins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Goulburn Broken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Mallee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North Central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North East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Port Phillip and Westernport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ab/>
              <w:t>West Gippsland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Wimmera Catchment Management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Commissioner for Environmental Sustainability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Environment Protection Authority</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rPr>
                <w:rFonts w:asciiTheme="minorHAnsi" w:hAnsiTheme="minorHAnsi" w:cstheme="minorHAnsi"/>
                <w:sz w:val="21"/>
                <w:szCs w:val="21"/>
                <w:lang w:eastAsia="en-AU"/>
              </w:rPr>
            </w:pPr>
            <w:r w:rsidRPr="006A75A2">
              <w:rPr>
                <w:rFonts w:asciiTheme="minorHAnsi" w:hAnsiTheme="minorHAnsi" w:cstheme="minorHAnsi"/>
                <w:sz w:val="21"/>
                <w:szCs w:val="21"/>
                <w:lang w:eastAsia="en-AU"/>
              </w:rPr>
              <w:t>Parks Victoria</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Royal Botanic Gardens Board</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Sustainability Victoria</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812"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Trust for Nature (Victoria)</w:t>
            </w:r>
          </w:p>
        </w:tc>
        <w:tc>
          <w:tcPr>
            <w:tcW w:w="1028"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bl>
    <w:p w:rsidR="00A659BA" w:rsidRPr="006A75A2" w:rsidRDefault="00A659BA" w:rsidP="002C0C34">
      <w:pPr>
        <w:pStyle w:val="Heading2NotesContd"/>
        <w:rPr>
          <w:kern w:val="0"/>
        </w:rPr>
      </w:pPr>
      <w:r w:rsidRPr="006A75A2">
        <w:rPr>
          <w:kern w:val="0"/>
        </w:rPr>
        <w:lastRenderedPageBreak/>
        <w:t>Note 42:</w:t>
      </w:r>
      <w:r w:rsidRPr="006A75A2">
        <w:rPr>
          <w:kern w:val="0"/>
        </w:rPr>
        <w:tab/>
        <w:t xml:space="preserve">Controlled entities </w:t>
      </w:r>
      <w:r w:rsidRPr="006A75A2">
        <w:rPr>
          <w:i/>
          <w:kern w:val="0"/>
        </w:rPr>
        <w:t>(continued)</w:t>
      </w:r>
    </w:p>
    <w:tbl>
      <w:tblPr>
        <w:tblW w:w="9630" w:type="dxa"/>
        <w:tblInd w:w="43" w:type="dxa"/>
        <w:tblLayout w:type="fixed"/>
        <w:tblCellMar>
          <w:left w:w="43" w:type="dxa"/>
          <w:right w:w="43" w:type="dxa"/>
        </w:tblCellMar>
        <w:tblLook w:val="0000" w:firstRow="0" w:lastRow="0" w:firstColumn="0" w:lastColumn="0" w:noHBand="0" w:noVBand="0"/>
      </w:tblPr>
      <w:tblGrid>
        <w:gridCol w:w="5670"/>
        <w:gridCol w:w="83"/>
        <w:gridCol w:w="7"/>
        <w:gridCol w:w="1080"/>
        <w:gridCol w:w="1440"/>
        <w:gridCol w:w="1350"/>
      </w:tblGrid>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lang w:eastAsia="en-AU"/>
              </w:rPr>
            </w:pPr>
          </w:p>
        </w:tc>
        <w:tc>
          <w:tcPr>
            <w:tcW w:w="1170" w:type="dxa"/>
            <w:gridSpan w:val="3"/>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p>
        </w:tc>
        <w:tc>
          <w:tcPr>
            <w:tcW w:w="2790" w:type="dxa"/>
            <w:gridSpan w:val="2"/>
            <w:tcBorders>
              <w:top w:val="nil"/>
              <w:left w:val="nil"/>
              <w:bottom w:val="single" w:sz="6" w:space="0" w:color="auto"/>
              <w:right w:val="single" w:sz="6" w:space="0" w:color="auto"/>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Entities included as investments in other sectors</w:t>
            </w:r>
          </w:p>
        </w:tc>
      </w:tr>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vertAlign w:val="superscript"/>
                <w:lang w:eastAsia="en-AU"/>
              </w:rPr>
            </w:pPr>
            <w:r w:rsidRPr="006A75A2">
              <w:rPr>
                <w:rFonts w:asciiTheme="minorHAnsi" w:hAnsiTheme="minorHAnsi" w:cstheme="minorHAnsi"/>
                <w:i/>
                <w:sz w:val="21"/>
                <w:szCs w:val="21"/>
                <w:lang w:eastAsia="en-AU"/>
              </w:rPr>
              <w:t>Controlled entities</w:t>
            </w:r>
            <w:r w:rsidRPr="006A75A2">
              <w:rPr>
                <w:rFonts w:asciiTheme="minorHAnsi" w:hAnsiTheme="minorHAnsi" w:cstheme="minorHAnsi"/>
                <w:i/>
                <w:sz w:val="21"/>
                <w:szCs w:val="21"/>
                <w:vertAlign w:val="superscript"/>
                <w:lang w:eastAsia="en-AU"/>
              </w:rPr>
              <w:t>(a)</w:t>
            </w:r>
          </w:p>
        </w:tc>
        <w:tc>
          <w:tcPr>
            <w:tcW w:w="1170" w:type="dxa"/>
            <w:gridSpan w:val="3"/>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General government</w:t>
            </w:r>
          </w:p>
        </w:tc>
        <w:tc>
          <w:tcPr>
            <w:tcW w:w="1440" w:type="dxa"/>
            <w:tcBorders>
              <w:top w:val="nil"/>
              <w:left w:val="nil"/>
              <w:bottom w:val="single" w:sz="6" w:space="0" w:color="auto"/>
              <w:right w:val="nil"/>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non</w:t>
            </w:r>
            <w:r w:rsidRPr="006A75A2">
              <w:rPr>
                <w:rFonts w:asciiTheme="minorHAnsi" w:hAnsiTheme="minorHAnsi" w:cstheme="minorHAnsi"/>
                <w:sz w:val="21"/>
                <w:szCs w:val="21"/>
                <w:lang w:eastAsia="en-AU"/>
              </w:rPr>
              <w:noBreakHyphen/>
            </w:r>
            <w:r w:rsidRPr="006A75A2">
              <w:rPr>
                <w:rFonts w:asciiTheme="minorHAnsi" w:hAnsiTheme="minorHAnsi" w:cstheme="minorHAnsi"/>
                <w:i/>
                <w:sz w:val="21"/>
                <w:szCs w:val="21"/>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financial corporation</w:t>
            </w:r>
          </w:p>
        </w:tc>
      </w:tr>
      <w:tr w:rsidR="004E6C32" w:rsidRPr="006A75A2" w:rsidTr="004B5CB1">
        <w:tc>
          <w:tcPr>
            <w:tcW w:w="5760" w:type="dxa"/>
            <w:gridSpan w:val="3"/>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Veterinary Practitioners Registration Board of Victoria</w:t>
            </w:r>
            <w:r w:rsidRPr="006A75A2">
              <w:rPr>
                <w:rFonts w:asciiTheme="minorHAnsi" w:hAnsiTheme="minorHAnsi" w:cstheme="minorHAnsi"/>
                <w:sz w:val="21"/>
                <w:szCs w:val="21"/>
                <w:vertAlign w:val="superscript"/>
                <w:lang w:eastAsia="en-AU"/>
              </w:rPr>
              <w: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Agriculture Victoria Services Pty Ltd</w:t>
            </w:r>
            <w:r w:rsidRPr="006A75A2">
              <w:rPr>
                <w:rFonts w:asciiTheme="minorHAnsi" w:hAnsiTheme="minorHAnsi" w:cstheme="minorHAnsi"/>
                <w:sz w:val="21"/>
                <w:szCs w:val="21"/>
                <w:vertAlign w:val="superscript"/>
                <w:lang w:eastAsia="en-AU"/>
              </w:rPr>
              <w: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Alpine Resorts Management Board including:</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Alpine Resorts Co</w:t>
            </w:r>
            <w:r w:rsidRPr="006A75A2">
              <w:rPr>
                <w:rFonts w:asciiTheme="minorHAnsi" w:hAnsiTheme="minorHAnsi" w:cstheme="minorHAnsi"/>
                <w:sz w:val="21"/>
                <w:szCs w:val="21"/>
                <w:lang w:eastAsia="en-AU"/>
              </w:rPr>
              <w:noBreakHyphen/>
              <w:t>ordinating Council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Falls Creek Alpine Resort Management Board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Lake Mountain Alpine Resort Management Board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ab/>
              <w:t>Mount Baw Baw Alpine Resort Management Board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Mount Buller and Mount Stirling Alpine Resort </w:t>
            </w:r>
            <w:r w:rsidRPr="006A75A2">
              <w:rPr>
                <w:rFonts w:asciiTheme="minorHAnsi" w:hAnsiTheme="minorHAnsi" w:cstheme="minorHAnsi"/>
                <w:sz w:val="21"/>
                <w:szCs w:val="21"/>
                <w:lang w:eastAsia="en-AU"/>
              </w:rPr>
              <w:br/>
              <w:t xml:space="preserve">   Management Board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Mount Hotham Alpine Resort Management Board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Dairy Food Safety Victoria</w:t>
            </w:r>
            <w:r w:rsidRPr="006A75A2">
              <w:rPr>
                <w:rFonts w:asciiTheme="minorHAnsi" w:hAnsiTheme="minorHAnsi" w:cstheme="minorHAnsi"/>
                <w:sz w:val="21"/>
                <w:szCs w:val="21"/>
                <w:vertAlign w:val="superscript"/>
                <w:lang w:eastAsia="en-AU"/>
              </w:rPr>
              <w: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Murray Valley Citrus Board</w:t>
            </w:r>
            <w:r w:rsidRPr="006A75A2">
              <w:rPr>
                <w:rFonts w:asciiTheme="minorHAnsi" w:hAnsiTheme="minorHAnsi" w:cstheme="minorHAnsi"/>
                <w:sz w:val="21"/>
                <w:szCs w:val="21"/>
                <w:vertAlign w:val="superscript"/>
                <w:lang w:eastAsia="en-AU"/>
              </w:rPr>
              <w:t>(e)(f)</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Murray Valley Wine Grape Industry Development Committee</w:t>
            </w:r>
            <w:r w:rsidRPr="006A75A2">
              <w:rPr>
                <w:rFonts w:asciiTheme="minorHAnsi" w:hAnsiTheme="minorHAnsi" w:cstheme="minorHAnsi"/>
                <w:sz w:val="21"/>
                <w:szCs w:val="21"/>
                <w:vertAlign w:val="superscript"/>
                <w:lang w:eastAsia="en-AU"/>
              </w:rPr>
              <w: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Northern Victorian Fresh Tomato Industry Development Committee</w:t>
            </w:r>
            <w:r w:rsidRPr="006A75A2">
              <w:rPr>
                <w:rFonts w:asciiTheme="minorHAnsi" w:hAnsiTheme="minorHAnsi" w:cstheme="minorHAnsi"/>
                <w:sz w:val="21"/>
                <w:szCs w:val="21"/>
                <w:vertAlign w:val="superscript"/>
                <w:lang w:eastAsia="en-AU"/>
              </w:rPr>
              <w: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Phillip Island Nature Parks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Phytogene Pty Ltd</w:t>
            </w:r>
            <w:r w:rsidRPr="006A75A2">
              <w:rPr>
                <w:rFonts w:asciiTheme="minorHAnsi" w:hAnsiTheme="minorHAnsi" w:cstheme="minorHAnsi"/>
                <w:sz w:val="21"/>
                <w:szCs w:val="21"/>
                <w:vertAlign w:val="superscript"/>
                <w:lang w:eastAsia="en-AU"/>
              </w:rPr>
              <w: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PrimeSafe</w:t>
            </w:r>
            <w:r w:rsidR="0067336F" w:rsidRPr="006A75A2">
              <w:rPr>
                <w:rFonts w:asciiTheme="minorHAnsi" w:hAnsiTheme="minorHAnsi" w:cstheme="minorHAnsi"/>
                <w:sz w:val="21"/>
                <w:szCs w:val="21"/>
                <w:vertAlign w:val="superscript"/>
                <w:lang w:eastAsia="en-AU"/>
              </w:rPr>
              <w:t>(</w:t>
            </w:r>
            <w:r w:rsidRPr="006A75A2">
              <w:rPr>
                <w:rFonts w:asciiTheme="minorHAnsi" w:hAnsiTheme="minorHAnsi" w:cstheme="minorHAnsi"/>
                <w:sz w:val="21"/>
                <w:szCs w:val="21"/>
                <w:vertAlign w:val="superscript"/>
                <w:lang w:eastAsia="en-AU"/>
              </w:rPr>
              <w: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VicForests</w:t>
            </w:r>
            <w:r w:rsidRPr="006A75A2">
              <w:rPr>
                <w:rFonts w:asciiTheme="minorHAnsi" w:hAnsiTheme="minorHAnsi" w:cstheme="minorHAnsi"/>
                <w:sz w:val="21"/>
                <w:szCs w:val="21"/>
                <w:vertAlign w:val="superscript"/>
                <w:lang w:eastAsia="en-AU"/>
              </w:rPr>
              <w: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Strawberry Industry Development Committee</w:t>
            </w:r>
            <w:r w:rsidRPr="006A75A2">
              <w:rPr>
                <w:rFonts w:asciiTheme="minorHAnsi" w:hAnsiTheme="minorHAnsi" w:cstheme="minorHAnsi"/>
                <w:sz w:val="21"/>
                <w:szCs w:val="21"/>
                <w:vertAlign w:val="superscript"/>
                <w:lang w:eastAsia="en-AU"/>
              </w:rPr>
              <w: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spacing w:after="0"/>
              <w:ind w:left="187" w:hanging="187"/>
              <w:rPr>
                <w:rFonts w:asciiTheme="minorHAnsi" w:hAnsiTheme="minorHAnsi" w:cstheme="minorHAnsi"/>
                <w:sz w:val="21"/>
                <w:szCs w:val="21"/>
                <w:lang w:eastAsia="en-AU"/>
              </w:rPr>
            </w:pPr>
            <w:r w:rsidRPr="006A75A2">
              <w:rPr>
                <w:rFonts w:asciiTheme="minorHAnsi" w:hAnsiTheme="minorHAnsi" w:cstheme="minorHAnsi"/>
                <w:sz w:val="21"/>
                <w:szCs w:val="21"/>
                <w:lang w:eastAsia="en-AU"/>
              </w:rPr>
              <w:t>Waste Management Groups including:</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Barwon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Calder Regional Waste Management Group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Central Murray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Desert Fringe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Gippsland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Goulburn Valley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Grampians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Highlands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Metropolitan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rPr>
          <w:trHeight w:val="80"/>
        </w:trPr>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Mildura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Mornington Peninsula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753"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North East Victorian Regional Waste Management Group</w:t>
            </w:r>
          </w:p>
        </w:tc>
        <w:tc>
          <w:tcPr>
            <w:tcW w:w="1087" w:type="dxa"/>
            <w:gridSpan w:val="2"/>
            <w:tcBorders>
              <w:top w:val="nil"/>
              <w:left w:val="nil"/>
              <w:bottom w:val="nil"/>
              <w:right w:val="nil"/>
            </w:tcBorders>
          </w:tcPr>
          <w:p w:rsidR="004E6C32" w:rsidRPr="006A75A2" w:rsidRDefault="004E6C32" w:rsidP="00B07F57">
            <w:pPr>
              <w:spacing w:after="0"/>
              <w:ind w:left="180" w:hanging="18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South Western Regional Waste Management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4B5CB1">
            <w:pPr>
              <w:keepNext/>
              <w:spacing w:after="0"/>
              <w:ind w:left="187" w:hanging="187"/>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Water Authorities including:</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Barwon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Central Gippsland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Central Highlands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City West Water Corporation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Coliban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East Gippsland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Gippsland and Southern Rural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B07F57" w:rsidP="00B07F57">
            <w:pPr>
              <w:spacing w:after="0"/>
              <w:ind w:left="180" w:hanging="180"/>
              <w:rPr>
                <w:rFonts w:asciiTheme="minorHAnsi" w:hAnsiTheme="minorHAnsi" w:cstheme="minorHAnsi"/>
                <w:sz w:val="21"/>
                <w:szCs w:val="21"/>
              </w:rPr>
            </w:pPr>
            <w:r w:rsidRPr="006A75A2">
              <w:rPr>
                <w:rFonts w:asciiTheme="minorHAnsi" w:hAnsiTheme="minorHAnsi" w:cstheme="minorHAnsi"/>
                <w:sz w:val="21"/>
                <w:szCs w:val="21"/>
                <w:lang w:eastAsia="en-AU"/>
              </w:rPr>
              <w:tab/>
            </w:r>
            <w:r w:rsidR="004E6C32" w:rsidRPr="006A75A2">
              <w:rPr>
                <w:rFonts w:asciiTheme="minorHAnsi" w:hAnsiTheme="minorHAnsi" w:cstheme="minorHAnsi"/>
                <w:sz w:val="21"/>
                <w:szCs w:val="21"/>
                <w:lang w:eastAsia="en-AU"/>
              </w:rPr>
              <w:t>Goulburn</w:t>
            </w:r>
            <w:r w:rsidR="004E6C32" w:rsidRPr="006A75A2">
              <w:rPr>
                <w:rFonts w:asciiTheme="minorHAnsi" w:hAnsiTheme="minorHAnsi" w:cstheme="minorHAnsi"/>
                <w:sz w:val="21"/>
                <w:szCs w:val="21"/>
                <w:lang w:eastAsia="en-AU"/>
              </w:rPr>
              <w:noBreakHyphen/>
              <w:t>Murray Rural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ab/>
              <w:t>Goulburn Valley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Grampians Wimmera</w:t>
            </w:r>
            <w:r w:rsidRPr="006A75A2">
              <w:rPr>
                <w:rFonts w:asciiTheme="minorHAnsi" w:hAnsiTheme="minorHAnsi" w:cstheme="minorHAnsi"/>
                <w:sz w:val="21"/>
                <w:szCs w:val="21"/>
                <w:lang w:eastAsia="en-AU"/>
              </w:rPr>
              <w:noBreakHyphen/>
              <w:t>Mallee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Lower Murray Urban and Rural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Melbourne Water Corporation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North East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3"/>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South East Water Corporation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bl>
    <w:p w:rsidR="00A659BA" w:rsidRPr="006A75A2" w:rsidRDefault="00A659BA" w:rsidP="002C0C34">
      <w:pPr>
        <w:pStyle w:val="Heading2NotesContd"/>
        <w:rPr>
          <w:kern w:val="0"/>
        </w:rPr>
      </w:pPr>
      <w:r w:rsidRPr="006A75A2">
        <w:rPr>
          <w:kern w:val="0"/>
        </w:rPr>
        <w:lastRenderedPageBreak/>
        <w:t>Note 42:</w:t>
      </w:r>
      <w:r w:rsidRPr="006A75A2">
        <w:rPr>
          <w:kern w:val="0"/>
        </w:rPr>
        <w:tab/>
        <w:t xml:space="preserve">Controlled entities </w:t>
      </w:r>
      <w:r w:rsidRPr="006A75A2">
        <w:rPr>
          <w:i/>
          <w:kern w:val="0"/>
        </w:rPr>
        <w:t>(continued)</w:t>
      </w:r>
    </w:p>
    <w:tbl>
      <w:tblPr>
        <w:tblW w:w="9630" w:type="dxa"/>
        <w:tblInd w:w="43" w:type="dxa"/>
        <w:tblLayout w:type="fixed"/>
        <w:tblCellMar>
          <w:left w:w="43" w:type="dxa"/>
          <w:right w:w="43" w:type="dxa"/>
        </w:tblCellMar>
        <w:tblLook w:val="0000" w:firstRow="0" w:lastRow="0" w:firstColumn="0" w:lastColumn="0" w:noHBand="0" w:noVBand="0"/>
      </w:tblPr>
      <w:tblGrid>
        <w:gridCol w:w="5670"/>
        <w:gridCol w:w="90"/>
        <w:gridCol w:w="1080"/>
        <w:gridCol w:w="1440"/>
        <w:gridCol w:w="1350"/>
      </w:tblGrid>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lang w:eastAsia="en-AU"/>
              </w:rPr>
            </w:pPr>
          </w:p>
        </w:tc>
        <w:tc>
          <w:tcPr>
            <w:tcW w:w="1170" w:type="dxa"/>
            <w:gridSpan w:val="2"/>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p>
        </w:tc>
        <w:tc>
          <w:tcPr>
            <w:tcW w:w="2790" w:type="dxa"/>
            <w:gridSpan w:val="2"/>
            <w:tcBorders>
              <w:top w:val="nil"/>
              <w:left w:val="nil"/>
              <w:bottom w:val="single" w:sz="6" w:space="0" w:color="auto"/>
              <w:right w:val="single" w:sz="6" w:space="0" w:color="auto"/>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Entities included as investments in other sectors</w:t>
            </w:r>
          </w:p>
        </w:tc>
      </w:tr>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vertAlign w:val="superscript"/>
                <w:lang w:eastAsia="en-AU"/>
              </w:rPr>
            </w:pPr>
            <w:r w:rsidRPr="006A75A2">
              <w:rPr>
                <w:rFonts w:asciiTheme="minorHAnsi" w:hAnsiTheme="minorHAnsi" w:cstheme="minorHAnsi"/>
                <w:i/>
                <w:sz w:val="21"/>
                <w:szCs w:val="21"/>
                <w:lang w:eastAsia="en-AU"/>
              </w:rPr>
              <w:t>Controlled entities</w:t>
            </w:r>
            <w:r w:rsidRPr="006A75A2">
              <w:rPr>
                <w:rFonts w:asciiTheme="minorHAnsi" w:hAnsiTheme="minorHAnsi" w:cstheme="minorHAnsi"/>
                <w:i/>
                <w:sz w:val="21"/>
                <w:szCs w:val="21"/>
                <w:vertAlign w:val="superscript"/>
                <w:lang w:eastAsia="en-AU"/>
              </w:rPr>
              <w:t>(a)</w:t>
            </w:r>
          </w:p>
        </w:tc>
        <w:tc>
          <w:tcPr>
            <w:tcW w:w="1170" w:type="dxa"/>
            <w:gridSpan w:val="2"/>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General government</w:t>
            </w:r>
          </w:p>
        </w:tc>
        <w:tc>
          <w:tcPr>
            <w:tcW w:w="1440" w:type="dxa"/>
            <w:tcBorders>
              <w:top w:val="nil"/>
              <w:left w:val="nil"/>
              <w:bottom w:val="single" w:sz="6" w:space="0" w:color="auto"/>
              <w:right w:val="nil"/>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non</w:t>
            </w:r>
            <w:r w:rsidRPr="006A75A2">
              <w:rPr>
                <w:rFonts w:asciiTheme="minorHAnsi" w:hAnsiTheme="minorHAnsi" w:cstheme="minorHAnsi"/>
                <w:sz w:val="21"/>
                <w:szCs w:val="21"/>
                <w:lang w:eastAsia="en-AU"/>
              </w:rPr>
              <w:noBreakHyphen/>
            </w:r>
            <w:r w:rsidRPr="006A75A2">
              <w:rPr>
                <w:rFonts w:asciiTheme="minorHAnsi" w:hAnsiTheme="minorHAnsi" w:cstheme="minorHAnsi"/>
                <w:i/>
                <w:sz w:val="21"/>
                <w:szCs w:val="21"/>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financial corporation</w:t>
            </w: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South Gippsland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Wannon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Western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7"/>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Westernport Region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7"/>
              <w:rPr>
                <w:rFonts w:asciiTheme="minorHAnsi" w:hAnsiTheme="minorHAnsi" w:cstheme="minorHAnsi"/>
                <w:b/>
                <w:sz w:val="21"/>
                <w:szCs w:val="21"/>
                <w:lang w:eastAsia="en-AU"/>
              </w:rPr>
            </w:pPr>
            <w:r w:rsidRPr="006A75A2">
              <w:rPr>
                <w:rFonts w:asciiTheme="minorHAnsi" w:hAnsiTheme="minorHAnsi" w:cstheme="minorHAnsi"/>
                <w:sz w:val="21"/>
                <w:szCs w:val="21"/>
                <w:lang w:eastAsia="en-AU"/>
              </w:rPr>
              <w:tab/>
              <w:t>Yarra Valley Water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Zoological Parks and Gardens Board</w:t>
            </w:r>
          </w:p>
        </w:tc>
        <w:tc>
          <w:tcPr>
            <w:tcW w:w="1080" w:type="dxa"/>
            <w:tcBorders>
              <w:top w:val="nil"/>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single" w:sz="4" w:space="0" w:color="auto"/>
              <w:left w:val="nil"/>
              <w:right w:val="nil"/>
            </w:tcBorders>
          </w:tcPr>
          <w:p w:rsidR="004E6C32" w:rsidRPr="006A75A2" w:rsidRDefault="004E6C32" w:rsidP="004B5CB1">
            <w:pPr>
              <w:spacing w:after="0"/>
              <w:rPr>
                <w:rFonts w:asciiTheme="minorHAnsi" w:hAnsiTheme="minorHAnsi" w:cstheme="minorHAnsi"/>
                <w:b/>
                <w:bCs/>
                <w:sz w:val="21"/>
                <w:szCs w:val="21"/>
                <w:lang w:eastAsia="en-AU"/>
              </w:rPr>
            </w:pPr>
            <w:r w:rsidRPr="006A75A2">
              <w:rPr>
                <w:rFonts w:asciiTheme="minorHAnsi" w:hAnsiTheme="minorHAnsi" w:cstheme="minorHAnsi"/>
                <w:b/>
                <w:bCs/>
                <w:sz w:val="21"/>
                <w:szCs w:val="21"/>
                <w:lang w:eastAsia="en-AU"/>
              </w:rPr>
              <w:t>Department of Health</w:t>
            </w:r>
          </w:p>
        </w:tc>
        <w:tc>
          <w:tcPr>
            <w:tcW w:w="1080" w:type="dxa"/>
            <w:tcBorders>
              <w:top w:val="single" w:sz="4" w:space="0" w:color="auto"/>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6" w:space="0" w:color="auto"/>
              <w:left w:val="nil"/>
              <w:right w:val="nil"/>
            </w:tcBorders>
            <w:noWrap/>
            <w:vAlign w:val="bottom"/>
          </w:tcPr>
          <w:p w:rsidR="004E6C32" w:rsidRPr="006A75A2" w:rsidRDefault="004E6C32" w:rsidP="004B5CB1">
            <w:pPr>
              <w:spacing w:after="0"/>
              <w:jc w:val="center"/>
              <w:rPr>
                <w:rFonts w:asciiTheme="minorHAnsi" w:hAnsiTheme="minorHAnsi" w:cstheme="minorHAnsi"/>
                <w:b/>
                <w:bCs/>
                <w:sz w:val="21"/>
                <w:szCs w:val="21"/>
                <w:lang w:eastAsia="en-AU"/>
              </w:rPr>
            </w:pPr>
          </w:p>
        </w:tc>
        <w:tc>
          <w:tcPr>
            <w:tcW w:w="1350" w:type="dxa"/>
            <w:tcBorders>
              <w:top w:val="single" w:sz="6" w:space="0" w:color="auto"/>
              <w:left w:val="nil"/>
              <w:right w:val="nil"/>
            </w:tcBorders>
            <w:noWrap/>
            <w:vAlign w:val="bottom"/>
          </w:tcPr>
          <w:p w:rsidR="004E6C32" w:rsidRPr="006A75A2" w:rsidRDefault="004E6C32" w:rsidP="004B5CB1">
            <w:pPr>
              <w:spacing w:after="0"/>
              <w:jc w:val="center"/>
              <w:rPr>
                <w:rFonts w:asciiTheme="minorHAnsi" w:hAnsiTheme="minorHAnsi" w:cstheme="minorHAnsi"/>
                <w:b/>
                <w:bCs/>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Health Purchasing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Hospitals, Health and Ambulance Services including:</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b/>
                <w:bCs/>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b/>
                <w:bCs/>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Albury Wodonga Health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Alexandra District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Alfred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Alpine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Ambulance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Austin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Bairnsdale Regional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Ballarat Health Services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Barwon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Bass Coast Regional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Beaufort and Skipton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Beechworth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Benalla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Bendigo Health Care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Boort District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Casterton Memorial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Castlemaine Health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Central Gippsland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Cobram District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Cohuna District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Colac Area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Dental Health Services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Djerriwarrh Health Services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Dunmunkle Health Services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i/>
                <w:iCs/>
                <w:sz w:val="21"/>
                <w:szCs w:val="21"/>
              </w:rPr>
              <w:br w:type="page"/>
            </w:r>
            <w:r w:rsidRPr="006A75A2">
              <w:rPr>
                <w:rFonts w:asciiTheme="minorHAnsi" w:hAnsiTheme="minorHAnsi" w:cstheme="minorHAnsi"/>
                <w:sz w:val="21"/>
                <w:szCs w:val="21"/>
                <w:lang w:eastAsia="en-AU"/>
              </w:rPr>
              <w:tab/>
              <w:t>East Grampians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ab/>
              <w:t>East Wimmera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Eastern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Echuca Regional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Edenhope and District Memorial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Gippsland Southern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Goulburn Valley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Heathcote Health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Hepburn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Hesse Rural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Heywood Rural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Inglewood and Districts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ab/>
              <w:t xml:space="preserve">Kerang District Health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Kooweerup Regional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Kyabram and District Health Services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Kyneton District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bl>
    <w:p w:rsidR="00A659BA" w:rsidRPr="006A75A2" w:rsidRDefault="00A659BA" w:rsidP="002C0C34">
      <w:pPr>
        <w:pStyle w:val="Heading2NotesContd"/>
        <w:rPr>
          <w:kern w:val="0"/>
        </w:rPr>
      </w:pPr>
      <w:r w:rsidRPr="006A75A2">
        <w:rPr>
          <w:kern w:val="0"/>
        </w:rPr>
        <w:lastRenderedPageBreak/>
        <w:t>Note 42:</w:t>
      </w:r>
      <w:r w:rsidRPr="006A75A2">
        <w:rPr>
          <w:kern w:val="0"/>
        </w:rPr>
        <w:tab/>
        <w:t xml:space="preserve">Controlled entities </w:t>
      </w:r>
      <w:r w:rsidRPr="006A75A2">
        <w:rPr>
          <w:i/>
          <w:kern w:val="0"/>
        </w:rPr>
        <w:t>(continued)</w:t>
      </w:r>
    </w:p>
    <w:tbl>
      <w:tblPr>
        <w:tblW w:w="9630" w:type="dxa"/>
        <w:tblInd w:w="43" w:type="dxa"/>
        <w:tblLayout w:type="fixed"/>
        <w:tblCellMar>
          <w:left w:w="43" w:type="dxa"/>
          <w:right w:w="43" w:type="dxa"/>
        </w:tblCellMar>
        <w:tblLook w:val="0000" w:firstRow="0" w:lastRow="0" w:firstColumn="0" w:lastColumn="0" w:noHBand="0" w:noVBand="0"/>
      </w:tblPr>
      <w:tblGrid>
        <w:gridCol w:w="5670"/>
        <w:gridCol w:w="90"/>
        <w:gridCol w:w="1080"/>
        <w:gridCol w:w="1440"/>
        <w:gridCol w:w="1350"/>
      </w:tblGrid>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lang w:eastAsia="en-AU"/>
              </w:rPr>
            </w:pPr>
          </w:p>
        </w:tc>
        <w:tc>
          <w:tcPr>
            <w:tcW w:w="1170" w:type="dxa"/>
            <w:gridSpan w:val="2"/>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p>
        </w:tc>
        <w:tc>
          <w:tcPr>
            <w:tcW w:w="2790" w:type="dxa"/>
            <w:gridSpan w:val="2"/>
            <w:tcBorders>
              <w:top w:val="nil"/>
              <w:left w:val="nil"/>
              <w:bottom w:val="single" w:sz="6" w:space="0" w:color="auto"/>
              <w:right w:val="single" w:sz="6" w:space="0" w:color="auto"/>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Entities included as investments in other sectors</w:t>
            </w:r>
          </w:p>
        </w:tc>
      </w:tr>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vertAlign w:val="superscript"/>
                <w:lang w:eastAsia="en-AU"/>
              </w:rPr>
            </w:pPr>
            <w:r w:rsidRPr="006A75A2">
              <w:rPr>
                <w:rFonts w:asciiTheme="minorHAnsi" w:hAnsiTheme="minorHAnsi" w:cstheme="minorHAnsi"/>
                <w:i/>
                <w:sz w:val="21"/>
                <w:szCs w:val="21"/>
                <w:lang w:eastAsia="en-AU"/>
              </w:rPr>
              <w:t>Controlled entities</w:t>
            </w:r>
            <w:r w:rsidRPr="006A75A2">
              <w:rPr>
                <w:rFonts w:asciiTheme="minorHAnsi" w:hAnsiTheme="minorHAnsi" w:cstheme="minorHAnsi"/>
                <w:i/>
                <w:sz w:val="21"/>
                <w:szCs w:val="21"/>
                <w:vertAlign w:val="superscript"/>
                <w:lang w:eastAsia="en-AU"/>
              </w:rPr>
              <w:t>(a)</w:t>
            </w:r>
          </w:p>
        </w:tc>
        <w:tc>
          <w:tcPr>
            <w:tcW w:w="1170" w:type="dxa"/>
            <w:gridSpan w:val="2"/>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General government</w:t>
            </w:r>
          </w:p>
        </w:tc>
        <w:tc>
          <w:tcPr>
            <w:tcW w:w="1440" w:type="dxa"/>
            <w:tcBorders>
              <w:top w:val="nil"/>
              <w:left w:val="nil"/>
              <w:bottom w:val="single" w:sz="6" w:space="0" w:color="auto"/>
              <w:right w:val="nil"/>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non</w:t>
            </w:r>
            <w:r w:rsidRPr="006A75A2">
              <w:rPr>
                <w:rFonts w:asciiTheme="minorHAnsi" w:hAnsiTheme="minorHAnsi" w:cstheme="minorHAnsi"/>
                <w:sz w:val="21"/>
                <w:szCs w:val="21"/>
                <w:lang w:eastAsia="en-AU"/>
              </w:rPr>
              <w:noBreakHyphen/>
            </w:r>
            <w:r w:rsidRPr="006A75A2">
              <w:rPr>
                <w:rFonts w:asciiTheme="minorHAnsi" w:hAnsiTheme="minorHAnsi" w:cstheme="minorHAnsi"/>
                <w:i/>
                <w:sz w:val="21"/>
                <w:szCs w:val="21"/>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financial corporation</w:t>
            </w: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Latrobe Regional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Lorne Community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Maldon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Mallee Track Health and Community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Mansfield District Hospital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Maryborough District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Melbourne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B07F57"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r>
            <w:r w:rsidR="004E6C32" w:rsidRPr="006A75A2">
              <w:rPr>
                <w:rFonts w:asciiTheme="minorHAnsi" w:hAnsiTheme="minorHAnsi" w:cstheme="minorHAnsi"/>
                <w:sz w:val="21"/>
                <w:szCs w:val="21"/>
                <w:lang w:eastAsia="en-AU"/>
              </w:rPr>
              <w:t>Monash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Moyne Health Services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Nathalia District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Northeast Health Wangaratta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Northern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Numurkah District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Omeo District Health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Orbost Regional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Otway Health</w:t>
            </w:r>
            <w:r w:rsidRPr="006A75A2">
              <w:rPr>
                <w:rFonts w:asciiTheme="minorHAnsi" w:hAnsiTheme="minorHAnsi" w:cstheme="minorHAnsi"/>
                <w:sz w:val="21"/>
                <w:szCs w:val="21"/>
                <w:vertAlign w:val="superscript"/>
                <w:lang w:eastAsia="en-AU"/>
              </w:rPr>
              <w:t>(g)</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Peninsula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Peter MacCallum Cancer Institute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Portland District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Robinvale District Health Services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Rochester and Elmore District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Rural Northwest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Seymour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South Gippsland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South West Healthcare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Stawell Regional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ab/>
              <w:t>Swan Hill District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Tallangatta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Terang and Mortlake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The Kilmore and District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The Royal Children</w:t>
            </w:r>
            <w:r w:rsidR="00C96101" w:rsidRPr="006A75A2">
              <w:rPr>
                <w:rFonts w:asciiTheme="minorHAnsi" w:hAnsiTheme="minorHAnsi" w:cstheme="minorHAnsi"/>
                <w:sz w:val="21"/>
                <w:szCs w:val="21"/>
                <w:lang w:eastAsia="en-AU"/>
              </w:rPr>
              <w:t>’</w:t>
            </w:r>
            <w:r w:rsidRPr="006A75A2">
              <w:rPr>
                <w:rFonts w:asciiTheme="minorHAnsi" w:hAnsiTheme="minorHAnsi" w:cstheme="minorHAnsi"/>
                <w:sz w:val="21"/>
                <w:szCs w:val="21"/>
                <w:lang w:eastAsia="en-AU"/>
              </w:rPr>
              <w:t>s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The Royal Victorian Eye and Ear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The Royal Women</w:t>
            </w:r>
            <w:r w:rsidR="00C96101" w:rsidRPr="006A75A2">
              <w:rPr>
                <w:rFonts w:asciiTheme="minorHAnsi" w:hAnsiTheme="minorHAnsi" w:cstheme="minorHAnsi"/>
                <w:sz w:val="21"/>
                <w:szCs w:val="21"/>
                <w:lang w:eastAsia="en-AU"/>
              </w:rPr>
              <w:t>’</w:t>
            </w:r>
            <w:r w:rsidRPr="006A75A2">
              <w:rPr>
                <w:rFonts w:asciiTheme="minorHAnsi" w:hAnsiTheme="minorHAnsi" w:cstheme="minorHAnsi"/>
                <w:sz w:val="21"/>
                <w:szCs w:val="21"/>
                <w:lang w:eastAsia="en-AU"/>
              </w:rPr>
              <w:t>s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Timboon and District Healthcare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Upper Murray Health and Community Services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 xml:space="preserve">Victorian Assisted Reproductive Treatment Authority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Victorian Institute of Forensic Mental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West Gippsland Healthcare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West Wimmera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Western District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Western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Wimmera Health Care Group</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Yarram and District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Yarrawonga Health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Yea and District Memorial Hospital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Health Promotion Foundation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bl>
    <w:p w:rsidR="00A659BA" w:rsidRPr="006A75A2" w:rsidRDefault="00A659BA"/>
    <w:p w:rsidR="00A659BA" w:rsidRPr="006A75A2" w:rsidRDefault="00A659BA" w:rsidP="002C0C34">
      <w:pPr>
        <w:pStyle w:val="Heading2NotesContd"/>
        <w:rPr>
          <w:kern w:val="0"/>
        </w:rPr>
      </w:pPr>
      <w:r w:rsidRPr="006A75A2">
        <w:rPr>
          <w:kern w:val="0"/>
        </w:rPr>
        <w:lastRenderedPageBreak/>
        <w:t>Note 42:</w:t>
      </w:r>
      <w:r w:rsidRPr="006A75A2">
        <w:rPr>
          <w:kern w:val="0"/>
        </w:rPr>
        <w:tab/>
        <w:t xml:space="preserve">Controlled entities </w:t>
      </w:r>
      <w:r w:rsidRPr="006A75A2">
        <w:rPr>
          <w:i/>
          <w:kern w:val="0"/>
        </w:rPr>
        <w:t>(continued)</w:t>
      </w:r>
    </w:p>
    <w:tbl>
      <w:tblPr>
        <w:tblW w:w="9630" w:type="dxa"/>
        <w:tblInd w:w="43" w:type="dxa"/>
        <w:tblLayout w:type="fixed"/>
        <w:tblCellMar>
          <w:left w:w="43" w:type="dxa"/>
          <w:right w:w="43" w:type="dxa"/>
        </w:tblCellMar>
        <w:tblLook w:val="0000" w:firstRow="0" w:lastRow="0" w:firstColumn="0" w:lastColumn="0" w:noHBand="0" w:noVBand="0"/>
      </w:tblPr>
      <w:tblGrid>
        <w:gridCol w:w="5670"/>
        <w:gridCol w:w="90"/>
        <w:gridCol w:w="1080"/>
        <w:gridCol w:w="1440"/>
        <w:gridCol w:w="1350"/>
      </w:tblGrid>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lang w:eastAsia="en-AU"/>
              </w:rPr>
            </w:pPr>
          </w:p>
        </w:tc>
        <w:tc>
          <w:tcPr>
            <w:tcW w:w="1170" w:type="dxa"/>
            <w:gridSpan w:val="2"/>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p>
        </w:tc>
        <w:tc>
          <w:tcPr>
            <w:tcW w:w="2790" w:type="dxa"/>
            <w:gridSpan w:val="2"/>
            <w:tcBorders>
              <w:top w:val="nil"/>
              <w:left w:val="nil"/>
              <w:bottom w:val="single" w:sz="6" w:space="0" w:color="auto"/>
              <w:right w:val="single" w:sz="6" w:space="0" w:color="auto"/>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Entities included as investments in other sectors</w:t>
            </w:r>
          </w:p>
        </w:tc>
      </w:tr>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vertAlign w:val="superscript"/>
                <w:lang w:eastAsia="en-AU"/>
              </w:rPr>
            </w:pPr>
            <w:r w:rsidRPr="006A75A2">
              <w:rPr>
                <w:rFonts w:asciiTheme="minorHAnsi" w:hAnsiTheme="minorHAnsi" w:cstheme="minorHAnsi"/>
                <w:i/>
                <w:sz w:val="21"/>
                <w:szCs w:val="21"/>
                <w:lang w:eastAsia="en-AU"/>
              </w:rPr>
              <w:t>Controlled entities</w:t>
            </w:r>
            <w:r w:rsidRPr="006A75A2">
              <w:rPr>
                <w:rFonts w:asciiTheme="minorHAnsi" w:hAnsiTheme="minorHAnsi" w:cstheme="minorHAnsi"/>
                <w:i/>
                <w:sz w:val="21"/>
                <w:szCs w:val="21"/>
                <w:vertAlign w:val="superscript"/>
                <w:lang w:eastAsia="en-AU"/>
              </w:rPr>
              <w:t>(a)</w:t>
            </w:r>
          </w:p>
        </w:tc>
        <w:tc>
          <w:tcPr>
            <w:tcW w:w="1170" w:type="dxa"/>
            <w:gridSpan w:val="2"/>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General government</w:t>
            </w:r>
          </w:p>
        </w:tc>
        <w:tc>
          <w:tcPr>
            <w:tcW w:w="1440" w:type="dxa"/>
            <w:tcBorders>
              <w:top w:val="nil"/>
              <w:left w:val="nil"/>
              <w:bottom w:val="single" w:sz="6" w:space="0" w:color="auto"/>
              <w:right w:val="nil"/>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non</w:t>
            </w:r>
            <w:r w:rsidRPr="006A75A2">
              <w:rPr>
                <w:rFonts w:asciiTheme="minorHAnsi" w:hAnsiTheme="minorHAnsi" w:cstheme="minorHAnsi"/>
                <w:sz w:val="21"/>
                <w:szCs w:val="21"/>
                <w:lang w:eastAsia="en-AU"/>
              </w:rPr>
              <w:noBreakHyphen/>
            </w:r>
            <w:r w:rsidRPr="006A75A2">
              <w:rPr>
                <w:rFonts w:asciiTheme="minorHAnsi" w:hAnsiTheme="minorHAnsi" w:cstheme="minorHAnsi"/>
                <w:i/>
                <w:sz w:val="21"/>
                <w:szCs w:val="21"/>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financial corporation</w:t>
            </w: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7" w:hanging="187"/>
              <w:rPr>
                <w:rFonts w:asciiTheme="minorHAnsi" w:hAnsiTheme="minorHAnsi" w:cstheme="minorHAnsi"/>
                <w:sz w:val="21"/>
                <w:szCs w:val="21"/>
                <w:lang w:eastAsia="en-AU"/>
              </w:rPr>
            </w:pPr>
            <w:r w:rsidRPr="006A75A2">
              <w:rPr>
                <w:rFonts w:asciiTheme="minorHAnsi" w:hAnsiTheme="minorHAnsi" w:cstheme="minorHAnsi"/>
                <w:sz w:val="21"/>
                <w:szCs w:val="21"/>
                <w:lang w:eastAsia="en-AU"/>
              </w:rPr>
              <w:t>Cemeteries including:</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Ballaarat General Cemeteries Trust</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Bendigo Cemeteries Trust</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B07F57"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r>
            <w:r w:rsidR="004E6C32" w:rsidRPr="006A75A2">
              <w:rPr>
                <w:rFonts w:asciiTheme="minorHAnsi" w:hAnsiTheme="minorHAnsi" w:cstheme="minorHAnsi"/>
                <w:sz w:val="21"/>
                <w:szCs w:val="21"/>
                <w:lang w:eastAsia="en-AU"/>
              </w:rPr>
              <w:t>Geelong Cemeteries Trust</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vertAlign w:val="superscript"/>
                <w:lang w:eastAsia="en-AU"/>
              </w:rPr>
            </w:pPr>
            <w:r w:rsidRPr="006A75A2">
              <w:rPr>
                <w:rFonts w:asciiTheme="minorHAnsi" w:hAnsiTheme="minorHAnsi" w:cstheme="minorHAnsi"/>
                <w:sz w:val="21"/>
                <w:szCs w:val="21"/>
                <w:lang w:eastAsia="en-AU"/>
              </w:rPr>
              <w:tab/>
              <w:t>Greater Metropolitan Cemeteries Trust</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Mildura Cemetery Trust</w:t>
            </w:r>
          </w:p>
        </w:tc>
        <w:tc>
          <w:tcPr>
            <w:tcW w:w="1080" w:type="dxa"/>
            <w:tcBorders>
              <w:top w:val="nil"/>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single" w:sz="4" w:space="0" w:color="auto"/>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b/>
              <w:t>Southern Metropolitan Cemeteries Trust</w:t>
            </w:r>
          </w:p>
        </w:tc>
        <w:tc>
          <w:tcPr>
            <w:tcW w:w="1080" w:type="dxa"/>
            <w:tcBorders>
              <w:top w:val="nil"/>
              <w:left w:val="nil"/>
              <w:bottom w:val="single" w:sz="4" w:space="0" w:color="auto"/>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single" w:sz="4" w:space="0" w:color="auto"/>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single" w:sz="4" w:space="0" w:color="auto"/>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single" w:sz="4" w:space="0" w:color="auto"/>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
                <w:bCs/>
                <w:sz w:val="21"/>
                <w:szCs w:val="21"/>
                <w:lang w:eastAsia="en-AU"/>
              </w:rPr>
              <w:t>Department of Human Services</w:t>
            </w:r>
          </w:p>
        </w:tc>
        <w:tc>
          <w:tcPr>
            <w:tcW w:w="1080" w:type="dxa"/>
            <w:tcBorders>
              <w:top w:val="single" w:sz="4" w:space="0" w:color="auto"/>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4"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single" w:sz="4"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Commission for Children and Young People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The Queen Elizabeth Centre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Tweddle Child and Family Health Service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Director of Housing (PNFC)</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Queen Victoria Women</w:t>
            </w:r>
            <w:r w:rsidR="00C96101" w:rsidRPr="006A75A2">
              <w:rPr>
                <w:rFonts w:asciiTheme="minorHAnsi" w:hAnsiTheme="minorHAnsi" w:cstheme="minorHAnsi"/>
                <w:sz w:val="21"/>
                <w:szCs w:val="21"/>
                <w:lang w:eastAsia="en-AU"/>
              </w:rPr>
              <w:t>’</w:t>
            </w:r>
            <w:r w:rsidRPr="006A75A2">
              <w:rPr>
                <w:rFonts w:asciiTheme="minorHAnsi" w:hAnsiTheme="minorHAnsi" w:cstheme="minorHAnsi"/>
                <w:sz w:val="21"/>
                <w:szCs w:val="21"/>
                <w:lang w:eastAsia="en-AU"/>
              </w:rPr>
              <w:t xml:space="preserve">s Centre Trust </w:t>
            </w:r>
          </w:p>
        </w:tc>
        <w:tc>
          <w:tcPr>
            <w:tcW w:w="1080" w:type="dxa"/>
            <w:tcBorders>
              <w:top w:val="nil"/>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single" w:sz="6" w:space="0" w:color="auto"/>
              <w:left w:val="nil"/>
              <w:bottom w:val="nil"/>
              <w:right w:val="nil"/>
            </w:tcBorders>
          </w:tcPr>
          <w:p w:rsidR="004E6C32" w:rsidRPr="006A75A2" w:rsidRDefault="004E6C32" w:rsidP="004B5CB1">
            <w:pPr>
              <w:spacing w:after="0"/>
              <w:ind w:left="180" w:hanging="180"/>
              <w:rPr>
                <w:rFonts w:asciiTheme="minorHAnsi" w:hAnsiTheme="minorHAnsi" w:cstheme="minorHAnsi"/>
                <w:b/>
                <w:bCs/>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b/>
                <w:bCs/>
                <w:sz w:val="21"/>
                <w:szCs w:val="21"/>
                <w:lang w:eastAsia="en-AU"/>
              </w:rPr>
              <w:t xml:space="preserve">Department of Justice </w:t>
            </w:r>
          </w:p>
        </w:tc>
        <w:tc>
          <w:tcPr>
            <w:tcW w:w="1080" w:type="dxa"/>
            <w:tcBorders>
              <w:top w:val="single" w:sz="6" w:space="0" w:color="auto"/>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6"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 </w:t>
            </w:r>
          </w:p>
        </w:tc>
        <w:tc>
          <w:tcPr>
            <w:tcW w:w="1350" w:type="dxa"/>
            <w:tcBorders>
              <w:top w:val="single" w:sz="6"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Country Fire Authority</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Emergency Services Telecommunications Authority</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Fire Services Levy Monitor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Freedom of Information Commissioner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Independent Broad</w:t>
            </w:r>
            <w:r w:rsidRPr="006A75A2">
              <w:rPr>
                <w:rFonts w:asciiTheme="minorHAnsi" w:hAnsiTheme="minorHAnsi" w:cstheme="minorHAnsi"/>
                <w:sz w:val="21"/>
                <w:szCs w:val="21"/>
                <w:lang w:eastAsia="en-AU"/>
              </w:rPr>
              <w:noBreakHyphen/>
              <w:t>Based Anti</w:t>
            </w:r>
            <w:r w:rsidRPr="006A75A2">
              <w:rPr>
                <w:rFonts w:asciiTheme="minorHAnsi" w:hAnsiTheme="minorHAnsi" w:cstheme="minorHAnsi"/>
                <w:sz w:val="21"/>
                <w:szCs w:val="21"/>
                <w:lang w:eastAsia="en-AU"/>
              </w:rPr>
              <w:noBreakHyphen/>
              <w:t>Corruption Commission (IBAC)</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Judicial College of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Legal Services Board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Legal Services Commissioner</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Metropolitan Fire and Emergency Services Board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Office of Public Prosecutions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Office of the Victorian Privacy Commissioner</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Sentencing Advisory Council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 Legal Aid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B07F57">
            <w:pPr>
              <w:spacing w:after="0"/>
              <w:ind w:left="151" w:hanging="151"/>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 Police (Office of the Chief Commissioner of</w:t>
            </w:r>
            <w:r w:rsidR="00B07F57" w:rsidRPr="006A75A2">
              <w:rPr>
                <w:rFonts w:asciiTheme="minorHAnsi" w:hAnsiTheme="minorHAnsi" w:cstheme="minorHAnsi"/>
                <w:sz w:val="21"/>
                <w:szCs w:val="21"/>
                <w:lang w:eastAsia="en-AU"/>
              </w:rPr>
              <w:t xml:space="preserve"> </w:t>
            </w:r>
            <w:r w:rsidRPr="006A75A2">
              <w:rPr>
                <w:rFonts w:asciiTheme="minorHAnsi" w:hAnsiTheme="minorHAnsi" w:cstheme="minorHAnsi"/>
                <w:sz w:val="21"/>
                <w:szCs w:val="21"/>
                <w:lang w:eastAsia="en-AU"/>
              </w:rPr>
              <w:t>Police)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 State Emergency Service Authority</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Commission for Gambling and Liquor Regulation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Electoral Commission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Equal Opportunity and Human Rights Commission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Victorian Inspectorate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Institute of Forensic Medicine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Law Reform Commission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Professional Standards Council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Victorian Responsible Gambling Foundation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Greyhound Racing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Harness Racing Victoria</w:t>
            </w:r>
          </w:p>
        </w:tc>
        <w:tc>
          <w:tcPr>
            <w:tcW w:w="1080" w:type="dxa"/>
            <w:tcBorders>
              <w:top w:val="nil"/>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single" w:sz="6" w:space="0" w:color="auto"/>
              <w:left w:val="nil"/>
              <w:bottom w:val="nil"/>
              <w:right w:val="nil"/>
            </w:tcBorders>
          </w:tcPr>
          <w:p w:rsidR="004E6C32" w:rsidRPr="006A75A2" w:rsidRDefault="004E6C32" w:rsidP="004B5CB1">
            <w:pPr>
              <w:spacing w:after="0"/>
              <w:ind w:left="187" w:hanging="187"/>
              <w:rPr>
                <w:rFonts w:asciiTheme="minorHAnsi" w:hAnsiTheme="minorHAnsi" w:cstheme="minorHAnsi"/>
                <w:b/>
                <w:bCs/>
                <w:sz w:val="21"/>
                <w:szCs w:val="21"/>
                <w:lang w:eastAsia="en-AU"/>
              </w:rPr>
            </w:pPr>
            <w:r w:rsidRPr="006A75A2">
              <w:rPr>
                <w:rFonts w:asciiTheme="minorHAnsi" w:hAnsiTheme="minorHAnsi" w:cstheme="minorHAnsi"/>
                <w:b/>
                <w:bCs/>
                <w:sz w:val="21"/>
                <w:szCs w:val="21"/>
                <w:lang w:eastAsia="en-AU"/>
              </w:rPr>
              <w:t>Department of Premier and Cabinet</w:t>
            </w:r>
          </w:p>
        </w:tc>
        <w:tc>
          <w:tcPr>
            <w:tcW w:w="1080" w:type="dxa"/>
            <w:tcBorders>
              <w:top w:val="single" w:sz="6" w:space="0" w:color="auto"/>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6"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 </w:t>
            </w:r>
          </w:p>
        </w:tc>
        <w:tc>
          <w:tcPr>
            <w:tcW w:w="1350" w:type="dxa"/>
            <w:tcBorders>
              <w:top w:val="single" w:sz="6"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Australian Centre for the Moving Image</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Library Board of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Melbourne Recital Centre Limited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Museums Board of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National Gallery of Victoria, Council of Trustees</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Ombudsman Victoria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Shrine of Remembrance Trustees</w:t>
            </w:r>
            <w:r w:rsidRPr="006A75A2">
              <w:rPr>
                <w:rFonts w:asciiTheme="minorHAnsi" w:hAnsiTheme="minorHAnsi" w:cstheme="minorHAnsi"/>
                <w:sz w:val="21"/>
                <w:szCs w:val="21"/>
                <w:vertAlign w:val="superscript"/>
                <w:lang w:eastAsia="en-AU"/>
              </w:rPr>
              <w: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7" w:hanging="187"/>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Aboriginal Heritage Council</w:t>
            </w:r>
            <w:r w:rsidRPr="006A75A2">
              <w:rPr>
                <w:rFonts w:asciiTheme="minorHAnsi" w:hAnsiTheme="minorHAnsi" w:cstheme="minorHAnsi"/>
                <w:sz w:val="21"/>
                <w:szCs w:val="21"/>
                <w:vertAlign w:val="superscript"/>
                <w:lang w:eastAsia="en-AU"/>
              </w:rPr>
              <w: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Victorian Multicultural Commission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bl>
    <w:p w:rsidR="00A659BA" w:rsidRPr="006A75A2" w:rsidRDefault="00A659BA" w:rsidP="002C0C34">
      <w:pPr>
        <w:pStyle w:val="Heading2NotesContd"/>
        <w:rPr>
          <w:kern w:val="0"/>
        </w:rPr>
      </w:pPr>
      <w:r w:rsidRPr="006A75A2">
        <w:rPr>
          <w:kern w:val="0"/>
        </w:rPr>
        <w:lastRenderedPageBreak/>
        <w:t>Note 42:</w:t>
      </w:r>
      <w:r w:rsidRPr="006A75A2">
        <w:rPr>
          <w:kern w:val="0"/>
        </w:rPr>
        <w:tab/>
        <w:t xml:space="preserve">Controlled entities </w:t>
      </w:r>
      <w:r w:rsidRPr="006A75A2">
        <w:rPr>
          <w:i/>
          <w:kern w:val="0"/>
        </w:rPr>
        <w:t>(continued)</w:t>
      </w:r>
    </w:p>
    <w:tbl>
      <w:tblPr>
        <w:tblW w:w="9630" w:type="dxa"/>
        <w:tblInd w:w="43" w:type="dxa"/>
        <w:tblLayout w:type="fixed"/>
        <w:tblCellMar>
          <w:left w:w="43" w:type="dxa"/>
          <w:right w:w="43" w:type="dxa"/>
        </w:tblCellMar>
        <w:tblLook w:val="0000" w:firstRow="0" w:lastRow="0" w:firstColumn="0" w:lastColumn="0" w:noHBand="0" w:noVBand="0"/>
      </w:tblPr>
      <w:tblGrid>
        <w:gridCol w:w="5670"/>
        <w:gridCol w:w="90"/>
        <w:gridCol w:w="1080"/>
        <w:gridCol w:w="1440"/>
        <w:gridCol w:w="1350"/>
      </w:tblGrid>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lang w:eastAsia="en-AU"/>
              </w:rPr>
            </w:pPr>
          </w:p>
        </w:tc>
        <w:tc>
          <w:tcPr>
            <w:tcW w:w="1170" w:type="dxa"/>
            <w:gridSpan w:val="2"/>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p>
        </w:tc>
        <w:tc>
          <w:tcPr>
            <w:tcW w:w="2790" w:type="dxa"/>
            <w:gridSpan w:val="2"/>
            <w:tcBorders>
              <w:top w:val="nil"/>
              <w:left w:val="nil"/>
              <w:bottom w:val="single" w:sz="6" w:space="0" w:color="auto"/>
              <w:right w:val="single" w:sz="6" w:space="0" w:color="auto"/>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Entities included as investments in other sectors</w:t>
            </w:r>
          </w:p>
        </w:tc>
      </w:tr>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vertAlign w:val="superscript"/>
                <w:lang w:eastAsia="en-AU"/>
              </w:rPr>
            </w:pPr>
            <w:r w:rsidRPr="006A75A2">
              <w:rPr>
                <w:rFonts w:asciiTheme="minorHAnsi" w:hAnsiTheme="minorHAnsi" w:cstheme="minorHAnsi"/>
                <w:i/>
                <w:sz w:val="21"/>
                <w:szCs w:val="21"/>
                <w:lang w:eastAsia="en-AU"/>
              </w:rPr>
              <w:t>Controlled entities</w:t>
            </w:r>
            <w:r w:rsidRPr="006A75A2">
              <w:rPr>
                <w:rFonts w:asciiTheme="minorHAnsi" w:hAnsiTheme="minorHAnsi" w:cstheme="minorHAnsi"/>
                <w:i/>
                <w:sz w:val="21"/>
                <w:szCs w:val="21"/>
                <w:vertAlign w:val="superscript"/>
                <w:lang w:eastAsia="en-AU"/>
              </w:rPr>
              <w:t>(a)</w:t>
            </w:r>
          </w:p>
        </w:tc>
        <w:tc>
          <w:tcPr>
            <w:tcW w:w="1170" w:type="dxa"/>
            <w:gridSpan w:val="2"/>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General government</w:t>
            </w:r>
          </w:p>
        </w:tc>
        <w:tc>
          <w:tcPr>
            <w:tcW w:w="1440" w:type="dxa"/>
            <w:tcBorders>
              <w:top w:val="nil"/>
              <w:left w:val="nil"/>
              <w:bottom w:val="single" w:sz="6" w:space="0" w:color="auto"/>
              <w:right w:val="nil"/>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non</w:t>
            </w:r>
            <w:r w:rsidRPr="006A75A2">
              <w:rPr>
                <w:rFonts w:asciiTheme="minorHAnsi" w:hAnsiTheme="minorHAnsi" w:cstheme="minorHAnsi"/>
                <w:sz w:val="21"/>
                <w:szCs w:val="21"/>
                <w:lang w:eastAsia="en-AU"/>
              </w:rPr>
              <w:noBreakHyphen/>
            </w:r>
            <w:r w:rsidRPr="006A75A2">
              <w:rPr>
                <w:rFonts w:asciiTheme="minorHAnsi" w:hAnsiTheme="minorHAnsi" w:cstheme="minorHAnsi"/>
                <w:i/>
                <w:sz w:val="21"/>
                <w:szCs w:val="21"/>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financial corporation</w:t>
            </w: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7" w:hanging="187"/>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Public Sector Commission</w:t>
            </w:r>
            <w:r w:rsidRPr="006A75A2">
              <w:rPr>
                <w:rFonts w:asciiTheme="minorHAnsi" w:hAnsiTheme="minorHAnsi" w:cstheme="minorHAnsi"/>
                <w:sz w:val="21"/>
                <w:szCs w:val="21"/>
                <w:vertAlign w:val="superscript"/>
                <w:lang w:eastAsia="en-AU"/>
              </w:rPr>
              <w:t>(i)</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Veterans Council</w:t>
            </w:r>
            <w:r w:rsidRPr="006A75A2">
              <w:rPr>
                <w:rFonts w:asciiTheme="minorHAnsi" w:hAnsiTheme="minorHAnsi" w:cstheme="minorHAnsi"/>
                <w:sz w:val="21"/>
                <w:szCs w:val="21"/>
                <w:vertAlign w:val="superscript"/>
                <w:lang w:eastAsia="en-AU"/>
              </w:rPr>
              <w:t>(h)</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Geelong Performing Arts Centre Trust</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Arts Centre Trust</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VITS Languagelink </w:t>
            </w:r>
          </w:p>
        </w:tc>
        <w:tc>
          <w:tcPr>
            <w:tcW w:w="1080" w:type="dxa"/>
            <w:tcBorders>
              <w:top w:val="nil"/>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single" w:sz="6" w:space="0" w:color="auto"/>
              <w:bottom w:val="nil"/>
              <w:right w:val="nil"/>
            </w:tcBorders>
            <w:vAlign w:val="bottom"/>
          </w:tcPr>
          <w:p w:rsidR="004E6C32" w:rsidRPr="006A75A2" w:rsidRDefault="004E6C32" w:rsidP="004B5CB1">
            <w:pPr>
              <w:spacing w:after="0"/>
              <w:ind w:left="187" w:hanging="187"/>
              <w:rPr>
                <w:rFonts w:asciiTheme="minorHAnsi" w:hAnsiTheme="minorHAnsi" w:cstheme="minorHAnsi"/>
                <w:sz w:val="21"/>
                <w:szCs w:val="21"/>
                <w:lang w:eastAsia="en-AU"/>
              </w:rPr>
            </w:pPr>
            <w:r w:rsidRPr="006A75A2">
              <w:rPr>
                <w:rFonts w:asciiTheme="minorHAnsi" w:hAnsiTheme="minorHAnsi" w:cstheme="minorHAnsi"/>
                <w:b/>
                <w:sz w:val="21"/>
                <w:szCs w:val="21"/>
                <w:lang w:eastAsia="en-AU"/>
              </w:rPr>
              <w:t xml:space="preserve">Department of State Development, Business and Innovation </w:t>
            </w:r>
          </w:p>
        </w:tc>
        <w:tc>
          <w:tcPr>
            <w:tcW w:w="1080" w:type="dxa"/>
            <w:tcBorders>
              <w:top w:val="single" w:sz="6" w:space="0" w:color="auto"/>
              <w:left w:val="nil"/>
              <w:bottom w:val="nil"/>
              <w:right w:val="nil"/>
            </w:tcBorders>
            <w:vAlign w:val="bottom"/>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6" w:space="0" w:color="auto"/>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single" w:sz="6" w:space="0" w:color="auto"/>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Australian </w:t>
            </w:r>
            <w:r w:rsidRPr="006A75A2">
              <w:rPr>
                <w:rFonts w:asciiTheme="minorHAnsi" w:hAnsiTheme="minorHAnsi" w:cstheme="minorHAnsi"/>
                <w:sz w:val="21"/>
                <w:szCs w:val="21"/>
              </w:rPr>
              <w:t>Synchrotron</w:t>
            </w:r>
            <w:r w:rsidRPr="006A75A2">
              <w:rPr>
                <w:rFonts w:asciiTheme="minorHAnsi" w:hAnsiTheme="minorHAnsi" w:cstheme="minorHAnsi"/>
                <w:sz w:val="21"/>
                <w:szCs w:val="21"/>
                <w:lang w:eastAsia="en-AU"/>
              </w:rPr>
              <w:t xml:space="preserve"> Holding Company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CenITex</w:t>
            </w:r>
            <w:r w:rsidRPr="006A75A2">
              <w:rPr>
                <w:rFonts w:asciiTheme="minorHAnsi" w:hAnsiTheme="minorHAnsi" w:cstheme="minorHAnsi"/>
                <w:sz w:val="21"/>
                <w:szCs w:val="21"/>
                <w:vertAlign w:val="superscript"/>
                <w:lang w:eastAsia="en-AU"/>
              </w:rPr>
              <w:t>(j)</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Docklands Studios Melbourne Pty Ltd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67336F">
            <w:pPr>
              <w:spacing w:after="0"/>
              <w:ind w:left="180" w:hanging="180"/>
              <w:rPr>
                <w:rFonts w:asciiTheme="minorHAnsi" w:hAnsiTheme="minorHAnsi" w:cstheme="minorHAnsi"/>
                <w:bCs/>
                <w:sz w:val="21"/>
                <w:szCs w:val="21"/>
                <w:lang w:eastAsia="en-AU"/>
              </w:rPr>
            </w:pPr>
            <w:r w:rsidRPr="006A75A2">
              <w:rPr>
                <w:rFonts w:asciiTheme="minorHAnsi" w:hAnsiTheme="minorHAnsi" w:cstheme="minorHAnsi"/>
                <w:bCs/>
                <w:sz w:val="21"/>
                <w:szCs w:val="21"/>
                <w:lang w:eastAsia="en-AU"/>
              </w:rPr>
              <w:t>Energy Safe Victoria</w:t>
            </w:r>
            <w:r w:rsidRPr="006A75A2">
              <w:rPr>
                <w:rFonts w:asciiTheme="minorHAnsi" w:hAnsiTheme="minorHAnsi" w:cstheme="minorHAnsi"/>
                <w:bCs/>
                <w:sz w:val="21"/>
                <w:szCs w:val="21"/>
                <w:vertAlign w:val="superscript"/>
                <w:lang w:eastAsia="en-AU"/>
              </w:rPr>
              <w:t>(k)</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Film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Major Projects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67336F">
            <w:pPr>
              <w:spacing w:after="0"/>
              <w:ind w:left="180" w:hanging="180"/>
              <w:rPr>
                <w:rFonts w:asciiTheme="minorHAnsi" w:hAnsiTheme="minorHAnsi" w:cstheme="minorHAnsi"/>
                <w:bCs/>
                <w:sz w:val="21"/>
                <w:szCs w:val="21"/>
                <w:lang w:eastAsia="en-AU"/>
              </w:rPr>
            </w:pPr>
            <w:r w:rsidRPr="006A75A2">
              <w:rPr>
                <w:rFonts w:asciiTheme="minorHAnsi" w:hAnsiTheme="minorHAnsi" w:cstheme="minorHAnsi"/>
                <w:bCs/>
                <w:sz w:val="21"/>
                <w:szCs w:val="21"/>
                <w:lang w:eastAsia="en-AU"/>
              </w:rPr>
              <w:t>Regional Development Victoria</w:t>
            </w:r>
            <w:r w:rsidRPr="006A75A2">
              <w:rPr>
                <w:rFonts w:asciiTheme="minorHAnsi" w:hAnsiTheme="minorHAnsi" w:cstheme="minorHAnsi"/>
                <w:bCs/>
                <w:sz w:val="21"/>
                <w:szCs w:val="21"/>
                <w:vertAlign w:val="superscript"/>
                <w:lang w:eastAsia="en-AU"/>
              </w:rPr>
              <w:t>(l)</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Tourism Victoria</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Australian Grand Prix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7" w:hanging="187"/>
              <w:rPr>
                <w:rFonts w:asciiTheme="minorHAnsi" w:hAnsiTheme="minorHAnsi" w:cstheme="minorHAnsi"/>
                <w:b/>
                <w:bCs/>
                <w:sz w:val="21"/>
                <w:szCs w:val="21"/>
                <w:lang w:eastAsia="en-AU"/>
              </w:rPr>
            </w:pPr>
            <w:r w:rsidRPr="006A75A2">
              <w:rPr>
                <w:rFonts w:asciiTheme="minorHAnsi" w:hAnsiTheme="minorHAnsi" w:cstheme="minorHAnsi"/>
                <w:bCs/>
                <w:sz w:val="21"/>
                <w:szCs w:val="21"/>
                <w:lang w:eastAsia="en-AU"/>
              </w:rPr>
              <w:t>Emerald Tourist Railway Board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Fed Square Pty Ltd</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Melbourne Convention and Exhibition Trust</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 xml:space="preserve">Melbourne Market Authority </w:t>
            </w:r>
          </w:p>
        </w:tc>
        <w:tc>
          <w:tcPr>
            <w:tcW w:w="1080" w:type="dxa"/>
            <w:tcBorders>
              <w:top w:val="nil"/>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Cs/>
                <w:sz w:val="21"/>
                <w:szCs w:val="21"/>
                <w:lang w:eastAsia="en-AU"/>
              </w:rPr>
              <w:t>Victorian Major Events Company Limited</w:t>
            </w:r>
          </w:p>
        </w:tc>
        <w:tc>
          <w:tcPr>
            <w:tcW w:w="1080" w:type="dxa"/>
            <w:tcBorders>
              <w:top w:val="nil"/>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single" w:sz="6" w:space="0" w:color="auto"/>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
                <w:bCs/>
                <w:sz w:val="21"/>
                <w:szCs w:val="21"/>
                <w:lang w:eastAsia="en-AU"/>
              </w:rPr>
              <w:t xml:space="preserve">Department of Transport, Planning and Local Infrastructure </w:t>
            </w:r>
          </w:p>
        </w:tc>
        <w:tc>
          <w:tcPr>
            <w:tcW w:w="1080" w:type="dxa"/>
            <w:tcBorders>
              <w:top w:val="single" w:sz="6" w:space="0" w:color="auto"/>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6"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 </w:t>
            </w:r>
          </w:p>
        </w:tc>
        <w:tc>
          <w:tcPr>
            <w:tcW w:w="1350" w:type="dxa"/>
            <w:tcBorders>
              <w:top w:val="single" w:sz="6"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vertAlign w:val="superscript"/>
                <w:lang w:eastAsia="en-AU"/>
              </w:rPr>
            </w:pPr>
            <w:r w:rsidRPr="006A75A2">
              <w:rPr>
                <w:rFonts w:asciiTheme="minorHAnsi" w:hAnsiTheme="minorHAnsi" w:cstheme="minorHAnsi"/>
                <w:sz w:val="21"/>
                <w:szCs w:val="21"/>
                <w:lang w:eastAsia="en-AU"/>
              </w:rPr>
              <w:t>Architects Registration Board of Victoria</w:t>
            </w:r>
            <w:r w:rsidRPr="006A75A2">
              <w:rPr>
                <w:rFonts w:asciiTheme="minorHAnsi" w:hAnsiTheme="minorHAnsi" w:cstheme="minorHAnsi"/>
                <w:sz w:val="21"/>
                <w:szCs w:val="21"/>
                <w:vertAlign w:val="superscript"/>
                <w:lang w:eastAsia="en-AU"/>
              </w:rPr>
              <w:t>(m)</w:t>
            </w:r>
          </w:p>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Heritage Council</w:t>
            </w:r>
            <w:r w:rsidRPr="006A75A2">
              <w:rPr>
                <w:rFonts w:asciiTheme="minorHAnsi" w:hAnsiTheme="minorHAnsi" w:cstheme="minorHAnsi"/>
                <w:sz w:val="21"/>
                <w:szCs w:val="21"/>
                <w:vertAlign w:val="superscript"/>
                <w:lang w:eastAsia="en-AU"/>
              </w:rPr>
              <w:t>(m)</w:t>
            </w:r>
          </w:p>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Linking Melbourne Authority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bCs/>
                <w:sz w:val="21"/>
                <w:szCs w:val="21"/>
                <w:lang w:eastAsia="en-AU"/>
              </w:rPr>
            </w:pPr>
            <w:r w:rsidRPr="006A75A2">
              <w:rPr>
                <w:rFonts w:asciiTheme="minorHAnsi" w:hAnsiTheme="minorHAnsi" w:cstheme="minorHAnsi"/>
                <w:sz w:val="21"/>
                <w:szCs w:val="21"/>
                <w:lang w:eastAsia="en-AU"/>
              </w:rPr>
              <w:t>Melbourne Cricket Ground Trust</w:t>
            </w:r>
            <w:r w:rsidRPr="006A75A2">
              <w:rPr>
                <w:rFonts w:asciiTheme="minorHAnsi" w:hAnsiTheme="minorHAnsi" w:cstheme="minorHAnsi"/>
                <w:sz w:val="21"/>
                <w:szCs w:val="21"/>
                <w:vertAlign w:val="superscript"/>
                <w:lang w:eastAsia="en-AU"/>
              </w:rPr>
              <w:t>(m)</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Metropolitan Planning Authority</w:t>
            </w:r>
            <w:r w:rsidRPr="006A75A2">
              <w:rPr>
                <w:rFonts w:asciiTheme="minorHAnsi" w:hAnsiTheme="minorHAnsi" w:cstheme="minorHAnsi"/>
                <w:sz w:val="21"/>
                <w:szCs w:val="21"/>
                <w:vertAlign w:val="superscript"/>
                <w:lang w:eastAsia="en-AU"/>
              </w:rPr>
              <w:t>(n)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Public Transport Development Authority</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bCs/>
                <w:sz w:val="21"/>
                <w:szCs w:val="21"/>
                <w:lang w:eastAsia="en-AU"/>
              </w:rPr>
            </w:pPr>
            <w:r w:rsidRPr="006A75A2">
              <w:rPr>
                <w:rFonts w:asciiTheme="minorHAnsi" w:hAnsiTheme="minorHAnsi" w:cstheme="minorHAnsi"/>
                <w:sz w:val="21"/>
                <w:szCs w:val="21"/>
                <w:lang w:eastAsia="en-AU"/>
              </w:rPr>
              <w:t>Roads Corporation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bCs/>
                <w:sz w:val="21"/>
                <w:szCs w:val="21"/>
                <w:lang w:eastAsia="en-AU"/>
              </w:rPr>
            </w:pPr>
            <w:r w:rsidRPr="006A75A2">
              <w:rPr>
                <w:rFonts w:asciiTheme="minorHAnsi" w:hAnsiTheme="minorHAnsi" w:cstheme="minorHAnsi"/>
                <w:sz w:val="21"/>
                <w:szCs w:val="21"/>
                <w:lang w:eastAsia="en-AU"/>
              </w:rPr>
              <w:t>Surveyors Registration Board of Victoria</w:t>
            </w:r>
            <w:r w:rsidRPr="006A75A2">
              <w:rPr>
                <w:rFonts w:asciiTheme="minorHAnsi" w:hAnsiTheme="minorHAnsi" w:cstheme="minorHAnsi"/>
                <w:sz w:val="21"/>
                <w:szCs w:val="21"/>
                <w:vertAlign w:val="superscript"/>
                <w:lang w:eastAsia="en-AU"/>
              </w:rPr>
              <w:t>(o)</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bCs/>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Taxi Services Commission</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Building Authority</w:t>
            </w:r>
            <w:r w:rsidRPr="006A75A2">
              <w:rPr>
                <w:rFonts w:asciiTheme="minorHAnsi" w:hAnsiTheme="minorHAnsi" w:cstheme="minorHAnsi"/>
                <w:sz w:val="21"/>
                <w:szCs w:val="21"/>
                <w:vertAlign w:val="superscript"/>
                <w:lang w:eastAsia="en-AU"/>
              </w:rPr>
              <w:t>(m)(p)(q)</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Institute of Sport Limited</w:t>
            </w:r>
            <w:r w:rsidRPr="006A75A2">
              <w:rPr>
                <w:rFonts w:asciiTheme="minorHAnsi" w:hAnsiTheme="minorHAnsi" w:cstheme="minorHAnsi"/>
                <w:sz w:val="21"/>
                <w:szCs w:val="21"/>
                <w:vertAlign w:val="superscript"/>
                <w:lang w:eastAsia="en-AU"/>
              </w:rPr>
              <w:t>(m)</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Institute of Sport Trust</w:t>
            </w:r>
            <w:r w:rsidRPr="006A75A2">
              <w:rPr>
                <w:rFonts w:asciiTheme="minorHAnsi" w:hAnsiTheme="minorHAnsi" w:cstheme="minorHAnsi"/>
                <w:sz w:val="21"/>
                <w:szCs w:val="21"/>
                <w:vertAlign w:val="superscript"/>
                <w:lang w:eastAsia="en-AU"/>
              </w:rPr>
              <w:t>(m)</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Melbourne and Olympic Parks Trust</w:t>
            </w:r>
            <w:r w:rsidRPr="006A75A2">
              <w:rPr>
                <w:rFonts w:asciiTheme="minorHAnsi" w:hAnsiTheme="minorHAnsi" w:cstheme="minorHAnsi"/>
                <w:sz w:val="21"/>
                <w:szCs w:val="21"/>
                <w:vertAlign w:val="superscript"/>
                <w:lang w:eastAsia="en-AU"/>
              </w:rPr>
              <w:t>(m)</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Port of Hastings Development Authority</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Port of Melbourne Corporation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rPr>
            </w:pPr>
            <w:r w:rsidRPr="006A75A2">
              <w:rPr>
                <w:rFonts w:asciiTheme="minorHAnsi" w:hAnsiTheme="minorHAnsi" w:cstheme="minorHAnsi"/>
                <w:sz w:val="21"/>
                <w:szCs w:val="21"/>
                <w:lang w:eastAsia="en-AU"/>
              </w:rPr>
              <w:t>State Sport Centres Trust</w:t>
            </w:r>
            <w:r w:rsidRPr="006A75A2">
              <w:rPr>
                <w:rFonts w:asciiTheme="minorHAnsi" w:hAnsiTheme="minorHAnsi" w:cstheme="minorHAnsi"/>
                <w:sz w:val="21"/>
                <w:szCs w:val="21"/>
                <w:vertAlign w:val="superscript"/>
                <w:lang w:eastAsia="en-AU"/>
              </w:rPr>
              <w:t>(m)</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67336F">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Urban Renewal Authority Victoria (Places Victoria)</w:t>
            </w:r>
            <w:r w:rsidRPr="006A75A2">
              <w:rPr>
                <w:rFonts w:asciiTheme="minorHAnsi" w:hAnsiTheme="minorHAnsi" w:cstheme="minorHAnsi"/>
                <w:sz w:val="21"/>
                <w:szCs w:val="21"/>
                <w:vertAlign w:val="superscript"/>
                <w:lang w:eastAsia="en-AU"/>
              </w:rPr>
              <w:t>(m)</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4B5CB1">
        <w:tc>
          <w:tcPr>
            <w:tcW w:w="5760" w:type="dxa"/>
            <w:gridSpan w:val="2"/>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 xml:space="preserve">Victorian Rail Track </w:t>
            </w:r>
          </w:p>
        </w:tc>
        <w:tc>
          <w:tcPr>
            <w:tcW w:w="108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760" w:type="dxa"/>
            <w:gridSpan w:val="2"/>
            <w:tcBorders>
              <w:top w:val="nil"/>
              <w:left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Regional Channels Authority</w:t>
            </w:r>
          </w:p>
        </w:tc>
        <w:tc>
          <w:tcPr>
            <w:tcW w:w="1080" w:type="dxa"/>
            <w:tcBorders>
              <w:top w:val="nil"/>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760" w:type="dxa"/>
            <w:gridSpan w:val="2"/>
            <w:tcBorders>
              <w:top w:val="nil"/>
              <w:left w:val="nil"/>
              <w:bottom w:val="single" w:sz="6" w:space="0" w:color="auto"/>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V/Line Corporation</w:t>
            </w:r>
          </w:p>
        </w:tc>
        <w:tc>
          <w:tcPr>
            <w:tcW w:w="1080" w:type="dxa"/>
            <w:tcBorders>
              <w:top w:val="nil"/>
              <w:left w:val="nil"/>
              <w:bottom w:val="single" w:sz="6" w:space="0" w:color="auto"/>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single" w:sz="6" w:space="0" w:color="auto"/>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single" w:sz="6" w:space="0" w:color="auto"/>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bl>
    <w:p w:rsidR="00A659BA" w:rsidRPr="006A75A2" w:rsidRDefault="00A659BA" w:rsidP="00A659BA">
      <w:pPr>
        <w:pStyle w:val="Heading2Notes"/>
        <w:rPr>
          <w:kern w:val="0"/>
        </w:rPr>
      </w:pPr>
    </w:p>
    <w:p w:rsidR="00A659BA" w:rsidRPr="006A75A2" w:rsidRDefault="00A659BA">
      <w:pPr>
        <w:spacing w:after="0"/>
        <w:rPr>
          <w:rFonts w:ascii="Calibri" w:hAnsi="Calibri"/>
          <w:b/>
          <w:sz w:val="28"/>
          <w:szCs w:val="22"/>
        </w:rPr>
      </w:pPr>
      <w:r w:rsidRPr="006A75A2">
        <w:br w:type="page"/>
      </w:r>
    </w:p>
    <w:p w:rsidR="00A659BA" w:rsidRPr="006A75A2" w:rsidRDefault="00A659BA" w:rsidP="002C0C34">
      <w:pPr>
        <w:pStyle w:val="Heading2NotesContd"/>
        <w:rPr>
          <w:kern w:val="0"/>
        </w:rPr>
      </w:pPr>
      <w:r w:rsidRPr="006A75A2">
        <w:rPr>
          <w:kern w:val="0"/>
        </w:rPr>
        <w:lastRenderedPageBreak/>
        <w:t>Note 42:</w:t>
      </w:r>
      <w:r w:rsidRPr="006A75A2">
        <w:rPr>
          <w:kern w:val="0"/>
        </w:rPr>
        <w:tab/>
        <w:t xml:space="preserve">Controlled entities </w:t>
      </w:r>
      <w:r w:rsidRPr="006A75A2">
        <w:rPr>
          <w:i/>
          <w:kern w:val="0"/>
        </w:rPr>
        <w:t>(continued)</w:t>
      </w:r>
    </w:p>
    <w:tbl>
      <w:tblPr>
        <w:tblW w:w="9630" w:type="dxa"/>
        <w:tblInd w:w="43" w:type="dxa"/>
        <w:tblLayout w:type="fixed"/>
        <w:tblCellMar>
          <w:left w:w="43" w:type="dxa"/>
          <w:right w:w="43" w:type="dxa"/>
        </w:tblCellMar>
        <w:tblLook w:val="0000" w:firstRow="0" w:lastRow="0" w:firstColumn="0" w:lastColumn="0" w:noHBand="0" w:noVBand="0"/>
      </w:tblPr>
      <w:tblGrid>
        <w:gridCol w:w="5670"/>
        <w:gridCol w:w="1170"/>
        <w:gridCol w:w="1440"/>
        <w:gridCol w:w="1350"/>
      </w:tblGrid>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lang w:eastAsia="en-AU"/>
              </w:rPr>
            </w:pPr>
          </w:p>
        </w:tc>
        <w:tc>
          <w:tcPr>
            <w:tcW w:w="1170" w:type="dxa"/>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p>
        </w:tc>
        <w:tc>
          <w:tcPr>
            <w:tcW w:w="2790" w:type="dxa"/>
            <w:gridSpan w:val="2"/>
            <w:tcBorders>
              <w:top w:val="nil"/>
              <w:left w:val="nil"/>
              <w:bottom w:val="single" w:sz="6" w:space="0" w:color="auto"/>
              <w:right w:val="single" w:sz="6" w:space="0" w:color="auto"/>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Entities included as investments in other sectors</w:t>
            </w:r>
          </w:p>
        </w:tc>
      </w:tr>
      <w:tr w:rsidR="00A659BA" w:rsidRPr="006A75A2" w:rsidTr="00A659BA">
        <w:trPr>
          <w:cantSplit/>
          <w:tblHeader/>
        </w:trPr>
        <w:tc>
          <w:tcPr>
            <w:tcW w:w="5670" w:type="dxa"/>
            <w:tcBorders>
              <w:top w:val="nil"/>
              <w:left w:val="single" w:sz="6" w:space="0" w:color="auto"/>
              <w:bottom w:val="single" w:sz="6" w:space="0" w:color="auto"/>
              <w:right w:val="nil"/>
            </w:tcBorders>
            <w:shd w:val="clear" w:color="auto" w:fill="000000"/>
            <w:vAlign w:val="bottom"/>
          </w:tcPr>
          <w:p w:rsidR="00A659BA" w:rsidRPr="006A75A2" w:rsidRDefault="00A659BA" w:rsidP="00A659BA">
            <w:pPr>
              <w:numPr>
                <w:ilvl w:val="1"/>
                <w:numId w:val="0"/>
              </w:numPr>
              <w:spacing w:after="0"/>
              <w:rPr>
                <w:rFonts w:asciiTheme="minorHAnsi" w:hAnsiTheme="minorHAnsi" w:cstheme="minorHAnsi"/>
                <w:i/>
                <w:sz w:val="21"/>
                <w:szCs w:val="21"/>
                <w:vertAlign w:val="superscript"/>
                <w:lang w:eastAsia="en-AU"/>
              </w:rPr>
            </w:pPr>
            <w:r w:rsidRPr="006A75A2">
              <w:rPr>
                <w:rFonts w:asciiTheme="minorHAnsi" w:hAnsiTheme="minorHAnsi" w:cstheme="minorHAnsi"/>
                <w:i/>
                <w:sz w:val="21"/>
                <w:szCs w:val="21"/>
                <w:lang w:eastAsia="en-AU"/>
              </w:rPr>
              <w:t>Controlled entities</w:t>
            </w:r>
            <w:r w:rsidRPr="006A75A2">
              <w:rPr>
                <w:rFonts w:asciiTheme="minorHAnsi" w:hAnsiTheme="minorHAnsi" w:cstheme="minorHAnsi"/>
                <w:i/>
                <w:sz w:val="21"/>
                <w:szCs w:val="21"/>
                <w:vertAlign w:val="superscript"/>
                <w:lang w:eastAsia="en-AU"/>
              </w:rPr>
              <w:t>(a)</w:t>
            </w:r>
          </w:p>
        </w:tc>
        <w:tc>
          <w:tcPr>
            <w:tcW w:w="1170" w:type="dxa"/>
            <w:tcBorders>
              <w:top w:val="nil"/>
              <w:left w:val="nil"/>
              <w:bottom w:val="single" w:sz="6" w:space="0" w:color="auto"/>
              <w:right w:val="nil"/>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General government</w:t>
            </w:r>
          </w:p>
        </w:tc>
        <w:tc>
          <w:tcPr>
            <w:tcW w:w="1440" w:type="dxa"/>
            <w:tcBorders>
              <w:top w:val="nil"/>
              <w:left w:val="nil"/>
              <w:bottom w:val="single" w:sz="6" w:space="0" w:color="auto"/>
              <w:right w:val="nil"/>
            </w:tcBorders>
            <w:shd w:val="clear" w:color="auto" w:fill="000000"/>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non</w:t>
            </w:r>
            <w:r w:rsidRPr="006A75A2">
              <w:rPr>
                <w:rFonts w:asciiTheme="minorHAnsi" w:hAnsiTheme="minorHAnsi" w:cstheme="minorHAnsi"/>
                <w:sz w:val="21"/>
                <w:szCs w:val="21"/>
                <w:lang w:eastAsia="en-AU"/>
              </w:rPr>
              <w:noBreakHyphen/>
            </w:r>
            <w:r w:rsidRPr="006A75A2">
              <w:rPr>
                <w:rFonts w:asciiTheme="minorHAnsi" w:hAnsiTheme="minorHAnsi" w:cstheme="minorHAnsi"/>
                <w:i/>
                <w:sz w:val="21"/>
                <w:szCs w:val="21"/>
                <w:lang w:eastAsia="en-AU"/>
              </w:rPr>
              <w:t>financial corporation</w:t>
            </w:r>
          </w:p>
        </w:tc>
        <w:tc>
          <w:tcPr>
            <w:tcW w:w="1350" w:type="dxa"/>
            <w:tcBorders>
              <w:top w:val="nil"/>
              <w:left w:val="nil"/>
              <w:bottom w:val="single" w:sz="6" w:space="0" w:color="auto"/>
              <w:right w:val="single" w:sz="6" w:space="0" w:color="auto"/>
            </w:tcBorders>
            <w:shd w:val="clear" w:color="auto" w:fill="000000"/>
            <w:vAlign w:val="bottom"/>
          </w:tcPr>
          <w:p w:rsidR="00A659BA" w:rsidRPr="006A75A2" w:rsidRDefault="00A659BA" w:rsidP="00A659BA">
            <w:pPr>
              <w:numPr>
                <w:ilvl w:val="1"/>
                <w:numId w:val="0"/>
              </w:numPr>
              <w:spacing w:after="0"/>
              <w:jc w:val="center"/>
              <w:rPr>
                <w:rFonts w:asciiTheme="minorHAnsi" w:hAnsiTheme="minorHAnsi" w:cstheme="minorHAnsi"/>
                <w:i/>
                <w:sz w:val="21"/>
                <w:szCs w:val="21"/>
                <w:lang w:eastAsia="en-AU"/>
              </w:rPr>
            </w:pPr>
            <w:r w:rsidRPr="006A75A2">
              <w:rPr>
                <w:rFonts w:asciiTheme="minorHAnsi" w:hAnsiTheme="minorHAnsi" w:cstheme="minorHAnsi"/>
                <w:i/>
                <w:sz w:val="21"/>
                <w:szCs w:val="21"/>
                <w:lang w:eastAsia="en-AU"/>
              </w:rPr>
              <w:t>Public financial corporation</w:t>
            </w:r>
          </w:p>
        </w:tc>
      </w:tr>
      <w:tr w:rsidR="004E6C32" w:rsidRPr="006A75A2" w:rsidTr="00A659BA">
        <w:tc>
          <w:tcPr>
            <w:tcW w:w="5670" w:type="dxa"/>
            <w:tcBorders>
              <w:top w:val="single" w:sz="6" w:space="0" w:color="auto"/>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b/>
                <w:bCs/>
                <w:sz w:val="21"/>
                <w:szCs w:val="21"/>
                <w:lang w:eastAsia="en-AU"/>
              </w:rPr>
              <w:t>Department of Treasury and Finance</w:t>
            </w:r>
          </w:p>
        </w:tc>
        <w:tc>
          <w:tcPr>
            <w:tcW w:w="1170" w:type="dxa"/>
            <w:tcBorders>
              <w:top w:val="single" w:sz="6" w:space="0" w:color="auto"/>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6"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 </w:t>
            </w:r>
          </w:p>
        </w:tc>
        <w:tc>
          <w:tcPr>
            <w:tcW w:w="1350" w:type="dxa"/>
            <w:tcBorders>
              <w:top w:val="single" w:sz="6" w:space="0" w:color="auto"/>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Domestic (HIH) Indemnity Fund and Housing Guarantee Claims</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Essential Services Commission</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Competition and Efficiency Commission</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State Electricity Commission of Victoria</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Plantations Corporation (shell)</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35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Rural Finance Corporation of Victoria</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State Trustees Limited</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sz w:val="21"/>
                <w:szCs w:val="21"/>
                <w:lang w:eastAsia="en-AU"/>
              </w:rPr>
              <w:t>Transport Accident Commission</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7" w:hanging="187"/>
              <w:rPr>
                <w:rFonts w:asciiTheme="minorHAnsi" w:hAnsiTheme="minorHAnsi" w:cstheme="minorHAnsi"/>
                <w:sz w:val="21"/>
                <w:szCs w:val="21"/>
                <w:lang w:eastAsia="en-AU"/>
              </w:rPr>
            </w:pPr>
            <w:r w:rsidRPr="006A75A2">
              <w:rPr>
                <w:rFonts w:asciiTheme="minorHAnsi" w:hAnsiTheme="minorHAnsi" w:cstheme="minorHAnsi"/>
                <w:sz w:val="21"/>
                <w:szCs w:val="21"/>
                <w:lang w:eastAsia="en-AU"/>
              </w:rPr>
              <w:t>Treasury Corporation of Victoria</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Funds Management Corporation</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r>
      <w:tr w:rsidR="004E6C32" w:rsidRPr="006A75A2" w:rsidTr="00A659BA">
        <w:tc>
          <w:tcPr>
            <w:tcW w:w="5670" w:type="dxa"/>
            <w:tcBorders>
              <w:top w:val="nil"/>
              <w:left w:val="nil"/>
              <w:bottom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Managed Insurance Authority</w:t>
            </w:r>
          </w:p>
        </w:tc>
        <w:tc>
          <w:tcPr>
            <w:tcW w:w="1170" w:type="dxa"/>
            <w:tcBorders>
              <w:top w:val="nil"/>
              <w:left w:val="nil"/>
              <w:bottom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bottom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bottom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r>
      <w:tr w:rsidR="004E6C32" w:rsidRPr="006A75A2" w:rsidTr="004B5CB1">
        <w:tc>
          <w:tcPr>
            <w:tcW w:w="5670" w:type="dxa"/>
            <w:tcBorders>
              <w:top w:val="nil"/>
              <w:left w:val="nil"/>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lang w:eastAsia="en-AU"/>
              </w:rPr>
              <w:t>Victorian WorkCover Authority</w:t>
            </w:r>
          </w:p>
        </w:tc>
        <w:tc>
          <w:tcPr>
            <w:tcW w:w="1170" w:type="dxa"/>
            <w:tcBorders>
              <w:top w:val="nil"/>
              <w:left w:val="nil"/>
              <w:right w:val="nil"/>
            </w:tcBorders>
          </w:tcPr>
          <w:p w:rsidR="004E6C32" w:rsidRPr="006A75A2" w:rsidRDefault="004E6C32" w:rsidP="004B5CB1">
            <w:pPr>
              <w:spacing w:after="0"/>
              <w:jc w:val="center"/>
              <w:rPr>
                <w:rFonts w:asciiTheme="minorHAnsi" w:hAnsiTheme="minorHAnsi" w:cstheme="minorHAnsi"/>
                <w:sz w:val="21"/>
                <w:szCs w:val="21"/>
                <w:lang w:eastAsia="en-AU"/>
              </w:rPr>
            </w:pPr>
          </w:p>
        </w:tc>
        <w:tc>
          <w:tcPr>
            <w:tcW w:w="1440" w:type="dxa"/>
            <w:tcBorders>
              <w:top w:val="nil"/>
              <w:left w:val="nil"/>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nil"/>
              <w:left w:val="nil"/>
              <w:right w:val="nil"/>
            </w:tcBorders>
            <w:noWrap/>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r>
      <w:tr w:rsidR="004E6C32" w:rsidRPr="006A75A2" w:rsidTr="004B5CB1">
        <w:tc>
          <w:tcPr>
            <w:tcW w:w="5670" w:type="dxa"/>
            <w:tcBorders>
              <w:top w:val="single" w:sz="6" w:space="0" w:color="auto"/>
              <w:left w:val="nil"/>
              <w:bottom w:val="single" w:sz="4" w:space="0" w:color="auto"/>
              <w:right w:val="nil"/>
            </w:tcBorders>
          </w:tcPr>
          <w:p w:rsidR="004E6C32" w:rsidRPr="006A75A2" w:rsidRDefault="004E6C32" w:rsidP="004B5CB1">
            <w:pPr>
              <w:spacing w:after="0"/>
              <w:ind w:left="180" w:hanging="180"/>
              <w:rPr>
                <w:rFonts w:asciiTheme="minorHAnsi" w:hAnsiTheme="minorHAnsi" w:cstheme="minorHAnsi"/>
                <w:sz w:val="21"/>
                <w:szCs w:val="21"/>
                <w:lang w:eastAsia="en-AU"/>
              </w:rPr>
            </w:pPr>
            <w:r w:rsidRPr="006A75A2">
              <w:rPr>
                <w:rFonts w:asciiTheme="minorHAnsi" w:hAnsiTheme="minorHAnsi" w:cstheme="minorHAnsi"/>
                <w:sz w:val="21"/>
                <w:szCs w:val="21"/>
              </w:rPr>
              <w:br w:type="page"/>
            </w:r>
            <w:r w:rsidRPr="006A75A2">
              <w:rPr>
                <w:rFonts w:asciiTheme="minorHAnsi" w:hAnsiTheme="minorHAnsi" w:cstheme="minorHAnsi"/>
                <w:b/>
                <w:bCs/>
                <w:sz w:val="21"/>
                <w:szCs w:val="21"/>
                <w:lang w:eastAsia="en-AU"/>
              </w:rPr>
              <w:t>Parliament of Victoria</w:t>
            </w:r>
          </w:p>
        </w:tc>
        <w:tc>
          <w:tcPr>
            <w:tcW w:w="1170" w:type="dxa"/>
            <w:tcBorders>
              <w:top w:val="single" w:sz="6" w:space="0" w:color="auto"/>
              <w:left w:val="nil"/>
              <w:bottom w:val="single" w:sz="4" w:space="0" w:color="auto"/>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6" w:space="0" w:color="auto"/>
              <w:left w:val="nil"/>
              <w:bottom w:val="single" w:sz="4" w:space="0" w:color="auto"/>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 </w:t>
            </w:r>
          </w:p>
        </w:tc>
        <w:tc>
          <w:tcPr>
            <w:tcW w:w="1350" w:type="dxa"/>
            <w:tcBorders>
              <w:top w:val="single" w:sz="6" w:space="0" w:color="auto"/>
              <w:left w:val="nil"/>
              <w:bottom w:val="single" w:sz="4" w:space="0" w:color="auto"/>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 </w:t>
            </w:r>
          </w:p>
        </w:tc>
      </w:tr>
      <w:tr w:rsidR="004E6C32" w:rsidRPr="006A75A2" w:rsidTr="004B5CB1">
        <w:tc>
          <w:tcPr>
            <w:tcW w:w="5670" w:type="dxa"/>
            <w:tcBorders>
              <w:top w:val="single" w:sz="4" w:space="0" w:color="auto"/>
              <w:left w:val="nil"/>
              <w:bottom w:val="single" w:sz="4" w:space="0" w:color="auto"/>
              <w:right w:val="nil"/>
            </w:tcBorders>
          </w:tcPr>
          <w:p w:rsidR="004E6C32" w:rsidRPr="006A75A2" w:rsidRDefault="004E6C32" w:rsidP="004B5CB1">
            <w:pPr>
              <w:keepNext/>
              <w:spacing w:after="0"/>
              <w:ind w:left="187" w:hanging="187"/>
              <w:rPr>
                <w:rFonts w:asciiTheme="minorHAnsi" w:hAnsiTheme="minorHAnsi" w:cstheme="minorHAnsi"/>
                <w:b/>
                <w:sz w:val="21"/>
                <w:szCs w:val="21"/>
                <w:lang w:eastAsia="en-AU"/>
              </w:rPr>
            </w:pPr>
            <w:r w:rsidRPr="006A75A2">
              <w:rPr>
                <w:rFonts w:asciiTheme="minorHAnsi" w:hAnsiTheme="minorHAnsi" w:cstheme="minorHAnsi"/>
                <w:b/>
                <w:sz w:val="21"/>
                <w:szCs w:val="21"/>
                <w:lang w:eastAsia="en-AU"/>
              </w:rPr>
              <w:t>Victorian Auditor</w:t>
            </w:r>
            <w:r w:rsidRPr="006A75A2">
              <w:rPr>
                <w:rFonts w:asciiTheme="minorHAnsi" w:hAnsiTheme="minorHAnsi" w:cstheme="minorHAnsi"/>
                <w:b/>
                <w:sz w:val="21"/>
                <w:szCs w:val="21"/>
                <w:lang w:eastAsia="en-AU"/>
              </w:rPr>
              <w:noBreakHyphen/>
              <w:t>General</w:t>
            </w:r>
            <w:r w:rsidR="00C96101" w:rsidRPr="006A75A2">
              <w:rPr>
                <w:rFonts w:asciiTheme="minorHAnsi" w:hAnsiTheme="minorHAnsi" w:cstheme="minorHAnsi"/>
                <w:b/>
                <w:sz w:val="21"/>
                <w:szCs w:val="21"/>
                <w:lang w:eastAsia="en-AU"/>
              </w:rPr>
              <w:t>’</w:t>
            </w:r>
            <w:r w:rsidRPr="006A75A2">
              <w:rPr>
                <w:rFonts w:asciiTheme="minorHAnsi" w:hAnsiTheme="minorHAnsi" w:cstheme="minorHAnsi"/>
                <w:b/>
                <w:sz w:val="21"/>
                <w:szCs w:val="21"/>
                <w:lang w:eastAsia="en-AU"/>
              </w:rPr>
              <w:t>s Office</w:t>
            </w:r>
          </w:p>
        </w:tc>
        <w:tc>
          <w:tcPr>
            <w:tcW w:w="1170" w:type="dxa"/>
            <w:tcBorders>
              <w:top w:val="single" w:sz="4" w:space="0" w:color="auto"/>
              <w:left w:val="nil"/>
              <w:bottom w:val="single" w:sz="4" w:space="0" w:color="auto"/>
              <w:right w:val="nil"/>
            </w:tcBorders>
          </w:tcPr>
          <w:p w:rsidR="004E6C32" w:rsidRPr="006A75A2" w:rsidRDefault="004E6C32" w:rsidP="004B5CB1">
            <w:pPr>
              <w:spacing w:after="0"/>
              <w:jc w:val="center"/>
              <w:rPr>
                <w:rFonts w:asciiTheme="minorHAnsi" w:hAnsiTheme="minorHAnsi" w:cstheme="minorHAnsi"/>
                <w:sz w:val="21"/>
                <w:szCs w:val="21"/>
                <w:lang w:eastAsia="en-AU"/>
              </w:rPr>
            </w:pPr>
            <w:r w:rsidRPr="006A75A2">
              <w:rPr>
                <w:rFonts w:asciiTheme="minorHAnsi" w:hAnsiTheme="minorHAnsi" w:cstheme="minorHAnsi"/>
                <w:sz w:val="21"/>
                <w:szCs w:val="21"/>
                <w:lang w:eastAsia="en-AU"/>
              </w:rPr>
              <w:t>*</w:t>
            </w:r>
          </w:p>
        </w:tc>
        <w:tc>
          <w:tcPr>
            <w:tcW w:w="1440" w:type="dxa"/>
            <w:tcBorders>
              <w:top w:val="single" w:sz="4" w:space="0" w:color="auto"/>
              <w:left w:val="nil"/>
              <w:bottom w:val="single" w:sz="4" w:space="0" w:color="auto"/>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c>
          <w:tcPr>
            <w:tcW w:w="1350" w:type="dxa"/>
            <w:tcBorders>
              <w:top w:val="single" w:sz="4" w:space="0" w:color="auto"/>
              <w:left w:val="nil"/>
              <w:bottom w:val="single" w:sz="4" w:space="0" w:color="auto"/>
              <w:right w:val="nil"/>
            </w:tcBorders>
            <w:noWrap/>
            <w:vAlign w:val="bottom"/>
          </w:tcPr>
          <w:p w:rsidR="004E6C32" w:rsidRPr="006A75A2" w:rsidRDefault="004E6C32" w:rsidP="004B5CB1">
            <w:pPr>
              <w:spacing w:after="0"/>
              <w:jc w:val="center"/>
              <w:rPr>
                <w:rFonts w:asciiTheme="minorHAnsi" w:hAnsiTheme="minorHAnsi" w:cstheme="minorHAnsi"/>
                <w:sz w:val="21"/>
                <w:szCs w:val="21"/>
                <w:lang w:eastAsia="en-AU"/>
              </w:rPr>
            </w:pPr>
          </w:p>
        </w:tc>
      </w:tr>
    </w:tbl>
    <w:p w:rsidR="004E6C32" w:rsidRPr="006A75A2" w:rsidRDefault="004E6C32" w:rsidP="004B5CB1">
      <w:pPr>
        <w:pStyle w:val="Notes"/>
        <w:rPr>
          <w:lang w:eastAsia="en-AU"/>
        </w:rPr>
      </w:pPr>
      <w:r w:rsidRPr="006A75A2">
        <w:t>Notes</w:t>
      </w:r>
      <w:r w:rsidRPr="006A75A2">
        <w:rPr>
          <w:lang w:eastAsia="en-AU"/>
        </w:rPr>
        <w:t>:</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(a)</w:t>
      </w:r>
      <w:r w:rsidRPr="006A75A2">
        <w:rPr>
          <w:rFonts w:asciiTheme="minorHAnsi" w:hAnsiTheme="minorHAnsi" w:cstheme="minorHAnsi"/>
          <w:lang w:eastAsia="en-AU"/>
        </w:rPr>
        <w:tab/>
        <w:t>Effective 1 July 2013, the following departments ceased to exist and had their functions and operations transferred to other Victorian government departments:</w:t>
      </w:r>
    </w:p>
    <w:p w:rsidR="004E6C32" w:rsidRPr="006A75A2" w:rsidRDefault="004E6C32" w:rsidP="004B5CB1">
      <w:pPr>
        <w:pStyle w:val="NotesDash"/>
        <w:tabs>
          <w:tab w:val="clear" w:pos="922"/>
          <w:tab w:val="num" w:pos="720"/>
        </w:tabs>
        <w:ind w:left="720" w:hanging="266"/>
        <w:rPr>
          <w:rFonts w:asciiTheme="minorHAnsi" w:hAnsiTheme="minorHAnsi" w:cstheme="minorHAnsi"/>
          <w:lang w:eastAsia="en-AU"/>
        </w:rPr>
      </w:pPr>
      <w:r w:rsidRPr="006A75A2">
        <w:rPr>
          <w:rFonts w:asciiTheme="minorHAnsi" w:hAnsiTheme="minorHAnsi" w:cstheme="minorHAnsi"/>
          <w:lang w:eastAsia="en-AU"/>
        </w:rPr>
        <w:t>Department of Planning and Community Development; and</w:t>
      </w:r>
    </w:p>
    <w:p w:rsidR="004E6C32" w:rsidRPr="006A75A2" w:rsidRDefault="004E6C32" w:rsidP="004B5CB1">
      <w:pPr>
        <w:pStyle w:val="NotesDash"/>
        <w:tabs>
          <w:tab w:val="clear" w:pos="922"/>
          <w:tab w:val="num" w:pos="720"/>
        </w:tabs>
        <w:ind w:left="720" w:hanging="266"/>
        <w:rPr>
          <w:rFonts w:asciiTheme="minorHAnsi" w:hAnsiTheme="minorHAnsi" w:cstheme="minorHAnsi"/>
          <w:lang w:eastAsia="en-AU"/>
        </w:rPr>
      </w:pPr>
      <w:r w:rsidRPr="006A75A2">
        <w:rPr>
          <w:rFonts w:asciiTheme="minorHAnsi" w:hAnsiTheme="minorHAnsi" w:cstheme="minorHAnsi"/>
          <w:lang w:eastAsia="en-AU"/>
        </w:rPr>
        <w:t>Department of Primary Industries.</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(b)</w:t>
      </w:r>
      <w:r w:rsidRPr="006A75A2">
        <w:rPr>
          <w:rFonts w:asciiTheme="minorHAnsi" w:hAnsiTheme="minorHAnsi" w:cstheme="minorHAnsi"/>
          <w:lang w:eastAsia="en-AU"/>
        </w:rPr>
        <w:tab/>
        <w:t xml:space="preserve">The </w:t>
      </w:r>
      <w:r w:rsidRPr="006A75A2">
        <w:rPr>
          <w:rFonts w:asciiTheme="minorHAnsi" w:hAnsiTheme="minorHAnsi" w:cstheme="minorHAnsi"/>
          <w:i w:val="0"/>
          <w:lang w:eastAsia="en-AU"/>
        </w:rPr>
        <w:t>Education and Training Reform Amendment (Dual Sector Universities) Act 2013</w:t>
      </w:r>
      <w:r w:rsidRPr="006A75A2">
        <w:rPr>
          <w:rFonts w:asciiTheme="minorHAnsi" w:hAnsiTheme="minorHAnsi" w:cstheme="minorHAnsi"/>
          <w:lang w:eastAsia="en-AU"/>
        </w:rPr>
        <w:t xml:space="preserve"> was enacted and gave effect to the deconsolidation of the four dual sector TAFE divisions of universities from 1 January 2014:</w:t>
      </w:r>
    </w:p>
    <w:p w:rsidR="004E6C32" w:rsidRPr="006A75A2" w:rsidRDefault="004E6C32" w:rsidP="004B5CB1">
      <w:pPr>
        <w:pStyle w:val="NotesDash"/>
        <w:tabs>
          <w:tab w:val="clear" w:pos="922"/>
          <w:tab w:val="num" w:pos="720"/>
        </w:tabs>
        <w:ind w:left="720" w:hanging="266"/>
        <w:rPr>
          <w:rFonts w:asciiTheme="minorHAnsi" w:hAnsiTheme="minorHAnsi" w:cstheme="minorHAnsi"/>
          <w:lang w:eastAsia="en-AU"/>
        </w:rPr>
      </w:pPr>
      <w:r w:rsidRPr="006A75A2">
        <w:rPr>
          <w:rFonts w:asciiTheme="minorHAnsi" w:hAnsiTheme="minorHAnsi" w:cstheme="minorHAnsi"/>
          <w:lang w:eastAsia="en-AU"/>
        </w:rPr>
        <w:t xml:space="preserve">Royal Melbourne Institute of Technology; </w:t>
      </w:r>
    </w:p>
    <w:p w:rsidR="004E6C32" w:rsidRPr="006A75A2" w:rsidRDefault="004E6C32" w:rsidP="004B5CB1">
      <w:pPr>
        <w:pStyle w:val="NotesDash"/>
        <w:tabs>
          <w:tab w:val="clear" w:pos="922"/>
          <w:tab w:val="num" w:pos="720"/>
        </w:tabs>
        <w:ind w:left="720" w:hanging="266"/>
        <w:rPr>
          <w:rFonts w:asciiTheme="minorHAnsi" w:hAnsiTheme="minorHAnsi" w:cstheme="minorHAnsi"/>
          <w:lang w:eastAsia="en-AU"/>
        </w:rPr>
      </w:pPr>
      <w:r w:rsidRPr="006A75A2">
        <w:rPr>
          <w:rFonts w:asciiTheme="minorHAnsi" w:hAnsiTheme="minorHAnsi" w:cstheme="minorHAnsi"/>
          <w:lang w:eastAsia="en-AU"/>
        </w:rPr>
        <w:t xml:space="preserve">Swinburne University of Technology; </w:t>
      </w:r>
    </w:p>
    <w:p w:rsidR="004E6C32" w:rsidRPr="006A75A2" w:rsidRDefault="004E6C32" w:rsidP="004B5CB1">
      <w:pPr>
        <w:pStyle w:val="NotesDash"/>
        <w:tabs>
          <w:tab w:val="clear" w:pos="922"/>
          <w:tab w:val="num" w:pos="720"/>
        </w:tabs>
        <w:ind w:left="720" w:hanging="266"/>
        <w:rPr>
          <w:rFonts w:asciiTheme="minorHAnsi" w:hAnsiTheme="minorHAnsi" w:cstheme="minorHAnsi"/>
          <w:lang w:eastAsia="en-AU"/>
        </w:rPr>
      </w:pPr>
      <w:r w:rsidRPr="006A75A2">
        <w:rPr>
          <w:rFonts w:asciiTheme="minorHAnsi" w:hAnsiTheme="minorHAnsi" w:cstheme="minorHAnsi"/>
          <w:lang w:eastAsia="en-AU"/>
        </w:rPr>
        <w:t xml:space="preserve">Federation University (formally known as University of Ballarat); and </w:t>
      </w:r>
    </w:p>
    <w:p w:rsidR="004E6C32" w:rsidRPr="006A75A2" w:rsidRDefault="004E6C32" w:rsidP="004B5CB1">
      <w:pPr>
        <w:pStyle w:val="NotesDash"/>
        <w:tabs>
          <w:tab w:val="clear" w:pos="922"/>
          <w:tab w:val="num" w:pos="720"/>
        </w:tabs>
        <w:ind w:left="720" w:hanging="266"/>
        <w:rPr>
          <w:rFonts w:asciiTheme="minorHAnsi" w:hAnsiTheme="minorHAnsi" w:cstheme="minorHAnsi"/>
          <w:lang w:eastAsia="en-AU"/>
        </w:rPr>
      </w:pPr>
      <w:r w:rsidRPr="006A75A2">
        <w:rPr>
          <w:rFonts w:asciiTheme="minorHAnsi" w:hAnsiTheme="minorHAnsi" w:cstheme="minorHAnsi"/>
          <w:lang w:eastAsia="en-AU"/>
        </w:rPr>
        <w:t>Victoria University.</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 xml:space="preserve">(c) </w:t>
      </w:r>
      <w:r w:rsidRPr="006A75A2">
        <w:rPr>
          <w:rFonts w:asciiTheme="minorHAnsi" w:hAnsiTheme="minorHAnsi" w:cstheme="minorHAnsi"/>
          <w:lang w:eastAsia="en-AU"/>
        </w:rPr>
        <w:tab/>
        <w:t>The Bendigo Kangan Institute was established on 1 July 2014 as a result of a merge between Bendigo Regional Institute of TAFE and Kangan Institute of TAFE.</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 xml:space="preserve">(d) </w:t>
      </w:r>
      <w:r w:rsidRPr="006A75A2">
        <w:rPr>
          <w:rFonts w:asciiTheme="minorHAnsi" w:hAnsiTheme="minorHAnsi" w:cstheme="minorHAnsi"/>
          <w:lang w:eastAsia="en-AU"/>
        </w:rPr>
        <w:tab/>
        <w:t>Federation Training was established on 1 May 2014 as a result of a merge between Advance TAFE (formally known as East Gippsland Institute of TAFE)  and Central Gippsland Institute of TAFE.</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(e)</w:t>
      </w:r>
      <w:r w:rsidRPr="006A75A2">
        <w:rPr>
          <w:rFonts w:asciiTheme="minorHAnsi" w:hAnsiTheme="minorHAnsi" w:cstheme="minorHAnsi"/>
          <w:lang w:eastAsia="en-AU"/>
        </w:rPr>
        <w:tab/>
        <w:t>Entities transferred portfolios as a result of the machinery of government changes effective 1 July 2013 from the Department of Primary Industries to the Department of Environment and Primary Industries.</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(f)</w:t>
      </w:r>
      <w:r w:rsidRPr="006A75A2">
        <w:rPr>
          <w:rFonts w:asciiTheme="minorHAnsi" w:hAnsiTheme="minorHAnsi" w:cstheme="minorHAnsi"/>
          <w:lang w:eastAsia="en-AU"/>
        </w:rPr>
        <w:tab/>
        <w:t>Effective 28 February 2014, the Murray Valley Citrus Board ceased to exist.</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(g)</w:t>
      </w:r>
      <w:r w:rsidRPr="006A75A2">
        <w:rPr>
          <w:rFonts w:asciiTheme="minorHAnsi" w:hAnsiTheme="minorHAnsi" w:cstheme="minorHAnsi"/>
          <w:lang w:eastAsia="en-AU"/>
        </w:rPr>
        <w:tab/>
        <w:t>Effective 14 May 2014, the Otway Health and Community Services was renamed Otway Health.</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(h)</w:t>
      </w:r>
      <w:r w:rsidRPr="006A75A2">
        <w:rPr>
          <w:rFonts w:asciiTheme="minorHAnsi" w:hAnsiTheme="minorHAnsi" w:cstheme="minorHAnsi"/>
          <w:lang w:eastAsia="en-AU"/>
        </w:rPr>
        <w:tab/>
        <w:t>Entities transferred as a result of the machinery of government changes effective 1 July 2013 from the Department of Planning and Community Development to the Department of Premier and Cabinet.</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(i)</w:t>
      </w:r>
      <w:r w:rsidRPr="006A75A2">
        <w:rPr>
          <w:rFonts w:asciiTheme="minorHAnsi" w:hAnsiTheme="minorHAnsi" w:cstheme="minorHAnsi"/>
          <w:lang w:eastAsia="en-AU"/>
        </w:rPr>
        <w:tab/>
        <w:t>Effective 1 April 2014, the States Services Authority ceased to exist and operations were transferred to the Victorian Public Sector Commission.</w:t>
      </w:r>
    </w:p>
    <w:p w:rsidR="004E6C32" w:rsidRPr="006A75A2" w:rsidRDefault="004E6C32" w:rsidP="004B5CB1">
      <w:pPr>
        <w:pStyle w:val="Notes"/>
        <w:rPr>
          <w:rFonts w:asciiTheme="minorHAnsi" w:hAnsiTheme="minorHAnsi" w:cstheme="minorHAnsi"/>
        </w:rPr>
      </w:pPr>
      <w:r w:rsidRPr="006A75A2">
        <w:rPr>
          <w:rFonts w:asciiTheme="minorHAnsi" w:hAnsiTheme="minorHAnsi" w:cstheme="minorHAnsi"/>
          <w:lang w:eastAsia="en-AU"/>
        </w:rPr>
        <w:t>(j)</w:t>
      </w:r>
      <w:r w:rsidRPr="006A75A2">
        <w:rPr>
          <w:rFonts w:asciiTheme="minorHAnsi" w:hAnsiTheme="minorHAnsi" w:cstheme="minorHAnsi"/>
          <w:lang w:eastAsia="en-AU"/>
        </w:rPr>
        <w:tab/>
      </w:r>
      <w:r w:rsidRPr="006A75A2">
        <w:rPr>
          <w:rFonts w:asciiTheme="minorHAnsi" w:hAnsiTheme="minorHAnsi" w:cstheme="minorHAnsi"/>
        </w:rPr>
        <w:t xml:space="preserve">Effective from 29 August 2013, CenITex was transferred from the Department of Treasury and Finance to the Department of State Development, Business and Innovation. </w:t>
      </w:r>
    </w:p>
    <w:p w:rsidR="004E6C32" w:rsidRPr="006A75A2" w:rsidRDefault="004E6C32" w:rsidP="004B5CB1">
      <w:pPr>
        <w:pStyle w:val="Notes"/>
        <w:rPr>
          <w:rFonts w:asciiTheme="minorHAnsi" w:hAnsiTheme="minorHAnsi" w:cstheme="minorHAnsi"/>
        </w:rPr>
      </w:pPr>
      <w:r w:rsidRPr="006A75A2">
        <w:rPr>
          <w:rFonts w:asciiTheme="minorHAnsi" w:hAnsiTheme="minorHAnsi" w:cstheme="minorHAnsi"/>
        </w:rPr>
        <w:t>(k)</w:t>
      </w:r>
      <w:r w:rsidRPr="006A75A2">
        <w:rPr>
          <w:rFonts w:asciiTheme="minorHAnsi" w:hAnsiTheme="minorHAnsi" w:cstheme="minorHAnsi"/>
        </w:rPr>
        <w:tab/>
      </w:r>
      <w:r w:rsidRPr="006A75A2">
        <w:rPr>
          <w:rFonts w:asciiTheme="minorHAnsi" w:hAnsiTheme="minorHAnsi" w:cstheme="minorHAnsi"/>
          <w:lang w:eastAsia="en-AU"/>
        </w:rPr>
        <w:t>Entity transferred as a result of the machinery of government changes effective 1 July 2013 from the Department of Primary Industries to the Department of State Development, Business and Innovation.</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(l)</w:t>
      </w:r>
      <w:r w:rsidRPr="006A75A2">
        <w:rPr>
          <w:rFonts w:asciiTheme="minorHAnsi" w:hAnsiTheme="minorHAnsi" w:cstheme="minorHAnsi"/>
          <w:lang w:eastAsia="en-AU"/>
        </w:rPr>
        <w:tab/>
        <w:t>Entity transferred as a result of the machinery of government changes effective 1 July 2013 from the Department of Planning and Community Development to the Department of State Development, Business and Innovation.</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(m)</w:t>
      </w:r>
      <w:r w:rsidRPr="006A75A2">
        <w:rPr>
          <w:rFonts w:asciiTheme="minorHAnsi" w:hAnsiTheme="minorHAnsi" w:cstheme="minorHAnsi"/>
          <w:lang w:eastAsia="en-AU"/>
        </w:rPr>
        <w:tab/>
        <w:t>Entity transferred  as a result of the machinery of government changes effective 1 July 2013 from the Department of Planning and Community Development to the Department of Transport, Planning and Local Infrastructure.</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(n)</w:t>
      </w:r>
      <w:r w:rsidRPr="006A75A2">
        <w:rPr>
          <w:rFonts w:asciiTheme="minorHAnsi" w:hAnsiTheme="minorHAnsi" w:cstheme="minorHAnsi"/>
          <w:lang w:eastAsia="en-AU"/>
        </w:rPr>
        <w:tab/>
        <w:t>Effective 9 October 2013, the Growth Areas Authority was renamed the Metropolitan Planning Authority.</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(o)</w:t>
      </w:r>
      <w:r w:rsidRPr="006A75A2">
        <w:rPr>
          <w:rFonts w:asciiTheme="minorHAnsi" w:hAnsiTheme="minorHAnsi" w:cstheme="minorHAnsi"/>
          <w:lang w:eastAsia="en-AU"/>
        </w:rPr>
        <w:tab/>
        <w:t xml:space="preserve">Effective 1 July 2013, Surveyors Registration Board of Victoria was transferred from the Department of Primary Industries to the Department of Transport, Planning and Local Infrastructure. </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lang w:eastAsia="en-AU"/>
        </w:rPr>
        <w:t>(p)</w:t>
      </w:r>
      <w:r w:rsidRPr="006A75A2">
        <w:rPr>
          <w:rFonts w:asciiTheme="minorHAnsi" w:hAnsiTheme="minorHAnsi" w:cstheme="minorHAnsi"/>
          <w:lang w:eastAsia="en-AU"/>
        </w:rPr>
        <w:tab/>
        <w:t>Effective 1 July 2013, the Building Commission and Plumbing Industry Commission ceased to exist and operations were transferred to the Victorian Building Authority.</w:t>
      </w:r>
    </w:p>
    <w:p w:rsidR="004E6C32" w:rsidRPr="006A75A2" w:rsidRDefault="004E6C32" w:rsidP="004B5CB1">
      <w:pPr>
        <w:pStyle w:val="Notes"/>
        <w:rPr>
          <w:rFonts w:asciiTheme="minorHAnsi" w:hAnsiTheme="minorHAnsi" w:cstheme="minorHAnsi"/>
          <w:lang w:eastAsia="en-AU"/>
        </w:rPr>
      </w:pPr>
      <w:r w:rsidRPr="006A75A2">
        <w:rPr>
          <w:rFonts w:asciiTheme="minorHAnsi" w:hAnsiTheme="minorHAnsi" w:cstheme="minorHAnsi"/>
        </w:rPr>
        <w:t>(q)</w:t>
      </w:r>
      <w:r w:rsidRPr="006A75A2">
        <w:rPr>
          <w:rFonts w:asciiTheme="minorHAnsi" w:hAnsiTheme="minorHAnsi" w:cstheme="minorHAnsi"/>
        </w:rPr>
        <w:tab/>
      </w:r>
      <w:r w:rsidRPr="006A75A2">
        <w:rPr>
          <w:rFonts w:asciiTheme="minorHAnsi" w:hAnsiTheme="minorHAnsi" w:cstheme="minorHAnsi"/>
          <w:lang w:eastAsia="en-AU"/>
        </w:rPr>
        <w:t>On 1 July 2013, the Victorian Building Authority commenced operations.</w:t>
      </w:r>
    </w:p>
    <w:p w:rsidR="004E6C32" w:rsidRPr="006A75A2" w:rsidRDefault="004E6C32" w:rsidP="004B5CB1">
      <w:pPr>
        <w:spacing w:after="60"/>
      </w:pPr>
    </w:p>
    <w:p w:rsidR="004E6C32" w:rsidRPr="006A75A2" w:rsidRDefault="004E6C32" w:rsidP="007A44BF">
      <w:pPr>
        <w:sectPr w:rsidR="004E6C32" w:rsidRPr="006A75A2" w:rsidSect="00160ABB">
          <w:footerReference w:type="even" r:id="rId25"/>
          <w:footerReference w:type="default" r:id="rId26"/>
          <w:type w:val="oddPage"/>
          <w:pgSz w:w="11906" w:h="16838" w:code="9"/>
          <w:pgMar w:top="1151" w:right="1151" w:bottom="1151" w:left="1151" w:header="720" w:footer="720" w:gutter="0"/>
          <w:cols w:space="708"/>
          <w:docGrid w:linePitch="360"/>
        </w:sectPr>
      </w:pPr>
    </w:p>
    <w:p w:rsidR="004E6C32" w:rsidRPr="006A75A2" w:rsidRDefault="004E6C32" w:rsidP="004B5CB1">
      <w:pPr>
        <w:pStyle w:val="ChapterHeading"/>
      </w:pPr>
      <w:bookmarkStart w:id="75" w:name="_Toc400040241"/>
      <w:r w:rsidRPr="006A75A2">
        <w:lastRenderedPageBreak/>
        <w:t>Chapter 5 – Supplementary Uniform Presentation Framework tables</w:t>
      </w:r>
      <w:bookmarkEnd w:id="75"/>
    </w:p>
    <w:p w:rsidR="004E6C32" w:rsidRPr="006A75A2" w:rsidRDefault="004E6C32" w:rsidP="004B5CB1">
      <w:pPr>
        <w:pStyle w:val="Heading1"/>
      </w:pPr>
      <w:bookmarkStart w:id="76" w:name="_Toc367967899"/>
      <w:bookmarkStart w:id="77" w:name="_Toc400040242"/>
      <w:r w:rsidRPr="006A75A2">
        <w:t>The accrual Government Finance Statistics presentation</w:t>
      </w:r>
      <w:bookmarkEnd w:id="76"/>
      <w:bookmarkEnd w:id="77"/>
    </w:p>
    <w:p w:rsidR="004E6C32" w:rsidRPr="006A75A2" w:rsidRDefault="004E6C32" w:rsidP="004B5CB1">
      <w:r w:rsidRPr="006A75A2">
        <w:t>The Government Finance Statistics (GFS) system employed by the Australian Bureau of Statistics (ABS) is designed to provide statistics relating to the finances of the Australian public sector. The statistics show consolidated transactions of the various institutional sectors of government from an economic viewpoint, providing details of the revenue, expenses, payments, receipts, assets and liabilities. It includes only those transactions and balances over which a government exercises control under its legislative or policy framework and excludes from the calculation of net operating balance both revaluations (realised and unrealised gains or losses) arising from a change in market prices, and other changes in the volume of assets that result from discoveries, depletion and destruction of assets. These gains and losses are classified as other economic flows.</w:t>
      </w:r>
    </w:p>
    <w:p w:rsidR="004E6C32" w:rsidRPr="006A75A2" w:rsidRDefault="004E6C32" w:rsidP="004B5CB1">
      <w:pPr>
        <w:pStyle w:val="Heading1"/>
      </w:pPr>
      <w:bookmarkStart w:id="78" w:name="_Toc367967900"/>
      <w:bookmarkStart w:id="79" w:name="_Toc400040243"/>
      <w:r w:rsidRPr="006A75A2">
        <w:t>Generally accepted accounting principles/Government Finance Statistics harmonisation</w:t>
      </w:r>
      <w:bookmarkEnd w:id="78"/>
      <w:bookmarkEnd w:id="79"/>
    </w:p>
    <w:p w:rsidR="004E6C32" w:rsidRPr="006A75A2" w:rsidRDefault="004E6C32" w:rsidP="004B5CB1">
      <w:r w:rsidRPr="006A75A2">
        <w:t xml:space="preserve">In October 2007, the Australian Accounting Standards Board issued a new standard AASB 1049 </w:t>
      </w:r>
      <w:r w:rsidRPr="006A75A2">
        <w:rPr>
          <w:i/>
        </w:rPr>
        <w:t>Whole of Government and General Government Sector Financial Reporting</w:t>
      </w:r>
      <w:r w:rsidRPr="006A75A2">
        <w:t xml:space="preserve">, applicable from 1 July 2008. The objective as set out by the Financial Reporting Council in December 2002 is </w:t>
      </w:r>
      <w:r w:rsidR="00C96101" w:rsidRPr="006A75A2">
        <w:t>‘</w:t>
      </w:r>
      <w:r w:rsidRPr="006A75A2">
        <w:t>to achieve an Australian accounting standard for a single set of government reports which are auditable, comparable between jurisdictions, and in which the outcome statements are directly comparable with the relevant budget statements</w:t>
      </w:r>
      <w:r w:rsidR="00C96101" w:rsidRPr="006A75A2">
        <w:t>’</w:t>
      </w:r>
      <w:r w:rsidRPr="006A75A2">
        <w:t>. This new standard incorporates the major elements of the GFS framework, including the presentation formats and key fiscal aggregates, into a standard based on generally accepted accounting principles (GAAP).</w:t>
      </w:r>
    </w:p>
    <w:p w:rsidR="004E6C32" w:rsidRPr="006A75A2" w:rsidRDefault="004E6C32" w:rsidP="004B5CB1">
      <w:r w:rsidRPr="006A75A2">
        <w:t>A revised Uniform Presentation Framework (UPF) was agreed by the Australian Loan Council in March 2008, based on AASB 1049, and similarly applicable from the reporting period commencing 1 July 2008. In addition to the audited Annual Financial Report presented in Chapter 4, the following statements are also required to be presented under the UPF.</w:t>
      </w:r>
    </w:p>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Heading2"/>
        <w:rPr>
          <w:kern w:val="0"/>
        </w:rPr>
      </w:pPr>
      <w:r w:rsidRPr="006A75A2">
        <w:rPr>
          <w:kern w:val="0"/>
        </w:rPr>
        <w:lastRenderedPageBreak/>
        <w:t>Financial statements for the non</w:t>
      </w:r>
      <w:r w:rsidRPr="006A75A2">
        <w:rPr>
          <w:kern w:val="0"/>
        </w:rPr>
        <w:noBreakHyphen/>
        <w:t>financial public sector</w:t>
      </w:r>
    </w:p>
    <w:p w:rsidR="004E6C32" w:rsidRPr="006A75A2" w:rsidRDefault="004E6C32" w:rsidP="004B5CB1">
      <w:pPr>
        <w:pStyle w:val="Tableheading"/>
      </w:pPr>
      <w:r w:rsidRPr="006A75A2">
        <w:t xml:space="preserve">Table 5.1: </w:t>
      </w:r>
      <w:r w:rsidRPr="006A75A2">
        <w:tab/>
        <w:t>Non</w:t>
      </w:r>
      <w:r w:rsidRPr="006A75A2">
        <w:noBreakHyphen/>
        <w:t>financial public sector operating statement for the financial year ended 30 June</w:t>
      </w:r>
    </w:p>
    <w:p w:rsidR="004E6C32" w:rsidRPr="006A75A2" w:rsidRDefault="004E6C32" w:rsidP="004B5CB1">
      <w:pPr>
        <w:pStyle w:val="million"/>
      </w:pPr>
      <w:r w:rsidRPr="006A75A2">
        <w:t>($ million)</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4E6C32" w:rsidRPr="006A75A2" w:rsidTr="004B5CB1">
        <w:trPr>
          <w:tblHeader/>
        </w:trPr>
        <w:tc>
          <w:tcPr>
            <w:tcW w:w="7402" w:type="dxa"/>
            <w:tcBorders>
              <w:top w:val="single" w:sz="4" w:space="0" w:color="auto"/>
              <w:left w:val="single" w:sz="4" w:space="0" w:color="auto"/>
              <w:bottom w:val="single" w:sz="6" w:space="0" w:color="auto"/>
              <w:right w:val="nil"/>
            </w:tcBorders>
            <w:shd w:val="clear" w:color="auto"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3" w:type="dxa"/>
            <w:tcBorders>
              <w:top w:val="single" w:sz="4" w:space="0" w:color="auto"/>
              <w:left w:val="nil"/>
              <w:bottom w:val="single" w:sz="6" w:space="0" w:color="auto"/>
              <w:right w:val="nil"/>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3" w:type="dxa"/>
            <w:tcBorders>
              <w:top w:val="single" w:sz="4" w:space="0" w:color="auto"/>
              <w:left w:val="nil"/>
              <w:bottom w:val="single" w:sz="6" w:space="0" w:color="auto"/>
              <w:right w:val="single" w:sz="4" w:space="0" w:color="auto"/>
            </w:tcBorders>
            <w:shd w:val="clear" w:color="auto"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7402" w:type="dxa"/>
            <w:tcBorders>
              <w:top w:val="single" w:sz="4"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Revenue from transactions</w:t>
            </w: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Taxation revenue</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16 505.3</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15 198.9</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401.1</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435.0</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and income tax equivalent and rate equivalent revenue</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267.4</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609.4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Sales of goods and services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11 005.3</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9 826.4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25 124.9</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21 879.2</w:t>
            </w:r>
          </w:p>
        </w:tc>
      </w:tr>
      <w:tr w:rsidR="004E6C32" w:rsidRPr="006A75A2" w:rsidTr="004B5CB1">
        <w:tc>
          <w:tcPr>
            <w:tcW w:w="7402"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revenue</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2 729.7</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2 728.9</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revenue from transactions</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56 033.7</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50 677.8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Expenses from transactions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Employee expenses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19 018.6</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18 778.0</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cs="Calibri"/>
                <w:szCs w:val="22"/>
                <w:vertAlign w:val="superscript"/>
                <w:lang w:eastAsia="en-AU"/>
              </w:rPr>
            </w:pPr>
            <w:r w:rsidRPr="006A75A2">
              <w:rPr>
                <w:rFonts w:eastAsiaTheme="minorEastAsia"/>
                <w:lang w:eastAsia="en-AU"/>
              </w:rPr>
              <w:t>Net superannuation interest expense</w:t>
            </w:r>
            <w:r w:rsidRPr="006A75A2">
              <w:rPr>
                <w:rFonts w:eastAsiaTheme="minorEastAsia"/>
                <w:vertAlign w:val="superscript"/>
                <w:lang w:eastAsia="en-AU"/>
              </w:rPr>
              <w:t>(a)</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1 054.7</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1 076.8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superannuation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1 975.2</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2 016.9</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Depreciation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4 251.0</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4 092.4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expense</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2 823.5</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2 433.8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 and other transfers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5 041.1</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5 399.1</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operating expenses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20 098.4</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18 580.9</w:t>
            </w:r>
          </w:p>
        </w:tc>
      </w:tr>
      <w:tr w:rsidR="004E6C32" w:rsidRPr="006A75A2" w:rsidTr="004B5CB1">
        <w:tc>
          <w:tcPr>
            <w:tcW w:w="7402" w:type="dxa"/>
            <w:tcBorders>
              <w:top w:val="single" w:sz="6" w:space="0" w:color="auto"/>
              <w:left w:val="nil"/>
              <w:bottom w:val="single" w:sz="6" w:space="0" w:color="auto"/>
              <w:right w:val="nil"/>
            </w:tcBorders>
          </w:tcPr>
          <w:p w:rsidR="004E6C32" w:rsidRPr="006A75A2" w:rsidRDefault="004E6C32" w:rsidP="0067336F">
            <w:pPr>
              <w:pStyle w:val="Tabletext"/>
              <w:rPr>
                <w:rFonts w:eastAsiaTheme="minorEastAsia"/>
                <w:b/>
                <w:bCs/>
                <w:vertAlign w:val="superscript"/>
                <w:lang w:eastAsia="en-AU"/>
              </w:rPr>
            </w:pPr>
            <w:r w:rsidRPr="006A75A2">
              <w:rPr>
                <w:rFonts w:eastAsiaTheme="minorEastAsia"/>
                <w:b/>
                <w:bCs/>
                <w:lang w:eastAsia="en-AU"/>
              </w:rPr>
              <w:t>Total expenses from transactions</w:t>
            </w:r>
            <w:r w:rsidRPr="006A75A2">
              <w:rPr>
                <w:rFonts w:eastAsiaTheme="minorEastAsia"/>
                <w:b/>
                <w:bCs/>
                <w:vertAlign w:val="superscript"/>
                <w:lang w:eastAsia="en-AU"/>
              </w:rPr>
              <w:t>(a)</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54 262.6</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52 377.7</w:t>
            </w:r>
          </w:p>
        </w:tc>
      </w:tr>
      <w:tr w:rsidR="004E6C32" w:rsidRPr="006A75A2" w:rsidTr="004B5CB1">
        <w:tc>
          <w:tcPr>
            <w:tcW w:w="7402" w:type="dxa"/>
            <w:tcBorders>
              <w:top w:val="single" w:sz="6" w:space="0" w:color="auto"/>
              <w:left w:val="nil"/>
              <w:bottom w:val="single" w:sz="12" w:space="0" w:color="auto"/>
              <w:right w:val="nil"/>
            </w:tcBorders>
          </w:tcPr>
          <w:p w:rsidR="004E6C32" w:rsidRPr="006A75A2" w:rsidRDefault="004E6C32" w:rsidP="0067336F">
            <w:pPr>
              <w:pStyle w:val="Tabletext"/>
              <w:rPr>
                <w:rFonts w:eastAsiaTheme="minorEastAsia"/>
                <w:b/>
                <w:bCs/>
                <w:vertAlign w:val="superscript"/>
                <w:lang w:eastAsia="en-AU"/>
              </w:rPr>
            </w:pPr>
            <w:r w:rsidRPr="006A75A2">
              <w:rPr>
                <w:rFonts w:eastAsiaTheme="minorEastAsia"/>
                <w:b/>
                <w:bCs/>
                <w:lang w:eastAsia="en-AU"/>
              </w:rPr>
              <w:t>Net result from transactions – net operating balance</w:t>
            </w:r>
            <w:r w:rsidRPr="006A75A2">
              <w:rPr>
                <w:rFonts w:eastAsiaTheme="minorEastAsia"/>
                <w:b/>
                <w:bCs/>
                <w:vertAlign w:val="superscript"/>
                <w:lang w:eastAsia="en-AU"/>
              </w:rPr>
              <w:t>(a)</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1 771.1</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(1 699.9)</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Other economic flows included in net result</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gain/(loss) on sale of non-financial assets</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(12.3)</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21.1</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gain/(loss) on financial assets or liabilities at fair value</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(63.4)</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(29.5)</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Share of net profit/(loss) from associates/joint venture entities, excluding dividends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35.6</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(83.4)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gains/(losses) from other economic flows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(1 124.9)</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(381.6)</w:t>
            </w:r>
          </w:p>
        </w:tc>
      </w:tr>
      <w:tr w:rsidR="004E6C32" w:rsidRPr="006A75A2" w:rsidTr="004B5CB1">
        <w:tc>
          <w:tcPr>
            <w:tcW w:w="7402" w:type="dxa"/>
            <w:tcBorders>
              <w:top w:val="single" w:sz="6" w:space="0" w:color="auto"/>
              <w:left w:val="nil"/>
              <w:bottom w:val="single" w:sz="6" w:space="0" w:color="auto"/>
              <w:right w:val="nil"/>
            </w:tcBorders>
          </w:tcPr>
          <w:p w:rsidR="004E6C32" w:rsidRPr="006A75A2" w:rsidRDefault="004E6C32" w:rsidP="0067336F">
            <w:pPr>
              <w:pStyle w:val="Tabletext"/>
              <w:rPr>
                <w:rFonts w:eastAsiaTheme="minorEastAsia" w:cs="Calibri"/>
                <w:b/>
                <w:bCs/>
                <w:szCs w:val="22"/>
                <w:vertAlign w:val="superscript"/>
                <w:lang w:eastAsia="en-AU"/>
              </w:rPr>
            </w:pPr>
            <w:r w:rsidRPr="006A75A2">
              <w:rPr>
                <w:rFonts w:eastAsiaTheme="minorEastAsia"/>
                <w:b/>
                <w:bCs/>
                <w:lang w:eastAsia="en-AU"/>
              </w:rPr>
              <w:t>Total other economic flows included in net result</w:t>
            </w:r>
            <w:r w:rsidRPr="006A75A2">
              <w:rPr>
                <w:rFonts w:eastAsiaTheme="minorEastAsia" w:cs="Calibri"/>
                <w:b/>
                <w:bCs/>
                <w:szCs w:val="22"/>
                <w:vertAlign w:val="superscript"/>
                <w:lang w:eastAsia="en-AU"/>
              </w:rPr>
              <w:t>(a)</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(1 164.9)</w:t>
            </w:r>
          </w:p>
        </w:tc>
        <w:tc>
          <w:tcPr>
            <w:tcW w:w="1123" w:type="dxa"/>
            <w:tcBorders>
              <w:top w:val="single" w:sz="6" w:space="0" w:color="auto"/>
              <w:left w:val="nil"/>
              <w:bottom w:val="single" w:sz="6"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lang w:eastAsia="en-AU"/>
              </w:rPr>
              <w:t>(473.4)</w:t>
            </w:r>
          </w:p>
        </w:tc>
      </w:tr>
      <w:tr w:rsidR="004E6C32" w:rsidRPr="006A75A2" w:rsidTr="004B5CB1">
        <w:tc>
          <w:tcPr>
            <w:tcW w:w="7402" w:type="dxa"/>
            <w:tcBorders>
              <w:top w:val="single" w:sz="6" w:space="0" w:color="auto"/>
              <w:left w:val="nil"/>
              <w:bottom w:val="single" w:sz="6" w:space="0" w:color="auto"/>
              <w:right w:val="nil"/>
            </w:tcBorders>
          </w:tcPr>
          <w:p w:rsidR="004E6C32" w:rsidRPr="006A75A2" w:rsidRDefault="004E6C32" w:rsidP="0067336F">
            <w:pPr>
              <w:pStyle w:val="Tabletext"/>
              <w:rPr>
                <w:rFonts w:eastAsiaTheme="minorEastAsia"/>
                <w:b/>
                <w:bCs/>
                <w:vertAlign w:val="superscript"/>
                <w:lang w:eastAsia="en-AU"/>
              </w:rPr>
            </w:pPr>
            <w:r w:rsidRPr="006A75A2">
              <w:rPr>
                <w:rFonts w:eastAsiaTheme="minorEastAsia"/>
                <w:b/>
                <w:bCs/>
                <w:lang w:eastAsia="en-AU"/>
              </w:rPr>
              <w:t>Net result</w:t>
            </w:r>
            <w:r w:rsidRPr="006A75A2">
              <w:rPr>
                <w:rFonts w:eastAsiaTheme="minorEastAsia"/>
                <w:b/>
                <w:bCs/>
                <w:vertAlign w:val="superscript"/>
                <w:lang w:eastAsia="en-AU"/>
              </w:rPr>
              <w:t>(a)</w:t>
            </w:r>
          </w:p>
        </w:tc>
        <w:tc>
          <w:tcPr>
            <w:tcW w:w="1123"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606.2</w:t>
            </w:r>
          </w:p>
        </w:tc>
        <w:tc>
          <w:tcPr>
            <w:tcW w:w="1123" w:type="dxa"/>
            <w:tcBorders>
              <w:top w:val="nil"/>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(2 173.3)</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vertAlign w:val="superscript"/>
                <w:lang w:eastAsia="en-AU"/>
              </w:rPr>
            </w:pPr>
            <w:r w:rsidRPr="006A75A2">
              <w:rPr>
                <w:rFonts w:eastAsiaTheme="minorEastAsia"/>
                <w:b/>
                <w:bCs/>
                <w:lang w:eastAsia="en-AU"/>
              </w:rPr>
              <w:t xml:space="preserve">Other economic flows – other comprehensive income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Items that will not be reclassified to net result</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Changes in non-finan</w:t>
            </w:r>
            <w:r w:rsidR="0067336F" w:rsidRPr="006A75A2">
              <w:rPr>
                <w:rFonts w:eastAsiaTheme="minorEastAsia"/>
                <w:lang w:eastAsia="en-AU"/>
              </w:rPr>
              <w:t>cial assets revaluation surplus</w:t>
            </w:r>
            <w:r w:rsidRPr="006A75A2">
              <w:rPr>
                <w:rFonts w:eastAsiaTheme="minorEastAsia"/>
                <w:vertAlign w:val="superscript"/>
                <w:lang w:eastAsia="en-AU"/>
              </w:rPr>
              <w:t>(b)</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5 224.5</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515.5</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vertAlign w:val="superscript"/>
                <w:lang w:eastAsia="en-AU"/>
              </w:rPr>
            </w:pPr>
            <w:r w:rsidRPr="006A75A2">
              <w:rPr>
                <w:rFonts w:eastAsiaTheme="minorEastAsia"/>
                <w:lang w:eastAsia="en-AU"/>
              </w:rPr>
              <w:t>Remeasurement of superannuation defined benefits plans</w:t>
            </w:r>
            <w:r w:rsidRPr="006A75A2">
              <w:rPr>
                <w:rFonts w:eastAsiaTheme="minorEastAsia"/>
                <w:vertAlign w:val="superscript"/>
                <w:lang w:eastAsia="en-AU"/>
              </w:rPr>
              <w:t>(a)</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(261.9)</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7 989.8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gain/(loss) on equity investments in other sector entities at proportional share of the carrying amount of net assets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944.3</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897.0</w:t>
            </w:r>
          </w:p>
        </w:tc>
      </w:tr>
      <w:tr w:rsidR="004E6C32" w:rsidRPr="006A75A2" w:rsidTr="004B5CB1">
        <w:tc>
          <w:tcPr>
            <w:tcW w:w="7402" w:type="dxa"/>
            <w:tcBorders>
              <w:top w:val="nil"/>
              <w:left w:val="nil"/>
              <w:bottom w:val="nil"/>
              <w:right w:val="nil"/>
            </w:tcBorders>
          </w:tcPr>
          <w:p w:rsidR="004E6C32" w:rsidRPr="006A75A2" w:rsidRDefault="0067336F" w:rsidP="004B5CB1">
            <w:pPr>
              <w:pStyle w:val="Tabletext"/>
              <w:rPr>
                <w:rFonts w:eastAsiaTheme="minorEastAsia"/>
                <w:vertAlign w:val="superscript"/>
                <w:lang w:eastAsia="en-AU"/>
              </w:rPr>
            </w:pPr>
            <w:r w:rsidRPr="006A75A2">
              <w:rPr>
                <w:rFonts w:eastAsiaTheme="minorEastAsia"/>
                <w:lang w:eastAsia="en-AU"/>
              </w:rPr>
              <w:t>Other movements in equity</w:t>
            </w:r>
            <w:r w:rsidR="004E6C32" w:rsidRPr="006A75A2">
              <w:rPr>
                <w:rFonts w:eastAsiaTheme="minorEastAsia"/>
                <w:vertAlign w:val="superscript"/>
                <w:lang w:eastAsia="en-AU"/>
              </w:rPr>
              <w:t>(b)</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848.0</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676.3</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Items that may be reclassified subsequently to net results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gain/(loss) on financial assets at fair value</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(8.6)</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84.0</w:t>
            </w:r>
          </w:p>
        </w:tc>
      </w:tr>
      <w:tr w:rsidR="004E6C32" w:rsidRPr="006A75A2" w:rsidTr="004B5CB1">
        <w:tc>
          <w:tcPr>
            <w:tcW w:w="7402" w:type="dxa"/>
            <w:tcBorders>
              <w:top w:val="single" w:sz="6" w:space="0" w:color="auto"/>
              <w:left w:val="nil"/>
              <w:bottom w:val="single" w:sz="6" w:space="0" w:color="auto"/>
              <w:right w:val="nil"/>
            </w:tcBorders>
          </w:tcPr>
          <w:p w:rsidR="004E6C32" w:rsidRPr="006A75A2" w:rsidRDefault="004E6C32" w:rsidP="0067336F">
            <w:pPr>
              <w:pStyle w:val="Tabletext"/>
              <w:rPr>
                <w:rFonts w:eastAsiaTheme="minorEastAsia"/>
                <w:b/>
                <w:bCs/>
                <w:vertAlign w:val="superscript"/>
                <w:lang w:eastAsia="en-AU"/>
              </w:rPr>
            </w:pPr>
            <w:r w:rsidRPr="006A75A2">
              <w:rPr>
                <w:rFonts w:eastAsiaTheme="minorEastAsia"/>
                <w:b/>
                <w:bCs/>
                <w:lang w:eastAsia="en-AU"/>
              </w:rPr>
              <w:t>Total other economic flows – other comprehensive income</w:t>
            </w:r>
            <w:r w:rsidRPr="006A75A2">
              <w:rPr>
                <w:rFonts w:eastAsiaTheme="minorEastAsia"/>
                <w:b/>
                <w:bCs/>
                <w:vertAlign w:val="superscript"/>
                <w:lang w:eastAsia="en-AU"/>
              </w:rPr>
              <w:t>(a)(b)</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6 746.2</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10 162.6</w:t>
            </w:r>
          </w:p>
        </w:tc>
      </w:tr>
      <w:tr w:rsidR="004E6C32" w:rsidRPr="006A75A2" w:rsidTr="004B5CB1">
        <w:tc>
          <w:tcPr>
            <w:tcW w:w="7402" w:type="dxa"/>
            <w:tcBorders>
              <w:top w:val="single" w:sz="6" w:space="0" w:color="auto"/>
              <w:left w:val="nil"/>
              <w:bottom w:val="single" w:sz="12" w:space="0" w:color="auto"/>
              <w:right w:val="nil"/>
            </w:tcBorders>
          </w:tcPr>
          <w:p w:rsidR="004E6C32" w:rsidRPr="006A75A2" w:rsidRDefault="004E6C32" w:rsidP="0067336F">
            <w:pPr>
              <w:pStyle w:val="Tabletext"/>
              <w:rPr>
                <w:rFonts w:eastAsiaTheme="minorEastAsia" w:cs="Calibri"/>
                <w:b/>
                <w:bCs/>
                <w:szCs w:val="22"/>
                <w:vertAlign w:val="superscript"/>
                <w:lang w:eastAsia="en-AU"/>
              </w:rPr>
            </w:pPr>
            <w:r w:rsidRPr="006A75A2">
              <w:rPr>
                <w:rFonts w:eastAsiaTheme="minorEastAsia"/>
                <w:b/>
                <w:bCs/>
                <w:lang w:eastAsia="en-AU"/>
              </w:rPr>
              <w:t>Comprehensive result – total change in net worth</w:t>
            </w:r>
            <w:r w:rsidRPr="006A75A2">
              <w:rPr>
                <w:rFonts w:eastAsiaTheme="minorEastAsia"/>
                <w:b/>
                <w:bCs/>
                <w:vertAlign w:val="superscript"/>
                <w:lang w:eastAsia="en-AU"/>
              </w:rPr>
              <w:t>(b)</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7 352.4</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7 989.3</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i/>
                <w:iCs/>
                <w:lang w:eastAsia="en-AU"/>
              </w:rPr>
            </w:pPr>
            <w:r w:rsidRPr="006A75A2">
              <w:rPr>
                <w:rFonts w:eastAsiaTheme="minorEastAsia"/>
                <w:i/>
                <w:iCs/>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bl>
    <w:p w:rsidR="00A659BA" w:rsidRPr="006A75A2" w:rsidRDefault="00A659BA"/>
    <w:p w:rsidR="00A659BA" w:rsidRPr="006A75A2" w:rsidRDefault="00A659BA">
      <w:pPr>
        <w:spacing w:after="0"/>
        <w:rPr>
          <w:rFonts w:ascii="Calibri" w:hAnsi="Calibri"/>
          <w:b/>
          <w:sz w:val="28"/>
          <w:szCs w:val="22"/>
        </w:rPr>
      </w:pPr>
      <w:r w:rsidRPr="006A75A2">
        <w:br w:type="page"/>
      </w:r>
    </w:p>
    <w:p w:rsidR="00A659BA" w:rsidRPr="006A75A2" w:rsidRDefault="00A659BA" w:rsidP="00A659BA">
      <w:pPr>
        <w:pStyle w:val="Heading2"/>
        <w:rPr>
          <w:kern w:val="0"/>
        </w:rPr>
      </w:pPr>
      <w:r w:rsidRPr="006A75A2">
        <w:rPr>
          <w:kern w:val="0"/>
        </w:rPr>
        <w:lastRenderedPageBreak/>
        <w:t>Financial statements for the non</w:t>
      </w:r>
      <w:r w:rsidRPr="006A75A2">
        <w:rPr>
          <w:kern w:val="0"/>
        </w:rPr>
        <w:noBreakHyphen/>
        <w:t xml:space="preserve">financial public sector </w:t>
      </w:r>
      <w:r w:rsidRPr="006A75A2">
        <w:rPr>
          <w:i/>
          <w:kern w:val="0"/>
        </w:rPr>
        <w:t>(continued)</w:t>
      </w:r>
    </w:p>
    <w:p w:rsidR="00A659BA" w:rsidRPr="006A75A2" w:rsidRDefault="00A659BA" w:rsidP="00A659BA">
      <w:pPr>
        <w:pStyle w:val="Tableheading"/>
      </w:pPr>
      <w:r w:rsidRPr="006A75A2">
        <w:t xml:space="preserve">Table 5.1: </w:t>
      </w:r>
      <w:r w:rsidRPr="006A75A2">
        <w:tab/>
        <w:t>Non</w:t>
      </w:r>
      <w:r w:rsidRPr="006A75A2">
        <w:noBreakHyphen/>
        <w:t xml:space="preserve">financial public sector operating statement for the financial year ended 30 June </w:t>
      </w:r>
      <w:r w:rsidRPr="006A75A2">
        <w:rPr>
          <w:i/>
        </w:rPr>
        <w:t>(continued)</w:t>
      </w:r>
    </w:p>
    <w:p w:rsidR="00A659BA" w:rsidRPr="006A75A2" w:rsidRDefault="00A659BA" w:rsidP="00A659BA">
      <w:pPr>
        <w:pStyle w:val="million"/>
      </w:pPr>
      <w:r w:rsidRPr="006A75A2">
        <w:t>($ million)</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A659BA" w:rsidRPr="006A75A2" w:rsidTr="00A659BA">
        <w:trPr>
          <w:tblHeader/>
        </w:trPr>
        <w:tc>
          <w:tcPr>
            <w:tcW w:w="7402" w:type="dxa"/>
            <w:tcBorders>
              <w:top w:val="single" w:sz="4" w:space="0" w:color="auto"/>
              <w:left w:val="single" w:sz="4" w:space="0" w:color="auto"/>
              <w:bottom w:val="single" w:sz="6" w:space="0" w:color="auto"/>
              <w:right w:val="nil"/>
            </w:tcBorders>
            <w:shd w:val="clear" w:color="auto" w:fill="000000"/>
          </w:tcPr>
          <w:p w:rsidR="00A659BA" w:rsidRPr="006A75A2" w:rsidRDefault="00A659BA" w:rsidP="00A659BA">
            <w:pPr>
              <w:pStyle w:val="Tabletext"/>
              <w:rPr>
                <w:rFonts w:eastAsiaTheme="minorEastAsia"/>
                <w:lang w:eastAsia="en-AU"/>
              </w:rPr>
            </w:pPr>
            <w:r w:rsidRPr="006A75A2">
              <w:rPr>
                <w:rFonts w:eastAsiaTheme="minorEastAsia"/>
                <w:lang w:eastAsia="en-AU"/>
              </w:rPr>
              <w:t xml:space="preserve"> </w:t>
            </w:r>
          </w:p>
        </w:tc>
        <w:tc>
          <w:tcPr>
            <w:tcW w:w="1123" w:type="dxa"/>
            <w:tcBorders>
              <w:top w:val="single" w:sz="4" w:space="0" w:color="auto"/>
              <w:left w:val="nil"/>
              <w:bottom w:val="single" w:sz="6" w:space="0" w:color="auto"/>
              <w:right w:val="nil"/>
            </w:tcBorders>
            <w:shd w:val="clear" w:color="auto" w:fill="000000"/>
          </w:tcPr>
          <w:p w:rsidR="00A659BA" w:rsidRPr="006A75A2" w:rsidRDefault="00A659BA" w:rsidP="00A659BA">
            <w:pPr>
              <w:pStyle w:val="Tabletextheading"/>
              <w:rPr>
                <w:rFonts w:eastAsiaTheme="minorEastAsia"/>
                <w:lang w:eastAsia="en-AU"/>
              </w:rPr>
            </w:pPr>
            <w:r w:rsidRPr="006A75A2">
              <w:rPr>
                <w:rFonts w:eastAsiaTheme="minorEastAsia"/>
                <w:lang w:eastAsia="en-AU"/>
              </w:rPr>
              <w:t>2014</w:t>
            </w:r>
          </w:p>
        </w:tc>
        <w:tc>
          <w:tcPr>
            <w:tcW w:w="1123" w:type="dxa"/>
            <w:tcBorders>
              <w:top w:val="single" w:sz="4" w:space="0" w:color="auto"/>
              <w:left w:val="nil"/>
              <w:bottom w:val="single" w:sz="6" w:space="0" w:color="auto"/>
              <w:right w:val="single" w:sz="4" w:space="0" w:color="auto"/>
            </w:tcBorders>
            <w:shd w:val="clear" w:color="auto" w:fill="000000"/>
          </w:tcPr>
          <w:p w:rsidR="00A659BA" w:rsidRPr="006A75A2" w:rsidRDefault="00A659BA" w:rsidP="00A659BA">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7402" w:type="dxa"/>
            <w:tcBorders>
              <w:top w:val="nil"/>
              <w:left w:val="nil"/>
              <w:bottom w:val="nil"/>
              <w:right w:val="nil"/>
            </w:tcBorders>
          </w:tcPr>
          <w:p w:rsidR="004E6C32" w:rsidRPr="006A75A2" w:rsidRDefault="004E6C32" w:rsidP="00A659BA">
            <w:pPr>
              <w:pStyle w:val="Tabletext"/>
              <w:ind w:left="181" w:hanging="181"/>
              <w:rPr>
                <w:rFonts w:eastAsiaTheme="minorEastAsia"/>
                <w:b/>
                <w:bCs/>
                <w:lang w:eastAsia="en-AU"/>
              </w:rPr>
            </w:pPr>
            <w:r w:rsidRPr="006A75A2">
              <w:rPr>
                <w:rFonts w:eastAsiaTheme="minorEastAsia"/>
                <w:b/>
                <w:bCs/>
                <w:lang w:eastAsia="en-AU"/>
              </w:rPr>
              <w:t>FISCAL AGGREGATES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b/>
                <w:bCs/>
                <w:vertAlign w:val="superscript"/>
                <w:lang w:eastAsia="en-AU"/>
              </w:rPr>
            </w:pPr>
            <w:r w:rsidRPr="006A75A2">
              <w:rPr>
                <w:rFonts w:eastAsiaTheme="minorEastAsia"/>
                <w:b/>
                <w:bCs/>
                <w:lang w:eastAsia="en-AU"/>
              </w:rPr>
              <w:t>Net operating balance</w:t>
            </w:r>
            <w:r w:rsidRPr="006A75A2">
              <w:rPr>
                <w:rFonts w:eastAsiaTheme="minorEastAsia"/>
                <w:b/>
                <w:bCs/>
                <w:vertAlign w:val="superscript"/>
                <w:lang w:eastAsia="en-AU"/>
              </w:rPr>
              <w:t>(a)</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1 771.1</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(1 699.9)</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acquisition of non-financial assets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Purchases of non-financial assets (including change in inventories)</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7 268.8</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7 816.6</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Less: Sales of non-financial assets</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(477.3)</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(404.4)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Less: Depreciation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(4 251.0)</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(4 092.4)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ind w:left="187" w:hanging="187"/>
              <w:rPr>
                <w:rFonts w:eastAsiaTheme="minorEastAsia"/>
                <w:vertAlign w:val="superscript"/>
                <w:lang w:eastAsia="en-AU"/>
              </w:rPr>
            </w:pPr>
            <w:r w:rsidRPr="006A75A2">
              <w:rPr>
                <w:rFonts w:eastAsiaTheme="minorEastAsia"/>
                <w:lang w:eastAsia="en-AU"/>
              </w:rPr>
              <w:t xml:space="preserve">Plus: Other movements in non-financial assets </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346.4</w:t>
            </w:r>
          </w:p>
        </w:tc>
        <w:tc>
          <w:tcPr>
            <w:tcW w:w="1123"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5 526.4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cs="Calibri"/>
                <w:b/>
                <w:bCs/>
                <w:szCs w:val="22"/>
                <w:lang w:eastAsia="en-AU"/>
              </w:rPr>
            </w:pPr>
            <w:r w:rsidRPr="006A75A2">
              <w:rPr>
                <w:rFonts w:eastAsiaTheme="minorEastAsia"/>
                <w:b/>
                <w:bCs/>
                <w:lang w:eastAsia="en-AU"/>
              </w:rPr>
              <w:t>Less: Net acquisition of non-financial assets from transactions</w:t>
            </w:r>
            <w:r w:rsidRPr="006A75A2">
              <w:rPr>
                <w:rFonts w:eastAsiaTheme="minorEastAsia"/>
                <w:b/>
                <w:bCs/>
                <w:vertAlign w:val="superscript"/>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2 886.8</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8 846.3</w:t>
            </w:r>
          </w:p>
        </w:tc>
      </w:tr>
      <w:tr w:rsidR="004E6C32" w:rsidRPr="006A75A2" w:rsidTr="004B5CB1">
        <w:tc>
          <w:tcPr>
            <w:tcW w:w="7402"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lending/(borrowing)</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(1 115.7)</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(10 546.2)</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Pr>
        <w:pStyle w:val="Notes"/>
      </w:pPr>
      <w:r w:rsidRPr="006A75A2">
        <w:t>(b)</w:t>
      </w:r>
      <w:r w:rsidRPr="006A75A2">
        <w:tab/>
        <w:t>June 2013 comparati</w:t>
      </w:r>
      <w:r w:rsidR="00B07F57" w:rsidRPr="006A75A2">
        <w:t xml:space="preserve">ve figures have been restated. </w:t>
      </w:r>
      <w:r w:rsidRPr="006A75A2">
        <w:t>See Chapter 4, Note 37.</w:t>
      </w:r>
    </w:p>
    <w:p w:rsidR="004E6C32" w:rsidRPr="006A75A2" w:rsidRDefault="004E6C32">
      <w:pPr>
        <w:spacing w:after="0"/>
        <w:rPr>
          <w:rFonts w:ascii="Calibri" w:hAnsi="Calibri"/>
          <w:b/>
          <w:sz w:val="25"/>
        </w:rPr>
      </w:pPr>
      <w:r w:rsidRPr="006A75A2">
        <w:br w:type="page"/>
      </w:r>
    </w:p>
    <w:p w:rsidR="004E6C32" w:rsidRPr="006A75A2" w:rsidRDefault="004E6C32" w:rsidP="004B5CB1">
      <w:pPr>
        <w:pStyle w:val="Tableheading"/>
      </w:pPr>
      <w:r w:rsidRPr="006A75A2">
        <w:lastRenderedPageBreak/>
        <w:t xml:space="preserve">Table 5.2: </w:t>
      </w:r>
      <w:r w:rsidRPr="006A75A2">
        <w:tab/>
        <w:t>Non</w:t>
      </w:r>
      <w:r w:rsidRPr="006A75A2">
        <w:noBreakHyphen/>
        <w:t>financial public sector balance sheet for the financial year ended 30 June</w:t>
      </w:r>
    </w:p>
    <w:p w:rsidR="004E6C32" w:rsidRPr="006A75A2" w:rsidRDefault="004E6C32" w:rsidP="004B5CB1">
      <w:pPr>
        <w:pStyle w:val="million"/>
        <w:rPr>
          <w:rFonts w:ascii="Times New Roman" w:hAnsi="Times New Roman"/>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c>
          <w:tcPr>
            <w:tcW w:w="740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deposits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5 485.4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4 759.9</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Advances paid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86.1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72.1</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Receivables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5 256.0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4 985.3</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Investments, loans and placements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4 096.6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4 439.6</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Investments accounted for using the equity method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1 555.1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1 666.1</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Investments in other sector entities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2 896.1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1 949.3</w:t>
            </w:r>
          </w:p>
        </w:tc>
      </w:tr>
      <w:tr w:rsidR="004E6C32" w:rsidRPr="006A75A2" w:rsidTr="004B5CB1">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financial assets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19 375.3</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17 872.1</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Non-financial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Inventories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802.2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871.0</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Non-financial assets held for sale</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165.6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146.6</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Land, buildings, infrastructure, plant and equipment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197 054.3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189 409.2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non-financial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2 252.9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1 844.8</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non-financial assets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200 275.0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192 271.6</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assets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219 650.2</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210 143.7</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Liabilities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Deposits held and advances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541.5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583.4</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Payables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6 525.2</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6 604.9</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Borrowings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45 052.5</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43 272.9</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employee benefits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5 657.3</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5 535.2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Superannuation</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25 729.0</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25 225.4</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provisions</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975.1</w:t>
            </w:r>
          </w:p>
        </w:tc>
        <w:tc>
          <w:tcPr>
            <w:tcW w:w="1120" w:type="dxa"/>
            <w:tcBorders>
              <w:top w:val="nil"/>
              <w:left w:val="nil"/>
              <w:bottom w:val="nil"/>
              <w:right w:val="nil"/>
            </w:tcBorders>
            <w:shd w:val="solid" w:color="FFFFFF"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1 104.5</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liabilities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84 480.7</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82 326.4</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assets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135 169.6</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127 817.4</w:t>
            </w:r>
          </w:p>
        </w:tc>
      </w:tr>
      <w:tr w:rsidR="004E6C32" w:rsidRPr="006A75A2" w:rsidTr="004B5CB1">
        <w:tc>
          <w:tcPr>
            <w:tcW w:w="7400" w:type="dxa"/>
            <w:tcBorders>
              <w:top w:val="nil"/>
              <w:left w:val="nil"/>
              <w:bottom w:val="nil"/>
              <w:right w:val="nil"/>
            </w:tcBorders>
          </w:tcPr>
          <w:p w:rsidR="004E6C32" w:rsidRPr="006A75A2" w:rsidRDefault="004E6C32" w:rsidP="0067336F">
            <w:pPr>
              <w:pStyle w:val="Tabletext"/>
              <w:rPr>
                <w:rFonts w:eastAsiaTheme="minorEastAsia" w:cs="Calibri"/>
                <w:szCs w:val="22"/>
                <w:vertAlign w:val="superscript"/>
                <w:lang w:eastAsia="en-AU"/>
              </w:rPr>
            </w:pPr>
            <w:r w:rsidRPr="006A75A2">
              <w:rPr>
                <w:rFonts w:eastAsiaTheme="minorEastAsia"/>
                <w:lang w:eastAsia="en-AU"/>
              </w:rPr>
              <w:t>Accumulated surplus/(deficit)</w:t>
            </w:r>
            <w:r w:rsidRPr="006A75A2">
              <w:rPr>
                <w:rFonts w:eastAsiaTheme="minorEastAsia"/>
                <w:vertAlign w:val="superscript"/>
                <w:lang w:eastAsia="en-AU"/>
              </w:rPr>
              <w:t>(</w:t>
            </w:r>
            <w:r w:rsidRPr="006A75A2">
              <w:rPr>
                <w:rFonts w:eastAsiaTheme="minorEastAsia" w:cs="Calibri"/>
                <w:szCs w:val="22"/>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47 866.7</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46 751.3</w:t>
            </w:r>
          </w:p>
        </w:tc>
      </w:tr>
      <w:tr w:rsidR="004E6C32" w:rsidRPr="006A75A2" w:rsidTr="004B5CB1">
        <w:tc>
          <w:tcPr>
            <w:tcW w:w="7400" w:type="dxa"/>
            <w:tcBorders>
              <w:top w:val="nil"/>
              <w:left w:val="nil"/>
              <w:bottom w:val="nil"/>
              <w:right w:val="nil"/>
            </w:tcBorders>
          </w:tcPr>
          <w:p w:rsidR="004E6C32" w:rsidRPr="006A75A2" w:rsidRDefault="004E6C32" w:rsidP="0067336F">
            <w:pPr>
              <w:pStyle w:val="Tabletext"/>
              <w:rPr>
                <w:rFonts w:eastAsiaTheme="minorEastAsia" w:cs="Calibri"/>
                <w:szCs w:val="22"/>
                <w:vertAlign w:val="superscript"/>
                <w:lang w:eastAsia="en-AU"/>
              </w:rPr>
            </w:pPr>
            <w:r w:rsidRPr="006A75A2">
              <w:rPr>
                <w:rFonts w:eastAsiaTheme="minorEastAsia"/>
                <w:lang w:eastAsia="en-AU"/>
              </w:rPr>
              <w:t>Other reserves</w:t>
            </w:r>
            <w:r w:rsidRPr="006A75A2">
              <w:rPr>
                <w:rFonts w:eastAsiaTheme="minorEastAsia"/>
                <w:vertAlign w:val="superscript"/>
                <w:lang w:eastAsia="en-AU"/>
              </w:rPr>
              <w:t>(a</w:t>
            </w:r>
            <w:r w:rsidRPr="006A75A2">
              <w:rPr>
                <w:rFonts w:eastAsiaTheme="minorEastAsia" w:cs="Calibri"/>
                <w:szCs w:val="22"/>
                <w:vertAlign w:val="superscript"/>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87 252.9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81 016.1</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Non-controlling interest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r>
      <w:tr w:rsidR="004E6C32" w:rsidRPr="006A75A2" w:rsidTr="004B5CB1">
        <w:tc>
          <w:tcPr>
            <w:tcW w:w="7400"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worth</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135 169.6</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127 817.4</w:t>
            </w:r>
          </w:p>
        </w:tc>
      </w:tr>
      <w:tr w:rsidR="004E6C32" w:rsidRPr="006A75A2" w:rsidTr="004B5CB1">
        <w:trPr>
          <w:trHeight w:hRule="exact" w:val="120"/>
        </w:trPr>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FISCAL AGGREGATES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Net financial worth </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(65 105.4</w:t>
            </w:r>
            <w:r w:rsidRPr="006A75A2">
              <w:rPr>
                <w:rFonts w:eastAsiaTheme="minorEastAsia" w:cs="Calibri"/>
                <w:szCs w:val="22"/>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(64 454.2</w:t>
            </w:r>
            <w:r w:rsidRPr="006A75A2">
              <w:rPr>
                <w:rFonts w:eastAsiaTheme="minorEastAsia" w:cs="Calibri"/>
                <w:szCs w:val="22"/>
                <w:lang w:eastAsia="en-AU"/>
              </w:rPr>
              <w:t>)</w:t>
            </w:r>
          </w:p>
        </w:tc>
      </w:tr>
      <w:tr w:rsidR="004E6C32" w:rsidRPr="006A75A2" w:rsidTr="004B5CB1">
        <w:tc>
          <w:tcPr>
            <w:tcW w:w="7400" w:type="dxa"/>
            <w:tcBorders>
              <w:top w:val="nil"/>
              <w:left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financial liabilities</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68 001.5</w:t>
            </w:r>
          </w:p>
        </w:tc>
        <w:tc>
          <w:tcPr>
            <w:tcW w:w="1120" w:type="dxa"/>
            <w:tcBorders>
              <w:top w:val="nil"/>
              <w:left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66 403.5</w:t>
            </w:r>
          </w:p>
        </w:tc>
      </w:tr>
      <w:tr w:rsidR="004E6C32" w:rsidRPr="006A75A2" w:rsidTr="004B5CB1">
        <w:tc>
          <w:tcPr>
            <w:tcW w:w="7400" w:type="dxa"/>
            <w:tcBorders>
              <w:top w:val="nil"/>
              <w:left w:val="nil"/>
              <w:bottom w:val="single" w:sz="12" w:space="0" w:color="000000"/>
              <w:right w:val="nil"/>
            </w:tcBorders>
            <w:shd w:val="clear" w:color="auto" w:fill="auto"/>
          </w:tcPr>
          <w:p w:rsidR="004E6C32" w:rsidRPr="006A75A2" w:rsidRDefault="004E6C32" w:rsidP="004B5CB1">
            <w:pPr>
              <w:pStyle w:val="Tabletext"/>
              <w:rPr>
                <w:rFonts w:eastAsiaTheme="minorEastAsia"/>
                <w:lang w:eastAsia="en-AU"/>
              </w:rPr>
            </w:pPr>
            <w:r w:rsidRPr="006A75A2">
              <w:rPr>
                <w:rFonts w:eastAsiaTheme="minorEastAsia"/>
                <w:lang w:eastAsia="en-AU"/>
              </w:rPr>
              <w:t>Net debt</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35 925.9</w:t>
            </w:r>
          </w:p>
        </w:tc>
        <w:tc>
          <w:tcPr>
            <w:tcW w:w="1120" w:type="dxa"/>
            <w:tcBorders>
              <w:top w:val="nil"/>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34 584.8</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Chapter 4, Note 37.</w:t>
      </w:r>
    </w:p>
    <w:p w:rsidR="004E6C32" w:rsidRPr="006A75A2" w:rsidRDefault="004E6C32" w:rsidP="004B5CB1"/>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Tableheading"/>
      </w:pPr>
      <w:r w:rsidRPr="006A75A2">
        <w:lastRenderedPageBreak/>
        <w:t>Table 5.3:</w:t>
      </w:r>
      <w:r w:rsidRPr="006A75A2">
        <w:tab/>
        <w:t>Non</w:t>
      </w:r>
      <w:r w:rsidRPr="006A75A2">
        <w:noBreakHyphen/>
        <w:t>financial public sector cash flow statement for the financial year ended 30 June</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4E6C32" w:rsidRPr="006A75A2" w:rsidTr="004B5CB1">
        <w:trPr>
          <w:cantSplit/>
          <w:tblHeader/>
        </w:trPr>
        <w:tc>
          <w:tcPr>
            <w:tcW w:w="740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2014</w:t>
            </w:r>
          </w:p>
        </w:tc>
        <w:tc>
          <w:tcPr>
            <w:tcW w:w="112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2013</w:t>
            </w:r>
          </w:p>
        </w:tc>
      </w:tr>
      <w:tr w:rsidR="004E6C32" w:rsidRPr="006A75A2" w:rsidTr="004B5CB1">
        <w:trPr>
          <w:cantSplit/>
        </w:trPr>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Cash flows from operating activities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Receipts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Taxes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16 323.8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14 886.3</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25 151.2</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21 988.5</w:t>
            </w:r>
          </w:p>
        </w:tc>
      </w:tr>
      <w:tr w:rsidR="004E6C32" w:rsidRPr="006A75A2" w:rsidTr="004B5CB1">
        <w:trPr>
          <w:cantSplit/>
        </w:trPr>
        <w:tc>
          <w:tcPr>
            <w:tcW w:w="7400" w:type="dxa"/>
            <w:tcBorders>
              <w:top w:val="nil"/>
              <w:left w:val="nil"/>
              <w:bottom w:val="nil"/>
              <w:right w:val="nil"/>
            </w:tcBorders>
          </w:tcPr>
          <w:p w:rsidR="004E6C32" w:rsidRPr="006A75A2" w:rsidRDefault="004E6C32" w:rsidP="0067336F">
            <w:pPr>
              <w:pStyle w:val="Tabletext"/>
              <w:rPr>
                <w:rFonts w:eastAsiaTheme="minorEastAsia"/>
                <w:vertAlign w:val="superscript"/>
                <w:lang w:eastAsia="en-AU"/>
              </w:rPr>
            </w:pPr>
            <w:r w:rsidRPr="006A75A2">
              <w:rPr>
                <w:rFonts w:eastAsiaTheme="minorEastAsia"/>
                <w:lang w:eastAsia="en-AU"/>
              </w:rPr>
              <w:t>Sales of goods and services</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12 232.8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10 715.9</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received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370.4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428.6</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Dividends and income tax equivalent and rate equivalent receipts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265.9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607.8</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receipts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1 884.5</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2 097.5</w:t>
            </w:r>
          </w:p>
        </w:tc>
      </w:tr>
      <w:tr w:rsidR="004E6C32" w:rsidRPr="006A75A2" w:rsidTr="004B5CB1">
        <w:trPr>
          <w:cantSplit/>
        </w:trPr>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receipts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56 228.6</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50 724.5</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Payments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Payments for employees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(18 904.4)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(18 548.6)</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Superannuation</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(2 788.4)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(2 629.2)</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Interest paid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(2 722.9)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(2 343.8)</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Grants and subsidies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(5 041.9)</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(5 623.2)</w:t>
            </w:r>
          </w:p>
        </w:tc>
      </w:tr>
      <w:tr w:rsidR="004E6C32" w:rsidRPr="006A75A2" w:rsidTr="004B5CB1">
        <w:trPr>
          <w:cantSplit/>
        </w:trPr>
        <w:tc>
          <w:tcPr>
            <w:tcW w:w="7400" w:type="dxa"/>
            <w:tcBorders>
              <w:top w:val="nil"/>
              <w:left w:val="nil"/>
              <w:bottom w:val="nil"/>
              <w:right w:val="nil"/>
            </w:tcBorders>
          </w:tcPr>
          <w:p w:rsidR="004E6C32" w:rsidRPr="006A75A2" w:rsidRDefault="004E6C32" w:rsidP="0067336F">
            <w:pPr>
              <w:pStyle w:val="Tabletext"/>
              <w:rPr>
                <w:rFonts w:eastAsiaTheme="minorEastAsia"/>
                <w:vertAlign w:val="superscript"/>
                <w:lang w:eastAsia="en-AU"/>
              </w:rPr>
            </w:pPr>
            <w:r w:rsidRPr="006A75A2">
              <w:rPr>
                <w:rFonts w:eastAsiaTheme="minorEastAsia"/>
                <w:lang w:eastAsia="en-AU"/>
              </w:rPr>
              <w:t>Goods and services</w:t>
            </w:r>
            <w:r w:rsidRPr="006A75A2">
              <w:rPr>
                <w:rFonts w:eastAsiaTheme="minorEastAsia"/>
                <w:vertAlign w:val="superscript"/>
                <w:lang w:eastAsia="en-AU"/>
              </w:rPr>
              <w:t>(a)</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(20 316.6)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(18 781.6)</w:t>
            </w:r>
          </w:p>
        </w:tc>
      </w:tr>
      <w:tr w:rsidR="004E6C32" w:rsidRPr="006A75A2" w:rsidTr="004B5CB1">
        <w:trPr>
          <w:cantSplit/>
        </w:trPr>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payments</w:t>
            </w:r>
          </w:p>
        </w:tc>
        <w:tc>
          <w:tcPr>
            <w:tcW w:w="1120" w:type="dxa"/>
            <w:tcBorders>
              <w:top w:val="nil"/>
              <w:left w:val="nil"/>
              <w:bottom w:val="nil"/>
              <w:right w:val="nil"/>
            </w:tcBorders>
          </w:tcPr>
          <w:p w:rsidR="004E6C32" w:rsidRPr="006A75A2" w:rsidRDefault="00C96101" w:rsidP="004B5CB1">
            <w:pPr>
              <w:pStyle w:val="TableofFigures"/>
              <w:rPr>
                <w:rFonts w:eastAsiaTheme="minorEastAsia"/>
                <w:lang w:eastAsia="en-AU"/>
              </w:rPr>
            </w:pPr>
            <w:r w:rsidRPr="006A75A2">
              <w:rPr>
                <w:rFonts w:eastAsiaTheme="minorEastAsia"/>
                <w:lang w:eastAsia="en-AU"/>
              </w:rPr>
              <w:t>(818.3)</w:t>
            </w:r>
          </w:p>
        </w:tc>
        <w:tc>
          <w:tcPr>
            <w:tcW w:w="1120" w:type="dxa"/>
            <w:tcBorders>
              <w:top w:val="nil"/>
              <w:left w:val="nil"/>
              <w:bottom w:val="nil"/>
              <w:right w:val="nil"/>
            </w:tcBorders>
          </w:tcPr>
          <w:p w:rsidR="004E6C32" w:rsidRPr="006A75A2" w:rsidRDefault="00C96101" w:rsidP="004B5CB1">
            <w:pPr>
              <w:pStyle w:val="TableofFigures"/>
              <w:rPr>
                <w:rFonts w:eastAsiaTheme="minorEastAsia"/>
                <w:lang w:eastAsia="en-AU"/>
              </w:rPr>
            </w:pPr>
            <w:r w:rsidRPr="006A75A2">
              <w:rPr>
                <w:rFonts w:eastAsiaTheme="minorEastAsia"/>
                <w:lang w:eastAsia="en-AU"/>
              </w:rPr>
              <w:t>(300.6)</w:t>
            </w:r>
          </w:p>
        </w:tc>
      </w:tr>
      <w:tr w:rsidR="004E6C32" w:rsidRPr="006A75A2" w:rsidTr="004B5CB1">
        <w:trPr>
          <w:cantSplit/>
        </w:trPr>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payments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(50 592.5)</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(48 227.0)</w:t>
            </w:r>
          </w:p>
        </w:tc>
      </w:tr>
      <w:tr w:rsidR="004E6C32" w:rsidRPr="006A75A2" w:rsidTr="004B5CB1">
        <w:trPr>
          <w:cantSplit/>
        </w:trPr>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cash flows from operating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5 636.1</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2 497.5</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Cash flows from investing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Purchases of non-financial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(7 268.8)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(7 816.6)</w:t>
            </w:r>
          </w:p>
        </w:tc>
      </w:tr>
      <w:tr w:rsidR="004E6C32" w:rsidRPr="006A75A2" w:rsidTr="004B5CB1">
        <w:trPr>
          <w:cantSplit/>
        </w:trPr>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Sales of non-financial assets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477.3</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404.4</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flows from investments in non-financial assets</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(6 791.4)</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(7 412.2)</w:t>
            </w:r>
          </w:p>
        </w:tc>
      </w:tr>
      <w:tr w:rsidR="004E6C32" w:rsidRPr="006A75A2" w:rsidTr="004B5CB1">
        <w:trPr>
          <w:cantSplit/>
        </w:trPr>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cash flows from investments in financial assets for policy purposes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319.2</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Sub-total</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(6 778.8)</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(7 093.0)</w:t>
            </w:r>
          </w:p>
        </w:tc>
      </w:tr>
      <w:tr w:rsidR="004E6C32" w:rsidRPr="006A75A2" w:rsidTr="004B5CB1">
        <w:trPr>
          <w:cantSplit/>
        </w:trPr>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Net cash flows from investments in financial assets for liquidity management purposes </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235.5</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(1 110.1)</w:t>
            </w:r>
          </w:p>
        </w:tc>
      </w:tr>
      <w:tr w:rsidR="004E6C32" w:rsidRPr="006A75A2" w:rsidTr="004B5CB1">
        <w:trPr>
          <w:cantSplit/>
        </w:trPr>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cash flows from investing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(6 543.4)</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(8 203.1)</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Cash flows from financing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Advances received (net)</w:t>
            </w:r>
          </w:p>
        </w:tc>
        <w:tc>
          <w:tcPr>
            <w:tcW w:w="1120" w:type="dxa"/>
            <w:tcBorders>
              <w:top w:val="nil"/>
              <w:left w:val="nil"/>
              <w:bottom w:val="nil"/>
              <w:right w:val="nil"/>
            </w:tcBorders>
          </w:tcPr>
          <w:p w:rsidR="004E6C32" w:rsidRPr="006A75A2" w:rsidRDefault="00C96101" w:rsidP="004B5CB1">
            <w:pPr>
              <w:pStyle w:val="TableofFigures"/>
              <w:rPr>
                <w:rFonts w:eastAsiaTheme="minorEastAsia"/>
                <w:lang w:eastAsia="en-AU"/>
              </w:rPr>
            </w:pPr>
            <w:r w:rsidRPr="006A75A2">
              <w:rPr>
                <w:rFonts w:eastAsiaTheme="minorEastAsia"/>
                <w:lang w:eastAsia="en-AU"/>
              </w:rPr>
              <w:t>(0.6)</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0.5</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Net borrowings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1 671.0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4 614.0</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Deposits received (net)</w:t>
            </w:r>
          </w:p>
        </w:tc>
        <w:tc>
          <w:tcPr>
            <w:tcW w:w="1120" w:type="dxa"/>
            <w:tcBorders>
              <w:top w:val="nil"/>
              <w:left w:val="nil"/>
              <w:bottom w:val="nil"/>
              <w:right w:val="nil"/>
            </w:tcBorders>
          </w:tcPr>
          <w:p w:rsidR="004E6C32" w:rsidRPr="006A75A2" w:rsidRDefault="00C96101" w:rsidP="004B5CB1">
            <w:pPr>
              <w:pStyle w:val="TableofFigures"/>
              <w:rPr>
                <w:rFonts w:eastAsiaTheme="minorEastAsia"/>
                <w:lang w:eastAsia="en-AU"/>
              </w:rPr>
            </w:pPr>
            <w:r w:rsidRPr="006A75A2">
              <w:rPr>
                <w:rFonts w:eastAsiaTheme="minorEastAsia"/>
                <w:lang w:eastAsia="en-AU"/>
              </w:rPr>
              <w:t>(41.4)</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75.8</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financing (net)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3.0</w:t>
            </w:r>
          </w:p>
        </w:tc>
        <w:tc>
          <w:tcPr>
            <w:tcW w:w="1120" w:type="dxa"/>
            <w:tcBorders>
              <w:top w:val="nil"/>
              <w:left w:val="nil"/>
              <w:bottom w:val="nil"/>
              <w:right w:val="nil"/>
            </w:tcBorders>
          </w:tcPr>
          <w:p w:rsidR="004E6C32" w:rsidRPr="006A75A2" w:rsidRDefault="00C96101" w:rsidP="004B5CB1">
            <w:pPr>
              <w:pStyle w:val="TableofFigures"/>
              <w:rPr>
                <w:rFonts w:eastAsiaTheme="minorEastAsia"/>
                <w:lang w:eastAsia="en-AU"/>
              </w:rPr>
            </w:pPr>
            <w:r w:rsidRPr="006A75A2">
              <w:rPr>
                <w:rFonts w:eastAsiaTheme="minorEastAsia"/>
                <w:lang w:eastAsia="en-AU"/>
              </w:rPr>
              <w:t>..</w:t>
            </w:r>
          </w:p>
        </w:tc>
      </w:tr>
      <w:tr w:rsidR="004E6C32" w:rsidRPr="006A75A2" w:rsidTr="004B5CB1">
        <w:trPr>
          <w:cantSplit/>
        </w:trPr>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cash flows from financing activities</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1 632.0</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4 690.3</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Net increase/(decrease) in cash and cash equivalents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724.7</w:t>
            </w:r>
          </w:p>
        </w:tc>
        <w:tc>
          <w:tcPr>
            <w:tcW w:w="112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(1 015.2)</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Cash and cash equivalents at beginning of reporting period</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4 759.8</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5 775.1</w:t>
            </w:r>
          </w:p>
        </w:tc>
      </w:tr>
      <w:tr w:rsidR="004E6C32" w:rsidRPr="006A75A2" w:rsidTr="004B5CB1">
        <w:trPr>
          <w:cantSplit/>
        </w:trPr>
        <w:tc>
          <w:tcPr>
            <w:tcW w:w="7400" w:type="dxa"/>
            <w:tcBorders>
              <w:top w:val="single" w:sz="6" w:space="0" w:color="auto"/>
              <w:left w:val="nil"/>
              <w:bottom w:val="single" w:sz="12" w:space="0" w:color="auto"/>
              <w:right w:val="nil"/>
            </w:tcBorders>
          </w:tcPr>
          <w:p w:rsidR="004E6C32" w:rsidRPr="006A75A2" w:rsidRDefault="004E6C32" w:rsidP="0067336F">
            <w:pPr>
              <w:pStyle w:val="Tabletext"/>
              <w:rPr>
                <w:rFonts w:eastAsiaTheme="minorEastAsia"/>
                <w:b/>
                <w:bCs/>
                <w:vertAlign w:val="superscript"/>
                <w:lang w:eastAsia="en-AU"/>
              </w:rPr>
            </w:pPr>
            <w:r w:rsidRPr="006A75A2">
              <w:rPr>
                <w:rFonts w:eastAsiaTheme="minorEastAsia"/>
                <w:b/>
                <w:bCs/>
                <w:lang w:eastAsia="en-AU"/>
              </w:rPr>
              <w:t>Cash and cash equivalents at end of the financial year</w:t>
            </w:r>
            <w:r w:rsidRPr="006A75A2">
              <w:rPr>
                <w:rFonts w:eastAsiaTheme="minorEastAsia"/>
                <w:b/>
                <w:bCs/>
                <w:vertAlign w:val="superscript"/>
                <w:lang w:eastAsia="en-AU"/>
              </w:rPr>
              <w:t>(b)</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5 484.6</w:t>
            </w:r>
          </w:p>
        </w:tc>
        <w:tc>
          <w:tcPr>
            <w:tcW w:w="112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4 759.8</w:t>
            </w:r>
          </w:p>
        </w:tc>
      </w:tr>
      <w:tr w:rsidR="004E6C32" w:rsidRPr="006A75A2" w:rsidTr="004B5CB1">
        <w:trPr>
          <w:cantSplit/>
          <w:trHeight w:hRule="exact" w:val="120"/>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FISCAL AGGREGATES</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c>
          <w:tcPr>
            <w:tcW w:w="1120" w:type="dxa"/>
            <w:tcBorders>
              <w:top w:val="nil"/>
              <w:left w:val="nil"/>
              <w:bottom w:val="nil"/>
              <w:right w:val="nil"/>
            </w:tcBorders>
          </w:tcPr>
          <w:p w:rsidR="004E6C32" w:rsidRPr="006A75A2" w:rsidRDefault="004E6C32" w:rsidP="004B5CB1">
            <w:pPr>
              <w:pStyle w:val="TableofFigures"/>
              <w:rPr>
                <w:rFonts w:eastAsiaTheme="minorEastAsia"/>
                <w:b/>
                <w:lang w:eastAsia="en-AU"/>
              </w:rPr>
            </w:pPr>
            <w:r w:rsidRPr="006A75A2">
              <w:rPr>
                <w:rFonts w:eastAsiaTheme="minorEastAsia"/>
                <w:b/>
                <w:lang w:eastAsia="en-AU"/>
              </w:rPr>
              <w:t xml:space="preserve">    </w:t>
            </w:r>
          </w:p>
        </w:tc>
      </w:tr>
      <w:tr w:rsidR="004E6C32" w:rsidRPr="006A75A2" w:rsidTr="004B5CB1">
        <w:trPr>
          <w:cantSplit/>
        </w:trPr>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cash flows from operating activities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5 636.1</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2 497.5</w:t>
            </w:r>
          </w:p>
        </w:tc>
      </w:tr>
      <w:tr w:rsidR="004E6C32" w:rsidRPr="006A75A2" w:rsidTr="004B5CB1">
        <w:trPr>
          <w:cantSplit/>
        </w:trPr>
        <w:tc>
          <w:tcPr>
            <w:tcW w:w="7400"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cash flows from investments in non-financial assets</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(6 791.4)</w:t>
            </w:r>
          </w:p>
        </w:tc>
        <w:tc>
          <w:tcPr>
            <w:tcW w:w="112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(7 412.2)</w:t>
            </w:r>
          </w:p>
        </w:tc>
      </w:tr>
      <w:tr w:rsidR="004E6C32" w:rsidRPr="006A75A2" w:rsidTr="004B5CB1">
        <w:trPr>
          <w:cantSplit/>
        </w:trPr>
        <w:tc>
          <w:tcPr>
            <w:tcW w:w="740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Cash surplus/(deficit)</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(1 155.4)</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(4 914.7)</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These items are inclusive of goods and services tax.</w:t>
      </w:r>
    </w:p>
    <w:p w:rsidR="004E6C32" w:rsidRPr="006A75A2" w:rsidRDefault="004E6C32" w:rsidP="004B5CB1">
      <w:pPr>
        <w:pStyle w:val="Notes"/>
      </w:pPr>
      <w:r w:rsidRPr="006A75A2">
        <w:t>(b)</w:t>
      </w:r>
      <w:r w:rsidRPr="006A75A2">
        <w:tab/>
        <w:t>June 2013 comparative cash and cash equivalents at the end of the reporting period does not equal cash and deposits on the balance sheet. This is due to overdrafts being included in the cash flow statement.</w:t>
      </w:r>
    </w:p>
    <w:p w:rsidR="004E6C32" w:rsidRPr="006A75A2" w:rsidRDefault="004E6C32" w:rsidP="004B5CB1"/>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Tableheading"/>
      </w:pPr>
      <w:r w:rsidRPr="006A75A2">
        <w:lastRenderedPageBreak/>
        <w:t>Table 5.4:</w:t>
      </w:r>
      <w:r w:rsidRPr="006A75A2">
        <w:tab/>
        <w:t>Non</w:t>
      </w:r>
      <w:r w:rsidRPr="006A75A2">
        <w:noBreakHyphen/>
        <w:t>financial public sector statement of changes in equity</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6113"/>
        <w:gridCol w:w="1842"/>
        <w:gridCol w:w="1685"/>
      </w:tblGrid>
      <w:tr w:rsidR="004E6C32" w:rsidRPr="006A75A2" w:rsidTr="004B5CB1">
        <w:tc>
          <w:tcPr>
            <w:tcW w:w="6113"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
              <w:rPr>
                <w:rFonts w:eastAsiaTheme="minorEastAsia"/>
                <w:lang w:eastAsia="en-AU"/>
              </w:rPr>
            </w:pPr>
            <w:r w:rsidRPr="006A75A2">
              <w:rPr>
                <w:rFonts w:eastAsiaTheme="minorEastAsia"/>
                <w:lang w:eastAsia="en-AU"/>
              </w:rPr>
              <w:t xml:space="preserve"> </w:t>
            </w:r>
          </w:p>
        </w:tc>
        <w:tc>
          <w:tcPr>
            <w:tcW w:w="1842"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Accumulated surplus/(deficit)</w:t>
            </w:r>
          </w:p>
        </w:tc>
        <w:tc>
          <w:tcPr>
            <w:tcW w:w="1685"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Non-</w:t>
            </w: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controlling </w:t>
            </w:r>
          </w:p>
          <w:p w:rsidR="004E6C32" w:rsidRPr="006A75A2" w:rsidRDefault="004E6C32" w:rsidP="004B5CB1">
            <w:pPr>
              <w:pStyle w:val="Tabletextheading"/>
              <w:rPr>
                <w:rFonts w:eastAsiaTheme="minorEastAsia"/>
                <w:lang w:eastAsia="en-AU"/>
              </w:rPr>
            </w:pPr>
            <w:r w:rsidRPr="006A75A2">
              <w:rPr>
                <w:rFonts w:eastAsiaTheme="minorEastAsia"/>
                <w:lang w:eastAsia="en-AU"/>
              </w:rPr>
              <w:t>Interest</w:t>
            </w:r>
          </w:p>
        </w:tc>
      </w:tr>
      <w:tr w:rsidR="004E6C32" w:rsidRPr="006A75A2" w:rsidTr="004B5CB1">
        <w:tc>
          <w:tcPr>
            <w:tcW w:w="6113" w:type="dxa"/>
            <w:tcBorders>
              <w:top w:val="single" w:sz="6" w:space="0" w:color="auto"/>
              <w:left w:val="nil"/>
              <w:bottom w:val="nil"/>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2014</w:t>
            </w:r>
          </w:p>
        </w:tc>
        <w:tc>
          <w:tcPr>
            <w:tcW w:w="1842"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1685"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2013</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46 751.3</w:t>
            </w:r>
          </w:p>
        </w:tc>
        <w:tc>
          <w:tcPr>
            <w:tcW w:w="16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Net result for the year</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606.2</w:t>
            </w:r>
          </w:p>
        </w:tc>
        <w:tc>
          <w:tcPr>
            <w:tcW w:w="16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Other comprehensive income for the year</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509.3</w:t>
            </w:r>
          </w:p>
        </w:tc>
        <w:tc>
          <w:tcPr>
            <w:tcW w:w="16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6113"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6113" w:type="dxa"/>
            <w:tcBorders>
              <w:top w:val="nil"/>
              <w:left w:val="nil"/>
              <w:bottom w:val="single" w:sz="12"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2014</w:t>
            </w:r>
          </w:p>
        </w:tc>
        <w:tc>
          <w:tcPr>
            <w:tcW w:w="1842"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47 866.7</w:t>
            </w:r>
          </w:p>
        </w:tc>
        <w:tc>
          <w:tcPr>
            <w:tcW w:w="1685"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r>
      <w:tr w:rsidR="004E6C32" w:rsidRPr="006A75A2" w:rsidTr="004B5CB1">
        <w:tc>
          <w:tcPr>
            <w:tcW w:w="6113" w:type="dxa"/>
            <w:tcBorders>
              <w:top w:val="nil"/>
              <w:left w:val="nil"/>
              <w:bottom w:val="nil"/>
              <w:right w:val="nil"/>
            </w:tcBorders>
          </w:tcPr>
          <w:p w:rsidR="004E6C32" w:rsidRPr="006A75A2" w:rsidRDefault="004E6C32" w:rsidP="0067336F">
            <w:pPr>
              <w:pStyle w:val="Tabletext"/>
              <w:rPr>
                <w:rFonts w:eastAsiaTheme="minorEastAsia"/>
                <w:b/>
                <w:bCs/>
                <w:vertAlign w:val="superscript"/>
                <w:lang w:eastAsia="en-AU"/>
              </w:rPr>
            </w:pPr>
            <w:r w:rsidRPr="006A75A2">
              <w:rPr>
                <w:rFonts w:eastAsiaTheme="minorEastAsia"/>
                <w:b/>
                <w:bCs/>
                <w:lang w:eastAsia="en-AU"/>
              </w:rPr>
              <w:t>2013</w:t>
            </w:r>
            <w:r w:rsidRPr="006A75A2">
              <w:rPr>
                <w:rFonts w:eastAsiaTheme="minorEastAsia"/>
                <w:b/>
                <w:bCs/>
                <w:vertAlign w:val="superscript"/>
                <w:lang w:eastAsia="en-AU"/>
              </w:rPr>
              <w:t>(a)</w:t>
            </w:r>
          </w:p>
        </w:tc>
        <w:tc>
          <w:tcPr>
            <w:tcW w:w="1842"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1685"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Balance at 1 July 2012</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39 483.7</w:t>
            </w:r>
          </w:p>
        </w:tc>
        <w:tc>
          <w:tcPr>
            <w:tcW w:w="16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50.0</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Net result for the year</w:t>
            </w:r>
            <w:r w:rsidRPr="006A75A2">
              <w:rPr>
                <w:rFonts w:eastAsiaTheme="minorEastAsia"/>
                <w:vertAlign w:val="superscript"/>
                <w:lang w:eastAsia="en-AU"/>
              </w:rPr>
              <w:t>(b)</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(2 173.3)</w:t>
            </w:r>
          </w:p>
        </w:tc>
        <w:tc>
          <w:tcPr>
            <w:tcW w:w="16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6113" w:type="dxa"/>
            <w:tcBorders>
              <w:top w:val="nil"/>
              <w:left w:val="nil"/>
              <w:bottom w:val="nil"/>
              <w:right w:val="nil"/>
            </w:tcBorders>
          </w:tcPr>
          <w:p w:rsidR="004E6C32" w:rsidRPr="006A75A2" w:rsidRDefault="004E6C32" w:rsidP="004B5CB1">
            <w:pPr>
              <w:pStyle w:val="Tabletext"/>
              <w:rPr>
                <w:rFonts w:eastAsiaTheme="minorEastAsia"/>
                <w:vertAlign w:val="superscript"/>
                <w:lang w:eastAsia="en-AU"/>
              </w:rPr>
            </w:pPr>
            <w:r w:rsidRPr="006A75A2">
              <w:rPr>
                <w:rFonts w:eastAsiaTheme="minorEastAsia"/>
                <w:lang w:eastAsia="en-AU"/>
              </w:rPr>
              <w:t>Other comprehensive income for the year</w:t>
            </w:r>
            <w:r w:rsidRPr="006A75A2">
              <w:rPr>
                <w:rFonts w:eastAsiaTheme="minorEastAsia"/>
                <w:vertAlign w:val="superscript"/>
                <w:lang w:eastAsia="en-AU"/>
              </w:rPr>
              <w:t>(b)</w:t>
            </w:r>
          </w:p>
        </w:tc>
        <w:tc>
          <w:tcPr>
            <w:tcW w:w="1842"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9 440.9</w:t>
            </w:r>
          </w:p>
        </w:tc>
        <w:tc>
          <w:tcPr>
            <w:tcW w:w="1685"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6113" w:type="dxa"/>
            <w:tcBorders>
              <w:top w:val="nil"/>
              <w:left w:val="nil"/>
              <w:bottom w:val="single" w:sz="6" w:space="0" w:color="auto"/>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Transactions with owners in their capacity as owners</w:t>
            </w:r>
          </w:p>
        </w:tc>
        <w:tc>
          <w:tcPr>
            <w:tcW w:w="1842"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685"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6113"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Total equity as at 30 June 2013</w:t>
            </w:r>
          </w:p>
        </w:tc>
        <w:tc>
          <w:tcPr>
            <w:tcW w:w="1842"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46 751.3</w:t>
            </w:r>
          </w:p>
        </w:tc>
        <w:tc>
          <w:tcPr>
            <w:tcW w:w="1685"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50.0</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June 2013 comparative figures have been restated. See Chapter 4, Note 37.</w:t>
      </w:r>
    </w:p>
    <w:p w:rsidR="004E6C32" w:rsidRPr="006A75A2" w:rsidRDefault="004E6C32" w:rsidP="004B5CB1">
      <w:pPr>
        <w:pStyle w:val="Notes"/>
      </w:pPr>
      <w:r w:rsidRPr="006A75A2">
        <w:t>(b)</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pPr>
        <w:spacing w:after="0"/>
        <w:rPr>
          <w:rFonts w:ascii="Calibri" w:hAnsi="Calibri"/>
          <w:b/>
          <w:sz w:val="25"/>
        </w:rPr>
      </w:pPr>
      <w:r w:rsidRPr="006A75A2">
        <w:br w:type="page"/>
      </w:r>
    </w:p>
    <w:p w:rsidR="004E6C32" w:rsidRPr="006A75A2" w:rsidRDefault="004E6C32" w:rsidP="004B5CB1">
      <w:pPr>
        <w:pStyle w:val="Tableheading"/>
      </w:pPr>
    </w:p>
    <w:p w:rsidR="004E6C32" w:rsidRPr="006A75A2" w:rsidRDefault="004E6C32" w:rsidP="004B5CB1">
      <w:pPr>
        <w:pStyle w:val="million"/>
        <w:rPr>
          <w:rFonts w:ascii="Times New Roman" w:hAnsi="Times New Roman"/>
          <w:lang w:eastAsia="en-AU"/>
        </w:rPr>
      </w:pPr>
    </w:p>
    <w:tbl>
      <w:tblPr>
        <w:tblW w:w="9640" w:type="dxa"/>
        <w:tblInd w:w="28" w:type="dxa"/>
        <w:tblLayout w:type="fixed"/>
        <w:tblCellMar>
          <w:left w:w="45" w:type="dxa"/>
          <w:right w:w="45" w:type="dxa"/>
        </w:tblCellMar>
        <w:tblLook w:val="0000" w:firstRow="0" w:lastRow="0" w:firstColumn="0" w:lastColumn="0" w:noHBand="0" w:noVBand="0"/>
      </w:tblPr>
      <w:tblGrid>
        <w:gridCol w:w="2410"/>
        <w:gridCol w:w="2410"/>
        <w:gridCol w:w="2410"/>
        <w:gridCol w:w="2410"/>
      </w:tblGrid>
      <w:tr w:rsidR="004E6C32" w:rsidRPr="006A75A2" w:rsidTr="004B5CB1">
        <w:tc>
          <w:tcPr>
            <w:tcW w:w="2410" w:type="dxa"/>
            <w:tcBorders>
              <w:top w:val="single" w:sz="6" w:space="0" w:color="auto"/>
              <w:left w:val="single" w:sz="6" w:space="0" w:color="auto"/>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Property, plant and equipment </w:t>
            </w:r>
          </w:p>
          <w:p w:rsidR="004E6C32" w:rsidRPr="006A75A2" w:rsidRDefault="004E6C32" w:rsidP="004B5CB1">
            <w:pPr>
              <w:pStyle w:val="Tabletextheading"/>
              <w:rPr>
                <w:rFonts w:eastAsiaTheme="minorEastAsia"/>
                <w:lang w:eastAsia="en-AU"/>
              </w:rPr>
            </w:pPr>
            <w:r w:rsidRPr="006A75A2">
              <w:rPr>
                <w:rFonts w:eastAsiaTheme="minorEastAsia"/>
                <w:lang w:eastAsia="en-AU"/>
              </w:rPr>
              <w:t>revaluation surplus</w:t>
            </w:r>
          </w:p>
        </w:tc>
        <w:tc>
          <w:tcPr>
            <w:tcW w:w="241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Investment in other </w:t>
            </w:r>
          </w:p>
          <w:p w:rsidR="004E6C32" w:rsidRPr="006A75A2" w:rsidRDefault="004E6C32" w:rsidP="004B5CB1">
            <w:pPr>
              <w:pStyle w:val="Tabletextheading"/>
              <w:rPr>
                <w:rFonts w:eastAsiaTheme="minorEastAsia"/>
                <w:lang w:eastAsia="en-AU"/>
              </w:rPr>
            </w:pPr>
            <w:r w:rsidRPr="006A75A2">
              <w:rPr>
                <w:rFonts w:eastAsiaTheme="minorEastAsia"/>
                <w:lang w:eastAsia="en-AU"/>
              </w:rPr>
              <w:t xml:space="preserve">sector entities </w:t>
            </w:r>
          </w:p>
          <w:p w:rsidR="004E6C32" w:rsidRPr="006A75A2" w:rsidRDefault="004E6C32" w:rsidP="004B5CB1">
            <w:pPr>
              <w:pStyle w:val="Tabletextheading"/>
              <w:rPr>
                <w:rFonts w:eastAsiaTheme="minorEastAsia"/>
                <w:lang w:eastAsia="en-AU"/>
              </w:rPr>
            </w:pPr>
            <w:r w:rsidRPr="006A75A2">
              <w:rPr>
                <w:rFonts w:eastAsiaTheme="minorEastAsia"/>
                <w:lang w:eastAsia="en-AU"/>
              </w:rPr>
              <w:t>revaluation surplus</w:t>
            </w:r>
          </w:p>
        </w:tc>
        <w:tc>
          <w:tcPr>
            <w:tcW w:w="2410" w:type="dxa"/>
            <w:tcBorders>
              <w:top w:val="single" w:sz="6" w:space="0" w:color="auto"/>
              <w:left w:val="nil"/>
              <w:bottom w:val="single" w:sz="6" w:space="0" w:color="auto"/>
              <w:right w:val="nil"/>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Other reserves</w:t>
            </w:r>
          </w:p>
        </w:tc>
        <w:tc>
          <w:tcPr>
            <w:tcW w:w="2410" w:type="dxa"/>
            <w:tcBorders>
              <w:top w:val="single" w:sz="6" w:space="0" w:color="auto"/>
              <w:left w:val="nil"/>
              <w:bottom w:val="single" w:sz="6" w:space="0" w:color="auto"/>
              <w:right w:val="single" w:sz="6" w:space="0" w:color="auto"/>
            </w:tcBorders>
            <w:shd w:val="clear" w:color="000000" w:fill="000000"/>
          </w:tcPr>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p>
          <w:p w:rsidR="004E6C32" w:rsidRPr="006A75A2" w:rsidRDefault="004E6C32" w:rsidP="004B5CB1">
            <w:pPr>
              <w:pStyle w:val="Tabletextheading"/>
              <w:rPr>
                <w:rFonts w:eastAsiaTheme="minorEastAsia"/>
                <w:lang w:eastAsia="en-AU"/>
              </w:rPr>
            </w:pPr>
            <w:r w:rsidRPr="006A75A2">
              <w:rPr>
                <w:rFonts w:eastAsiaTheme="minorEastAsia"/>
                <w:lang w:eastAsia="en-AU"/>
              </w:rPr>
              <w:t>Total</w:t>
            </w:r>
          </w:p>
        </w:tc>
      </w:tr>
      <w:tr w:rsidR="004E6C32" w:rsidRPr="006A75A2" w:rsidTr="004B5CB1">
        <w:tc>
          <w:tcPr>
            <w:tcW w:w="2410" w:type="dxa"/>
            <w:tcBorders>
              <w:top w:val="single" w:sz="6" w:space="0" w:color="auto"/>
              <w:left w:val="nil"/>
              <w:bottom w:val="nil"/>
              <w:right w:val="nil"/>
            </w:tcBorders>
          </w:tcPr>
          <w:p w:rsidR="004E6C32" w:rsidRPr="006A75A2" w:rsidRDefault="004E6C32" w:rsidP="004B5CB1">
            <w:pPr>
              <w:pStyle w:val="Tabletext"/>
              <w:jc w:val="right"/>
              <w:rPr>
                <w:rFonts w:eastAsiaTheme="minorEastAsia" w:cs="Calibri"/>
                <w:b/>
                <w:bCs/>
                <w:szCs w:val="22"/>
                <w:lang w:eastAsia="en-AU"/>
              </w:rPr>
            </w:pPr>
            <w:r w:rsidRPr="006A75A2">
              <w:rPr>
                <w:rFonts w:eastAsiaTheme="minorEastAsia"/>
                <w:b/>
                <w:bCs/>
                <w:lang w:eastAsia="en-AU"/>
              </w:rPr>
              <w:t xml:space="preserve">         </w:t>
            </w:r>
          </w:p>
        </w:tc>
        <w:tc>
          <w:tcPr>
            <w:tcW w:w="241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41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c>
          <w:tcPr>
            <w:tcW w:w="2410" w:type="dxa"/>
            <w:tcBorders>
              <w:top w:val="single" w:sz="6" w:space="0" w:color="auto"/>
              <w:left w:val="nil"/>
              <w:bottom w:val="nil"/>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w:t>
            </w:r>
          </w:p>
        </w:tc>
      </w:tr>
      <w:tr w:rsidR="004E6C32" w:rsidRPr="006A75A2" w:rsidTr="004B5CB1">
        <w:tc>
          <w:tcPr>
            <w:tcW w:w="2410" w:type="dxa"/>
            <w:tcBorders>
              <w:top w:val="nil"/>
              <w:left w:val="nil"/>
              <w:bottom w:val="nil"/>
              <w:right w:val="nil"/>
            </w:tcBorders>
          </w:tcPr>
          <w:p w:rsidR="004E6C32" w:rsidRPr="006A75A2" w:rsidRDefault="004E6C32" w:rsidP="004B5CB1">
            <w:pPr>
              <w:pStyle w:val="Tabletext"/>
              <w:jc w:val="right"/>
              <w:rPr>
                <w:rFonts w:eastAsiaTheme="minorEastAsia"/>
                <w:lang w:eastAsia="en-AU"/>
              </w:rPr>
            </w:pPr>
            <w:r w:rsidRPr="006A75A2">
              <w:rPr>
                <w:rFonts w:eastAsiaTheme="minorEastAsia"/>
                <w:lang w:eastAsia="en-AU"/>
              </w:rPr>
              <w:t>78 444.3</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1 659.9</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911.9</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127 817.4</w:t>
            </w:r>
          </w:p>
        </w:tc>
      </w:tr>
      <w:tr w:rsidR="004E6C32" w:rsidRPr="006A75A2" w:rsidTr="004B5CB1">
        <w:tc>
          <w:tcPr>
            <w:tcW w:w="2410" w:type="dxa"/>
            <w:tcBorders>
              <w:top w:val="nil"/>
              <w:left w:val="nil"/>
              <w:bottom w:val="nil"/>
              <w:right w:val="nil"/>
            </w:tcBorders>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606.2</w:t>
            </w:r>
          </w:p>
        </w:tc>
      </w:tr>
      <w:tr w:rsidR="004E6C32" w:rsidRPr="006A75A2" w:rsidTr="004B5CB1">
        <w:tc>
          <w:tcPr>
            <w:tcW w:w="2410" w:type="dxa"/>
            <w:tcBorders>
              <w:top w:val="nil"/>
              <w:left w:val="nil"/>
              <w:bottom w:val="nil"/>
              <w:right w:val="nil"/>
            </w:tcBorders>
          </w:tcPr>
          <w:p w:rsidR="004E6C32" w:rsidRPr="006A75A2" w:rsidRDefault="004E6C32" w:rsidP="004B5CB1">
            <w:pPr>
              <w:pStyle w:val="Tabletext"/>
              <w:jc w:val="right"/>
              <w:rPr>
                <w:rFonts w:eastAsiaTheme="minorEastAsia"/>
                <w:lang w:eastAsia="en-AU"/>
              </w:rPr>
            </w:pPr>
            <w:r w:rsidRPr="006A75A2">
              <w:rPr>
                <w:rFonts w:eastAsiaTheme="minorEastAsia"/>
                <w:lang w:eastAsia="en-AU"/>
              </w:rPr>
              <w:t>5 224.5</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944.3</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68.2</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6 746.2</w:t>
            </w:r>
          </w:p>
        </w:tc>
      </w:tr>
      <w:tr w:rsidR="004E6C32" w:rsidRPr="006A75A2" w:rsidTr="004B5CB1">
        <w:tc>
          <w:tcPr>
            <w:tcW w:w="2410" w:type="dxa"/>
            <w:tcBorders>
              <w:top w:val="nil"/>
              <w:left w:val="nil"/>
              <w:bottom w:val="nil"/>
              <w:right w:val="nil"/>
            </w:tcBorders>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410" w:type="dxa"/>
            <w:tcBorders>
              <w:top w:val="single" w:sz="6" w:space="0" w:color="auto"/>
              <w:left w:val="nil"/>
              <w:bottom w:val="single" w:sz="12" w:space="0" w:color="auto"/>
              <w:right w:val="nil"/>
            </w:tcBorders>
          </w:tcPr>
          <w:p w:rsidR="004E6C32" w:rsidRPr="006A75A2" w:rsidRDefault="004E6C32" w:rsidP="004B5CB1">
            <w:pPr>
              <w:pStyle w:val="Tabletext"/>
              <w:jc w:val="right"/>
              <w:rPr>
                <w:rFonts w:eastAsiaTheme="minorEastAsia"/>
                <w:b/>
                <w:bCs/>
                <w:lang w:eastAsia="en-AU"/>
              </w:rPr>
            </w:pPr>
            <w:r w:rsidRPr="006A75A2">
              <w:rPr>
                <w:rFonts w:eastAsiaTheme="minorEastAsia"/>
                <w:b/>
                <w:bCs/>
                <w:lang w:eastAsia="en-AU"/>
              </w:rPr>
              <w:t>83 668.6</w:t>
            </w:r>
          </w:p>
        </w:tc>
        <w:tc>
          <w:tcPr>
            <w:tcW w:w="241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2 604.2</w:t>
            </w:r>
          </w:p>
        </w:tc>
        <w:tc>
          <w:tcPr>
            <w:tcW w:w="241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980.1</w:t>
            </w:r>
          </w:p>
        </w:tc>
        <w:tc>
          <w:tcPr>
            <w:tcW w:w="2410"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135 169.6</w:t>
            </w:r>
          </w:p>
        </w:tc>
      </w:tr>
      <w:tr w:rsidR="004E6C32" w:rsidRPr="006A75A2" w:rsidTr="004B5CB1">
        <w:tc>
          <w:tcPr>
            <w:tcW w:w="2410" w:type="dxa"/>
            <w:tcBorders>
              <w:top w:val="nil"/>
              <w:left w:val="nil"/>
              <w:bottom w:val="nil"/>
              <w:right w:val="nil"/>
            </w:tcBorders>
          </w:tcPr>
          <w:p w:rsidR="004E6C32" w:rsidRPr="006A75A2" w:rsidRDefault="004E6C32" w:rsidP="004B5CB1">
            <w:pPr>
              <w:pStyle w:val="Tabletext"/>
              <w:jc w:val="right"/>
              <w:rPr>
                <w:rFonts w:eastAsiaTheme="minorEastAsia"/>
                <w:b/>
                <w:bCs/>
                <w:lang w:eastAsia="en-AU"/>
              </w:rPr>
            </w:pPr>
          </w:p>
        </w:tc>
        <w:tc>
          <w:tcPr>
            <w:tcW w:w="241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241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c>
          <w:tcPr>
            <w:tcW w:w="2410" w:type="dxa"/>
            <w:tcBorders>
              <w:top w:val="nil"/>
              <w:left w:val="nil"/>
              <w:bottom w:val="nil"/>
              <w:right w:val="nil"/>
            </w:tcBorders>
          </w:tcPr>
          <w:p w:rsidR="004E6C32" w:rsidRPr="006A75A2" w:rsidRDefault="004E6C32" w:rsidP="004B5CB1">
            <w:pPr>
              <w:pStyle w:val="TableofFigures"/>
              <w:rPr>
                <w:rFonts w:eastAsiaTheme="minorEastAsia"/>
                <w:b/>
                <w:bCs/>
                <w:lang w:eastAsia="en-AU"/>
              </w:rPr>
            </w:pPr>
          </w:p>
        </w:tc>
      </w:tr>
      <w:tr w:rsidR="004E6C32" w:rsidRPr="006A75A2" w:rsidTr="004B5CB1">
        <w:tc>
          <w:tcPr>
            <w:tcW w:w="2410" w:type="dxa"/>
            <w:tcBorders>
              <w:top w:val="nil"/>
              <w:left w:val="nil"/>
              <w:bottom w:val="nil"/>
              <w:right w:val="nil"/>
            </w:tcBorders>
          </w:tcPr>
          <w:p w:rsidR="004E6C32" w:rsidRPr="006A75A2" w:rsidRDefault="004E6C32" w:rsidP="004B5CB1">
            <w:pPr>
              <w:pStyle w:val="Tabletext"/>
              <w:jc w:val="right"/>
              <w:rPr>
                <w:rFonts w:eastAsiaTheme="minorEastAsia"/>
                <w:lang w:eastAsia="en-AU"/>
              </w:rPr>
            </w:pPr>
            <w:r w:rsidRPr="006A75A2">
              <w:rPr>
                <w:rFonts w:eastAsiaTheme="minorEastAsia"/>
                <w:lang w:eastAsia="en-AU"/>
              </w:rPr>
              <w:t>77 928.7</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762.9</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1 602.8</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119 828.1</w:t>
            </w:r>
          </w:p>
        </w:tc>
      </w:tr>
      <w:tr w:rsidR="004E6C32" w:rsidRPr="006A75A2" w:rsidTr="004B5CB1">
        <w:tc>
          <w:tcPr>
            <w:tcW w:w="2410" w:type="dxa"/>
            <w:tcBorders>
              <w:top w:val="nil"/>
              <w:left w:val="nil"/>
              <w:bottom w:val="nil"/>
              <w:right w:val="nil"/>
            </w:tcBorders>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(2 173.3)</w:t>
            </w:r>
          </w:p>
        </w:tc>
      </w:tr>
      <w:tr w:rsidR="004E6C32" w:rsidRPr="006A75A2" w:rsidTr="004B5CB1">
        <w:tc>
          <w:tcPr>
            <w:tcW w:w="2410" w:type="dxa"/>
            <w:tcBorders>
              <w:top w:val="nil"/>
              <w:left w:val="nil"/>
              <w:bottom w:val="nil"/>
              <w:right w:val="nil"/>
            </w:tcBorders>
          </w:tcPr>
          <w:p w:rsidR="004E6C32" w:rsidRPr="006A75A2" w:rsidRDefault="004E6C32" w:rsidP="004B5CB1">
            <w:pPr>
              <w:pStyle w:val="Tabletext"/>
              <w:jc w:val="right"/>
              <w:rPr>
                <w:rFonts w:eastAsiaTheme="minorEastAsia" w:cs="Calibri"/>
                <w:szCs w:val="22"/>
                <w:lang w:eastAsia="en-AU"/>
              </w:rPr>
            </w:pPr>
            <w:r w:rsidRPr="006A75A2">
              <w:rPr>
                <w:rFonts w:eastAsiaTheme="minorEastAsia"/>
                <w:lang w:eastAsia="en-AU"/>
              </w:rPr>
              <w:t xml:space="preserve"> 515.5</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897.0</w:t>
            </w:r>
          </w:p>
        </w:tc>
        <w:tc>
          <w:tcPr>
            <w:tcW w:w="241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(690.9)</w:t>
            </w:r>
          </w:p>
        </w:tc>
        <w:tc>
          <w:tcPr>
            <w:tcW w:w="241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10 162.6</w:t>
            </w:r>
          </w:p>
        </w:tc>
      </w:tr>
      <w:tr w:rsidR="004E6C32" w:rsidRPr="006A75A2" w:rsidTr="004B5CB1">
        <w:tc>
          <w:tcPr>
            <w:tcW w:w="2410" w:type="dxa"/>
            <w:tcBorders>
              <w:top w:val="nil"/>
              <w:left w:val="nil"/>
              <w:bottom w:val="single" w:sz="6" w:space="0" w:color="auto"/>
              <w:right w:val="nil"/>
            </w:tcBorders>
          </w:tcPr>
          <w:p w:rsidR="004E6C32" w:rsidRPr="006A75A2" w:rsidRDefault="004E6C32" w:rsidP="004B5CB1">
            <w:pPr>
              <w:pStyle w:val="Tabletext"/>
              <w:jc w:val="right"/>
              <w:rPr>
                <w:rFonts w:eastAsiaTheme="minorEastAsia"/>
                <w:lang w:eastAsia="en-AU"/>
              </w:rPr>
            </w:pPr>
            <w:r w:rsidRPr="006A75A2">
              <w:rPr>
                <w:rFonts w:eastAsiaTheme="minorEastAsia"/>
                <w:lang w:eastAsia="en-AU"/>
              </w:rPr>
              <w:t>..</w:t>
            </w:r>
          </w:p>
        </w:tc>
        <w:tc>
          <w:tcPr>
            <w:tcW w:w="241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41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2410" w:type="dxa"/>
            <w:tcBorders>
              <w:top w:val="nil"/>
              <w:left w:val="nil"/>
              <w:bottom w:val="single" w:sz="6" w:space="0" w:color="auto"/>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r>
      <w:tr w:rsidR="004E6C32" w:rsidRPr="006A75A2" w:rsidTr="004B5CB1">
        <w:tc>
          <w:tcPr>
            <w:tcW w:w="241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text"/>
              <w:jc w:val="right"/>
              <w:rPr>
                <w:rFonts w:eastAsiaTheme="minorEastAsia"/>
                <w:b/>
                <w:bCs/>
                <w:lang w:eastAsia="en-AU"/>
              </w:rPr>
            </w:pPr>
            <w:r w:rsidRPr="006A75A2">
              <w:rPr>
                <w:rFonts w:eastAsiaTheme="minorEastAsia"/>
                <w:b/>
                <w:bCs/>
                <w:lang w:eastAsia="en-AU"/>
              </w:rPr>
              <w:t>78 444.3</w:t>
            </w:r>
          </w:p>
        </w:tc>
        <w:tc>
          <w:tcPr>
            <w:tcW w:w="241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1 659.9</w:t>
            </w:r>
          </w:p>
        </w:tc>
        <w:tc>
          <w:tcPr>
            <w:tcW w:w="241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 xml:space="preserve"> 911.9</w:t>
            </w:r>
          </w:p>
        </w:tc>
        <w:tc>
          <w:tcPr>
            <w:tcW w:w="241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127 817.4</w:t>
            </w:r>
          </w:p>
        </w:tc>
      </w:tr>
    </w:tbl>
    <w:p w:rsidR="004E6C32" w:rsidRPr="006A75A2" w:rsidRDefault="004E6C32" w:rsidP="004B5CB1"/>
    <w:p w:rsidR="004E6C32" w:rsidRPr="006A75A2" w:rsidRDefault="004E6C32" w:rsidP="004B5CB1"/>
    <w:p w:rsidR="004E6C32" w:rsidRPr="006A75A2" w:rsidRDefault="004E6C32" w:rsidP="004B5CB1"/>
    <w:p w:rsidR="004E6C32" w:rsidRPr="006A75A2" w:rsidRDefault="004E6C32">
      <w:pPr>
        <w:spacing w:after="0"/>
      </w:pPr>
      <w:r w:rsidRPr="006A75A2">
        <w:br w:type="page"/>
      </w:r>
    </w:p>
    <w:p w:rsidR="004E6C32" w:rsidRPr="006A75A2" w:rsidRDefault="004E6C32" w:rsidP="004B5CB1">
      <w:pPr>
        <w:pStyle w:val="Tableheading"/>
      </w:pPr>
      <w:r w:rsidRPr="006A75A2">
        <w:lastRenderedPageBreak/>
        <w:t>Table 5.5:</w:t>
      </w:r>
      <w:r w:rsidRPr="006A75A2">
        <w:tab/>
        <w:t>Derivation of non</w:t>
      </w:r>
      <w:r w:rsidRPr="006A75A2">
        <w:noBreakHyphen/>
        <w:t>financial public sector GFS cash surplus/(deficit)</w:t>
      </w:r>
    </w:p>
    <w:p w:rsidR="004E6C32" w:rsidRPr="006A75A2" w:rsidRDefault="004E6C32" w:rsidP="004B5CB1">
      <w:pPr>
        <w:pStyle w:val="million"/>
      </w:pPr>
      <w:r w:rsidRPr="006A75A2">
        <w:t>($ million)</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4E6C32" w:rsidRPr="006A75A2" w:rsidTr="004B5CB1">
        <w:tc>
          <w:tcPr>
            <w:tcW w:w="7402" w:type="dxa"/>
            <w:tcBorders>
              <w:top w:val="single" w:sz="4" w:space="0" w:color="auto"/>
              <w:left w:val="single" w:sz="4" w:space="0" w:color="auto"/>
              <w:bottom w:val="single" w:sz="6" w:space="0" w:color="auto"/>
              <w:right w:val="nil"/>
            </w:tcBorders>
            <w:shd w:val="clear" w:color="auto" w:fill="000000"/>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tcBorders>
              <w:top w:val="single" w:sz="4" w:space="0" w:color="auto"/>
              <w:left w:val="nil"/>
              <w:bottom w:val="single" w:sz="6"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2014</w:t>
            </w:r>
          </w:p>
        </w:tc>
        <w:tc>
          <w:tcPr>
            <w:tcW w:w="1123" w:type="dxa"/>
            <w:tcBorders>
              <w:top w:val="single" w:sz="4" w:space="0" w:color="auto"/>
              <w:left w:val="nil"/>
              <w:bottom w:val="single" w:sz="6" w:space="0" w:color="auto"/>
              <w:right w:val="single" w:sz="4" w:space="0" w:color="auto"/>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2013</w:t>
            </w:r>
          </w:p>
        </w:tc>
      </w:tr>
      <w:tr w:rsidR="004E6C32" w:rsidRPr="006A75A2" w:rsidTr="004B5CB1">
        <w:tc>
          <w:tcPr>
            <w:tcW w:w="7402" w:type="dxa"/>
            <w:tcBorders>
              <w:top w:val="single" w:sz="4" w:space="0" w:color="auto"/>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 xml:space="preserve">Cash surplus/(deficit) </w:t>
            </w: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(1 155.4)</w:t>
            </w: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(4 914.7)</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Less: Acquisitions under finance leases and similar arrangements</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(109.5)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(5 433.8)</w:t>
            </w:r>
          </w:p>
        </w:tc>
      </w:tr>
      <w:tr w:rsidR="004E6C32" w:rsidRPr="006A75A2" w:rsidTr="004B5CB1">
        <w:tc>
          <w:tcPr>
            <w:tcW w:w="7402" w:type="dxa"/>
            <w:tcBorders>
              <w:top w:val="single" w:sz="6" w:space="0" w:color="auto"/>
              <w:left w:val="nil"/>
              <w:bottom w:val="single" w:sz="12" w:space="0" w:color="auto"/>
              <w:right w:val="nil"/>
            </w:tcBorders>
          </w:tcPr>
          <w:p w:rsidR="004E6C32" w:rsidRPr="006A75A2" w:rsidRDefault="004E6C32" w:rsidP="0067336F">
            <w:pPr>
              <w:pStyle w:val="Tabletext"/>
              <w:rPr>
                <w:rFonts w:eastAsiaTheme="minorEastAsia"/>
                <w:b/>
                <w:bCs/>
                <w:sz w:val="21"/>
                <w:szCs w:val="21"/>
                <w:vertAlign w:val="superscript"/>
                <w:lang w:eastAsia="en-AU"/>
              </w:rPr>
            </w:pPr>
            <w:r w:rsidRPr="006A75A2">
              <w:rPr>
                <w:rFonts w:eastAsiaTheme="minorEastAsia"/>
                <w:b/>
                <w:bCs/>
                <w:sz w:val="21"/>
                <w:szCs w:val="21"/>
                <w:lang w:eastAsia="en-AU"/>
              </w:rPr>
              <w:t>GFS cash surplus/(deficit)</w:t>
            </w:r>
            <w:r w:rsidRPr="006A75A2">
              <w:rPr>
                <w:rFonts w:eastAsiaTheme="minorEastAsia"/>
                <w:b/>
                <w:bCs/>
                <w:sz w:val="21"/>
                <w:szCs w:val="21"/>
                <w:vertAlign w:val="superscript"/>
                <w:lang w:eastAsia="en-AU"/>
              </w:rPr>
              <w:t>(a)</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(1 264.9)</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(10 348.5)</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w:t>
      </w:r>
    </w:p>
    <w:p w:rsidR="004E6C32" w:rsidRPr="006A75A2" w:rsidRDefault="004E6C32" w:rsidP="004B5CB1">
      <w:pPr>
        <w:pStyle w:val="Notes"/>
      </w:pPr>
      <w:r w:rsidRPr="006A75A2">
        <w:t xml:space="preserve">(a) </w:t>
      </w:r>
      <w:r w:rsidRPr="006A75A2">
        <w:tab/>
        <w:t>Determined in accordance with ABS GFS manual.</w:t>
      </w:r>
    </w:p>
    <w:p w:rsidR="004E6C32" w:rsidRPr="006A75A2" w:rsidRDefault="004E6C32" w:rsidP="004B5CB1"/>
    <w:p w:rsidR="004E6C32" w:rsidRPr="006A75A2" w:rsidRDefault="004E6C32">
      <w:pPr>
        <w:spacing w:after="0"/>
        <w:rPr>
          <w:rFonts w:ascii="Calibri" w:hAnsi="Calibri"/>
          <w:b/>
          <w:sz w:val="25"/>
        </w:rPr>
      </w:pPr>
      <w:r w:rsidRPr="006A75A2">
        <w:br w:type="page"/>
      </w:r>
    </w:p>
    <w:p w:rsidR="004E6C32" w:rsidRPr="006A75A2" w:rsidRDefault="004E6C32" w:rsidP="004B5CB1">
      <w:pPr>
        <w:pStyle w:val="Tableheading"/>
        <w:rPr>
          <w:vertAlign w:val="superscript"/>
        </w:rPr>
      </w:pPr>
      <w:r w:rsidRPr="006A75A2">
        <w:lastRenderedPageBreak/>
        <w:t xml:space="preserve">Table 5.6: </w:t>
      </w:r>
      <w:r w:rsidRPr="006A75A2">
        <w:tab/>
        <w:t>General government sector detailed expenses by function</w:t>
      </w:r>
      <w:r w:rsidRPr="006A75A2">
        <w:rPr>
          <w:vertAlign w:val="superscript"/>
        </w:rPr>
        <w:t>(a)</w:t>
      </w:r>
    </w:p>
    <w:p w:rsidR="004E6C32" w:rsidRPr="006A75A2" w:rsidRDefault="004E6C32" w:rsidP="004B5CB1">
      <w:pPr>
        <w:pStyle w:val="million"/>
      </w:pPr>
      <w:r w:rsidRPr="006A75A2">
        <w:t>($ million)</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1123"/>
        <w:gridCol w:w="1123"/>
      </w:tblGrid>
      <w:tr w:rsidR="004E6C32" w:rsidRPr="006A75A2" w:rsidTr="004B5CB1">
        <w:trPr>
          <w:tblHeader/>
        </w:trPr>
        <w:tc>
          <w:tcPr>
            <w:tcW w:w="7402" w:type="dxa"/>
            <w:tcBorders>
              <w:top w:val="single" w:sz="4" w:space="0" w:color="auto"/>
              <w:left w:val="single" w:sz="4" w:space="0" w:color="auto"/>
              <w:bottom w:val="single" w:sz="6" w:space="0" w:color="auto"/>
              <w:right w:val="nil"/>
            </w:tcBorders>
            <w:shd w:val="clear" w:color="auto" w:fill="000000"/>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tcBorders>
              <w:top w:val="single" w:sz="4" w:space="0" w:color="auto"/>
              <w:left w:val="nil"/>
              <w:bottom w:val="single" w:sz="6"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2013-14</w:t>
            </w:r>
          </w:p>
        </w:tc>
        <w:tc>
          <w:tcPr>
            <w:tcW w:w="1123" w:type="dxa"/>
            <w:tcBorders>
              <w:top w:val="single" w:sz="4" w:space="0" w:color="auto"/>
              <w:left w:val="nil"/>
              <w:bottom w:val="single" w:sz="6" w:space="0" w:color="auto"/>
              <w:right w:val="single" w:sz="4" w:space="0" w:color="auto"/>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 xml:space="preserve"> 2012-13 </w:t>
            </w:r>
          </w:p>
        </w:tc>
      </w:tr>
      <w:tr w:rsidR="004E6C32" w:rsidRPr="006A75A2" w:rsidTr="004B5CB1">
        <w:tc>
          <w:tcPr>
            <w:tcW w:w="7402" w:type="dxa"/>
            <w:tcBorders>
              <w:top w:val="single" w:sz="4" w:space="0" w:color="auto"/>
              <w:left w:val="nil"/>
              <w:bottom w:val="nil"/>
              <w:right w:val="nil"/>
            </w:tcBorders>
          </w:tcPr>
          <w:p w:rsidR="004E6C32" w:rsidRPr="006A75A2" w:rsidRDefault="004E6C32" w:rsidP="0067336F">
            <w:pPr>
              <w:pStyle w:val="Tabletext"/>
              <w:rPr>
                <w:rFonts w:eastAsiaTheme="minorEastAsia"/>
                <w:b/>
                <w:bCs/>
                <w:sz w:val="21"/>
                <w:szCs w:val="21"/>
                <w:vertAlign w:val="superscript"/>
                <w:lang w:eastAsia="en-AU"/>
              </w:rPr>
            </w:pPr>
            <w:r w:rsidRPr="006A75A2">
              <w:rPr>
                <w:rFonts w:eastAsiaTheme="minorEastAsia"/>
                <w:b/>
                <w:bCs/>
                <w:sz w:val="21"/>
                <w:szCs w:val="21"/>
                <w:lang w:eastAsia="en-AU"/>
              </w:rPr>
              <w:t>General public services</w:t>
            </w:r>
            <w:r w:rsidRPr="006A75A2">
              <w:rPr>
                <w:rFonts w:eastAsiaTheme="minorEastAsia"/>
                <w:b/>
                <w:bCs/>
                <w:sz w:val="21"/>
                <w:szCs w:val="21"/>
                <w:vertAlign w:val="superscript"/>
                <w:lang w:eastAsia="en-AU"/>
              </w:rPr>
              <w:t>(b)</w:t>
            </w: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1 050.5</w:t>
            </w:r>
          </w:p>
        </w:tc>
        <w:tc>
          <w:tcPr>
            <w:tcW w:w="1123" w:type="dxa"/>
            <w:tcBorders>
              <w:top w:val="single" w:sz="4" w:space="0" w:color="auto"/>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1 342.5</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Other general public services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1 050.5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1 342.5</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Public order and safety</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5 508.5</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5 188.5</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Police and fire protection services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3 313.7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3 105.6</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Police services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2 159.7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2 020.5</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Fire protection services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1 154.0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1 085.1</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Law courts and legal services</w:t>
            </w:r>
          </w:p>
        </w:tc>
        <w:tc>
          <w:tcPr>
            <w:tcW w:w="1123"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1 014.7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1 009.3</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Prisons and corrective services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815.7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730.8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Other public order and safety</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364.3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342.9</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Education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12 836.9</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12 661.5</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Primary and secondary education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9 326.4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9 014.8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Primary education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4 698.3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4 518.2</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Secondary education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4 579.5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4 445.2</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 xml:space="preserve">      Primary and secondary education NEC</w:t>
            </w:r>
            <w:r w:rsidRPr="006A75A2">
              <w:rPr>
                <w:rFonts w:eastAsiaTheme="minorEastAsia"/>
                <w:sz w:val="21"/>
                <w:szCs w:val="21"/>
                <w:vertAlign w:val="superscript"/>
                <w:lang w:eastAsia="en-AU"/>
              </w:rPr>
              <w:t>(c)</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48.6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51.4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Tertiary education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2 231.7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2 396.7</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Technical and further education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2 231.7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2 396.7</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Pre-school education and education not definable by level</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939.5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911.1</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Pre-school education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311.5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323.9</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Special education</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628.0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587.2</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Transportation of students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339.3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338.9</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Transportation of non-urban school children</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243.7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244.7</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Transportation of other students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95.6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94.2</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 xml:space="preserve">   Education NEC</w:t>
            </w:r>
            <w:r w:rsidRPr="006A75A2">
              <w:rPr>
                <w:rFonts w:eastAsiaTheme="minorEastAsia"/>
                <w:sz w:val="21"/>
                <w:szCs w:val="21"/>
                <w:vertAlign w:val="superscript"/>
                <w:lang w:eastAsia="en-AU"/>
              </w:rPr>
              <w:t>(c)</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Health</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13 814.6</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13 158.2</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Acute care institutions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10 303.7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9 732.0</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Admitted patient services in acute care institutions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8 530.4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8 035.8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Non-admitted patient services in acute care institutions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1 773.4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1 696.2</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Mental health institutions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83.7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72.5</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Nursing homes for the aged</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509.3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521.7</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Community health services</w:t>
            </w:r>
          </w:p>
        </w:tc>
        <w:tc>
          <w:tcPr>
            <w:tcW w:w="1123"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2 112.2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2 047.2</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Community health services (excluding community mental health)  </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789.2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752.6</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Community mental health</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700.9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682.8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Patient transport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622.1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611.8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Public health services </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358.9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358.1</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Pharmaceuticals, medical aids and appliances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330.2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309.4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Health research</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107.1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109.8</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 xml:space="preserve">   Health administration NEC</w:t>
            </w:r>
            <w:r w:rsidRPr="006A75A2">
              <w:rPr>
                <w:rFonts w:eastAsiaTheme="minorEastAsia"/>
                <w:sz w:val="21"/>
                <w:szCs w:val="21"/>
                <w:vertAlign w:val="superscript"/>
                <w:lang w:eastAsia="en-AU"/>
              </w:rPr>
              <w:t>(c)</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7.6</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ind w:left="181" w:hanging="181"/>
              <w:rPr>
                <w:rFonts w:eastAsiaTheme="minorEastAsia"/>
                <w:b/>
                <w:bCs/>
                <w:sz w:val="21"/>
                <w:szCs w:val="21"/>
                <w:lang w:eastAsia="en-AU"/>
              </w:rPr>
            </w:pPr>
            <w:r w:rsidRPr="006A75A2">
              <w:rPr>
                <w:rFonts w:eastAsiaTheme="minorEastAsia"/>
                <w:b/>
                <w:bCs/>
                <w:sz w:val="21"/>
                <w:szCs w:val="21"/>
                <w:lang w:eastAsia="en-AU"/>
              </w:rPr>
              <w:t>Social security and welfare</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4 111.7</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3 868.0</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Welfare services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4 111.7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3 868.0</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Family and child services </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936.2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870.9</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Welfare services for the aged</w:t>
            </w:r>
          </w:p>
        </w:tc>
        <w:tc>
          <w:tcPr>
            <w:tcW w:w="1123"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1 002.6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1 117.2</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Welfare services for people with a disability</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1 516.9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1 440.5</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 xml:space="preserve">      Welfare services NEC</w:t>
            </w:r>
            <w:r w:rsidRPr="006A75A2">
              <w:rPr>
                <w:rFonts w:eastAsiaTheme="minorEastAsia"/>
                <w:sz w:val="21"/>
                <w:szCs w:val="21"/>
                <w:vertAlign w:val="superscript"/>
                <w:lang w:eastAsia="en-AU"/>
              </w:rPr>
              <w:t>(c)</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655.9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439.5</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ind w:left="181" w:hanging="181"/>
              <w:rPr>
                <w:rFonts w:eastAsiaTheme="minorEastAsia"/>
                <w:b/>
                <w:bCs/>
                <w:sz w:val="21"/>
                <w:szCs w:val="21"/>
                <w:lang w:eastAsia="en-AU"/>
              </w:rPr>
            </w:pPr>
            <w:r w:rsidRPr="006A75A2">
              <w:rPr>
                <w:rFonts w:eastAsiaTheme="minorEastAsia"/>
                <w:b/>
                <w:bCs/>
                <w:sz w:val="21"/>
                <w:szCs w:val="21"/>
                <w:lang w:eastAsia="en-AU"/>
              </w:rPr>
              <w:t>Housing and community amenities</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2 444.4</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2 543.2</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Housing and community development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1 902.8</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1 958.1</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Housing</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436.5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414.8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Aboriginal community development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13.5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21.1</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Other community development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1 452.8</w:t>
            </w:r>
          </w:p>
        </w:tc>
        <w:tc>
          <w:tcPr>
            <w:tcW w:w="1123" w:type="dxa"/>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1 522.2</w:t>
            </w:r>
          </w:p>
        </w:tc>
      </w:tr>
    </w:tbl>
    <w:p w:rsidR="00A659BA" w:rsidRPr="006A75A2" w:rsidRDefault="00A659BA"/>
    <w:p w:rsidR="00A659BA" w:rsidRPr="006A75A2" w:rsidRDefault="00A659BA" w:rsidP="00A659BA">
      <w:pPr>
        <w:pStyle w:val="Tableheading"/>
        <w:rPr>
          <w:vertAlign w:val="superscript"/>
        </w:rPr>
      </w:pPr>
      <w:r w:rsidRPr="006A75A2">
        <w:lastRenderedPageBreak/>
        <w:t xml:space="preserve">Table 5.6: </w:t>
      </w:r>
      <w:r w:rsidRPr="006A75A2">
        <w:tab/>
        <w:t>General government sector detailed expenses by function</w:t>
      </w:r>
      <w:r w:rsidRPr="006A75A2">
        <w:rPr>
          <w:vertAlign w:val="superscript"/>
        </w:rPr>
        <w:t xml:space="preserve">(a) </w:t>
      </w:r>
      <w:r w:rsidRPr="006A75A2">
        <w:rPr>
          <w:i/>
        </w:rPr>
        <w:t>(continued)</w:t>
      </w:r>
    </w:p>
    <w:p w:rsidR="00A659BA" w:rsidRPr="006A75A2" w:rsidRDefault="00A659BA" w:rsidP="00A659BA">
      <w:pPr>
        <w:pStyle w:val="million"/>
      </w:pPr>
      <w:r w:rsidRPr="006A75A2">
        <w:t>($ million)</w:t>
      </w:r>
    </w:p>
    <w:tbl>
      <w:tblPr>
        <w:tblW w:w="9648" w:type="dxa"/>
        <w:tblInd w:w="29" w:type="dxa"/>
        <w:tblLayout w:type="fixed"/>
        <w:tblCellMar>
          <w:left w:w="43" w:type="dxa"/>
          <w:right w:w="43" w:type="dxa"/>
        </w:tblCellMar>
        <w:tblLook w:val="0000" w:firstRow="0" w:lastRow="0" w:firstColumn="0" w:lastColumn="0" w:noHBand="0" w:noVBand="0"/>
      </w:tblPr>
      <w:tblGrid>
        <w:gridCol w:w="7402"/>
        <w:gridCol w:w="267"/>
        <w:gridCol w:w="856"/>
        <w:gridCol w:w="1123"/>
      </w:tblGrid>
      <w:tr w:rsidR="00A659BA" w:rsidRPr="006A75A2" w:rsidTr="00A659BA">
        <w:trPr>
          <w:tblHeader/>
        </w:trPr>
        <w:tc>
          <w:tcPr>
            <w:tcW w:w="7402" w:type="dxa"/>
            <w:tcBorders>
              <w:top w:val="single" w:sz="4" w:space="0" w:color="auto"/>
              <w:left w:val="single" w:sz="4" w:space="0" w:color="auto"/>
              <w:bottom w:val="single" w:sz="6" w:space="0" w:color="auto"/>
              <w:right w:val="nil"/>
            </w:tcBorders>
            <w:shd w:val="clear" w:color="auto" w:fill="000000"/>
          </w:tcPr>
          <w:p w:rsidR="00A659BA" w:rsidRPr="006A75A2" w:rsidRDefault="00A659BA" w:rsidP="00A659BA">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gridSpan w:val="2"/>
            <w:tcBorders>
              <w:top w:val="single" w:sz="4" w:space="0" w:color="auto"/>
              <w:left w:val="nil"/>
              <w:bottom w:val="single" w:sz="6" w:space="0" w:color="auto"/>
              <w:right w:val="nil"/>
            </w:tcBorders>
            <w:shd w:val="clear" w:color="auto" w:fill="000000"/>
          </w:tcPr>
          <w:p w:rsidR="00A659BA" w:rsidRPr="006A75A2" w:rsidRDefault="00A659BA" w:rsidP="00A659BA">
            <w:pPr>
              <w:pStyle w:val="Tabletextheading"/>
              <w:rPr>
                <w:rFonts w:eastAsiaTheme="minorEastAsia"/>
                <w:sz w:val="21"/>
                <w:szCs w:val="21"/>
                <w:lang w:eastAsia="en-AU"/>
              </w:rPr>
            </w:pPr>
            <w:r w:rsidRPr="006A75A2">
              <w:rPr>
                <w:rFonts w:eastAsiaTheme="minorEastAsia"/>
                <w:sz w:val="21"/>
                <w:szCs w:val="21"/>
                <w:lang w:eastAsia="en-AU"/>
              </w:rPr>
              <w:t>2013-14</w:t>
            </w:r>
          </w:p>
        </w:tc>
        <w:tc>
          <w:tcPr>
            <w:tcW w:w="1123" w:type="dxa"/>
            <w:tcBorders>
              <w:top w:val="single" w:sz="4" w:space="0" w:color="auto"/>
              <w:left w:val="nil"/>
              <w:bottom w:val="single" w:sz="6" w:space="0" w:color="auto"/>
              <w:right w:val="single" w:sz="4" w:space="0" w:color="auto"/>
            </w:tcBorders>
            <w:shd w:val="clear" w:color="auto" w:fill="000000"/>
          </w:tcPr>
          <w:p w:rsidR="00A659BA" w:rsidRPr="006A75A2" w:rsidRDefault="00A659BA" w:rsidP="00A659BA">
            <w:pPr>
              <w:pStyle w:val="Tabletextheading"/>
              <w:rPr>
                <w:rFonts w:eastAsiaTheme="minorEastAsia"/>
                <w:sz w:val="21"/>
                <w:szCs w:val="21"/>
                <w:lang w:eastAsia="en-AU"/>
              </w:rPr>
            </w:pPr>
            <w:r w:rsidRPr="006A75A2">
              <w:rPr>
                <w:rFonts w:eastAsiaTheme="minorEastAsia"/>
                <w:sz w:val="21"/>
                <w:szCs w:val="21"/>
                <w:lang w:eastAsia="en-AU"/>
              </w:rPr>
              <w:t xml:space="preserve"> 2012-13 </w:t>
            </w:r>
          </w:p>
        </w:tc>
      </w:tr>
      <w:tr w:rsidR="004E6C32" w:rsidRPr="006A75A2" w:rsidTr="004B5CB1">
        <w:tc>
          <w:tcPr>
            <w:tcW w:w="7402" w:type="dxa"/>
            <w:tcBorders>
              <w:top w:val="nil"/>
              <w:left w:val="nil"/>
              <w:bottom w:val="nil"/>
              <w:right w:val="nil"/>
            </w:tcBorders>
          </w:tcPr>
          <w:p w:rsidR="004E6C32" w:rsidRPr="006A75A2" w:rsidRDefault="004E6C32" w:rsidP="00A659BA">
            <w:pPr>
              <w:pStyle w:val="Tabletext"/>
              <w:ind w:left="181" w:hanging="181"/>
              <w:rPr>
                <w:rFonts w:eastAsiaTheme="minorEastAsia"/>
                <w:sz w:val="21"/>
                <w:szCs w:val="21"/>
                <w:lang w:eastAsia="en-AU"/>
              </w:rPr>
            </w:pPr>
            <w:r w:rsidRPr="006A75A2">
              <w:rPr>
                <w:rFonts w:eastAsiaTheme="minorEastAsia"/>
                <w:sz w:val="21"/>
                <w:szCs w:val="21"/>
                <w:lang w:eastAsia="en-AU"/>
              </w:rPr>
              <w:t xml:space="preserve">   Water supply</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151.2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208.5</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Sanitation and protection of the environment</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382.4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369.0</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Other community amenities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7.6</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Recreation and culture</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 xml:space="preserve"> 687.0</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 xml:space="preserve"> 735.7</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Recreation facilities and services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297.4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344.1</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National parks and wildlife</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80.3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94.1</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 xml:space="preserve">      Recreation facilities and services NEC</w:t>
            </w:r>
            <w:r w:rsidRPr="006A75A2">
              <w:rPr>
                <w:rFonts w:eastAsiaTheme="minorEastAsia"/>
                <w:sz w:val="21"/>
                <w:szCs w:val="21"/>
                <w:vertAlign w:val="superscript"/>
                <w:lang w:eastAsia="en-AU"/>
              </w:rPr>
              <w:t xml:space="preserve">(c) </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217.1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250.0</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Cultural facilities and services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389.6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391.6</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Fuel and energy</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 xml:space="preserve"> 123.1</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 xml:space="preserve"> 115.7</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Fuel affairs and services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Gas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Electricity and other energy</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123.1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115.7</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Electricity</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29.5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cs="Calibri"/>
                <w:sz w:val="21"/>
                <w:szCs w:val="21"/>
                <w:vertAlign w:val="superscript"/>
                <w:lang w:eastAsia="en-AU"/>
              </w:rPr>
            </w:pPr>
            <w:r w:rsidRPr="006A75A2">
              <w:rPr>
                <w:rFonts w:eastAsiaTheme="minorEastAsia"/>
                <w:sz w:val="21"/>
                <w:szCs w:val="21"/>
                <w:lang w:eastAsia="en-AU"/>
              </w:rPr>
              <w:t xml:space="preserve">      Fuel and energy NEC</w:t>
            </w:r>
            <w:r w:rsidRPr="006A75A2">
              <w:rPr>
                <w:rFonts w:eastAsiaTheme="minorEastAsia"/>
                <w:sz w:val="21"/>
                <w:szCs w:val="21"/>
                <w:vertAlign w:val="superscript"/>
                <w:lang w:eastAsia="en-AU"/>
              </w:rPr>
              <w:t>(c)(</w:t>
            </w:r>
            <w:r w:rsidRPr="006A75A2">
              <w:rPr>
                <w:rFonts w:eastAsiaTheme="minorEastAsia" w:cs="Calibri"/>
                <w:sz w:val="21"/>
                <w:szCs w:val="21"/>
                <w:vertAlign w:val="superscript"/>
                <w:lang w:eastAsia="en-AU"/>
              </w:rPr>
              <w:t>d)</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93.6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115.7</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Agriculture, forestry, fishing and hunting</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 xml:space="preserve"> 377.8</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 xml:space="preserve"> 404.2</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Agriculture</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377.8</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291.1</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cs="Calibri"/>
                <w:sz w:val="21"/>
                <w:szCs w:val="21"/>
                <w:vertAlign w:val="superscript"/>
                <w:lang w:eastAsia="en-AU"/>
              </w:rPr>
            </w:pPr>
            <w:r w:rsidRPr="006A75A2">
              <w:rPr>
                <w:rFonts w:eastAsiaTheme="minorEastAsia"/>
                <w:sz w:val="21"/>
                <w:szCs w:val="21"/>
                <w:lang w:eastAsia="en-AU"/>
              </w:rPr>
              <w:t xml:space="preserve">   Forestry, fishing and hunting</w:t>
            </w:r>
            <w:r w:rsidRPr="006A75A2">
              <w:rPr>
                <w:rFonts w:eastAsiaTheme="minorEastAsia" w:cs="Calibri"/>
                <w:sz w:val="21"/>
                <w:szCs w:val="21"/>
                <w:vertAlign w:val="superscript"/>
                <w:lang w:eastAsia="en-AU"/>
              </w:rPr>
              <w:t>(d)</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113.1</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669" w:type="dxa"/>
            <w:gridSpan w:val="2"/>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Mining and mineral resources other than fuels; manufacturing; and construction</w:t>
            </w:r>
          </w:p>
        </w:tc>
        <w:tc>
          <w:tcPr>
            <w:tcW w:w="856"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Mining and mineral resources other than fuels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Transport and communications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cs="Calibri"/>
                <w:b/>
                <w:bCs/>
                <w:sz w:val="21"/>
                <w:szCs w:val="21"/>
                <w:lang w:eastAsia="en-AU"/>
              </w:rPr>
            </w:pPr>
            <w:r w:rsidRPr="006A75A2">
              <w:rPr>
                <w:rFonts w:eastAsiaTheme="minorEastAsia"/>
                <w:b/>
                <w:sz w:val="21"/>
                <w:szCs w:val="21"/>
                <w:lang w:eastAsia="en-AU"/>
              </w:rPr>
              <w:t>5 548.1</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5 675.8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Road transport</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2 320.9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2 206.5</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Road maintenance</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455.1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447.4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Road construction</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605.4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645.8</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 xml:space="preserve">      Road transport NEC</w:t>
            </w:r>
            <w:r w:rsidRPr="006A75A2">
              <w:rPr>
                <w:rFonts w:eastAsiaTheme="minorEastAsia"/>
                <w:sz w:val="21"/>
                <w:szCs w:val="21"/>
                <w:vertAlign w:val="superscript"/>
                <w:lang w:eastAsia="en-AU"/>
              </w:rPr>
              <w:t>(c)</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1 260.3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1 113.3</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Water transport</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24.9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26.8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Urban water transport services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15.5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17.0</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Non-urban water transport services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9.7</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Rail transport</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3 107.3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3 120.1</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Urban rail transport services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cs="Calibri"/>
                <w:sz w:val="21"/>
                <w:szCs w:val="21"/>
                <w:lang w:eastAsia="en-AU"/>
              </w:rPr>
            </w:pPr>
            <w:r w:rsidRPr="006A75A2">
              <w:rPr>
                <w:rFonts w:eastAsiaTheme="minorEastAsia"/>
                <w:sz w:val="21"/>
                <w:szCs w:val="21"/>
                <w:lang w:eastAsia="en-AU"/>
              </w:rPr>
              <w:t>2 396.1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2 427.4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Non-urban rail transport freight services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17.2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19.4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Non-urban rail transport passenger services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694.0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673.3</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Other transport</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95.1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322.4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Multi-mode urban transport</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14.3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14.2</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 xml:space="preserve">      Other transport NEC</w:t>
            </w:r>
            <w:r w:rsidRPr="006A75A2">
              <w:rPr>
                <w:rFonts w:eastAsiaTheme="minorEastAsia"/>
                <w:sz w:val="21"/>
                <w:szCs w:val="21"/>
                <w:vertAlign w:val="superscript"/>
                <w:lang w:eastAsia="en-AU"/>
              </w:rPr>
              <w:t>(c)</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80.9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308.2</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ind w:left="181" w:hanging="181"/>
              <w:rPr>
                <w:rFonts w:eastAsiaTheme="minorEastAsia"/>
                <w:b/>
                <w:bCs/>
                <w:sz w:val="21"/>
                <w:szCs w:val="21"/>
                <w:lang w:eastAsia="en-AU"/>
              </w:rPr>
            </w:pPr>
            <w:r w:rsidRPr="006A75A2">
              <w:rPr>
                <w:rFonts w:eastAsiaTheme="minorEastAsia"/>
                <w:b/>
                <w:bCs/>
                <w:sz w:val="21"/>
                <w:szCs w:val="21"/>
                <w:lang w:eastAsia="en-AU"/>
              </w:rPr>
              <w:t>Other economic affairs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1 168.5</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 xml:space="preserve"> 982.4</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Tourism and area promotion</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218.1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217.8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Labour and employment affairs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14.3</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Other labour and employment affairs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14.3</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Other economic affairs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940.4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750.3</w:t>
            </w:r>
          </w:p>
        </w:tc>
      </w:tr>
      <w:tr w:rsidR="004E6C32" w:rsidRPr="006A75A2" w:rsidTr="004B5CB1">
        <w:trPr>
          <w:trHeight w:hRule="exact" w:val="120"/>
        </w:trPr>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Other purposes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2 717.4</w:t>
            </w:r>
          </w:p>
        </w:tc>
        <w:tc>
          <w:tcPr>
            <w:tcW w:w="1123" w:type="dxa"/>
            <w:tcBorders>
              <w:top w:val="nil"/>
              <w:left w:val="nil"/>
              <w:bottom w:val="nil"/>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2 253.8</w:t>
            </w:r>
          </w:p>
        </w:tc>
      </w:tr>
      <w:tr w:rsidR="004E6C32" w:rsidRPr="006A75A2" w:rsidTr="004B5CB1">
        <w:tc>
          <w:tcPr>
            <w:tcW w:w="7402"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Public debt transactions</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2 138.5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1 775.3</w:t>
            </w:r>
          </w:p>
        </w:tc>
      </w:tr>
      <w:tr w:rsidR="004E6C32" w:rsidRPr="006A75A2" w:rsidTr="004B5CB1">
        <w:tc>
          <w:tcPr>
            <w:tcW w:w="7402"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 xml:space="preserve">   Other purposes NEC</w:t>
            </w:r>
            <w:r w:rsidRPr="006A75A2">
              <w:rPr>
                <w:rFonts w:eastAsiaTheme="minorEastAsia"/>
                <w:sz w:val="21"/>
                <w:szCs w:val="21"/>
                <w:vertAlign w:val="superscript"/>
                <w:lang w:eastAsia="en-AU"/>
              </w:rPr>
              <w:t>(c)</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578.9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478.5</w:t>
            </w:r>
          </w:p>
        </w:tc>
      </w:tr>
      <w:tr w:rsidR="004E6C32" w:rsidRPr="006A75A2" w:rsidTr="004B5CB1">
        <w:trPr>
          <w:trHeight w:hRule="exact" w:val="120"/>
        </w:trPr>
        <w:tc>
          <w:tcPr>
            <w:tcW w:w="7402" w:type="dxa"/>
            <w:tcBorders>
              <w:top w:val="nil"/>
              <w:left w:val="nil"/>
              <w:bottom w:val="single" w:sz="6" w:space="0" w:color="auto"/>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p>
        </w:tc>
      </w:tr>
      <w:tr w:rsidR="004E6C32" w:rsidRPr="006A75A2" w:rsidTr="004B5CB1">
        <w:tc>
          <w:tcPr>
            <w:tcW w:w="7402" w:type="dxa"/>
            <w:tcBorders>
              <w:top w:val="nil"/>
              <w:left w:val="nil"/>
              <w:bottom w:val="single" w:sz="12" w:space="0" w:color="auto"/>
              <w:right w:val="nil"/>
            </w:tcBorders>
          </w:tcPr>
          <w:p w:rsidR="004E6C32" w:rsidRPr="006A75A2" w:rsidRDefault="004E6C32" w:rsidP="0067336F">
            <w:pPr>
              <w:pStyle w:val="Tabletext"/>
              <w:rPr>
                <w:rFonts w:eastAsiaTheme="minorEastAsia"/>
                <w:b/>
                <w:bCs/>
                <w:sz w:val="21"/>
                <w:szCs w:val="21"/>
                <w:vertAlign w:val="superscript"/>
                <w:lang w:eastAsia="en-AU"/>
              </w:rPr>
            </w:pPr>
            <w:r w:rsidRPr="006A75A2">
              <w:rPr>
                <w:rFonts w:eastAsiaTheme="minorEastAsia"/>
                <w:b/>
                <w:bCs/>
                <w:sz w:val="21"/>
                <w:szCs w:val="21"/>
                <w:lang w:eastAsia="en-AU"/>
              </w:rPr>
              <w:t>Total</w:t>
            </w:r>
            <w:r w:rsidRPr="006A75A2">
              <w:rPr>
                <w:rFonts w:eastAsiaTheme="minorEastAsia"/>
                <w:b/>
                <w:bCs/>
                <w:sz w:val="21"/>
                <w:szCs w:val="21"/>
                <w:vertAlign w:val="superscript"/>
                <w:lang w:eastAsia="en-AU"/>
              </w:rPr>
              <w:t>(b)</w:t>
            </w:r>
          </w:p>
        </w:tc>
        <w:tc>
          <w:tcPr>
            <w:tcW w:w="1123" w:type="dxa"/>
            <w:gridSpan w:val="2"/>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50 388.5</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sz w:val="21"/>
                <w:szCs w:val="21"/>
                <w:lang w:eastAsia="en-AU"/>
              </w:rPr>
            </w:pPr>
            <w:r w:rsidRPr="006A75A2">
              <w:rPr>
                <w:rFonts w:eastAsiaTheme="minorEastAsia"/>
                <w:b/>
                <w:sz w:val="21"/>
                <w:szCs w:val="21"/>
                <w:lang w:eastAsia="en-AU"/>
              </w:rPr>
              <w:t>48 929.4</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Notes:</w:t>
      </w:r>
    </w:p>
    <w:p w:rsidR="004E6C32" w:rsidRPr="006A75A2" w:rsidRDefault="004E6C32" w:rsidP="004B5CB1">
      <w:pPr>
        <w:pStyle w:val="Notes"/>
        <w:tabs>
          <w:tab w:val="clear" w:pos="454"/>
          <w:tab w:val="left" w:pos="426"/>
        </w:tabs>
        <w:ind w:left="426" w:hanging="426"/>
      </w:pPr>
      <w:r w:rsidRPr="006A75A2">
        <w:t>(a)</w:t>
      </w:r>
      <w:r w:rsidRPr="006A75A2">
        <w:tab/>
        <w:t>Chapter 4, Note 41 provides definitions and descriptions of government purpose classifications.</w:t>
      </w:r>
    </w:p>
    <w:p w:rsidR="004E6C32" w:rsidRPr="006A75A2" w:rsidRDefault="004E6C32" w:rsidP="004B5CB1">
      <w:pPr>
        <w:pStyle w:val="Notes"/>
        <w:tabs>
          <w:tab w:val="clear" w:pos="454"/>
          <w:tab w:val="left" w:pos="426"/>
        </w:tabs>
        <w:ind w:left="426" w:hanging="426"/>
      </w:pPr>
      <w:r w:rsidRPr="006A75A2">
        <w:t>(b)</w:t>
      </w:r>
      <w:r w:rsidRPr="006A75A2">
        <w:tab/>
        <w:t xml:space="preserve">June 2013 comparative figures have been restated to reflect a revised accounting standard, AASB 119 </w:t>
      </w:r>
      <w:r w:rsidRPr="006A75A2">
        <w:rPr>
          <w:i w:val="0"/>
        </w:rPr>
        <w:t>Employee Benefits</w:t>
      </w:r>
      <w:r w:rsidRPr="006A75A2">
        <w:t>, which changed the way defined benefit superannuation expenses are calculated and presented. Refer to Chapter 4, Note 1(F).</w:t>
      </w:r>
    </w:p>
    <w:p w:rsidR="004E6C32" w:rsidRPr="006A75A2" w:rsidRDefault="004E6C32" w:rsidP="004B5CB1">
      <w:pPr>
        <w:pStyle w:val="Notes"/>
        <w:tabs>
          <w:tab w:val="left" w:pos="426"/>
        </w:tabs>
        <w:ind w:left="450" w:hanging="450"/>
      </w:pPr>
      <w:r w:rsidRPr="006A75A2">
        <w:t>(c)</w:t>
      </w:r>
      <w:r w:rsidRPr="006A75A2">
        <w:tab/>
        <w:t>NEC: Not elsewhere classified.</w:t>
      </w:r>
    </w:p>
    <w:p w:rsidR="004E6C32" w:rsidRPr="006A75A2" w:rsidRDefault="004E6C32" w:rsidP="004B5CB1">
      <w:pPr>
        <w:pStyle w:val="Notes"/>
        <w:tabs>
          <w:tab w:val="left" w:pos="426"/>
        </w:tabs>
      </w:pPr>
      <w:r w:rsidRPr="006A75A2">
        <w:t>(d)</w:t>
      </w:r>
      <w:r w:rsidRPr="006A75A2">
        <w:tab/>
        <w:t>June 2013 comparative figures have been updated to reflect more current information.</w:t>
      </w:r>
    </w:p>
    <w:p w:rsidR="004E6C32" w:rsidRPr="006A75A2" w:rsidRDefault="004E6C32" w:rsidP="004B5CB1">
      <w:pPr>
        <w:pStyle w:val="Heading1"/>
      </w:pPr>
      <w:bookmarkStart w:id="80" w:name="_Toc400040244"/>
      <w:r w:rsidRPr="006A75A2">
        <w:lastRenderedPageBreak/>
        <w:t>Victoria</w:t>
      </w:r>
      <w:r w:rsidR="00C96101" w:rsidRPr="006A75A2">
        <w:t>’</w:t>
      </w:r>
      <w:r w:rsidRPr="006A75A2">
        <w:t>s 2013</w:t>
      </w:r>
      <w:r w:rsidRPr="006A75A2">
        <w:noBreakHyphen/>
        <w:t>14 Loan Council Allocation</w:t>
      </w:r>
      <w:bookmarkEnd w:id="80"/>
    </w:p>
    <w:p w:rsidR="004E6C32" w:rsidRPr="006A75A2" w:rsidRDefault="004E6C32" w:rsidP="004B5CB1">
      <w:r w:rsidRPr="006A75A2">
        <w:t>Under the Uniform Presentation Framework (UPF), Victoria is required to publish the Loan Council Allocation (LCA) estimates. The LCA is a measure of each government</w:t>
      </w:r>
      <w:r w:rsidR="00C96101" w:rsidRPr="006A75A2">
        <w:t>’</w:t>
      </w:r>
      <w:r w:rsidRPr="006A75A2">
        <w:t xml:space="preserve">s net call on financial markets in a given financial year to meet its budget obligations. The method of public release is the responsibility of each jurisdiction. Victoria discloses its LCA information through the Financial Report for the State of Victoria, Budget Paper No. 5 </w:t>
      </w:r>
      <w:r w:rsidRPr="006A75A2">
        <w:rPr>
          <w:i/>
        </w:rPr>
        <w:t>Statement of Finances</w:t>
      </w:r>
      <w:r w:rsidRPr="006A75A2">
        <w:t xml:space="preserve"> and Budget Update.</w:t>
      </w:r>
    </w:p>
    <w:p w:rsidR="004E6C32" w:rsidRPr="006A75A2" w:rsidRDefault="004E6C32" w:rsidP="004B5CB1">
      <w:r w:rsidRPr="006A75A2">
        <w:t>Table 5.7 compares the Victorian 2013</w:t>
      </w:r>
      <w:r w:rsidRPr="006A75A2">
        <w:noBreakHyphen/>
        <w:t xml:space="preserve">14 LCA nomination as published in the </w:t>
      </w:r>
      <w:r w:rsidRPr="006A75A2">
        <w:rPr>
          <w:i/>
        </w:rPr>
        <w:t>2013</w:t>
      </w:r>
      <w:r w:rsidRPr="006A75A2">
        <w:rPr>
          <w:i/>
        </w:rPr>
        <w:noBreakHyphen/>
        <w:t>14 Budget</w:t>
      </w:r>
      <w:r w:rsidRPr="006A75A2">
        <w:t xml:space="preserve"> with the 2013</w:t>
      </w:r>
      <w:r w:rsidRPr="006A75A2">
        <w:noBreakHyphen/>
        <w:t>14 outcome.</w:t>
      </w:r>
    </w:p>
    <w:p w:rsidR="004E6C32" w:rsidRPr="006A75A2" w:rsidRDefault="004E6C32" w:rsidP="004B5CB1">
      <w:pPr>
        <w:pStyle w:val="Tableheading"/>
      </w:pPr>
      <w:r w:rsidRPr="006A75A2">
        <w:t>Table 5.7:</w:t>
      </w:r>
      <w:r w:rsidRPr="006A75A2">
        <w:tab/>
        <w:t>Loan Council Allocation 2013</w:t>
      </w:r>
      <w:r w:rsidRPr="006A75A2">
        <w:noBreakHyphen/>
        <w:t>14</w:t>
      </w:r>
    </w:p>
    <w:p w:rsidR="004E6C32" w:rsidRPr="006A75A2" w:rsidRDefault="004E6C32" w:rsidP="004B5CB1">
      <w:pPr>
        <w:pStyle w:val="million"/>
        <w:rPr>
          <w:rFonts w:ascii="Times New Roman" w:hAnsi="Times New Roman"/>
          <w:i w:val="0"/>
          <w:szCs w:val="20"/>
          <w:lang w:eastAsia="en-AU"/>
        </w:rPr>
      </w:pPr>
      <w:r w:rsidRPr="006A75A2">
        <w:t>($ million)</w:t>
      </w:r>
    </w:p>
    <w:tbl>
      <w:tblPr>
        <w:tblW w:w="9640" w:type="dxa"/>
        <w:tblInd w:w="28" w:type="dxa"/>
        <w:tblLayout w:type="fixed"/>
        <w:tblCellMar>
          <w:left w:w="45" w:type="dxa"/>
          <w:right w:w="45" w:type="dxa"/>
        </w:tblCellMar>
        <w:tblLook w:val="0000" w:firstRow="0" w:lastRow="0" w:firstColumn="0" w:lastColumn="0" w:noHBand="0" w:noVBand="0"/>
      </w:tblPr>
      <w:tblGrid>
        <w:gridCol w:w="7400"/>
        <w:gridCol w:w="1120"/>
        <w:gridCol w:w="1120"/>
      </w:tblGrid>
      <w:tr w:rsidR="00B07F57" w:rsidRPr="006A75A2" w:rsidTr="00C07A50">
        <w:trPr>
          <w:trHeight w:val="552"/>
        </w:trPr>
        <w:tc>
          <w:tcPr>
            <w:tcW w:w="7400" w:type="dxa"/>
            <w:tcBorders>
              <w:top w:val="single" w:sz="6" w:space="0" w:color="auto"/>
              <w:left w:val="single" w:sz="6" w:space="0" w:color="auto"/>
              <w:right w:val="nil"/>
            </w:tcBorders>
            <w:shd w:val="clear" w:color="000000" w:fill="000000"/>
          </w:tcPr>
          <w:p w:rsidR="00B07F57" w:rsidRPr="006A75A2" w:rsidRDefault="00B07F57" w:rsidP="004B5CB1">
            <w:pPr>
              <w:pStyle w:val="Tabletext"/>
              <w:rPr>
                <w:rFonts w:eastAsiaTheme="minorEastAsia"/>
                <w:lang w:eastAsia="en-AU"/>
              </w:rPr>
            </w:pPr>
            <w:r w:rsidRPr="006A75A2">
              <w:rPr>
                <w:rFonts w:eastAsiaTheme="minorEastAsia"/>
                <w:lang w:eastAsia="en-AU"/>
              </w:rPr>
              <w:t xml:space="preserve"> </w:t>
            </w:r>
          </w:p>
        </w:tc>
        <w:tc>
          <w:tcPr>
            <w:tcW w:w="1120" w:type="dxa"/>
            <w:tcBorders>
              <w:top w:val="single" w:sz="6" w:space="0" w:color="auto"/>
              <w:left w:val="nil"/>
              <w:right w:val="nil"/>
            </w:tcBorders>
            <w:shd w:val="clear" w:color="000000" w:fill="000000"/>
          </w:tcPr>
          <w:p w:rsidR="00B07F57" w:rsidRPr="006A75A2" w:rsidRDefault="00B07F57" w:rsidP="00B07F57">
            <w:pPr>
              <w:pStyle w:val="Tabletextheading"/>
              <w:rPr>
                <w:rFonts w:eastAsiaTheme="minorEastAsia"/>
                <w:iCs/>
                <w:lang w:eastAsia="en-AU"/>
              </w:rPr>
            </w:pPr>
            <w:r w:rsidRPr="006A75A2">
              <w:rPr>
                <w:rFonts w:eastAsiaTheme="minorEastAsia"/>
                <w:iCs/>
                <w:lang w:eastAsia="en-AU"/>
              </w:rPr>
              <w:t>2013-14 Budget</w:t>
            </w:r>
          </w:p>
        </w:tc>
        <w:tc>
          <w:tcPr>
            <w:tcW w:w="1120" w:type="dxa"/>
            <w:tcBorders>
              <w:top w:val="single" w:sz="6" w:space="0" w:color="auto"/>
              <w:left w:val="nil"/>
              <w:right w:val="single" w:sz="6" w:space="0" w:color="auto"/>
            </w:tcBorders>
            <w:shd w:val="clear" w:color="000000" w:fill="000000"/>
          </w:tcPr>
          <w:p w:rsidR="00B07F57" w:rsidRPr="006A75A2" w:rsidRDefault="00B07F57" w:rsidP="00B07F57">
            <w:pPr>
              <w:pStyle w:val="Tabletextheading"/>
              <w:rPr>
                <w:rFonts w:eastAsiaTheme="minorEastAsia"/>
                <w:iCs/>
                <w:lang w:eastAsia="en-AU"/>
              </w:rPr>
            </w:pPr>
            <w:r w:rsidRPr="006A75A2">
              <w:rPr>
                <w:rFonts w:eastAsiaTheme="minorEastAsia"/>
                <w:iCs/>
                <w:lang w:eastAsia="en-AU"/>
              </w:rPr>
              <w:t>2013-14 Actual</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General government cash deficit(</w:t>
            </w:r>
            <w:r w:rsidRPr="006A75A2">
              <w:rPr>
                <w:rFonts w:eastAsiaTheme="minorEastAsia" w:cs="Calibri"/>
                <w:szCs w:val="22"/>
                <w:lang w:eastAsia="en-AU"/>
              </w:rPr>
              <w:t>+) or surplus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cs="Calibri"/>
                <w:szCs w:val="22"/>
                <w:lang w:eastAsia="en-AU"/>
              </w:rPr>
            </w:pPr>
            <w:r w:rsidRPr="006A75A2">
              <w:rPr>
                <w:rFonts w:eastAsiaTheme="minorEastAsia"/>
                <w:lang w:eastAsia="en-AU"/>
              </w:rPr>
              <w:t>1 717.1</w:t>
            </w:r>
          </w:p>
        </w:tc>
        <w:tc>
          <w:tcPr>
            <w:tcW w:w="1120"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(216.2)</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Public non-financial corporations sector cash deficit(</w:t>
            </w:r>
            <w:r w:rsidRPr="006A75A2">
              <w:rPr>
                <w:rFonts w:eastAsiaTheme="minorEastAsia" w:cs="Calibri"/>
                <w:szCs w:val="22"/>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2 383.0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1 208.4</w:t>
            </w:r>
          </w:p>
        </w:tc>
      </w:tr>
      <w:tr w:rsidR="004E6C32" w:rsidRPr="006A75A2" w:rsidTr="004B5CB1">
        <w:tc>
          <w:tcPr>
            <w:tcW w:w="7400" w:type="dxa"/>
            <w:tcBorders>
              <w:top w:val="single" w:sz="6" w:space="0" w:color="auto"/>
              <w:left w:val="nil"/>
              <w:bottom w:val="nil"/>
              <w:right w:val="nil"/>
            </w:tcBorders>
          </w:tcPr>
          <w:p w:rsidR="004E6C32" w:rsidRPr="006A75A2" w:rsidRDefault="004E6C32" w:rsidP="0067336F">
            <w:pPr>
              <w:pStyle w:val="Tabletext"/>
              <w:rPr>
                <w:rFonts w:eastAsiaTheme="minorEastAsia" w:cs="Calibri"/>
                <w:szCs w:val="22"/>
                <w:vertAlign w:val="superscript"/>
                <w:lang w:eastAsia="en-AU"/>
              </w:rPr>
            </w:pPr>
            <w:r w:rsidRPr="006A75A2">
              <w:rPr>
                <w:rFonts w:eastAsiaTheme="minorEastAsia"/>
                <w:lang w:eastAsia="en-AU"/>
              </w:rPr>
              <w:t>Non-financial public sector cash deficit(+)</w:t>
            </w:r>
            <w:r w:rsidRPr="006A75A2">
              <w:rPr>
                <w:rFonts w:eastAsiaTheme="minorEastAsia"/>
                <w:vertAlign w:val="superscript"/>
                <w:lang w:eastAsia="en-AU"/>
              </w:rPr>
              <w:t>(a</w:t>
            </w:r>
            <w:r w:rsidRPr="006A75A2">
              <w:rPr>
                <w:rFonts w:eastAsiaTheme="minorEastAsia" w:cs="Calibri"/>
                <w:szCs w:val="22"/>
                <w:vertAlign w:val="superscript"/>
                <w:lang w:eastAsia="en-AU"/>
              </w:rPr>
              <w:t xml:space="preserve">) </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4 045.7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1 155.4</w:t>
            </w:r>
          </w:p>
        </w:tc>
      </w:tr>
      <w:tr w:rsidR="004E6C32" w:rsidRPr="006A75A2" w:rsidTr="004B5CB1">
        <w:tc>
          <w:tcPr>
            <w:tcW w:w="7400" w:type="dxa"/>
            <w:tcBorders>
              <w:top w:val="nil"/>
              <w:left w:val="nil"/>
              <w:bottom w:val="nil"/>
              <w:right w:val="nil"/>
            </w:tcBorders>
          </w:tcPr>
          <w:p w:rsidR="004E6C32" w:rsidRPr="006A75A2" w:rsidRDefault="004E6C32" w:rsidP="004B5CB1">
            <w:pPr>
              <w:pStyle w:val="Tabletext"/>
              <w:rPr>
                <w:rFonts w:eastAsiaTheme="minorEastAsia"/>
                <w:lang w:eastAsia="en-AU"/>
              </w:rPr>
            </w:pPr>
            <w:r w:rsidRPr="006A75A2">
              <w:rPr>
                <w:rFonts w:eastAsiaTheme="minorEastAsia"/>
                <w:lang w:eastAsia="en-AU"/>
              </w:rPr>
              <w:t>Acquisitions under finance leases and similar arrangements</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109.5</w:t>
            </w:r>
          </w:p>
        </w:tc>
      </w:tr>
      <w:tr w:rsidR="004E6C32" w:rsidRPr="006A75A2" w:rsidTr="004B5CB1">
        <w:tc>
          <w:tcPr>
            <w:tcW w:w="7400" w:type="dxa"/>
            <w:tcBorders>
              <w:top w:val="single" w:sz="6" w:space="0" w:color="auto"/>
              <w:left w:val="nil"/>
              <w:bottom w:val="nil"/>
              <w:right w:val="nil"/>
            </w:tcBorders>
          </w:tcPr>
          <w:p w:rsidR="004E6C32" w:rsidRPr="006A75A2" w:rsidRDefault="004E6C32" w:rsidP="004B5CB1">
            <w:pPr>
              <w:pStyle w:val="Tabletext"/>
              <w:rPr>
                <w:rFonts w:eastAsiaTheme="minorEastAsia" w:cs="Calibri"/>
                <w:szCs w:val="22"/>
                <w:lang w:eastAsia="en-AU"/>
              </w:rPr>
            </w:pPr>
            <w:r w:rsidRPr="006A75A2">
              <w:rPr>
                <w:rFonts w:eastAsiaTheme="minorEastAsia"/>
                <w:lang w:eastAsia="en-AU"/>
              </w:rPr>
              <w:t>ABS GFS cash deficit(</w:t>
            </w:r>
            <w:r w:rsidRPr="006A75A2">
              <w:rPr>
                <w:rFonts w:eastAsiaTheme="minorEastAsia" w:cs="Calibri"/>
                <w:szCs w:val="22"/>
                <w:lang w:eastAsia="en-AU"/>
              </w:rPr>
              <w:t>+)</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4 045.7</w:t>
            </w:r>
          </w:p>
        </w:tc>
        <w:tc>
          <w:tcPr>
            <w:tcW w:w="1120" w:type="dxa"/>
            <w:tcBorders>
              <w:top w:val="single" w:sz="6" w:space="0" w:color="auto"/>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1 264.9</w:t>
            </w:r>
          </w:p>
        </w:tc>
      </w:tr>
      <w:tr w:rsidR="004E6C32" w:rsidRPr="006A75A2" w:rsidTr="004B5CB1">
        <w:tc>
          <w:tcPr>
            <w:tcW w:w="7400" w:type="dxa"/>
            <w:tcBorders>
              <w:top w:val="nil"/>
              <w:left w:val="nil"/>
              <w:bottom w:val="nil"/>
              <w:right w:val="nil"/>
            </w:tcBorders>
          </w:tcPr>
          <w:p w:rsidR="004E6C32" w:rsidRPr="006A75A2" w:rsidRDefault="004E6C32" w:rsidP="0067336F">
            <w:pPr>
              <w:pStyle w:val="Tabletext"/>
              <w:rPr>
                <w:rFonts w:eastAsiaTheme="minorEastAsia"/>
                <w:i/>
                <w:iCs/>
                <w:vertAlign w:val="superscript"/>
                <w:lang w:eastAsia="en-AU"/>
              </w:rPr>
            </w:pPr>
            <w:r w:rsidRPr="006A75A2">
              <w:rPr>
                <w:rFonts w:eastAsiaTheme="minorEastAsia"/>
                <w:i/>
                <w:iCs/>
                <w:lang w:eastAsia="en-AU"/>
              </w:rPr>
              <w:t>Less Net cash flows from investments in financial assets for policy purposes</w:t>
            </w:r>
            <w:r w:rsidRPr="006A75A2">
              <w:rPr>
                <w:rFonts w:eastAsiaTheme="minorEastAsia"/>
                <w:i/>
                <w:iCs/>
                <w:vertAlign w:val="superscript"/>
                <w:lang w:eastAsia="en-AU"/>
              </w:rPr>
              <w:t>(b)</w:t>
            </w:r>
          </w:p>
        </w:tc>
        <w:tc>
          <w:tcPr>
            <w:tcW w:w="1120"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lang w:eastAsia="en-AU"/>
              </w:rPr>
              <w:t>(15.0)</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12.6</w:t>
            </w:r>
          </w:p>
        </w:tc>
      </w:tr>
      <w:tr w:rsidR="004E6C32" w:rsidRPr="006A75A2" w:rsidTr="004B5CB1">
        <w:tc>
          <w:tcPr>
            <w:tcW w:w="7400" w:type="dxa"/>
            <w:tcBorders>
              <w:top w:val="nil"/>
              <w:left w:val="nil"/>
              <w:bottom w:val="nil"/>
              <w:right w:val="nil"/>
            </w:tcBorders>
          </w:tcPr>
          <w:p w:rsidR="004E6C32" w:rsidRPr="006A75A2" w:rsidRDefault="004E6C32" w:rsidP="0067336F">
            <w:pPr>
              <w:pStyle w:val="Tabletext"/>
              <w:rPr>
                <w:rFonts w:eastAsiaTheme="minorEastAsia"/>
                <w:i/>
                <w:iCs/>
                <w:vertAlign w:val="superscript"/>
                <w:lang w:eastAsia="en-AU"/>
              </w:rPr>
            </w:pPr>
            <w:r w:rsidRPr="006A75A2">
              <w:rPr>
                <w:rFonts w:eastAsiaTheme="minorEastAsia"/>
                <w:i/>
                <w:iCs/>
                <w:lang w:eastAsia="en-AU"/>
              </w:rPr>
              <w:t>Plus Memorandum items</w:t>
            </w:r>
            <w:r w:rsidRPr="006A75A2">
              <w:rPr>
                <w:rFonts w:eastAsiaTheme="minorEastAsia"/>
                <w:i/>
                <w:iCs/>
                <w:vertAlign w:val="superscript"/>
                <w:lang w:eastAsia="en-AU"/>
              </w:rPr>
              <w:t>(c)</w:t>
            </w:r>
          </w:p>
        </w:tc>
        <w:tc>
          <w:tcPr>
            <w:tcW w:w="1120" w:type="dxa"/>
            <w:tcBorders>
              <w:top w:val="nil"/>
              <w:left w:val="nil"/>
              <w:bottom w:val="nil"/>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733.7</w:t>
            </w:r>
          </w:p>
        </w:tc>
        <w:tc>
          <w:tcPr>
            <w:tcW w:w="1120" w:type="dxa"/>
            <w:tcBorders>
              <w:top w:val="nil"/>
              <w:left w:val="nil"/>
              <w:bottom w:val="nil"/>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 xml:space="preserve"> 462.3</w:t>
            </w:r>
          </w:p>
        </w:tc>
      </w:tr>
      <w:tr w:rsidR="004E6C32" w:rsidRPr="006A75A2" w:rsidTr="004B5CB1">
        <w:tc>
          <w:tcPr>
            <w:tcW w:w="7400"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lang w:eastAsia="en-AU"/>
              </w:rPr>
            </w:pPr>
            <w:r w:rsidRPr="006A75A2">
              <w:rPr>
                <w:rFonts w:eastAsiaTheme="minorEastAsia"/>
                <w:b/>
                <w:bCs/>
                <w:lang w:eastAsia="en-AU"/>
              </w:rPr>
              <w:t>Loan Council Allocation</w:t>
            </w:r>
          </w:p>
        </w:tc>
        <w:tc>
          <w:tcPr>
            <w:tcW w:w="1120"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4 794.3</w:t>
            </w:r>
          </w:p>
        </w:tc>
        <w:tc>
          <w:tcPr>
            <w:tcW w:w="1120" w:type="dxa"/>
            <w:tcBorders>
              <w:top w:val="single" w:sz="6" w:space="0" w:color="auto"/>
              <w:left w:val="nil"/>
              <w:bottom w:val="single" w:sz="6" w:space="0" w:color="auto"/>
              <w:right w:val="nil"/>
            </w:tcBorders>
            <w:shd w:val="clear" w:color="auto" w:fill="auto"/>
          </w:tcPr>
          <w:p w:rsidR="004E6C32" w:rsidRPr="006A75A2" w:rsidRDefault="004E6C32" w:rsidP="004B5CB1">
            <w:pPr>
              <w:pStyle w:val="TableofFigures"/>
              <w:rPr>
                <w:rFonts w:eastAsiaTheme="minorEastAsia"/>
                <w:b/>
                <w:bCs/>
                <w:lang w:eastAsia="en-AU"/>
              </w:rPr>
            </w:pPr>
            <w:r w:rsidRPr="006A75A2">
              <w:rPr>
                <w:rFonts w:eastAsiaTheme="minorEastAsia"/>
                <w:b/>
                <w:bCs/>
                <w:lang w:eastAsia="en-AU"/>
              </w:rPr>
              <w:t>1 714.6</w:t>
            </w:r>
          </w:p>
        </w:tc>
      </w:tr>
      <w:tr w:rsidR="004E6C32" w:rsidRPr="006A75A2" w:rsidTr="004B5CB1">
        <w:tc>
          <w:tcPr>
            <w:tcW w:w="7400" w:type="dxa"/>
            <w:tcBorders>
              <w:top w:val="single" w:sz="6" w:space="0" w:color="auto"/>
              <w:left w:val="nil"/>
              <w:bottom w:val="single" w:sz="12" w:space="0" w:color="000000"/>
              <w:right w:val="nil"/>
            </w:tcBorders>
          </w:tcPr>
          <w:p w:rsidR="004E6C32" w:rsidRPr="006A75A2" w:rsidRDefault="004E6C32" w:rsidP="0067336F">
            <w:pPr>
              <w:pStyle w:val="Tabletext"/>
              <w:rPr>
                <w:rFonts w:eastAsiaTheme="minorEastAsia"/>
                <w:vertAlign w:val="superscript"/>
                <w:lang w:eastAsia="en-AU"/>
              </w:rPr>
            </w:pPr>
            <w:r w:rsidRPr="006A75A2">
              <w:rPr>
                <w:rFonts w:eastAsiaTheme="minorEastAsia"/>
                <w:lang w:eastAsia="en-AU"/>
              </w:rPr>
              <w:t>Tolerance limit (2 per cent of non-financial public sector cash receipts from operating activities)</w:t>
            </w:r>
            <w:r w:rsidRPr="006A75A2">
              <w:rPr>
                <w:rFonts w:eastAsiaTheme="minorEastAsia"/>
                <w:vertAlign w:val="superscript"/>
                <w:lang w:eastAsia="en-AU"/>
              </w:rPr>
              <w:t>(d)</w:t>
            </w:r>
          </w:p>
        </w:tc>
        <w:tc>
          <w:tcPr>
            <w:tcW w:w="1120" w:type="dxa"/>
            <w:tcBorders>
              <w:top w:val="single" w:sz="6" w:space="0" w:color="auto"/>
              <w:left w:val="nil"/>
              <w:bottom w:val="single" w:sz="12" w:space="0" w:color="000000"/>
              <w:right w:val="nil"/>
            </w:tcBorders>
          </w:tcPr>
          <w:p w:rsidR="004E6C32" w:rsidRPr="006A75A2" w:rsidRDefault="004E6C32" w:rsidP="004B5CB1">
            <w:pPr>
              <w:pStyle w:val="TableofFigures"/>
              <w:rPr>
                <w:rFonts w:eastAsiaTheme="minorEastAsia"/>
                <w:lang w:eastAsia="en-AU"/>
              </w:rPr>
            </w:pPr>
            <w:r w:rsidRPr="006A75A2">
              <w:rPr>
                <w:rFonts w:eastAsiaTheme="minorEastAsia"/>
                <w:lang w:eastAsia="en-AU"/>
              </w:rPr>
              <w:t>1 089.5</w:t>
            </w:r>
          </w:p>
        </w:tc>
        <w:tc>
          <w:tcPr>
            <w:tcW w:w="1120" w:type="dxa"/>
            <w:tcBorders>
              <w:top w:val="single" w:sz="6" w:space="0" w:color="auto"/>
              <w:left w:val="nil"/>
              <w:bottom w:val="single" w:sz="12" w:space="0" w:color="000000"/>
              <w:right w:val="nil"/>
            </w:tcBorders>
            <w:shd w:val="clear" w:color="auto" w:fill="auto"/>
          </w:tcPr>
          <w:p w:rsidR="004E6C32" w:rsidRPr="006A75A2" w:rsidRDefault="004E6C32" w:rsidP="004B5CB1">
            <w:pPr>
              <w:pStyle w:val="TableofFigures"/>
              <w:rPr>
                <w:rFonts w:eastAsiaTheme="minorEastAsia"/>
                <w:lang w:eastAsia="en-AU"/>
              </w:rPr>
            </w:pPr>
            <w:r w:rsidRPr="006A75A2">
              <w:rPr>
                <w:rFonts w:eastAsiaTheme="minorEastAsia"/>
                <w:lang w:eastAsia="en-AU"/>
              </w:rPr>
              <w:t>1 089.5</w:t>
            </w:r>
          </w:p>
        </w:tc>
      </w:tr>
    </w:tbl>
    <w:p w:rsidR="004E6C32" w:rsidRPr="006A75A2" w:rsidRDefault="004E6C32" w:rsidP="004B5CB1">
      <w:pPr>
        <w:pStyle w:val="Source"/>
      </w:pPr>
      <w:r w:rsidRPr="006A75A2">
        <w:t>Source: Department of Treasury and Finance</w:t>
      </w:r>
    </w:p>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The sum of the deficit of the general government and public non-financial corporation sector does not directly equal the non-financial public sector cash deficit due to inter</w:t>
      </w:r>
      <w:r w:rsidRPr="006A75A2">
        <w:noBreakHyphen/>
        <w:t>sectoral transfers, which are netted out in the calculation of the non</w:t>
      </w:r>
      <w:r w:rsidRPr="006A75A2">
        <w:noBreakHyphen/>
        <w:t>financial public sector figure. The non</w:t>
      </w:r>
      <w:r w:rsidRPr="006A75A2">
        <w:noBreakHyphen/>
        <w:t>financial public sector cash deficit excludes finance lease acquisitions.</w:t>
      </w:r>
    </w:p>
    <w:p w:rsidR="004E6C32" w:rsidRPr="006A75A2" w:rsidRDefault="004E6C32" w:rsidP="004B5CB1">
      <w:pPr>
        <w:pStyle w:val="Notes"/>
      </w:pPr>
      <w:r w:rsidRPr="006A75A2">
        <w:t xml:space="preserve">(b) </w:t>
      </w:r>
      <w:r w:rsidRPr="006A75A2">
        <w:tab/>
        <w:t>The ABS GFS cash deficit is adjusted to include in the LCA the impact of net cash flows from investments in financial assets for policy purposes.</w:t>
      </w:r>
    </w:p>
    <w:p w:rsidR="004E6C32" w:rsidRPr="006A75A2" w:rsidRDefault="004E6C32" w:rsidP="004B5CB1">
      <w:pPr>
        <w:pStyle w:val="Notes"/>
      </w:pPr>
      <w:r w:rsidRPr="006A75A2">
        <w:t>(c)</w:t>
      </w:r>
      <w:r w:rsidRPr="006A75A2">
        <w:tab/>
        <w:t>The ABS GFS cash deficit is adjusted to include in the LCA the impact of memorandum items, which include certain transactions that have many of the characteristics of public sector borrowings but do not constitute formal borrowings (e.g. operating leases). They also include, where appropriate, transactions that the Loan Council has agreed should not be included in the LCA (e.g. the over/under funding of employers</w:t>
      </w:r>
      <w:r w:rsidR="00C96101" w:rsidRPr="006A75A2">
        <w:t>’</w:t>
      </w:r>
      <w:r w:rsidRPr="006A75A2">
        <w:t xml:space="preserve"> emerging costs under public sector superannuation schemes, or borrowings by entities such as statutory marketing authorities).</w:t>
      </w:r>
    </w:p>
    <w:p w:rsidR="004E6C32" w:rsidRPr="006A75A2" w:rsidRDefault="004E6C32" w:rsidP="004B5CB1">
      <w:pPr>
        <w:pStyle w:val="Notes"/>
      </w:pPr>
      <w:r w:rsidRPr="006A75A2">
        <w:t>(d)</w:t>
      </w:r>
      <w:r w:rsidRPr="006A75A2">
        <w:tab/>
        <w:t>A tolerance limit equal to 2 per cent of total non-financial public sector cash receipt from operating activities applies to the movement between a jurisdiction</w:t>
      </w:r>
      <w:r w:rsidR="00C96101" w:rsidRPr="006A75A2">
        <w:t>’</w:t>
      </w:r>
      <w:r w:rsidRPr="006A75A2">
        <w:t xml:space="preserve">s LCA budget estimate and LCA outcome (calculated using estimates in the </w:t>
      </w:r>
      <w:r w:rsidRPr="006A75A2">
        <w:rPr>
          <w:i w:val="0"/>
        </w:rPr>
        <w:t>2013</w:t>
      </w:r>
      <w:r w:rsidRPr="006A75A2">
        <w:rPr>
          <w:i w:val="0"/>
        </w:rPr>
        <w:noBreakHyphen/>
        <w:t>14 Budget</w:t>
      </w:r>
      <w:r w:rsidRPr="006A75A2">
        <w:t>). The tolerance limit applying to the movement between Victoria</w:t>
      </w:r>
      <w:r w:rsidR="00C96101" w:rsidRPr="006A75A2">
        <w:t>’</w:t>
      </w:r>
      <w:r w:rsidRPr="006A75A2">
        <w:t>s 2013</w:t>
      </w:r>
      <w:r w:rsidRPr="006A75A2">
        <w:noBreakHyphen/>
        <w:t>14 LCA budget estimate and its LCA outcome is $1 089.5 million (2 per cent of $54 473 million).</w:t>
      </w:r>
    </w:p>
    <w:p w:rsidR="004E6C32" w:rsidRPr="006A75A2" w:rsidRDefault="004E6C32" w:rsidP="004B5CB1">
      <w:pPr>
        <w:pStyle w:val="Notes"/>
      </w:pPr>
    </w:p>
    <w:p w:rsidR="004E6C32" w:rsidRPr="006A75A2" w:rsidRDefault="004E6C32" w:rsidP="004B5CB1">
      <w:r w:rsidRPr="006A75A2">
        <w:t>As part of the Loan Council arrangements, the Council has agreed that if at any time a state or territory finds that it is likely to exceed its tolerance limit, in either direction, it is required to provide an explanation to the Council and, in line with the emphasis of increased transparency to make the explanation public. Victoria</w:t>
      </w:r>
      <w:r w:rsidR="00C96101" w:rsidRPr="006A75A2">
        <w:t>’</w:t>
      </w:r>
      <w:r w:rsidRPr="006A75A2">
        <w:t>s 2013</w:t>
      </w:r>
      <w:r w:rsidRPr="006A75A2">
        <w:noBreakHyphen/>
        <w:t>14 LCA outcome (a deficit of $1.7 billion) is $3 billion lower than the budgeted LCA and exceeds the 2013</w:t>
      </w:r>
      <w:r w:rsidRPr="006A75A2">
        <w:noBreakHyphen/>
        <w:t>14 tolerance limit. This is primarily due to a $2.9 billion decrease in the non</w:t>
      </w:r>
      <w:r w:rsidRPr="006A75A2">
        <w:noBreakHyphen/>
        <w:t>financial public sector cash deficit largely as a result of increased net cash flows from operating activities and lower net cash flows from investment in non</w:t>
      </w:r>
      <w:r w:rsidRPr="006A75A2">
        <w:noBreakHyphen/>
        <w:t>financial assets.</w:t>
      </w:r>
    </w:p>
    <w:p w:rsidR="004E6C32" w:rsidRPr="006A75A2" w:rsidRDefault="004E6C32" w:rsidP="004B5CB1">
      <w:r w:rsidRPr="006A75A2">
        <w:t>In the interest of transparency, the State is required to disclose the details of new infrastructure projects with private sector involvement that are expected to be contracted during the LCA year, and to report the full contingent exposure, if any. Exposure is to be measured by the Government</w:t>
      </w:r>
      <w:r w:rsidR="00C96101" w:rsidRPr="006A75A2">
        <w:t>’</w:t>
      </w:r>
      <w:r w:rsidRPr="006A75A2">
        <w:t>s termination liabilities in a case of private sector default and disclosed as a footnote to, rather than a component of the LCA. The amount payable will not exceed the fair market value of the project (which is usually calculated by an independent valuer) less any costs incurred by the Government as a result of the default.</w:t>
      </w:r>
    </w:p>
    <w:p w:rsidR="004E6C32" w:rsidRPr="006A75A2" w:rsidRDefault="004E6C32" w:rsidP="004B5CB1">
      <w:r w:rsidRPr="006A75A2">
        <w:t xml:space="preserve">There are no </w:t>
      </w:r>
      <w:r w:rsidRPr="006A75A2">
        <w:rPr>
          <w:i/>
        </w:rPr>
        <w:t>Partnerships Victoria</w:t>
      </w:r>
      <w:r w:rsidRPr="006A75A2">
        <w:t xml:space="preserve"> contracts that were signed during the 2013</w:t>
      </w:r>
      <w:r w:rsidRPr="006A75A2">
        <w:noBreakHyphen/>
        <w:t>14 financial year.</w:t>
      </w:r>
    </w:p>
    <w:p w:rsidR="004E6C32" w:rsidRPr="006A75A2" w:rsidRDefault="004E6C32" w:rsidP="007A44BF">
      <w:pPr>
        <w:sectPr w:rsidR="004E6C32" w:rsidRPr="006A75A2" w:rsidSect="00160ABB">
          <w:footerReference w:type="even" r:id="rId27"/>
          <w:footerReference w:type="default" r:id="rId28"/>
          <w:type w:val="oddPage"/>
          <w:pgSz w:w="11906" w:h="16838" w:code="9"/>
          <w:pgMar w:top="1151" w:right="1151" w:bottom="1151" w:left="1151" w:header="720" w:footer="720" w:gutter="0"/>
          <w:cols w:space="708"/>
          <w:docGrid w:linePitch="360"/>
        </w:sectPr>
      </w:pPr>
    </w:p>
    <w:p w:rsidR="004E6C32" w:rsidRPr="006A75A2" w:rsidRDefault="004E6C32" w:rsidP="004B5CB1">
      <w:pPr>
        <w:pStyle w:val="ChapterHeading"/>
      </w:pPr>
      <w:bookmarkStart w:id="81" w:name="_Toc400040245"/>
      <w:r w:rsidRPr="006A75A2">
        <w:lastRenderedPageBreak/>
        <w:t>Appendix A – General government sector quarterly financial report</w:t>
      </w:r>
      <w:bookmarkEnd w:id="81"/>
    </w:p>
    <w:p w:rsidR="004E6C32" w:rsidRPr="006A75A2" w:rsidRDefault="004E6C32" w:rsidP="004B5CB1">
      <w:pPr>
        <w:pStyle w:val="Tableheading"/>
      </w:pPr>
      <w:r w:rsidRPr="006A75A2">
        <w:t>Table A.1:</w:t>
      </w:r>
      <w:r w:rsidRPr="006A75A2">
        <w:tab/>
        <w:t>Operating statement for the past five quarters</w:t>
      </w:r>
    </w:p>
    <w:p w:rsidR="004E6C32" w:rsidRPr="006A75A2" w:rsidRDefault="004E6C32" w:rsidP="004B5CB1">
      <w:pPr>
        <w:pStyle w:val="million"/>
        <w:rPr>
          <w:rFonts w:ascii="Times New Roman" w:hAnsi="Times New Roman"/>
          <w:lang w:eastAsia="en-AU"/>
        </w:rPr>
      </w:pPr>
      <w:r w:rsidRPr="006A75A2">
        <w:t>($ million)</w:t>
      </w:r>
    </w:p>
    <w:tbl>
      <w:tblPr>
        <w:tblW w:w="9653" w:type="dxa"/>
        <w:tblInd w:w="29" w:type="dxa"/>
        <w:tblLayout w:type="fixed"/>
        <w:tblCellMar>
          <w:left w:w="43" w:type="dxa"/>
          <w:right w:w="43" w:type="dxa"/>
        </w:tblCellMar>
        <w:tblLook w:val="0000" w:firstRow="0" w:lastRow="0" w:firstColumn="0" w:lastColumn="0" w:noHBand="0" w:noVBand="0"/>
      </w:tblPr>
      <w:tblGrid>
        <w:gridCol w:w="4029"/>
        <w:gridCol w:w="92"/>
        <w:gridCol w:w="1029"/>
        <w:gridCol w:w="1123"/>
        <w:gridCol w:w="1123"/>
        <w:gridCol w:w="1124"/>
        <w:gridCol w:w="1133"/>
      </w:tblGrid>
      <w:tr w:rsidR="00E761FF" w:rsidRPr="006A75A2" w:rsidTr="00C07A50">
        <w:trPr>
          <w:tblHeader/>
        </w:trPr>
        <w:tc>
          <w:tcPr>
            <w:tcW w:w="4029" w:type="dxa"/>
            <w:tcBorders>
              <w:top w:val="single" w:sz="4" w:space="0" w:color="auto"/>
              <w:left w:val="single" w:sz="4" w:space="0" w:color="auto"/>
              <w:bottom w:val="nil"/>
              <w:right w:val="nil"/>
            </w:tcBorders>
            <w:shd w:val="clear" w:color="auto" w:fill="000000"/>
          </w:tcPr>
          <w:p w:rsidR="00E761FF" w:rsidRPr="006A75A2" w:rsidRDefault="00E761FF"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1" w:type="dxa"/>
            <w:gridSpan w:val="2"/>
            <w:tcBorders>
              <w:top w:val="single" w:sz="4" w:space="0" w:color="auto"/>
              <w:left w:val="nil"/>
              <w:bottom w:val="nil"/>
              <w:right w:val="nil"/>
            </w:tcBorders>
            <w:shd w:val="clear" w:color="auto" w:fill="000000"/>
          </w:tcPr>
          <w:p w:rsidR="00E761FF" w:rsidRPr="006A75A2" w:rsidRDefault="00E761FF" w:rsidP="004B5CB1">
            <w:pPr>
              <w:pStyle w:val="Tabletextheading"/>
              <w:rPr>
                <w:rFonts w:eastAsiaTheme="minorEastAsia"/>
                <w:sz w:val="21"/>
                <w:szCs w:val="21"/>
                <w:lang w:eastAsia="en-AU"/>
              </w:rPr>
            </w:pPr>
            <w:r w:rsidRPr="006A75A2">
              <w:rPr>
                <w:rFonts w:eastAsiaTheme="minorEastAsia"/>
                <w:sz w:val="21"/>
                <w:szCs w:val="21"/>
                <w:lang w:eastAsia="en-AU"/>
              </w:rPr>
              <w:t>2012-13</w:t>
            </w:r>
          </w:p>
        </w:tc>
        <w:tc>
          <w:tcPr>
            <w:tcW w:w="4503" w:type="dxa"/>
            <w:gridSpan w:val="4"/>
            <w:tcBorders>
              <w:top w:val="single" w:sz="4" w:space="0" w:color="auto"/>
              <w:left w:val="nil"/>
              <w:bottom w:val="nil"/>
              <w:right w:val="single" w:sz="4" w:space="0" w:color="auto"/>
            </w:tcBorders>
            <w:shd w:val="clear" w:color="auto" w:fill="000000"/>
          </w:tcPr>
          <w:p w:rsidR="00E761FF" w:rsidRPr="006A75A2" w:rsidRDefault="00E761FF" w:rsidP="00E761FF">
            <w:pPr>
              <w:pStyle w:val="TabletextheadingCentred"/>
              <w:rPr>
                <w:rFonts w:eastAsiaTheme="minorEastAsia"/>
                <w:sz w:val="21"/>
                <w:szCs w:val="21"/>
                <w:lang w:eastAsia="en-AU"/>
              </w:rPr>
            </w:pPr>
            <w:r w:rsidRPr="006A75A2">
              <w:rPr>
                <w:rFonts w:eastAsiaTheme="minorEastAsia"/>
                <w:sz w:val="21"/>
                <w:szCs w:val="21"/>
                <w:lang w:eastAsia="en-AU"/>
              </w:rPr>
              <w:t>2013-14</w:t>
            </w:r>
          </w:p>
        </w:tc>
      </w:tr>
      <w:tr w:rsidR="004E6C32" w:rsidRPr="006A75A2" w:rsidTr="004B5CB1">
        <w:trPr>
          <w:tblHeader/>
        </w:trPr>
        <w:tc>
          <w:tcPr>
            <w:tcW w:w="4029" w:type="dxa"/>
            <w:tcBorders>
              <w:top w:val="nil"/>
              <w:left w:val="single" w:sz="4" w:space="0" w:color="auto"/>
              <w:bottom w:val="single" w:sz="4" w:space="0" w:color="auto"/>
              <w:right w:val="nil"/>
            </w:tcBorders>
            <w:shd w:val="clear" w:color="auto" w:fill="000000"/>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1" w:type="dxa"/>
            <w:gridSpan w:val="2"/>
            <w:tcBorders>
              <w:top w:val="nil"/>
              <w:left w:val="nil"/>
              <w:bottom w:val="single" w:sz="4"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Jun</w:t>
            </w:r>
          </w:p>
        </w:tc>
        <w:tc>
          <w:tcPr>
            <w:tcW w:w="1123" w:type="dxa"/>
            <w:tcBorders>
              <w:top w:val="nil"/>
              <w:left w:val="nil"/>
              <w:bottom w:val="single" w:sz="4"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Sep</w:t>
            </w:r>
          </w:p>
        </w:tc>
        <w:tc>
          <w:tcPr>
            <w:tcW w:w="1123" w:type="dxa"/>
            <w:tcBorders>
              <w:top w:val="nil"/>
              <w:left w:val="nil"/>
              <w:bottom w:val="single" w:sz="4"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Dec</w:t>
            </w:r>
          </w:p>
        </w:tc>
        <w:tc>
          <w:tcPr>
            <w:tcW w:w="1124" w:type="dxa"/>
            <w:tcBorders>
              <w:top w:val="nil"/>
              <w:left w:val="nil"/>
              <w:bottom w:val="single" w:sz="4"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Mar</w:t>
            </w:r>
          </w:p>
        </w:tc>
        <w:tc>
          <w:tcPr>
            <w:tcW w:w="1133" w:type="dxa"/>
            <w:tcBorders>
              <w:top w:val="nil"/>
              <w:left w:val="nil"/>
              <w:bottom w:val="single" w:sz="4" w:space="0" w:color="auto"/>
              <w:right w:val="single" w:sz="4" w:space="0" w:color="auto"/>
            </w:tcBorders>
            <w:shd w:val="clear" w:color="auto" w:fill="000000"/>
          </w:tcPr>
          <w:p w:rsidR="004E6C32" w:rsidRPr="006A75A2" w:rsidRDefault="004E6C32" w:rsidP="004B5CB1">
            <w:pPr>
              <w:pStyle w:val="Tabletextheading"/>
              <w:rPr>
                <w:rFonts w:eastAsiaTheme="minorEastAsia"/>
                <w:iCs/>
                <w:sz w:val="21"/>
                <w:szCs w:val="21"/>
                <w:lang w:eastAsia="en-AU"/>
              </w:rPr>
            </w:pPr>
            <w:r w:rsidRPr="006A75A2">
              <w:rPr>
                <w:rFonts w:eastAsiaTheme="minorEastAsia"/>
                <w:iCs/>
                <w:sz w:val="21"/>
                <w:szCs w:val="21"/>
                <w:lang w:eastAsia="en-AU"/>
              </w:rPr>
              <w:t>Jun</w:t>
            </w:r>
          </w:p>
        </w:tc>
      </w:tr>
      <w:tr w:rsidR="00E761FF" w:rsidRPr="006A75A2" w:rsidTr="00C07A50">
        <w:tc>
          <w:tcPr>
            <w:tcW w:w="9653" w:type="dxa"/>
            <w:gridSpan w:val="7"/>
            <w:tcBorders>
              <w:top w:val="single" w:sz="4" w:space="0" w:color="auto"/>
              <w:left w:val="nil"/>
              <w:bottom w:val="nil"/>
              <w:right w:val="nil"/>
            </w:tcBorders>
          </w:tcPr>
          <w:p w:rsidR="00E761FF" w:rsidRPr="006A75A2" w:rsidRDefault="00E761FF" w:rsidP="00E761FF">
            <w:pPr>
              <w:pStyle w:val="Tabletext"/>
              <w:rPr>
                <w:rFonts w:eastAsiaTheme="minorEastAsia"/>
                <w:sz w:val="21"/>
                <w:szCs w:val="21"/>
                <w:lang w:eastAsia="en-AU"/>
              </w:rPr>
            </w:pPr>
            <w:r w:rsidRPr="006A75A2">
              <w:rPr>
                <w:rFonts w:eastAsiaTheme="minorEastAsia"/>
                <w:b/>
                <w:bCs/>
                <w:sz w:val="21"/>
                <w:szCs w:val="21"/>
                <w:lang w:eastAsia="en-AU"/>
              </w:rPr>
              <w:t>Revenue from transactions</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Taxation revenue</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3 546.4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4 300.5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3 803.3</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5 092.9</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3 704.2</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Interest</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214.6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204.3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216.5</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201.4</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209.1</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Dividends and income tax equivalent and rate equivalent revenue </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607.3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64.5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158.6</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107.7</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115.1</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Sales of goods and services</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1 678.9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1 727.2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1 698.0</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1 347.8</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1 951.8</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Grants</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5 345.8</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5 453.1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5 829.1</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6 304.5</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7 558.2</w:t>
            </w:r>
          </w:p>
        </w:tc>
      </w:tr>
      <w:tr w:rsidR="004E6C32" w:rsidRPr="006A75A2" w:rsidTr="004B5CB1">
        <w:tc>
          <w:tcPr>
            <w:tcW w:w="4029" w:type="dxa"/>
            <w:tcBorders>
              <w:top w:val="nil"/>
              <w:left w:val="nil"/>
              <w:bottom w:val="single" w:sz="6" w:space="0" w:color="auto"/>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Other revenue</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726.2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521.5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512.3</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487.8</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795.3</w:t>
            </w:r>
          </w:p>
        </w:tc>
      </w:tr>
      <w:tr w:rsidR="004E6C32" w:rsidRPr="006A75A2" w:rsidTr="004B5CB1">
        <w:tc>
          <w:tcPr>
            <w:tcW w:w="4029" w:type="dxa"/>
            <w:tcBorders>
              <w:top w:val="single" w:sz="6" w:space="0" w:color="auto"/>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 xml:space="preserve">Total revenue from transactions </w:t>
            </w:r>
          </w:p>
        </w:tc>
        <w:tc>
          <w:tcPr>
            <w:tcW w:w="1121" w:type="dxa"/>
            <w:gridSpan w:val="2"/>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12 119.2</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12 271.0</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12 217.8</w:t>
            </w:r>
          </w:p>
        </w:tc>
        <w:tc>
          <w:tcPr>
            <w:tcW w:w="1124"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13 542.1</w:t>
            </w:r>
          </w:p>
        </w:tc>
        <w:tc>
          <w:tcPr>
            <w:tcW w:w="113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14 333.8</w:t>
            </w:r>
          </w:p>
        </w:tc>
      </w:tr>
      <w:tr w:rsidR="00E761FF" w:rsidRPr="006A75A2" w:rsidTr="00C07A50">
        <w:tc>
          <w:tcPr>
            <w:tcW w:w="9653" w:type="dxa"/>
            <w:gridSpan w:val="7"/>
            <w:tcBorders>
              <w:top w:val="nil"/>
              <w:left w:val="nil"/>
              <w:bottom w:val="nil"/>
              <w:right w:val="nil"/>
            </w:tcBorders>
          </w:tcPr>
          <w:p w:rsidR="00E761FF" w:rsidRPr="006A75A2" w:rsidRDefault="00E761FF" w:rsidP="00E761FF">
            <w:pPr>
              <w:pStyle w:val="TableofFigures"/>
              <w:jc w:val="left"/>
              <w:rPr>
                <w:rFonts w:eastAsiaTheme="minorEastAsia"/>
                <w:sz w:val="21"/>
                <w:szCs w:val="21"/>
                <w:lang w:eastAsia="en-AU"/>
              </w:rPr>
            </w:pPr>
            <w:r w:rsidRPr="006A75A2">
              <w:rPr>
                <w:rFonts w:eastAsiaTheme="minorEastAsia"/>
                <w:b/>
                <w:bCs/>
                <w:sz w:val="21"/>
                <w:szCs w:val="21"/>
                <w:lang w:eastAsia="en-AU"/>
              </w:rPr>
              <w:t>Expenses from transactions</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Employee expenses</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4 619.0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4 388.4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4 493.9</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4 424.1</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4 705.5</w:t>
            </w:r>
          </w:p>
        </w:tc>
      </w:tr>
      <w:tr w:rsidR="004E6C32" w:rsidRPr="006A75A2" w:rsidTr="004B5CB1">
        <w:tc>
          <w:tcPr>
            <w:tcW w:w="4029"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Superannuation interest expense</w:t>
            </w:r>
            <w:r w:rsidRPr="006A75A2">
              <w:rPr>
                <w:rFonts w:eastAsiaTheme="minorEastAsia"/>
                <w:sz w:val="21"/>
                <w:szCs w:val="21"/>
                <w:vertAlign w:val="superscript"/>
                <w:lang w:eastAsia="en-AU"/>
              </w:rPr>
              <w:t>(a)</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269.0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266.7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263.6</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259.4</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262.3</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Other superannuation expenses </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474.2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478.7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501.6</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441.2</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454.9</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Depreciation</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604.7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611.6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560.1</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582.8</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609.2</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Interest expense</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534.0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525.9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536.0</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519.6</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557.0</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Grants and other transfers</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1 839.7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2 060.2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1 846.1</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2 359.6</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1 319.7</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Other operating expenses </w:t>
            </w:r>
          </w:p>
        </w:tc>
        <w:tc>
          <w:tcPr>
            <w:tcW w:w="1121" w:type="dxa"/>
            <w:gridSpan w:val="2"/>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4 403.4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4 189.1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4 117.9</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3 730.4</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5 322.7</w:t>
            </w:r>
          </w:p>
        </w:tc>
      </w:tr>
      <w:tr w:rsidR="004E6C32" w:rsidRPr="006A75A2" w:rsidTr="004B5CB1">
        <w:tc>
          <w:tcPr>
            <w:tcW w:w="4029" w:type="dxa"/>
            <w:tcBorders>
              <w:top w:val="single" w:sz="6" w:space="0" w:color="auto"/>
              <w:left w:val="nil"/>
              <w:bottom w:val="single" w:sz="6" w:space="0" w:color="auto"/>
              <w:right w:val="nil"/>
            </w:tcBorders>
          </w:tcPr>
          <w:p w:rsidR="004E6C32" w:rsidRPr="006A75A2" w:rsidRDefault="004E6C32" w:rsidP="0067336F">
            <w:pPr>
              <w:pStyle w:val="Tabletext"/>
              <w:rPr>
                <w:rFonts w:eastAsiaTheme="minorEastAsia"/>
                <w:b/>
                <w:bCs/>
                <w:sz w:val="21"/>
                <w:szCs w:val="21"/>
                <w:vertAlign w:val="superscript"/>
                <w:lang w:eastAsia="en-AU"/>
              </w:rPr>
            </w:pPr>
            <w:r w:rsidRPr="006A75A2">
              <w:rPr>
                <w:rFonts w:eastAsiaTheme="minorEastAsia"/>
                <w:b/>
                <w:bCs/>
                <w:sz w:val="21"/>
                <w:szCs w:val="21"/>
                <w:lang w:eastAsia="en-AU"/>
              </w:rPr>
              <w:t>Total expenses from transactions</w:t>
            </w:r>
            <w:r w:rsidRPr="006A75A2">
              <w:rPr>
                <w:rFonts w:eastAsiaTheme="minorEastAsia"/>
                <w:b/>
                <w:bCs/>
                <w:sz w:val="21"/>
                <w:szCs w:val="21"/>
                <w:vertAlign w:val="superscript"/>
                <w:lang w:eastAsia="en-AU"/>
              </w:rPr>
              <w:t>(a)</w:t>
            </w:r>
          </w:p>
        </w:tc>
        <w:tc>
          <w:tcPr>
            <w:tcW w:w="1121" w:type="dxa"/>
            <w:gridSpan w:val="2"/>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12 744.1</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12 520.6</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12 319.3</w:t>
            </w:r>
          </w:p>
        </w:tc>
        <w:tc>
          <w:tcPr>
            <w:tcW w:w="112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12 317.2</w:t>
            </w:r>
          </w:p>
        </w:tc>
        <w:tc>
          <w:tcPr>
            <w:tcW w:w="113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13 231.3</w:t>
            </w:r>
          </w:p>
        </w:tc>
      </w:tr>
      <w:tr w:rsidR="004E6C32" w:rsidRPr="006A75A2" w:rsidTr="004B5CB1">
        <w:tc>
          <w:tcPr>
            <w:tcW w:w="4029" w:type="dxa"/>
            <w:tcBorders>
              <w:top w:val="single" w:sz="6" w:space="0" w:color="auto"/>
              <w:left w:val="nil"/>
              <w:bottom w:val="single" w:sz="12" w:space="0" w:color="auto"/>
              <w:right w:val="nil"/>
            </w:tcBorders>
          </w:tcPr>
          <w:p w:rsidR="004E6C32" w:rsidRPr="006A75A2" w:rsidRDefault="004E6C32" w:rsidP="0067336F">
            <w:pPr>
              <w:pStyle w:val="Tabletext"/>
              <w:rPr>
                <w:rFonts w:eastAsiaTheme="minorEastAsia"/>
                <w:b/>
                <w:bCs/>
                <w:sz w:val="21"/>
                <w:szCs w:val="21"/>
                <w:vertAlign w:val="superscript"/>
                <w:lang w:eastAsia="en-AU"/>
              </w:rPr>
            </w:pPr>
            <w:r w:rsidRPr="006A75A2">
              <w:rPr>
                <w:rFonts w:eastAsiaTheme="minorEastAsia"/>
                <w:b/>
                <w:bCs/>
                <w:sz w:val="21"/>
                <w:szCs w:val="21"/>
                <w:lang w:eastAsia="en-AU"/>
              </w:rPr>
              <w:t>Net result from transactions – net operating balance</w:t>
            </w:r>
            <w:r w:rsidRPr="006A75A2">
              <w:rPr>
                <w:rFonts w:eastAsiaTheme="minorEastAsia"/>
                <w:b/>
                <w:bCs/>
                <w:sz w:val="21"/>
                <w:szCs w:val="21"/>
                <w:vertAlign w:val="superscript"/>
                <w:lang w:eastAsia="en-AU"/>
              </w:rPr>
              <w:t>(a)</w:t>
            </w:r>
          </w:p>
        </w:tc>
        <w:tc>
          <w:tcPr>
            <w:tcW w:w="1121" w:type="dxa"/>
            <w:gridSpan w:val="2"/>
            <w:tcBorders>
              <w:top w:val="single" w:sz="6" w:space="0" w:color="auto"/>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(624.9)</w:t>
            </w:r>
          </w:p>
        </w:tc>
        <w:tc>
          <w:tcPr>
            <w:tcW w:w="1123" w:type="dxa"/>
            <w:tcBorders>
              <w:top w:val="single" w:sz="6" w:space="0" w:color="auto"/>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(249.6)</w:t>
            </w:r>
          </w:p>
        </w:tc>
        <w:tc>
          <w:tcPr>
            <w:tcW w:w="1123" w:type="dxa"/>
            <w:tcBorders>
              <w:top w:val="single" w:sz="6" w:space="0" w:color="auto"/>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(101.5)</w:t>
            </w:r>
          </w:p>
        </w:tc>
        <w:tc>
          <w:tcPr>
            <w:tcW w:w="112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1 224.8</w:t>
            </w:r>
          </w:p>
        </w:tc>
        <w:tc>
          <w:tcPr>
            <w:tcW w:w="113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1 102.5</w:t>
            </w:r>
          </w:p>
        </w:tc>
      </w:tr>
      <w:tr w:rsidR="00E761FF" w:rsidRPr="006A75A2" w:rsidTr="00C07A50">
        <w:tc>
          <w:tcPr>
            <w:tcW w:w="9653" w:type="dxa"/>
            <w:gridSpan w:val="7"/>
            <w:tcBorders>
              <w:top w:val="single" w:sz="12" w:space="0" w:color="auto"/>
              <w:left w:val="nil"/>
              <w:bottom w:val="nil"/>
              <w:right w:val="nil"/>
            </w:tcBorders>
          </w:tcPr>
          <w:p w:rsidR="00E761FF" w:rsidRPr="006A75A2" w:rsidRDefault="00E761FF" w:rsidP="00E761FF">
            <w:pPr>
              <w:pStyle w:val="TableofFigures"/>
              <w:jc w:val="left"/>
              <w:rPr>
                <w:rFonts w:eastAsiaTheme="minorEastAsia"/>
                <w:b/>
                <w:bCs/>
                <w:sz w:val="21"/>
                <w:szCs w:val="21"/>
                <w:lang w:eastAsia="en-AU"/>
              </w:rPr>
            </w:pPr>
            <w:r w:rsidRPr="006A75A2">
              <w:rPr>
                <w:rFonts w:eastAsiaTheme="minorEastAsia"/>
                <w:b/>
                <w:bCs/>
                <w:sz w:val="21"/>
                <w:szCs w:val="21"/>
                <w:lang w:eastAsia="en-AU"/>
              </w:rPr>
              <w:t>Other economic flows included in net result</w:t>
            </w:r>
          </w:p>
        </w:tc>
      </w:tr>
      <w:tr w:rsidR="004E6C32" w:rsidRPr="006A75A2" w:rsidTr="004B5CB1">
        <w:tc>
          <w:tcPr>
            <w:tcW w:w="4121" w:type="dxa"/>
            <w:gridSpan w:val="2"/>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Net gain/(loss) on sale of non-financial assets</w:t>
            </w:r>
          </w:p>
        </w:tc>
        <w:tc>
          <w:tcPr>
            <w:tcW w:w="1029"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(2.0)</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(4.4)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24.8</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1.3</w:t>
            </w:r>
          </w:p>
        </w:tc>
        <w:tc>
          <w:tcPr>
            <w:tcW w:w="113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(46.6)</w:t>
            </w:r>
          </w:p>
        </w:tc>
      </w:tr>
      <w:tr w:rsidR="004E6C32" w:rsidRPr="006A75A2" w:rsidTr="004B5CB1">
        <w:tc>
          <w:tcPr>
            <w:tcW w:w="4121" w:type="dxa"/>
            <w:gridSpan w:val="2"/>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Net gain/(loss) on financial assets or liabilities at fair value</w:t>
            </w:r>
          </w:p>
        </w:tc>
        <w:tc>
          <w:tcPr>
            <w:tcW w:w="1029"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17.1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22.2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18.4</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5.9</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6.1</w:t>
            </w:r>
          </w:p>
        </w:tc>
      </w:tr>
      <w:tr w:rsidR="004E6C32" w:rsidRPr="006A75A2" w:rsidTr="004B5CB1">
        <w:tc>
          <w:tcPr>
            <w:tcW w:w="4121" w:type="dxa"/>
            <w:gridSpan w:val="2"/>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Share of net profit/(loss) from associates/joint venture entities, excluding dividends</w:t>
            </w:r>
          </w:p>
        </w:tc>
        <w:tc>
          <w:tcPr>
            <w:tcW w:w="1029"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0.1</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3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(0.1)</w:t>
            </w:r>
          </w:p>
        </w:tc>
      </w:tr>
      <w:tr w:rsidR="004E6C32" w:rsidRPr="006A75A2" w:rsidTr="004B5CB1">
        <w:tc>
          <w:tcPr>
            <w:tcW w:w="4121" w:type="dxa"/>
            <w:gridSpan w:val="2"/>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Other gains/(losses) from other economic flows</w:t>
            </w:r>
          </w:p>
        </w:tc>
        <w:tc>
          <w:tcPr>
            <w:tcW w:w="1029"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32.6</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(96.5)</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(73.7)</w:t>
            </w:r>
          </w:p>
        </w:tc>
        <w:tc>
          <w:tcPr>
            <w:tcW w:w="1124"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(954.7)</w:t>
            </w:r>
          </w:p>
        </w:tc>
        <w:tc>
          <w:tcPr>
            <w:tcW w:w="113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(105.8)</w:t>
            </w:r>
          </w:p>
        </w:tc>
      </w:tr>
      <w:tr w:rsidR="004E6C32" w:rsidRPr="006A75A2" w:rsidTr="004B5CB1">
        <w:tc>
          <w:tcPr>
            <w:tcW w:w="4121" w:type="dxa"/>
            <w:gridSpan w:val="2"/>
            <w:tcBorders>
              <w:top w:val="single" w:sz="6" w:space="0" w:color="auto"/>
              <w:left w:val="nil"/>
              <w:bottom w:val="single" w:sz="6" w:space="0" w:color="auto"/>
              <w:right w:val="nil"/>
            </w:tcBorders>
          </w:tcPr>
          <w:p w:rsidR="004E6C32" w:rsidRPr="006A75A2" w:rsidRDefault="004E6C32" w:rsidP="0067336F">
            <w:pPr>
              <w:pStyle w:val="Tabletext"/>
              <w:rPr>
                <w:rFonts w:eastAsiaTheme="minorEastAsia"/>
                <w:b/>
                <w:bCs/>
                <w:sz w:val="21"/>
                <w:szCs w:val="21"/>
                <w:vertAlign w:val="superscript"/>
                <w:lang w:eastAsia="en-AU"/>
              </w:rPr>
            </w:pPr>
            <w:r w:rsidRPr="006A75A2">
              <w:rPr>
                <w:rFonts w:eastAsiaTheme="minorEastAsia"/>
                <w:b/>
                <w:bCs/>
                <w:sz w:val="21"/>
                <w:szCs w:val="21"/>
                <w:lang w:eastAsia="en-AU"/>
              </w:rPr>
              <w:t>Total other economic flows included in net result</w:t>
            </w:r>
            <w:r w:rsidRPr="006A75A2">
              <w:rPr>
                <w:rFonts w:eastAsiaTheme="minorEastAsia"/>
                <w:b/>
                <w:bCs/>
                <w:sz w:val="21"/>
                <w:szCs w:val="21"/>
                <w:vertAlign w:val="superscript"/>
                <w:lang w:eastAsia="en-AU"/>
              </w:rPr>
              <w:t>(a)</w:t>
            </w:r>
          </w:p>
        </w:tc>
        <w:tc>
          <w:tcPr>
            <w:tcW w:w="1029"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52.3</w:t>
            </w:r>
          </w:p>
        </w:tc>
        <w:tc>
          <w:tcPr>
            <w:tcW w:w="1123"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(78.7)</w:t>
            </w:r>
          </w:p>
        </w:tc>
        <w:tc>
          <w:tcPr>
            <w:tcW w:w="1123"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(30.4)</w:t>
            </w:r>
          </w:p>
        </w:tc>
        <w:tc>
          <w:tcPr>
            <w:tcW w:w="1124"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(947.5)</w:t>
            </w:r>
          </w:p>
        </w:tc>
        <w:tc>
          <w:tcPr>
            <w:tcW w:w="1133"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(146.4)</w:t>
            </w:r>
          </w:p>
        </w:tc>
      </w:tr>
      <w:tr w:rsidR="004E6C32" w:rsidRPr="006A75A2" w:rsidTr="004B5CB1">
        <w:tc>
          <w:tcPr>
            <w:tcW w:w="4121" w:type="dxa"/>
            <w:gridSpan w:val="2"/>
            <w:tcBorders>
              <w:top w:val="single" w:sz="6" w:space="0" w:color="auto"/>
              <w:left w:val="nil"/>
              <w:bottom w:val="single" w:sz="6" w:space="0" w:color="auto"/>
              <w:right w:val="nil"/>
            </w:tcBorders>
          </w:tcPr>
          <w:p w:rsidR="004E6C32" w:rsidRPr="006A75A2" w:rsidRDefault="004E6C32" w:rsidP="0067336F">
            <w:pPr>
              <w:pStyle w:val="Tabletext"/>
              <w:rPr>
                <w:rFonts w:eastAsiaTheme="minorEastAsia"/>
                <w:b/>
                <w:bCs/>
                <w:sz w:val="21"/>
                <w:szCs w:val="21"/>
                <w:vertAlign w:val="superscript"/>
                <w:lang w:eastAsia="en-AU"/>
              </w:rPr>
            </w:pPr>
            <w:r w:rsidRPr="006A75A2">
              <w:rPr>
                <w:rFonts w:eastAsiaTheme="minorEastAsia"/>
                <w:b/>
                <w:bCs/>
                <w:sz w:val="21"/>
                <w:szCs w:val="21"/>
                <w:lang w:eastAsia="en-AU"/>
              </w:rPr>
              <w:t>Net result</w:t>
            </w:r>
            <w:r w:rsidRPr="006A75A2">
              <w:rPr>
                <w:rFonts w:eastAsiaTheme="minorEastAsia"/>
                <w:b/>
                <w:bCs/>
                <w:sz w:val="21"/>
                <w:szCs w:val="21"/>
                <w:vertAlign w:val="superscript"/>
                <w:lang w:eastAsia="en-AU"/>
              </w:rPr>
              <w:t>(a)</w:t>
            </w:r>
          </w:p>
        </w:tc>
        <w:tc>
          <w:tcPr>
            <w:tcW w:w="1029" w:type="dxa"/>
            <w:tcBorders>
              <w:top w:val="single" w:sz="6" w:space="0" w:color="auto"/>
              <w:left w:val="nil"/>
              <w:bottom w:val="single" w:sz="6"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(572.5)</w:t>
            </w:r>
          </w:p>
        </w:tc>
        <w:tc>
          <w:tcPr>
            <w:tcW w:w="1123" w:type="dxa"/>
            <w:tcBorders>
              <w:top w:val="single" w:sz="6" w:space="0" w:color="auto"/>
              <w:left w:val="nil"/>
              <w:bottom w:val="single" w:sz="6"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(328.4)</w:t>
            </w:r>
          </w:p>
        </w:tc>
        <w:tc>
          <w:tcPr>
            <w:tcW w:w="1123" w:type="dxa"/>
            <w:tcBorders>
              <w:top w:val="single" w:sz="6" w:space="0" w:color="auto"/>
              <w:left w:val="nil"/>
              <w:bottom w:val="single" w:sz="6"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(131.9)</w:t>
            </w:r>
          </w:p>
        </w:tc>
        <w:tc>
          <w:tcPr>
            <w:tcW w:w="1124"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277.3</w:t>
            </w:r>
          </w:p>
        </w:tc>
        <w:tc>
          <w:tcPr>
            <w:tcW w:w="113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956.1</w:t>
            </w:r>
          </w:p>
        </w:tc>
      </w:tr>
    </w:tbl>
    <w:p w:rsidR="00A659BA" w:rsidRPr="006A75A2" w:rsidRDefault="00A659BA" w:rsidP="00A659BA">
      <w:pPr>
        <w:pStyle w:val="Tableheading"/>
      </w:pPr>
    </w:p>
    <w:p w:rsidR="00A659BA" w:rsidRPr="006A75A2" w:rsidRDefault="00A659BA">
      <w:pPr>
        <w:spacing w:after="0"/>
        <w:rPr>
          <w:rFonts w:ascii="Calibri" w:hAnsi="Calibri"/>
          <w:b/>
          <w:sz w:val="25"/>
        </w:rPr>
      </w:pPr>
      <w:r w:rsidRPr="006A75A2">
        <w:br w:type="page"/>
      </w:r>
    </w:p>
    <w:p w:rsidR="00A659BA" w:rsidRPr="006A75A2" w:rsidRDefault="00A659BA" w:rsidP="00A659BA">
      <w:pPr>
        <w:pStyle w:val="Tableheading"/>
      </w:pPr>
      <w:r w:rsidRPr="006A75A2">
        <w:lastRenderedPageBreak/>
        <w:t>Table A.1:</w:t>
      </w:r>
      <w:r w:rsidRPr="006A75A2">
        <w:tab/>
        <w:t xml:space="preserve">Operating statement for the past five quarters </w:t>
      </w:r>
      <w:r w:rsidRPr="006A75A2">
        <w:rPr>
          <w:i/>
        </w:rPr>
        <w:t>(continued)</w:t>
      </w:r>
    </w:p>
    <w:p w:rsidR="00A659BA" w:rsidRPr="006A75A2" w:rsidRDefault="00A659BA" w:rsidP="00A659BA">
      <w:pPr>
        <w:pStyle w:val="million"/>
        <w:rPr>
          <w:rFonts w:ascii="Times New Roman" w:hAnsi="Times New Roman"/>
          <w:lang w:eastAsia="en-AU"/>
        </w:rPr>
      </w:pPr>
      <w:r w:rsidRPr="006A75A2">
        <w:t>($ million)</w:t>
      </w:r>
    </w:p>
    <w:tbl>
      <w:tblPr>
        <w:tblW w:w="9653" w:type="dxa"/>
        <w:tblInd w:w="29" w:type="dxa"/>
        <w:tblLayout w:type="fixed"/>
        <w:tblCellMar>
          <w:left w:w="43" w:type="dxa"/>
          <w:right w:w="43" w:type="dxa"/>
        </w:tblCellMar>
        <w:tblLook w:val="0000" w:firstRow="0" w:lastRow="0" w:firstColumn="0" w:lastColumn="0" w:noHBand="0" w:noVBand="0"/>
      </w:tblPr>
      <w:tblGrid>
        <w:gridCol w:w="4029"/>
        <w:gridCol w:w="1121"/>
        <w:gridCol w:w="1123"/>
        <w:gridCol w:w="1123"/>
        <w:gridCol w:w="1124"/>
        <w:gridCol w:w="1133"/>
      </w:tblGrid>
      <w:tr w:rsidR="00A659BA" w:rsidRPr="006A75A2" w:rsidTr="00A659BA">
        <w:trPr>
          <w:tblHeader/>
        </w:trPr>
        <w:tc>
          <w:tcPr>
            <w:tcW w:w="4029" w:type="dxa"/>
            <w:tcBorders>
              <w:top w:val="single" w:sz="4" w:space="0" w:color="auto"/>
              <w:left w:val="single" w:sz="4" w:space="0" w:color="auto"/>
              <w:bottom w:val="nil"/>
              <w:right w:val="nil"/>
            </w:tcBorders>
            <w:shd w:val="clear" w:color="auto" w:fill="000000"/>
          </w:tcPr>
          <w:p w:rsidR="00A659BA" w:rsidRPr="006A75A2" w:rsidRDefault="00A659BA" w:rsidP="00A659BA">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1" w:type="dxa"/>
            <w:tcBorders>
              <w:top w:val="single" w:sz="4" w:space="0" w:color="auto"/>
              <w:left w:val="nil"/>
              <w:bottom w:val="nil"/>
              <w:right w:val="nil"/>
            </w:tcBorders>
            <w:shd w:val="clear" w:color="auto" w:fill="000000"/>
          </w:tcPr>
          <w:p w:rsidR="00A659BA" w:rsidRPr="006A75A2" w:rsidRDefault="00A659BA" w:rsidP="00A659BA">
            <w:pPr>
              <w:pStyle w:val="Tabletextheading"/>
              <w:rPr>
                <w:rFonts w:eastAsiaTheme="minorEastAsia"/>
                <w:sz w:val="21"/>
                <w:szCs w:val="21"/>
                <w:lang w:eastAsia="en-AU"/>
              </w:rPr>
            </w:pPr>
            <w:r w:rsidRPr="006A75A2">
              <w:rPr>
                <w:rFonts w:eastAsiaTheme="minorEastAsia"/>
                <w:sz w:val="21"/>
                <w:szCs w:val="21"/>
                <w:lang w:eastAsia="en-AU"/>
              </w:rPr>
              <w:t>2012-13</w:t>
            </w:r>
          </w:p>
        </w:tc>
        <w:tc>
          <w:tcPr>
            <w:tcW w:w="4503" w:type="dxa"/>
            <w:gridSpan w:val="4"/>
            <w:tcBorders>
              <w:top w:val="single" w:sz="4" w:space="0" w:color="auto"/>
              <w:left w:val="nil"/>
              <w:bottom w:val="nil"/>
              <w:right w:val="single" w:sz="4" w:space="0" w:color="auto"/>
            </w:tcBorders>
            <w:shd w:val="clear" w:color="auto" w:fill="000000"/>
          </w:tcPr>
          <w:p w:rsidR="00A659BA" w:rsidRPr="006A75A2" w:rsidRDefault="00A659BA" w:rsidP="00A659BA">
            <w:pPr>
              <w:pStyle w:val="TabletextheadingCentred"/>
              <w:rPr>
                <w:rFonts w:eastAsiaTheme="minorEastAsia"/>
                <w:sz w:val="21"/>
                <w:szCs w:val="21"/>
                <w:lang w:eastAsia="en-AU"/>
              </w:rPr>
            </w:pPr>
            <w:r w:rsidRPr="006A75A2">
              <w:rPr>
                <w:rFonts w:eastAsiaTheme="minorEastAsia"/>
                <w:sz w:val="21"/>
                <w:szCs w:val="21"/>
                <w:lang w:eastAsia="en-AU"/>
              </w:rPr>
              <w:t>2013-14</w:t>
            </w:r>
          </w:p>
        </w:tc>
      </w:tr>
      <w:tr w:rsidR="00A659BA" w:rsidRPr="006A75A2" w:rsidTr="00A659BA">
        <w:trPr>
          <w:tblHeader/>
        </w:trPr>
        <w:tc>
          <w:tcPr>
            <w:tcW w:w="4029" w:type="dxa"/>
            <w:tcBorders>
              <w:top w:val="nil"/>
              <w:left w:val="single" w:sz="4" w:space="0" w:color="auto"/>
              <w:bottom w:val="single" w:sz="4" w:space="0" w:color="auto"/>
              <w:right w:val="nil"/>
            </w:tcBorders>
            <w:shd w:val="clear" w:color="auto" w:fill="000000"/>
          </w:tcPr>
          <w:p w:rsidR="00A659BA" w:rsidRPr="006A75A2" w:rsidRDefault="00A659BA" w:rsidP="00A659BA">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1" w:type="dxa"/>
            <w:tcBorders>
              <w:top w:val="nil"/>
              <w:left w:val="nil"/>
              <w:bottom w:val="single" w:sz="4" w:space="0" w:color="auto"/>
              <w:right w:val="nil"/>
            </w:tcBorders>
            <w:shd w:val="clear" w:color="auto" w:fill="000000"/>
          </w:tcPr>
          <w:p w:rsidR="00A659BA" w:rsidRPr="006A75A2" w:rsidRDefault="00A659BA" w:rsidP="00A659BA">
            <w:pPr>
              <w:pStyle w:val="Tabletextheading"/>
              <w:rPr>
                <w:rFonts w:eastAsiaTheme="minorEastAsia"/>
                <w:sz w:val="21"/>
                <w:szCs w:val="21"/>
                <w:lang w:eastAsia="en-AU"/>
              </w:rPr>
            </w:pPr>
            <w:r w:rsidRPr="006A75A2">
              <w:rPr>
                <w:rFonts w:eastAsiaTheme="minorEastAsia"/>
                <w:sz w:val="21"/>
                <w:szCs w:val="21"/>
                <w:lang w:eastAsia="en-AU"/>
              </w:rPr>
              <w:t>Jun</w:t>
            </w:r>
          </w:p>
        </w:tc>
        <w:tc>
          <w:tcPr>
            <w:tcW w:w="1123" w:type="dxa"/>
            <w:tcBorders>
              <w:top w:val="nil"/>
              <w:left w:val="nil"/>
              <w:bottom w:val="single" w:sz="4" w:space="0" w:color="auto"/>
              <w:right w:val="nil"/>
            </w:tcBorders>
            <w:shd w:val="clear" w:color="auto" w:fill="000000"/>
          </w:tcPr>
          <w:p w:rsidR="00A659BA" w:rsidRPr="006A75A2" w:rsidRDefault="00A659BA" w:rsidP="00A659BA">
            <w:pPr>
              <w:pStyle w:val="Tabletextheading"/>
              <w:rPr>
                <w:rFonts w:eastAsiaTheme="minorEastAsia"/>
                <w:sz w:val="21"/>
                <w:szCs w:val="21"/>
                <w:lang w:eastAsia="en-AU"/>
              </w:rPr>
            </w:pPr>
            <w:r w:rsidRPr="006A75A2">
              <w:rPr>
                <w:rFonts w:eastAsiaTheme="minorEastAsia"/>
                <w:sz w:val="21"/>
                <w:szCs w:val="21"/>
                <w:lang w:eastAsia="en-AU"/>
              </w:rPr>
              <w:t>Sep</w:t>
            </w:r>
          </w:p>
        </w:tc>
        <w:tc>
          <w:tcPr>
            <w:tcW w:w="1123" w:type="dxa"/>
            <w:tcBorders>
              <w:top w:val="nil"/>
              <w:left w:val="nil"/>
              <w:bottom w:val="single" w:sz="4" w:space="0" w:color="auto"/>
              <w:right w:val="nil"/>
            </w:tcBorders>
            <w:shd w:val="clear" w:color="auto" w:fill="000000"/>
          </w:tcPr>
          <w:p w:rsidR="00A659BA" w:rsidRPr="006A75A2" w:rsidRDefault="00A659BA" w:rsidP="00A659BA">
            <w:pPr>
              <w:pStyle w:val="Tabletextheading"/>
              <w:rPr>
                <w:rFonts w:eastAsiaTheme="minorEastAsia"/>
                <w:sz w:val="21"/>
                <w:szCs w:val="21"/>
                <w:lang w:eastAsia="en-AU"/>
              </w:rPr>
            </w:pPr>
            <w:r w:rsidRPr="006A75A2">
              <w:rPr>
                <w:rFonts w:eastAsiaTheme="minorEastAsia"/>
                <w:sz w:val="21"/>
                <w:szCs w:val="21"/>
                <w:lang w:eastAsia="en-AU"/>
              </w:rPr>
              <w:t>Dec</w:t>
            </w:r>
          </w:p>
        </w:tc>
        <w:tc>
          <w:tcPr>
            <w:tcW w:w="1124" w:type="dxa"/>
            <w:tcBorders>
              <w:top w:val="nil"/>
              <w:left w:val="nil"/>
              <w:bottom w:val="single" w:sz="4" w:space="0" w:color="auto"/>
              <w:right w:val="nil"/>
            </w:tcBorders>
            <w:shd w:val="clear" w:color="auto" w:fill="000000"/>
          </w:tcPr>
          <w:p w:rsidR="00A659BA" w:rsidRPr="006A75A2" w:rsidRDefault="00A659BA" w:rsidP="00A659BA">
            <w:pPr>
              <w:pStyle w:val="Tabletextheading"/>
              <w:rPr>
                <w:rFonts w:eastAsiaTheme="minorEastAsia"/>
                <w:sz w:val="21"/>
                <w:szCs w:val="21"/>
                <w:lang w:eastAsia="en-AU"/>
              </w:rPr>
            </w:pPr>
            <w:r w:rsidRPr="006A75A2">
              <w:rPr>
                <w:rFonts w:eastAsiaTheme="minorEastAsia"/>
                <w:sz w:val="21"/>
                <w:szCs w:val="21"/>
                <w:lang w:eastAsia="en-AU"/>
              </w:rPr>
              <w:t>Mar</w:t>
            </w:r>
          </w:p>
        </w:tc>
        <w:tc>
          <w:tcPr>
            <w:tcW w:w="1133" w:type="dxa"/>
            <w:tcBorders>
              <w:top w:val="nil"/>
              <w:left w:val="nil"/>
              <w:bottom w:val="single" w:sz="4" w:space="0" w:color="auto"/>
              <w:right w:val="single" w:sz="4" w:space="0" w:color="auto"/>
            </w:tcBorders>
            <w:shd w:val="clear" w:color="auto" w:fill="000000"/>
          </w:tcPr>
          <w:p w:rsidR="00A659BA" w:rsidRPr="006A75A2" w:rsidRDefault="00A659BA" w:rsidP="00A659BA">
            <w:pPr>
              <w:pStyle w:val="Tabletextheading"/>
              <w:rPr>
                <w:rFonts w:eastAsiaTheme="minorEastAsia"/>
                <w:iCs/>
                <w:sz w:val="21"/>
                <w:szCs w:val="21"/>
                <w:lang w:eastAsia="en-AU"/>
              </w:rPr>
            </w:pPr>
            <w:r w:rsidRPr="006A75A2">
              <w:rPr>
                <w:rFonts w:eastAsiaTheme="minorEastAsia"/>
                <w:iCs/>
                <w:sz w:val="21"/>
                <w:szCs w:val="21"/>
                <w:lang w:eastAsia="en-AU"/>
              </w:rPr>
              <w:t>Jun</w:t>
            </w:r>
          </w:p>
        </w:tc>
      </w:tr>
      <w:tr w:rsidR="00E761FF" w:rsidRPr="006A75A2" w:rsidTr="00C07A50">
        <w:tc>
          <w:tcPr>
            <w:tcW w:w="9653" w:type="dxa"/>
            <w:gridSpan w:val="6"/>
            <w:tcBorders>
              <w:top w:val="nil"/>
              <w:left w:val="nil"/>
              <w:bottom w:val="nil"/>
              <w:right w:val="nil"/>
            </w:tcBorders>
          </w:tcPr>
          <w:p w:rsidR="00E761FF" w:rsidRPr="006A75A2" w:rsidRDefault="00E761FF" w:rsidP="00A659BA">
            <w:pPr>
              <w:pStyle w:val="TableofFigures"/>
              <w:jc w:val="left"/>
              <w:rPr>
                <w:rFonts w:eastAsiaTheme="minorEastAsia"/>
                <w:b/>
                <w:bCs/>
                <w:sz w:val="21"/>
                <w:szCs w:val="21"/>
                <w:lang w:eastAsia="en-AU"/>
              </w:rPr>
            </w:pPr>
            <w:r w:rsidRPr="006A75A2">
              <w:rPr>
                <w:rFonts w:eastAsiaTheme="minorEastAsia"/>
                <w:b/>
                <w:bCs/>
                <w:sz w:val="21"/>
                <w:szCs w:val="21"/>
                <w:lang w:eastAsia="en-AU"/>
              </w:rPr>
              <w:t>Other economic flows – other comprehensive income</w:t>
            </w:r>
          </w:p>
        </w:tc>
      </w:tr>
      <w:tr w:rsidR="00E761FF" w:rsidRPr="006A75A2" w:rsidTr="00C07A50">
        <w:tc>
          <w:tcPr>
            <w:tcW w:w="9653" w:type="dxa"/>
            <w:gridSpan w:val="6"/>
            <w:tcBorders>
              <w:top w:val="nil"/>
              <w:left w:val="nil"/>
              <w:bottom w:val="nil"/>
              <w:right w:val="nil"/>
            </w:tcBorders>
          </w:tcPr>
          <w:p w:rsidR="00E761FF" w:rsidRPr="006A75A2" w:rsidRDefault="00E761FF" w:rsidP="00E761FF">
            <w:pPr>
              <w:pStyle w:val="TableofFigures"/>
              <w:jc w:val="left"/>
              <w:rPr>
                <w:rFonts w:eastAsiaTheme="minorEastAsia"/>
                <w:b/>
                <w:bCs/>
                <w:sz w:val="21"/>
                <w:szCs w:val="21"/>
                <w:lang w:eastAsia="en-AU"/>
              </w:rPr>
            </w:pPr>
            <w:r w:rsidRPr="006A75A2">
              <w:rPr>
                <w:rFonts w:eastAsiaTheme="minorEastAsia"/>
                <w:b/>
                <w:bCs/>
                <w:sz w:val="21"/>
                <w:szCs w:val="21"/>
                <w:lang w:eastAsia="en-AU"/>
              </w:rPr>
              <w:t>Items that will not be reclassified to net result</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Changes in non-financial assets revaluation surplus</w:t>
            </w:r>
          </w:p>
        </w:tc>
        <w:tc>
          <w:tcPr>
            <w:tcW w:w="1121"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710.2</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(73.0)</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(224.6)</w:t>
            </w:r>
          </w:p>
        </w:tc>
        <w:tc>
          <w:tcPr>
            <w:tcW w:w="1124"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(383.2)</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2 909.5</w:t>
            </w:r>
          </w:p>
        </w:tc>
      </w:tr>
      <w:tr w:rsidR="004E6C32" w:rsidRPr="006A75A2" w:rsidTr="004B5CB1">
        <w:tc>
          <w:tcPr>
            <w:tcW w:w="4029" w:type="dxa"/>
            <w:tcBorders>
              <w:top w:val="nil"/>
              <w:left w:val="nil"/>
              <w:bottom w:val="nil"/>
              <w:right w:val="nil"/>
            </w:tcBorders>
            <w:shd w:val="solid" w:color="FFFFFF" w:fill="auto"/>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Remeasurement of superannuation defined benefit plans</w:t>
            </w:r>
            <w:r w:rsidRPr="006A75A2">
              <w:rPr>
                <w:rFonts w:eastAsiaTheme="minorEastAsia"/>
                <w:sz w:val="21"/>
                <w:szCs w:val="21"/>
                <w:vertAlign w:val="superscript"/>
                <w:lang w:eastAsia="en-AU"/>
              </w:rPr>
              <w:t>(a)</w:t>
            </w:r>
          </w:p>
        </w:tc>
        <w:tc>
          <w:tcPr>
            <w:tcW w:w="1121"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3 880.7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1 428.4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1 000.8</w:t>
            </w:r>
          </w:p>
        </w:tc>
        <w:tc>
          <w:tcPr>
            <w:tcW w:w="1124"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(421.8)</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(2 293.6)</w:t>
            </w:r>
          </w:p>
        </w:tc>
      </w:tr>
      <w:tr w:rsidR="004E6C32" w:rsidRPr="006A75A2" w:rsidTr="004B5CB1">
        <w:tc>
          <w:tcPr>
            <w:tcW w:w="4029" w:type="dxa"/>
            <w:tcBorders>
              <w:top w:val="nil"/>
              <w:left w:val="nil"/>
              <w:bottom w:val="nil"/>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Net gain/(loss) on equity investments in other sector entities at proportional share of net assets</w:t>
            </w:r>
            <w:r w:rsidRPr="006A75A2">
              <w:rPr>
                <w:rFonts w:eastAsiaTheme="minorEastAsia"/>
                <w:sz w:val="21"/>
                <w:szCs w:val="21"/>
                <w:vertAlign w:val="superscript"/>
                <w:lang w:eastAsia="en-AU"/>
              </w:rPr>
              <w:t>(b)</w:t>
            </w:r>
          </w:p>
        </w:tc>
        <w:tc>
          <w:tcPr>
            <w:tcW w:w="1121"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(1 806.3)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1 110.9</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2 702.9</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Other movements in equity</w:t>
            </w:r>
          </w:p>
        </w:tc>
        <w:tc>
          <w:tcPr>
            <w:tcW w:w="1121"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886.9</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(181.5)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172.7</w:t>
            </w:r>
          </w:p>
        </w:tc>
        <w:tc>
          <w:tcPr>
            <w:tcW w:w="1124"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358.7</w:t>
            </w:r>
          </w:p>
        </w:tc>
        <w:tc>
          <w:tcPr>
            <w:tcW w:w="113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430.3</w:t>
            </w:r>
          </w:p>
        </w:tc>
      </w:tr>
      <w:tr w:rsidR="00E761FF" w:rsidRPr="006A75A2" w:rsidTr="00C07A50">
        <w:tc>
          <w:tcPr>
            <w:tcW w:w="9653" w:type="dxa"/>
            <w:gridSpan w:val="6"/>
            <w:tcBorders>
              <w:top w:val="nil"/>
              <w:left w:val="nil"/>
              <w:bottom w:val="nil"/>
              <w:right w:val="nil"/>
            </w:tcBorders>
          </w:tcPr>
          <w:p w:rsidR="00E761FF" w:rsidRPr="006A75A2" w:rsidRDefault="00E761FF" w:rsidP="00E761FF">
            <w:pPr>
              <w:pStyle w:val="TableofFigures"/>
              <w:jc w:val="left"/>
              <w:rPr>
                <w:rFonts w:eastAsiaTheme="minorEastAsia"/>
                <w:sz w:val="21"/>
                <w:szCs w:val="21"/>
                <w:lang w:eastAsia="en-AU"/>
              </w:rPr>
            </w:pPr>
            <w:r w:rsidRPr="006A75A2">
              <w:rPr>
                <w:rFonts w:eastAsiaTheme="minorEastAsia"/>
                <w:b/>
                <w:bCs/>
                <w:sz w:val="21"/>
                <w:szCs w:val="21"/>
                <w:lang w:eastAsia="en-AU"/>
              </w:rPr>
              <w:t>Items that may be reclassified subsequently to net result</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Net gain/(loss) on financial assets at fair value</w:t>
            </w:r>
          </w:p>
        </w:tc>
        <w:tc>
          <w:tcPr>
            <w:tcW w:w="1121"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21.6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25.7</w:t>
            </w:r>
          </w:p>
        </w:tc>
        <w:tc>
          <w:tcPr>
            <w:tcW w:w="1124"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(0.8)</w:t>
            </w:r>
          </w:p>
        </w:tc>
        <w:tc>
          <w:tcPr>
            <w:tcW w:w="113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(33.6)</w:t>
            </w:r>
          </w:p>
        </w:tc>
      </w:tr>
      <w:tr w:rsidR="004E6C32" w:rsidRPr="006A75A2" w:rsidTr="004B5CB1">
        <w:tc>
          <w:tcPr>
            <w:tcW w:w="4029" w:type="dxa"/>
            <w:tcBorders>
              <w:top w:val="single" w:sz="6" w:space="0" w:color="auto"/>
              <w:left w:val="nil"/>
              <w:bottom w:val="single" w:sz="6" w:space="0" w:color="auto"/>
              <w:right w:val="nil"/>
            </w:tcBorders>
          </w:tcPr>
          <w:p w:rsidR="004E6C32" w:rsidRPr="006A75A2" w:rsidRDefault="004E6C32" w:rsidP="0067336F">
            <w:pPr>
              <w:pStyle w:val="Tabletext"/>
              <w:rPr>
                <w:rFonts w:eastAsiaTheme="minorEastAsia"/>
                <w:b/>
                <w:bCs/>
                <w:sz w:val="21"/>
                <w:szCs w:val="21"/>
                <w:vertAlign w:val="superscript"/>
                <w:lang w:eastAsia="en-AU"/>
              </w:rPr>
            </w:pPr>
            <w:r w:rsidRPr="006A75A2">
              <w:rPr>
                <w:rFonts w:eastAsiaTheme="minorEastAsia"/>
                <w:b/>
                <w:bCs/>
                <w:sz w:val="21"/>
                <w:szCs w:val="21"/>
                <w:lang w:eastAsia="en-AU"/>
              </w:rPr>
              <w:t>Total other economic flows – other comprehensive income</w:t>
            </w:r>
            <w:r w:rsidRPr="006A75A2">
              <w:rPr>
                <w:rFonts w:eastAsiaTheme="minorEastAsia"/>
                <w:b/>
                <w:bCs/>
                <w:sz w:val="21"/>
                <w:szCs w:val="21"/>
                <w:vertAlign w:val="superscript"/>
                <w:lang w:eastAsia="en-AU"/>
              </w:rPr>
              <w:t>(a)(b)</w:t>
            </w:r>
          </w:p>
        </w:tc>
        <w:tc>
          <w:tcPr>
            <w:tcW w:w="1121"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3 693.1</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1 177.5</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2 085.5</w:t>
            </w:r>
          </w:p>
        </w:tc>
        <w:tc>
          <w:tcPr>
            <w:tcW w:w="1124"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(447.2)</w:t>
            </w:r>
          </w:p>
        </w:tc>
        <w:tc>
          <w:tcPr>
            <w:tcW w:w="113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3 715.6</w:t>
            </w:r>
          </w:p>
        </w:tc>
      </w:tr>
      <w:tr w:rsidR="004E6C32" w:rsidRPr="006A75A2" w:rsidTr="004B5CB1">
        <w:tc>
          <w:tcPr>
            <w:tcW w:w="4029" w:type="dxa"/>
            <w:tcBorders>
              <w:top w:val="single" w:sz="6" w:space="0" w:color="auto"/>
              <w:left w:val="nil"/>
              <w:bottom w:val="single" w:sz="12" w:space="0" w:color="auto"/>
              <w:right w:val="nil"/>
            </w:tcBorders>
          </w:tcPr>
          <w:p w:rsidR="004E6C32" w:rsidRPr="006A75A2" w:rsidRDefault="004E6C32" w:rsidP="0067336F">
            <w:pPr>
              <w:pStyle w:val="Tabletext"/>
              <w:rPr>
                <w:rFonts w:eastAsiaTheme="minorEastAsia"/>
                <w:b/>
                <w:bCs/>
                <w:sz w:val="21"/>
                <w:szCs w:val="21"/>
                <w:vertAlign w:val="superscript"/>
                <w:lang w:eastAsia="en-AU"/>
              </w:rPr>
            </w:pPr>
            <w:r w:rsidRPr="006A75A2">
              <w:rPr>
                <w:rFonts w:eastAsiaTheme="minorEastAsia"/>
                <w:b/>
                <w:bCs/>
                <w:sz w:val="21"/>
                <w:szCs w:val="21"/>
                <w:lang w:eastAsia="en-AU"/>
              </w:rPr>
              <w:t>Comprehensive result – total change in net worth</w:t>
            </w:r>
            <w:r w:rsidRPr="006A75A2">
              <w:rPr>
                <w:rFonts w:eastAsiaTheme="minorEastAsia"/>
                <w:b/>
                <w:bCs/>
                <w:sz w:val="21"/>
                <w:szCs w:val="21"/>
                <w:vertAlign w:val="superscript"/>
                <w:lang w:eastAsia="en-AU"/>
              </w:rPr>
              <w:t>(b)</w:t>
            </w:r>
          </w:p>
        </w:tc>
        <w:tc>
          <w:tcPr>
            <w:tcW w:w="1121"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3 120.5</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849.1</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1 953.6</w:t>
            </w:r>
          </w:p>
        </w:tc>
        <w:tc>
          <w:tcPr>
            <w:tcW w:w="1124" w:type="dxa"/>
            <w:tcBorders>
              <w:top w:val="single" w:sz="6" w:space="0" w:color="auto"/>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(169.9)</w:t>
            </w:r>
          </w:p>
        </w:tc>
        <w:tc>
          <w:tcPr>
            <w:tcW w:w="113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4 671.6</w:t>
            </w:r>
          </w:p>
        </w:tc>
      </w:tr>
      <w:tr w:rsidR="00E761FF" w:rsidRPr="006A75A2" w:rsidTr="00C07A50">
        <w:tc>
          <w:tcPr>
            <w:tcW w:w="9653" w:type="dxa"/>
            <w:gridSpan w:val="6"/>
            <w:tcBorders>
              <w:top w:val="nil"/>
              <w:left w:val="nil"/>
              <w:bottom w:val="nil"/>
              <w:right w:val="nil"/>
            </w:tcBorders>
          </w:tcPr>
          <w:p w:rsidR="00E761FF" w:rsidRPr="006A75A2" w:rsidRDefault="00E761FF" w:rsidP="00E761FF">
            <w:pPr>
              <w:pStyle w:val="TableofFigures"/>
              <w:jc w:val="left"/>
              <w:rPr>
                <w:rFonts w:eastAsiaTheme="minorEastAsia"/>
                <w:b/>
                <w:bCs/>
                <w:sz w:val="21"/>
                <w:szCs w:val="21"/>
                <w:lang w:eastAsia="en-AU"/>
              </w:rPr>
            </w:pPr>
            <w:r w:rsidRPr="006A75A2">
              <w:rPr>
                <w:rFonts w:eastAsiaTheme="minorEastAsia"/>
                <w:b/>
                <w:bCs/>
                <w:sz w:val="21"/>
                <w:szCs w:val="21"/>
                <w:lang w:eastAsia="en-AU"/>
              </w:rPr>
              <w:t>FISCAL AGGREGATES</w:t>
            </w:r>
          </w:p>
        </w:tc>
      </w:tr>
      <w:tr w:rsidR="004E6C32" w:rsidRPr="006A75A2" w:rsidTr="004B5CB1">
        <w:tc>
          <w:tcPr>
            <w:tcW w:w="4029"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Net operating balance</w:t>
            </w:r>
          </w:p>
        </w:tc>
        <w:tc>
          <w:tcPr>
            <w:tcW w:w="1121"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(624.9)</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(249.6)</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(101.5)</w:t>
            </w:r>
          </w:p>
        </w:tc>
        <w:tc>
          <w:tcPr>
            <w:tcW w:w="1124"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1 224.8</w:t>
            </w:r>
          </w:p>
        </w:tc>
        <w:tc>
          <w:tcPr>
            <w:tcW w:w="113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1 102.5</w:t>
            </w:r>
          </w:p>
        </w:tc>
      </w:tr>
      <w:tr w:rsidR="004E6C32" w:rsidRPr="006A75A2" w:rsidTr="004B5CB1">
        <w:tc>
          <w:tcPr>
            <w:tcW w:w="4029" w:type="dxa"/>
            <w:tcBorders>
              <w:top w:val="nil"/>
              <w:left w:val="nil"/>
              <w:bottom w:val="single" w:sz="6" w:space="0" w:color="auto"/>
              <w:right w:val="nil"/>
            </w:tcBorders>
          </w:tcPr>
          <w:p w:rsidR="004E6C32" w:rsidRPr="006A75A2" w:rsidRDefault="004E6C32" w:rsidP="0067336F">
            <w:pPr>
              <w:pStyle w:val="Tabletext"/>
              <w:rPr>
                <w:rFonts w:eastAsiaTheme="minorEastAsia"/>
                <w:sz w:val="21"/>
                <w:szCs w:val="21"/>
                <w:vertAlign w:val="superscript"/>
                <w:lang w:eastAsia="en-AU"/>
              </w:rPr>
            </w:pPr>
            <w:r w:rsidRPr="006A75A2">
              <w:rPr>
                <w:rFonts w:eastAsiaTheme="minorEastAsia"/>
                <w:sz w:val="21"/>
                <w:szCs w:val="21"/>
                <w:lang w:eastAsia="en-AU"/>
              </w:rPr>
              <w:t>Less: Net acquisition of non-financial assets from transactions</w:t>
            </w:r>
            <w:r w:rsidRPr="006A75A2">
              <w:rPr>
                <w:rFonts w:eastAsiaTheme="minorEastAsia"/>
                <w:sz w:val="21"/>
                <w:szCs w:val="21"/>
                <w:vertAlign w:val="superscript"/>
                <w:lang w:eastAsia="en-AU"/>
              </w:rPr>
              <w:t>(c)</w:t>
            </w:r>
          </w:p>
        </w:tc>
        <w:tc>
          <w:tcPr>
            <w:tcW w:w="1121"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278.5</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(769.0)</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1 355.4</w:t>
            </w:r>
          </w:p>
        </w:tc>
        <w:tc>
          <w:tcPr>
            <w:tcW w:w="1124"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(3.2)</w:t>
            </w:r>
          </w:p>
        </w:tc>
        <w:tc>
          <w:tcPr>
            <w:tcW w:w="113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134.0</w:t>
            </w:r>
          </w:p>
        </w:tc>
      </w:tr>
      <w:tr w:rsidR="004E6C32" w:rsidRPr="006A75A2" w:rsidTr="004B5CB1">
        <w:tc>
          <w:tcPr>
            <w:tcW w:w="4029" w:type="dxa"/>
            <w:tcBorders>
              <w:top w:val="single" w:sz="6" w:space="0" w:color="auto"/>
              <w:left w:val="nil"/>
              <w:bottom w:val="single" w:sz="12" w:space="0" w:color="auto"/>
              <w:right w:val="nil"/>
            </w:tcBorders>
          </w:tcPr>
          <w:p w:rsidR="004E6C32" w:rsidRPr="006A75A2" w:rsidRDefault="004E6C32" w:rsidP="0067336F">
            <w:pPr>
              <w:pStyle w:val="Tabletext"/>
              <w:rPr>
                <w:rFonts w:eastAsiaTheme="minorEastAsia"/>
                <w:b/>
                <w:bCs/>
                <w:sz w:val="21"/>
                <w:szCs w:val="21"/>
                <w:lang w:eastAsia="en-AU"/>
              </w:rPr>
            </w:pPr>
            <w:r w:rsidRPr="006A75A2">
              <w:rPr>
                <w:rFonts w:eastAsiaTheme="minorEastAsia"/>
                <w:b/>
                <w:bCs/>
                <w:sz w:val="21"/>
                <w:szCs w:val="21"/>
                <w:lang w:eastAsia="en-AU"/>
              </w:rPr>
              <w:t>Net lending/(borrowing)</w:t>
            </w:r>
            <w:r w:rsidRPr="006A75A2">
              <w:rPr>
                <w:rFonts w:eastAsiaTheme="minorEastAsia"/>
                <w:b/>
                <w:bCs/>
                <w:sz w:val="21"/>
                <w:szCs w:val="21"/>
                <w:vertAlign w:val="superscript"/>
                <w:lang w:eastAsia="en-AU"/>
              </w:rPr>
              <w:t>(a)(c)</w:t>
            </w:r>
          </w:p>
        </w:tc>
        <w:tc>
          <w:tcPr>
            <w:tcW w:w="1121" w:type="dxa"/>
            <w:tcBorders>
              <w:top w:val="single" w:sz="6" w:space="0" w:color="auto"/>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(903.3)</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519.3</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(1 456.9)</w:t>
            </w:r>
          </w:p>
        </w:tc>
        <w:tc>
          <w:tcPr>
            <w:tcW w:w="1124"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1 228.1</w:t>
            </w:r>
          </w:p>
        </w:tc>
        <w:tc>
          <w:tcPr>
            <w:tcW w:w="113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968.5</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 xml:space="preserve">In 2013-14, the State applied the revised AASB 119 </w:t>
      </w:r>
      <w:r w:rsidRPr="006A75A2">
        <w:rPr>
          <w:i w:val="0"/>
        </w:rPr>
        <w:t>Employee Benefits</w:t>
      </w:r>
      <w:r w:rsidRPr="006A75A2">
        <w:t xml:space="preserve"> for the first time as required by the revised accounting standard, which changed the way defined benefit superannuation expenses are presented. Part of the actuarial gains, which had previously contributed to the State</w:t>
      </w:r>
      <w:r w:rsidR="00C96101" w:rsidRPr="006A75A2">
        <w:t>’</w:t>
      </w:r>
      <w:r w:rsidRPr="006A75A2">
        <w:t>s operating surplus in 2012-13 are now reported as a remeasurement item under other comprehensive income, and no longer included in the State</w:t>
      </w:r>
      <w:r w:rsidR="00C96101" w:rsidRPr="006A75A2">
        <w:t>’</w:t>
      </w:r>
      <w:r w:rsidRPr="006A75A2">
        <w:t>s operating surplus. The revised requirements have been applied retrospectively as required by the revised accounting standard and the operating statement of the earliest comparative period presented (30 June 2013) has been restated accordingly. This revision only affected the presentation of these gains in the operating statement and continue to have no impact on the State</w:t>
      </w:r>
      <w:r w:rsidR="00C96101" w:rsidRPr="006A75A2">
        <w:t>’</w:t>
      </w:r>
      <w:r w:rsidRPr="006A75A2">
        <w:t>s cash requirements or net debt.</w:t>
      </w:r>
    </w:p>
    <w:p w:rsidR="004E6C32" w:rsidRPr="006A75A2" w:rsidRDefault="004E6C32" w:rsidP="004B5CB1">
      <w:pPr>
        <w:pStyle w:val="Notes"/>
      </w:pPr>
      <w:r w:rsidRPr="006A75A2">
        <w:t>(b)</w:t>
      </w:r>
      <w:r w:rsidRPr="006A75A2">
        <w:tab/>
        <w:t>June 2013 comparative figures have been restated. See Chapter 4, Note 37.</w:t>
      </w:r>
    </w:p>
    <w:p w:rsidR="004E6C32" w:rsidRPr="006A75A2" w:rsidRDefault="004E6C32" w:rsidP="004B5CB1">
      <w:pPr>
        <w:pStyle w:val="Notes"/>
      </w:pPr>
      <w:r w:rsidRPr="006A75A2">
        <w:t>(c)</w:t>
      </w:r>
      <w:r w:rsidRPr="006A75A2">
        <w:tab/>
        <w:t>June 2013 comparative figures have been restated to include the fixed asset transfers to and from the general government sector.</w:t>
      </w:r>
    </w:p>
    <w:p w:rsidR="004E6C32" w:rsidRPr="006A75A2" w:rsidRDefault="004E6C32" w:rsidP="004B5CB1"/>
    <w:p w:rsidR="004E6C32" w:rsidRPr="006A75A2" w:rsidRDefault="004E6C32">
      <w:pPr>
        <w:spacing w:after="0"/>
        <w:rPr>
          <w:rFonts w:ascii="Calibri" w:hAnsi="Calibri"/>
          <w:b/>
          <w:sz w:val="25"/>
        </w:rPr>
      </w:pPr>
      <w:r w:rsidRPr="006A75A2">
        <w:br w:type="page"/>
      </w:r>
    </w:p>
    <w:p w:rsidR="004E6C32" w:rsidRPr="006A75A2" w:rsidRDefault="004E6C32" w:rsidP="004B5CB1">
      <w:pPr>
        <w:pStyle w:val="Tableheading"/>
      </w:pPr>
      <w:r w:rsidRPr="006A75A2">
        <w:lastRenderedPageBreak/>
        <w:t>Table A.2:</w:t>
      </w:r>
      <w:r w:rsidRPr="006A75A2">
        <w:tab/>
        <w:t>Balance sheet as at the end of the past five quarters</w:t>
      </w:r>
    </w:p>
    <w:p w:rsidR="004E6C32" w:rsidRPr="006A75A2" w:rsidRDefault="004E6C32" w:rsidP="004B5CB1">
      <w:pPr>
        <w:pStyle w:val="million"/>
        <w:rPr>
          <w:rFonts w:ascii="Times New Roman" w:hAnsi="Times New Roman"/>
          <w:lang w:eastAsia="en-AU"/>
        </w:rPr>
      </w:pPr>
      <w:r w:rsidRPr="006A75A2">
        <w:t>($ million)</w:t>
      </w:r>
    </w:p>
    <w:tbl>
      <w:tblPr>
        <w:tblStyle w:val="TableGrid"/>
        <w:tblW w:w="9640" w:type="dxa"/>
        <w:tblInd w:w="28" w:type="dxa"/>
        <w:tblLayout w:type="fixed"/>
        <w:tblCellMar>
          <w:left w:w="45" w:type="dxa"/>
          <w:right w:w="45" w:type="dxa"/>
        </w:tblCellMar>
        <w:tblLook w:val="04A0" w:firstRow="1" w:lastRow="0" w:firstColumn="1" w:lastColumn="0" w:noHBand="0" w:noVBand="1"/>
      </w:tblPr>
      <w:tblGrid>
        <w:gridCol w:w="4040"/>
        <w:gridCol w:w="1120"/>
        <w:gridCol w:w="1120"/>
        <w:gridCol w:w="1120"/>
        <w:gridCol w:w="1120"/>
        <w:gridCol w:w="1120"/>
      </w:tblGrid>
      <w:tr w:rsidR="00E761FF" w:rsidRPr="006A75A2" w:rsidTr="00C07A50">
        <w:tc>
          <w:tcPr>
            <w:tcW w:w="4040" w:type="dxa"/>
            <w:tcBorders>
              <w:top w:val="single" w:sz="6" w:space="0" w:color="auto"/>
              <w:left w:val="single" w:sz="6" w:space="0" w:color="auto"/>
            </w:tcBorders>
            <w:shd w:val="clear" w:color="auto" w:fill="000000"/>
          </w:tcPr>
          <w:p w:rsidR="00E761FF" w:rsidRPr="006A75A2" w:rsidRDefault="00E761FF" w:rsidP="004B5CB1">
            <w:pPr>
              <w:pStyle w:val="Tabletext"/>
              <w:rPr>
                <w:sz w:val="21"/>
                <w:szCs w:val="21"/>
                <w:lang w:eastAsia="en-AU"/>
              </w:rPr>
            </w:pPr>
            <w:r w:rsidRPr="006A75A2">
              <w:rPr>
                <w:sz w:val="21"/>
                <w:szCs w:val="21"/>
                <w:lang w:eastAsia="en-AU"/>
              </w:rPr>
              <w:t xml:space="preserve"> </w:t>
            </w:r>
          </w:p>
        </w:tc>
        <w:tc>
          <w:tcPr>
            <w:tcW w:w="1120" w:type="dxa"/>
            <w:tcBorders>
              <w:top w:val="single" w:sz="6" w:space="0" w:color="auto"/>
            </w:tcBorders>
            <w:shd w:val="clear" w:color="auto" w:fill="000000"/>
          </w:tcPr>
          <w:p w:rsidR="00E761FF" w:rsidRPr="006A75A2" w:rsidRDefault="00E761FF" w:rsidP="004B5CB1">
            <w:pPr>
              <w:pStyle w:val="Tabletextheading"/>
              <w:rPr>
                <w:sz w:val="21"/>
                <w:szCs w:val="21"/>
                <w:lang w:eastAsia="en-AU"/>
              </w:rPr>
            </w:pPr>
            <w:r w:rsidRPr="006A75A2">
              <w:rPr>
                <w:sz w:val="21"/>
                <w:szCs w:val="21"/>
                <w:lang w:eastAsia="en-AU"/>
              </w:rPr>
              <w:t>2012-13</w:t>
            </w:r>
          </w:p>
        </w:tc>
        <w:tc>
          <w:tcPr>
            <w:tcW w:w="4480" w:type="dxa"/>
            <w:gridSpan w:val="4"/>
            <w:tcBorders>
              <w:top w:val="single" w:sz="6" w:space="0" w:color="auto"/>
              <w:right w:val="single" w:sz="6" w:space="0" w:color="auto"/>
            </w:tcBorders>
            <w:shd w:val="clear" w:color="auto" w:fill="000000"/>
          </w:tcPr>
          <w:p w:rsidR="00E761FF" w:rsidRPr="006A75A2" w:rsidRDefault="00E761FF" w:rsidP="00E761FF">
            <w:pPr>
              <w:pStyle w:val="TabletextheadingCentred"/>
              <w:rPr>
                <w:sz w:val="21"/>
                <w:szCs w:val="21"/>
              </w:rPr>
            </w:pPr>
            <w:r w:rsidRPr="006A75A2">
              <w:rPr>
                <w:sz w:val="21"/>
                <w:szCs w:val="21"/>
              </w:rPr>
              <w:t>2013-14</w:t>
            </w:r>
          </w:p>
        </w:tc>
      </w:tr>
      <w:tr w:rsidR="004E6C32" w:rsidRPr="006A75A2" w:rsidTr="004B5CB1">
        <w:tc>
          <w:tcPr>
            <w:tcW w:w="4040" w:type="dxa"/>
            <w:tcBorders>
              <w:left w:val="single" w:sz="6" w:space="0" w:color="auto"/>
              <w:bottom w:val="single" w:sz="6" w:space="0" w:color="auto"/>
            </w:tcBorders>
            <w:shd w:val="clear" w:color="auto" w:fill="000000"/>
          </w:tcPr>
          <w:p w:rsidR="004E6C32" w:rsidRPr="006A75A2" w:rsidRDefault="004E6C32" w:rsidP="004B5CB1">
            <w:pPr>
              <w:pStyle w:val="Tabletext"/>
              <w:rPr>
                <w:sz w:val="21"/>
                <w:szCs w:val="21"/>
                <w:lang w:eastAsia="en-AU"/>
              </w:rPr>
            </w:pPr>
            <w:r w:rsidRPr="006A75A2">
              <w:rPr>
                <w:sz w:val="21"/>
                <w:szCs w:val="21"/>
                <w:lang w:eastAsia="en-AU"/>
              </w:rPr>
              <w:t xml:space="preserve"> </w:t>
            </w:r>
          </w:p>
        </w:tc>
        <w:tc>
          <w:tcPr>
            <w:tcW w:w="1120" w:type="dxa"/>
            <w:tcBorders>
              <w:bottom w:val="single" w:sz="6" w:space="0" w:color="auto"/>
            </w:tcBorders>
            <w:shd w:val="clear" w:color="auto" w:fill="000000"/>
          </w:tcPr>
          <w:p w:rsidR="004E6C32" w:rsidRPr="006A75A2" w:rsidRDefault="004E6C32" w:rsidP="004B5CB1">
            <w:pPr>
              <w:pStyle w:val="Tabletextheading"/>
              <w:rPr>
                <w:sz w:val="21"/>
                <w:szCs w:val="21"/>
                <w:lang w:eastAsia="en-AU"/>
              </w:rPr>
            </w:pPr>
            <w:r w:rsidRPr="006A75A2">
              <w:rPr>
                <w:sz w:val="21"/>
                <w:szCs w:val="21"/>
                <w:lang w:eastAsia="en-AU"/>
              </w:rPr>
              <w:t xml:space="preserve">Jun </w:t>
            </w:r>
          </w:p>
        </w:tc>
        <w:tc>
          <w:tcPr>
            <w:tcW w:w="1120" w:type="dxa"/>
            <w:tcBorders>
              <w:bottom w:val="single" w:sz="6" w:space="0" w:color="auto"/>
            </w:tcBorders>
            <w:shd w:val="clear" w:color="auto" w:fill="000000"/>
          </w:tcPr>
          <w:p w:rsidR="004E6C32" w:rsidRPr="006A75A2" w:rsidRDefault="004E6C32" w:rsidP="004B5CB1">
            <w:pPr>
              <w:pStyle w:val="Tabletextheading"/>
              <w:rPr>
                <w:sz w:val="21"/>
                <w:szCs w:val="21"/>
                <w:lang w:eastAsia="en-AU"/>
              </w:rPr>
            </w:pPr>
            <w:r w:rsidRPr="006A75A2">
              <w:rPr>
                <w:sz w:val="21"/>
                <w:szCs w:val="21"/>
                <w:lang w:eastAsia="en-AU"/>
              </w:rPr>
              <w:t xml:space="preserve">Sep </w:t>
            </w:r>
          </w:p>
        </w:tc>
        <w:tc>
          <w:tcPr>
            <w:tcW w:w="1120" w:type="dxa"/>
            <w:tcBorders>
              <w:bottom w:val="single" w:sz="6" w:space="0" w:color="auto"/>
            </w:tcBorders>
            <w:shd w:val="clear" w:color="auto" w:fill="000000"/>
          </w:tcPr>
          <w:p w:rsidR="004E6C32" w:rsidRPr="006A75A2" w:rsidRDefault="004E6C32" w:rsidP="004B5CB1">
            <w:pPr>
              <w:pStyle w:val="Tabletextheading"/>
              <w:rPr>
                <w:sz w:val="21"/>
                <w:szCs w:val="21"/>
                <w:lang w:eastAsia="en-AU"/>
              </w:rPr>
            </w:pPr>
            <w:r w:rsidRPr="006A75A2">
              <w:rPr>
                <w:sz w:val="21"/>
                <w:szCs w:val="21"/>
                <w:lang w:eastAsia="en-AU"/>
              </w:rPr>
              <w:t xml:space="preserve">Dec </w:t>
            </w:r>
          </w:p>
        </w:tc>
        <w:tc>
          <w:tcPr>
            <w:tcW w:w="1120" w:type="dxa"/>
            <w:tcBorders>
              <w:bottom w:val="single" w:sz="6" w:space="0" w:color="auto"/>
            </w:tcBorders>
            <w:shd w:val="clear" w:color="auto" w:fill="000000"/>
          </w:tcPr>
          <w:p w:rsidR="004E6C32" w:rsidRPr="006A75A2" w:rsidRDefault="004E6C32" w:rsidP="004B5CB1">
            <w:pPr>
              <w:pStyle w:val="Tabletextheading"/>
              <w:rPr>
                <w:sz w:val="21"/>
                <w:szCs w:val="21"/>
                <w:lang w:eastAsia="en-AU"/>
              </w:rPr>
            </w:pPr>
            <w:r w:rsidRPr="006A75A2">
              <w:rPr>
                <w:sz w:val="21"/>
                <w:szCs w:val="21"/>
                <w:lang w:eastAsia="en-AU"/>
              </w:rPr>
              <w:t xml:space="preserve">Mar </w:t>
            </w:r>
          </w:p>
        </w:tc>
        <w:tc>
          <w:tcPr>
            <w:tcW w:w="1120" w:type="dxa"/>
            <w:tcBorders>
              <w:bottom w:val="single" w:sz="6" w:space="0" w:color="auto"/>
              <w:right w:val="single" w:sz="6" w:space="0" w:color="auto"/>
            </w:tcBorders>
            <w:shd w:val="clear" w:color="auto" w:fill="000000"/>
          </w:tcPr>
          <w:p w:rsidR="004E6C32" w:rsidRPr="006A75A2" w:rsidRDefault="004E6C32" w:rsidP="004B5CB1">
            <w:pPr>
              <w:pStyle w:val="Tabletextheading"/>
              <w:rPr>
                <w:sz w:val="21"/>
                <w:szCs w:val="21"/>
                <w:lang w:eastAsia="en-AU"/>
              </w:rPr>
            </w:pPr>
            <w:r w:rsidRPr="006A75A2">
              <w:rPr>
                <w:sz w:val="21"/>
                <w:szCs w:val="21"/>
                <w:lang w:eastAsia="en-AU"/>
              </w:rPr>
              <w:t>Jun</w:t>
            </w:r>
          </w:p>
        </w:tc>
      </w:tr>
      <w:tr w:rsidR="00E761FF" w:rsidRPr="006A75A2" w:rsidTr="00C07A50">
        <w:tc>
          <w:tcPr>
            <w:tcW w:w="9640" w:type="dxa"/>
            <w:gridSpan w:val="6"/>
            <w:tcBorders>
              <w:top w:val="single" w:sz="6" w:space="0" w:color="auto"/>
            </w:tcBorders>
          </w:tcPr>
          <w:p w:rsidR="00E761FF" w:rsidRPr="006A75A2" w:rsidRDefault="00E761FF" w:rsidP="00E761FF">
            <w:pPr>
              <w:pStyle w:val="Tabletext"/>
              <w:rPr>
                <w:b/>
                <w:sz w:val="21"/>
                <w:szCs w:val="21"/>
                <w:lang w:eastAsia="en-AU"/>
              </w:rPr>
            </w:pPr>
            <w:r w:rsidRPr="006A75A2">
              <w:rPr>
                <w:b/>
                <w:bCs/>
                <w:sz w:val="21"/>
                <w:szCs w:val="21"/>
                <w:lang w:eastAsia="en-AU"/>
              </w:rPr>
              <w:t>Assets</w:t>
            </w:r>
          </w:p>
        </w:tc>
      </w:tr>
      <w:tr w:rsidR="00E761FF" w:rsidRPr="006A75A2" w:rsidTr="00C07A50">
        <w:tc>
          <w:tcPr>
            <w:tcW w:w="9640" w:type="dxa"/>
            <w:gridSpan w:val="6"/>
          </w:tcPr>
          <w:p w:rsidR="00E761FF" w:rsidRPr="006A75A2" w:rsidRDefault="00E761FF" w:rsidP="00E761FF">
            <w:pPr>
              <w:pStyle w:val="Tabletext"/>
              <w:rPr>
                <w:b/>
                <w:sz w:val="21"/>
                <w:szCs w:val="21"/>
                <w:lang w:eastAsia="en-AU"/>
              </w:rPr>
            </w:pPr>
            <w:r w:rsidRPr="006A75A2">
              <w:rPr>
                <w:b/>
                <w:bCs/>
                <w:sz w:val="21"/>
                <w:szCs w:val="21"/>
                <w:lang w:eastAsia="en-AU"/>
              </w:rPr>
              <w:t>Financial assets</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Cash and deposits</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3 962.0</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3 286.6</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3 432.7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3 064.7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4 500.9</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Advances paid</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4 626.8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4 644.1</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4 600.8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4 593.5</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4 586.9</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Receivables</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5 061.0</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4 954.7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4 866.1</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5 893.4</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4 940.6</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 xml:space="preserve">Investments, loans and placements </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3 383.4</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3 672.7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3 820.5</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4 166.0</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3 117.6</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Investments accounted for using equity method</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49.4</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49.4</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49.4</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49.4</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44.1</w:t>
            </w:r>
          </w:p>
        </w:tc>
      </w:tr>
      <w:tr w:rsidR="004E6C32" w:rsidRPr="006A75A2" w:rsidTr="004B5CB1">
        <w:tc>
          <w:tcPr>
            <w:tcW w:w="4040" w:type="dxa"/>
            <w:tcBorders>
              <w:bottom w:val="single" w:sz="4" w:space="0" w:color="auto"/>
            </w:tcBorders>
          </w:tcPr>
          <w:p w:rsidR="004E6C32" w:rsidRPr="006A75A2" w:rsidRDefault="004E6C32" w:rsidP="004B5CB1">
            <w:pPr>
              <w:pStyle w:val="Tabletext"/>
              <w:rPr>
                <w:sz w:val="21"/>
                <w:szCs w:val="21"/>
                <w:lang w:eastAsia="en-AU"/>
              </w:rPr>
            </w:pPr>
            <w:r w:rsidRPr="006A75A2">
              <w:rPr>
                <w:sz w:val="21"/>
                <w:szCs w:val="21"/>
                <w:lang w:eastAsia="en-AU"/>
              </w:rPr>
              <w:t>Investments in other sector entities</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69 714.8</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70 277.0</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71 932.4</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72 375.8</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75 869.2</w:t>
            </w:r>
          </w:p>
        </w:tc>
      </w:tr>
      <w:tr w:rsidR="004E6C32" w:rsidRPr="006A75A2" w:rsidTr="004B5CB1">
        <w:tc>
          <w:tcPr>
            <w:tcW w:w="4040" w:type="dxa"/>
            <w:tcBorders>
              <w:top w:val="single" w:sz="4" w:space="0" w:color="auto"/>
            </w:tcBorders>
          </w:tcPr>
          <w:p w:rsidR="004E6C32" w:rsidRPr="006A75A2" w:rsidRDefault="004E6C32" w:rsidP="004B5CB1">
            <w:pPr>
              <w:pStyle w:val="Tabletext"/>
              <w:rPr>
                <w:b/>
                <w:bCs/>
                <w:sz w:val="21"/>
                <w:szCs w:val="21"/>
                <w:lang w:eastAsia="en-AU"/>
              </w:rPr>
            </w:pPr>
            <w:r w:rsidRPr="006A75A2">
              <w:rPr>
                <w:b/>
                <w:bCs/>
                <w:sz w:val="21"/>
                <w:szCs w:val="21"/>
                <w:lang w:eastAsia="en-AU"/>
              </w:rPr>
              <w:t>Total financial assets</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86 797.4</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86 884.5</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88 702.0</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90 142.8</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93 059.4</w:t>
            </w:r>
          </w:p>
        </w:tc>
      </w:tr>
      <w:tr w:rsidR="00E761FF" w:rsidRPr="006A75A2" w:rsidTr="00C07A50">
        <w:tc>
          <w:tcPr>
            <w:tcW w:w="9640" w:type="dxa"/>
            <w:gridSpan w:val="6"/>
          </w:tcPr>
          <w:p w:rsidR="00E761FF" w:rsidRPr="006A75A2" w:rsidRDefault="00E761FF" w:rsidP="00E761FF">
            <w:pPr>
              <w:pStyle w:val="TableofFigures"/>
              <w:jc w:val="left"/>
              <w:rPr>
                <w:b/>
                <w:sz w:val="21"/>
                <w:szCs w:val="21"/>
                <w:lang w:eastAsia="en-AU"/>
              </w:rPr>
            </w:pPr>
            <w:r w:rsidRPr="006A75A2">
              <w:rPr>
                <w:b/>
                <w:bCs/>
                <w:sz w:val="21"/>
                <w:szCs w:val="21"/>
                <w:lang w:eastAsia="en-AU"/>
              </w:rPr>
              <w:t>Non-financial assets</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Inventories</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192.1</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212.6</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183.9</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183.2</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176.6</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Non-financial assets held for sale</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142.1</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72.2</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69.2</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55.8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142.5</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Land, buildings, infrastructure, plant and equipment</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100 804.0</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101 082.5</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101 318.8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100 550.4</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103 644.2</w:t>
            </w:r>
          </w:p>
        </w:tc>
      </w:tr>
      <w:tr w:rsidR="004E6C32" w:rsidRPr="006A75A2" w:rsidTr="004B5CB1">
        <w:tc>
          <w:tcPr>
            <w:tcW w:w="4040" w:type="dxa"/>
            <w:tcBorders>
              <w:bottom w:val="single" w:sz="4" w:space="0" w:color="auto"/>
            </w:tcBorders>
          </w:tcPr>
          <w:p w:rsidR="004E6C32" w:rsidRPr="006A75A2" w:rsidRDefault="004E6C32" w:rsidP="004B5CB1">
            <w:pPr>
              <w:pStyle w:val="Tabletext"/>
              <w:rPr>
                <w:sz w:val="21"/>
                <w:szCs w:val="21"/>
                <w:lang w:eastAsia="en-AU"/>
              </w:rPr>
            </w:pPr>
            <w:r w:rsidRPr="006A75A2">
              <w:rPr>
                <w:sz w:val="21"/>
                <w:szCs w:val="21"/>
                <w:lang w:eastAsia="en-AU"/>
              </w:rPr>
              <w:t>Other non-financial assets</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954.3</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1 196.4</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1 262.0</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1 145.9</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1 204.8</w:t>
            </w:r>
          </w:p>
        </w:tc>
      </w:tr>
      <w:tr w:rsidR="004E6C32" w:rsidRPr="006A75A2" w:rsidTr="004B5CB1">
        <w:tc>
          <w:tcPr>
            <w:tcW w:w="4040" w:type="dxa"/>
            <w:tcBorders>
              <w:top w:val="single" w:sz="4" w:space="0" w:color="auto"/>
              <w:bottom w:val="single" w:sz="4" w:space="0" w:color="auto"/>
            </w:tcBorders>
          </w:tcPr>
          <w:p w:rsidR="004E6C32" w:rsidRPr="006A75A2" w:rsidRDefault="004E6C32" w:rsidP="004B5CB1">
            <w:pPr>
              <w:pStyle w:val="Tabletext"/>
              <w:rPr>
                <w:b/>
                <w:bCs/>
                <w:sz w:val="21"/>
                <w:szCs w:val="21"/>
                <w:lang w:eastAsia="en-AU"/>
              </w:rPr>
            </w:pPr>
            <w:r w:rsidRPr="006A75A2">
              <w:rPr>
                <w:b/>
                <w:bCs/>
                <w:sz w:val="21"/>
                <w:szCs w:val="21"/>
                <w:lang w:eastAsia="en-AU"/>
              </w:rPr>
              <w:t>Total non-financial assets</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102 092.5</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102 563.7</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102 834.0</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101 935.3</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105 168.0</w:t>
            </w:r>
          </w:p>
        </w:tc>
      </w:tr>
      <w:tr w:rsidR="004E6C32" w:rsidRPr="006A75A2" w:rsidTr="004B5CB1">
        <w:tc>
          <w:tcPr>
            <w:tcW w:w="4040" w:type="dxa"/>
            <w:tcBorders>
              <w:top w:val="single" w:sz="4" w:space="0" w:color="auto"/>
            </w:tcBorders>
          </w:tcPr>
          <w:p w:rsidR="004E6C32" w:rsidRPr="006A75A2" w:rsidRDefault="004E6C32" w:rsidP="004B5CB1">
            <w:pPr>
              <w:pStyle w:val="Tabletext"/>
              <w:rPr>
                <w:b/>
                <w:bCs/>
                <w:sz w:val="21"/>
                <w:szCs w:val="21"/>
                <w:lang w:eastAsia="en-AU"/>
              </w:rPr>
            </w:pPr>
            <w:r w:rsidRPr="006A75A2">
              <w:rPr>
                <w:b/>
                <w:bCs/>
                <w:sz w:val="21"/>
                <w:szCs w:val="21"/>
                <w:lang w:eastAsia="en-AU"/>
              </w:rPr>
              <w:t>Total assets</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188 889.9</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189 448.2</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191 535.9</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192 078.1</w:t>
            </w:r>
          </w:p>
        </w:tc>
        <w:tc>
          <w:tcPr>
            <w:tcW w:w="1120" w:type="dxa"/>
            <w:tcBorders>
              <w:top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198 227.4</w:t>
            </w:r>
          </w:p>
        </w:tc>
      </w:tr>
      <w:tr w:rsidR="00E761FF" w:rsidRPr="006A75A2" w:rsidTr="00C07A50">
        <w:tc>
          <w:tcPr>
            <w:tcW w:w="9640" w:type="dxa"/>
            <w:gridSpan w:val="6"/>
          </w:tcPr>
          <w:p w:rsidR="00E761FF" w:rsidRPr="006A75A2" w:rsidRDefault="00E761FF" w:rsidP="00E761FF">
            <w:pPr>
              <w:pStyle w:val="TableofFigures"/>
              <w:jc w:val="left"/>
              <w:rPr>
                <w:b/>
                <w:sz w:val="21"/>
                <w:szCs w:val="21"/>
                <w:lang w:eastAsia="en-AU"/>
              </w:rPr>
            </w:pPr>
            <w:r w:rsidRPr="006A75A2">
              <w:rPr>
                <w:b/>
                <w:bCs/>
                <w:sz w:val="21"/>
                <w:szCs w:val="21"/>
                <w:lang w:eastAsia="en-AU"/>
              </w:rPr>
              <w:t>Liabilities</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 xml:space="preserve">Deposits held and advances received </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449.0</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422.6</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505.8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591.0</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 xml:space="preserve"> 426.5</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Payables</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5 958.4</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5 357.8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5 469.6</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5 291.8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5 746.5</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 xml:space="preserve">Borrowings </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31 345.3</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32 688.2</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33 695.2</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33 889.6</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32 953.6</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Employee benefits</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5 208.8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5 273.7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5 124.7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5 264.6</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5 302.7</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Superannuation</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25 142.5</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23 782.8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22 846.7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23 330.1</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25 680.7</w:t>
            </w:r>
          </w:p>
        </w:tc>
      </w:tr>
      <w:tr w:rsidR="004E6C32" w:rsidRPr="006A75A2" w:rsidTr="004B5CB1">
        <w:tc>
          <w:tcPr>
            <w:tcW w:w="4040" w:type="dxa"/>
            <w:tcBorders>
              <w:bottom w:val="single" w:sz="4" w:space="0" w:color="auto"/>
            </w:tcBorders>
          </w:tcPr>
          <w:p w:rsidR="004E6C32" w:rsidRPr="006A75A2" w:rsidRDefault="004E6C32" w:rsidP="004B5CB1">
            <w:pPr>
              <w:pStyle w:val="Tabletext"/>
              <w:rPr>
                <w:sz w:val="21"/>
                <w:szCs w:val="21"/>
                <w:lang w:eastAsia="en-AU"/>
              </w:rPr>
            </w:pPr>
            <w:r w:rsidRPr="006A75A2">
              <w:rPr>
                <w:sz w:val="21"/>
                <w:szCs w:val="21"/>
                <w:lang w:eastAsia="en-AU"/>
              </w:rPr>
              <w:t>Other provisions</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603.3</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606.6</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624.0</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611.0</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630.6</w:t>
            </w:r>
          </w:p>
        </w:tc>
      </w:tr>
      <w:tr w:rsidR="004E6C32" w:rsidRPr="006A75A2" w:rsidTr="004B5CB1">
        <w:tc>
          <w:tcPr>
            <w:tcW w:w="4040" w:type="dxa"/>
            <w:tcBorders>
              <w:top w:val="single" w:sz="4" w:space="0" w:color="auto"/>
              <w:bottom w:val="single" w:sz="4" w:space="0" w:color="auto"/>
            </w:tcBorders>
          </w:tcPr>
          <w:p w:rsidR="004E6C32" w:rsidRPr="006A75A2" w:rsidRDefault="004E6C32" w:rsidP="004B5CB1">
            <w:pPr>
              <w:pStyle w:val="Tabletext"/>
              <w:rPr>
                <w:b/>
                <w:bCs/>
                <w:sz w:val="21"/>
                <w:szCs w:val="21"/>
                <w:lang w:eastAsia="en-AU"/>
              </w:rPr>
            </w:pPr>
            <w:r w:rsidRPr="006A75A2">
              <w:rPr>
                <w:b/>
                <w:bCs/>
                <w:sz w:val="21"/>
                <w:szCs w:val="21"/>
                <w:lang w:eastAsia="en-AU"/>
              </w:rPr>
              <w:t>Total liabilities</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68 707.4</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68 131.9</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68 266.0</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68 978.1</w:t>
            </w:r>
          </w:p>
        </w:tc>
        <w:tc>
          <w:tcPr>
            <w:tcW w:w="1120" w:type="dxa"/>
            <w:tcBorders>
              <w:top w:val="single" w:sz="4" w:space="0" w:color="auto"/>
              <w:bottom w:val="single" w:sz="4"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70 740.6</w:t>
            </w:r>
          </w:p>
        </w:tc>
      </w:tr>
      <w:tr w:rsidR="004E6C32" w:rsidRPr="006A75A2" w:rsidTr="004B5CB1">
        <w:tc>
          <w:tcPr>
            <w:tcW w:w="4040" w:type="dxa"/>
            <w:tcBorders>
              <w:top w:val="single" w:sz="4" w:space="0" w:color="auto"/>
              <w:bottom w:val="single" w:sz="12" w:space="0" w:color="auto"/>
            </w:tcBorders>
          </w:tcPr>
          <w:p w:rsidR="004E6C32" w:rsidRPr="006A75A2" w:rsidRDefault="004E6C32" w:rsidP="004B5CB1">
            <w:pPr>
              <w:pStyle w:val="Tabletext"/>
              <w:rPr>
                <w:b/>
                <w:bCs/>
                <w:sz w:val="21"/>
                <w:szCs w:val="21"/>
                <w:lang w:eastAsia="en-AU"/>
              </w:rPr>
            </w:pPr>
            <w:r w:rsidRPr="006A75A2">
              <w:rPr>
                <w:b/>
                <w:bCs/>
                <w:sz w:val="21"/>
                <w:szCs w:val="21"/>
                <w:lang w:eastAsia="en-AU"/>
              </w:rPr>
              <w:t>Net assets</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120 182.6</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121 316.4</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123 269.9</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123 100.1</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127 486.9</w:t>
            </w:r>
          </w:p>
        </w:tc>
      </w:tr>
      <w:tr w:rsidR="004E6C32" w:rsidRPr="006A75A2" w:rsidTr="004B5CB1">
        <w:tc>
          <w:tcPr>
            <w:tcW w:w="4040" w:type="dxa"/>
            <w:tcBorders>
              <w:top w:val="single" w:sz="12" w:space="0" w:color="auto"/>
            </w:tcBorders>
          </w:tcPr>
          <w:p w:rsidR="004E6C32" w:rsidRPr="006A75A2" w:rsidRDefault="004E6C32" w:rsidP="004B5CB1">
            <w:pPr>
              <w:pStyle w:val="Tabletext"/>
              <w:rPr>
                <w:sz w:val="21"/>
                <w:szCs w:val="21"/>
                <w:lang w:eastAsia="en-AU"/>
              </w:rPr>
            </w:pPr>
            <w:r w:rsidRPr="006A75A2">
              <w:rPr>
                <w:sz w:val="21"/>
                <w:szCs w:val="21"/>
                <w:lang w:eastAsia="en-AU"/>
              </w:rPr>
              <w:t>Accumulated surplus/(deficit)</w:t>
            </w:r>
          </w:p>
        </w:tc>
        <w:tc>
          <w:tcPr>
            <w:tcW w:w="1120" w:type="dxa"/>
            <w:tcBorders>
              <w:top w:val="single" w:sz="12" w:space="0" w:color="auto"/>
            </w:tcBorders>
          </w:tcPr>
          <w:p w:rsidR="004E6C32" w:rsidRPr="006A75A2" w:rsidRDefault="004E6C32" w:rsidP="004B5CB1">
            <w:pPr>
              <w:pStyle w:val="TableofFigures"/>
              <w:rPr>
                <w:sz w:val="21"/>
                <w:szCs w:val="21"/>
                <w:lang w:eastAsia="en-AU"/>
              </w:rPr>
            </w:pPr>
            <w:r w:rsidRPr="006A75A2">
              <w:rPr>
                <w:sz w:val="21"/>
                <w:szCs w:val="21"/>
                <w:lang w:eastAsia="en-AU"/>
              </w:rPr>
              <w:t>43 174.7</w:t>
            </w:r>
          </w:p>
        </w:tc>
        <w:tc>
          <w:tcPr>
            <w:tcW w:w="1120" w:type="dxa"/>
            <w:tcBorders>
              <w:top w:val="single" w:sz="12" w:space="0" w:color="auto"/>
            </w:tcBorders>
          </w:tcPr>
          <w:p w:rsidR="004E6C32" w:rsidRPr="006A75A2" w:rsidRDefault="004E6C32" w:rsidP="004B5CB1">
            <w:pPr>
              <w:pStyle w:val="TableofFigures"/>
              <w:rPr>
                <w:sz w:val="21"/>
                <w:szCs w:val="21"/>
                <w:lang w:eastAsia="en-AU"/>
              </w:rPr>
            </w:pPr>
            <w:r w:rsidRPr="006A75A2">
              <w:rPr>
                <w:sz w:val="21"/>
                <w:szCs w:val="21"/>
                <w:lang w:eastAsia="en-AU"/>
              </w:rPr>
              <w:t>44 361.2</w:t>
            </w:r>
          </w:p>
        </w:tc>
        <w:tc>
          <w:tcPr>
            <w:tcW w:w="1120" w:type="dxa"/>
            <w:tcBorders>
              <w:top w:val="single" w:sz="12" w:space="0" w:color="auto"/>
            </w:tcBorders>
          </w:tcPr>
          <w:p w:rsidR="004E6C32" w:rsidRPr="006A75A2" w:rsidRDefault="004E6C32" w:rsidP="004B5CB1">
            <w:pPr>
              <w:pStyle w:val="TableofFigures"/>
              <w:rPr>
                <w:sz w:val="21"/>
                <w:szCs w:val="21"/>
                <w:lang w:eastAsia="en-AU"/>
              </w:rPr>
            </w:pPr>
            <w:r w:rsidRPr="006A75A2">
              <w:rPr>
                <w:sz w:val="21"/>
                <w:szCs w:val="21"/>
                <w:lang w:eastAsia="en-AU"/>
              </w:rPr>
              <w:t>45 457.6</w:t>
            </w:r>
          </w:p>
        </w:tc>
        <w:tc>
          <w:tcPr>
            <w:tcW w:w="1120" w:type="dxa"/>
            <w:tcBorders>
              <w:top w:val="single" w:sz="12" w:space="0" w:color="auto"/>
            </w:tcBorders>
          </w:tcPr>
          <w:p w:rsidR="004E6C32" w:rsidRPr="006A75A2" w:rsidRDefault="004E6C32" w:rsidP="004B5CB1">
            <w:pPr>
              <w:pStyle w:val="TableofFigures"/>
              <w:rPr>
                <w:sz w:val="21"/>
                <w:szCs w:val="21"/>
                <w:lang w:eastAsia="en-AU"/>
              </w:rPr>
            </w:pPr>
            <w:r w:rsidRPr="006A75A2">
              <w:rPr>
                <w:sz w:val="21"/>
                <w:szCs w:val="21"/>
                <w:lang w:eastAsia="en-AU"/>
              </w:rPr>
              <w:t>45 667.3</w:t>
            </w:r>
          </w:p>
        </w:tc>
        <w:tc>
          <w:tcPr>
            <w:tcW w:w="1120" w:type="dxa"/>
            <w:tcBorders>
              <w:top w:val="single" w:sz="12" w:space="0" w:color="auto"/>
            </w:tcBorders>
          </w:tcPr>
          <w:p w:rsidR="004E6C32" w:rsidRPr="006A75A2" w:rsidRDefault="004E6C32" w:rsidP="004B5CB1">
            <w:pPr>
              <w:pStyle w:val="TableofFigures"/>
              <w:rPr>
                <w:sz w:val="21"/>
                <w:szCs w:val="21"/>
                <w:lang w:eastAsia="en-AU"/>
              </w:rPr>
            </w:pPr>
            <w:r w:rsidRPr="006A75A2">
              <w:rPr>
                <w:sz w:val="21"/>
                <w:szCs w:val="21"/>
                <w:lang w:eastAsia="en-AU"/>
              </w:rPr>
              <w:t>44 410.0</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Reserves</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76 957.9</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76 905.1</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77 762.3</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77 382.8</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83 026.9</w:t>
            </w:r>
          </w:p>
        </w:tc>
      </w:tr>
      <w:tr w:rsidR="004E6C32" w:rsidRPr="006A75A2" w:rsidTr="004B5CB1">
        <w:tc>
          <w:tcPr>
            <w:tcW w:w="4040" w:type="dxa"/>
            <w:tcBorders>
              <w:bottom w:val="single" w:sz="4" w:space="0" w:color="auto"/>
            </w:tcBorders>
          </w:tcPr>
          <w:p w:rsidR="004E6C32" w:rsidRPr="006A75A2" w:rsidRDefault="004E6C32" w:rsidP="004B5CB1">
            <w:pPr>
              <w:pStyle w:val="Tabletext"/>
              <w:rPr>
                <w:sz w:val="21"/>
                <w:szCs w:val="21"/>
                <w:lang w:eastAsia="en-AU"/>
              </w:rPr>
            </w:pPr>
            <w:r w:rsidRPr="006A75A2">
              <w:rPr>
                <w:sz w:val="21"/>
                <w:szCs w:val="21"/>
                <w:lang w:eastAsia="en-AU"/>
              </w:rPr>
              <w:t xml:space="preserve">Non-controlling interest </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50.0</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50.0</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50.0</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50.0</w:t>
            </w:r>
          </w:p>
        </w:tc>
        <w:tc>
          <w:tcPr>
            <w:tcW w:w="1120" w:type="dxa"/>
            <w:tcBorders>
              <w:bottom w:val="single" w:sz="4" w:space="0" w:color="auto"/>
            </w:tcBorders>
          </w:tcPr>
          <w:p w:rsidR="004E6C32" w:rsidRPr="006A75A2" w:rsidRDefault="004E6C32" w:rsidP="004B5CB1">
            <w:pPr>
              <w:pStyle w:val="TableofFigures"/>
              <w:rPr>
                <w:sz w:val="21"/>
                <w:szCs w:val="21"/>
                <w:lang w:eastAsia="en-AU"/>
              </w:rPr>
            </w:pPr>
            <w:r w:rsidRPr="006A75A2">
              <w:rPr>
                <w:sz w:val="21"/>
                <w:szCs w:val="21"/>
                <w:lang w:eastAsia="en-AU"/>
              </w:rPr>
              <w:t xml:space="preserve"> 50.0</w:t>
            </w:r>
          </w:p>
        </w:tc>
      </w:tr>
      <w:tr w:rsidR="004E6C32" w:rsidRPr="006A75A2" w:rsidTr="004B5CB1">
        <w:tc>
          <w:tcPr>
            <w:tcW w:w="4040" w:type="dxa"/>
            <w:tcBorders>
              <w:top w:val="single" w:sz="4" w:space="0" w:color="auto"/>
              <w:bottom w:val="single" w:sz="12" w:space="0" w:color="auto"/>
            </w:tcBorders>
          </w:tcPr>
          <w:p w:rsidR="004E6C32" w:rsidRPr="006A75A2" w:rsidRDefault="004E6C32" w:rsidP="004B5CB1">
            <w:pPr>
              <w:pStyle w:val="Tabletext"/>
              <w:rPr>
                <w:b/>
                <w:bCs/>
                <w:sz w:val="21"/>
                <w:szCs w:val="21"/>
                <w:lang w:eastAsia="en-AU"/>
              </w:rPr>
            </w:pPr>
            <w:r w:rsidRPr="006A75A2">
              <w:rPr>
                <w:b/>
                <w:bCs/>
                <w:sz w:val="21"/>
                <w:szCs w:val="21"/>
                <w:lang w:eastAsia="en-AU"/>
              </w:rPr>
              <w:t>Net worth</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120 182.6</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121 316.4</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123 269.9</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123 100.1</w:t>
            </w:r>
          </w:p>
        </w:tc>
        <w:tc>
          <w:tcPr>
            <w:tcW w:w="1120" w:type="dxa"/>
            <w:tcBorders>
              <w:top w:val="single" w:sz="4" w:space="0" w:color="auto"/>
              <w:bottom w:val="single" w:sz="12" w:space="0" w:color="auto"/>
            </w:tcBorders>
          </w:tcPr>
          <w:p w:rsidR="004E6C32" w:rsidRPr="006A75A2" w:rsidRDefault="004E6C32" w:rsidP="004B5CB1">
            <w:pPr>
              <w:pStyle w:val="TableofFigures"/>
              <w:rPr>
                <w:b/>
                <w:bCs/>
                <w:sz w:val="21"/>
                <w:szCs w:val="21"/>
                <w:lang w:eastAsia="en-AU"/>
              </w:rPr>
            </w:pPr>
            <w:r w:rsidRPr="006A75A2">
              <w:rPr>
                <w:b/>
                <w:bCs/>
                <w:sz w:val="21"/>
                <w:szCs w:val="21"/>
                <w:lang w:eastAsia="en-AU"/>
              </w:rPr>
              <w:t>127 486.9</w:t>
            </w:r>
          </w:p>
        </w:tc>
      </w:tr>
      <w:tr w:rsidR="00E761FF" w:rsidRPr="006A75A2" w:rsidTr="00C07A50">
        <w:tc>
          <w:tcPr>
            <w:tcW w:w="9640" w:type="dxa"/>
            <w:gridSpan w:val="6"/>
            <w:tcBorders>
              <w:top w:val="single" w:sz="12" w:space="0" w:color="auto"/>
            </w:tcBorders>
          </w:tcPr>
          <w:p w:rsidR="00E761FF" w:rsidRPr="006A75A2" w:rsidRDefault="00E761FF" w:rsidP="00E761FF">
            <w:pPr>
              <w:pStyle w:val="TableofFigures"/>
              <w:jc w:val="left"/>
              <w:rPr>
                <w:b/>
                <w:sz w:val="21"/>
                <w:szCs w:val="21"/>
                <w:lang w:eastAsia="en-AU"/>
              </w:rPr>
            </w:pPr>
            <w:r w:rsidRPr="006A75A2">
              <w:rPr>
                <w:b/>
                <w:bCs/>
                <w:sz w:val="21"/>
                <w:szCs w:val="21"/>
                <w:lang w:eastAsia="en-AU"/>
              </w:rPr>
              <w:t>FISCAL AGGREGATES</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 xml:space="preserve">Net financial worth </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18 090.1</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18 752.7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20 436.0</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21 164.7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22 318.8</w:t>
            </w:r>
          </w:p>
        </w:tc>
      </w:tr>
      <w:tr w:rsidR="004E6C32" w:rsidRPr="006A75A2" w:rsidTr="004B5CB1">
        <w:tc>
          <w:tcPr>
            <w:tcW w:w="4040" w:type="dxa"/>
          </w:tcPr>
          <w:p w:rsidR="004E6C32" w:rsidRPr="006A75A2" w:rsidRDefault="004E6C32" w:rsidP="004B5CB1">
            <w:pPr>
              <w:pStyle w:val="Tabletext"/>
              <w:rPr>
                <w:sz w:val="21"/>
                <w:szCs w:val="21"/>
                <w:lang w:eastAsia="en-AU"/>
              </w:rPr>
            </w:pPr>
            <w:r w:rsidRPr="006A75A2">
              <w:rPr>
                <w:sz w:val="21"/>
                <w:szCs w:val="21"/>
                <w:lang w:eastAsia="en-AU"/>
              </w:rPr>
              <w:t>Net financial liabilities</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51 624.7</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51 524.3</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51 496.4</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51 211.0</w:t>
            </w:r>
          </w:p>
        </w:tc>
        <w:tc>
          <w:tcPr>
            <w:tcW w:w="1120" w:type="dxa"/>
          </w:tcPr>
          <w:p w:rsidR="004E6C32" w:rsidRPr="006A75A2" w:rsidRDefault="004E6C32" w:rsidP="004B5CB1">
            <w:pPr>
              <w:pStyle w:val="TableofFigures"/>
              <w:rPr>
                <w:sz w:val="21"/>
                <w:szCs w:val="21"/>
                <w:lang w:eastAsia="en-AU"/>
              </w:rPr>
            </w:pPr>
            <w:r w:rsidRPr="006A75A2">
              <w:rPr>
                <w:sz w:val="21"/>
                <w:szCs w:val="21"/>
                <w:lang w:eastAsia="en-AU"/>
              </w:rPr>
              <w:t>53 550.4</w:t>
            </w:r>
          </w:p>
        </w:tc>
      </w:tr>
      <w:tr w:rsidR="004E6C32" w:rsidRPr="006A75A2" w:rsidTr="004B5CB1">
        <w:tc>
          <w:tcPr>
            <w:tcW w:w="4040" w:type="dxa"/>
            <w:tcBorders>
              <w:bottom w:val="single" w:sz="12" w:space="0" w:color="auto"/>
            </w:tcBorders>
            <w:shd w:val="clear" w:color="auto" w:fill="auto"/>
          </w:tcPr>
          <w:p w:rsidR="004E6C32" w:rsidRPr="006A75A2" w:rsidRDefault="004E6C32" w:rsidP="004B5CB1">
            <w:pPr>
              <w:pStyle w:val="Tabletext"/>
              <w:rPr>
                <w:sz w:val="21"/>
                <w:szCs w:val="21"/>
                <w:lang w:eastAsia="en-AU"/>
              </w:rPr>
            </w:pPr>
            <w:r w:rsidRPr="006A75A2">
              <w:rPr>
                <w:sz w:val="21"/>
                <w:szCs w:val="21"/>
                <w:lang w:eastAsia="en-AU"/>
              </w:rPr>
              <w:t>Net debt</w:t>
            </w:r>
          </w:p>
        </w:tc>
        <w:tc>
          <w:tcPr>
            <w:tcW w:w="1120" w:type="dxa"/>
            <w:tcBorders>
              <w:bottom w:val="single" w:sz="12" w:space="0" w:color="auto"/>
            </w:tcBorders>
            <w:shd w:val="clear" w:color="auto" w:fill="auto"/>
          </w:tcPr>
          <w:p w:rsidR="004E6C32" w:rsidRPr="006A75A2" w:rsidRDefault="004E6C32" w:rsidP="004B5CB1">
            <w:pPr>
              <w:pStyle w:val="TableofFigures"/>
              <w:rPr>
                <w:sz w:val="21"/>
                <w:szCs w:val="21"/>
                <w:lang w:eastAsia="en-AU"/>
              </w:rPr>
            </w:pPr>
            <w:r w:rsidRPr="006A75A2">
              <w:rPr>
                <w:sz w:val="21"/>
                <w:szCs w:val="21"/>
                <w:lang w:eastAsia="en-AU"/>
              </w:rPr>
              <w:t>19 822.1</w:t>
            </w:r>
          </w:p>
        </w:tc>
        <w:tc>
          <w:tcPr>
            <w:tcW w:w="1120" w:type="dxa"/>
            <w:tcBorders>
              <w:bottom w:val="single" w:sz="12" w:space="0" w:color="auto"/>
            </w:tcBorders>
            <w:shd w:val="clear" w:color="auto" w:fill="auto"/>
          </w:tcPr>
          <w:p w:rsidR="004E6C32" w:rsidRPr="006A75A2" w:rsidRDefault="004E6C32" w:rsidP="004B5CB1">
            <w:pPr>
              <w:pStyle w:val="TableofFigures"/>
              <w:rPr>
                <w:sz w:val="21"/>
                <w:szCs w:val="21"/>
                <w:lang w:eastAsia="en-AU"/>
              </w:rPr>
            </w:pPr>
            <w:r w:rsidRPr="006A75A2">
              <w:rPr>
                <w:sz w:val="21"/>
                <w:szCs w:val="21"/>
                <w:lang w:eastAsia="en-AU"/>
              </w:rPr>
              <w:t>21 507.4</w:t>
            </w:r>
          </w:p>
        </w:tc>
        <w:tc>
          <w:tcPr>
            <w:tcW w:w="1120" w:type="dxa"/>
            <w:tcBorders>
              <w:bottom w:val="single" w:sz="12" w:space="0" w:color="auto"/>
            </w:tcBorders>
            <w:shd w:val="clear" w:color="auto" w:fill="auto"/>
          </w:tcPr>
          <w:p w:rsidR="004E6C32" w:rsidRPr="006A75A2" w:rsidRDefault="004E6C32" w:rsidP="004B5CB1">
            <w:pPr>
              <w:pStyle w:val="TableofFigures"/>
              <w:rPr>
                <w:sz w:val="21"/>
                <w:szCs w:val="21"/>
                <w:lang w:eastAsia="en-AU"/>
              </w:rPr>
            </w:pPr>
            <w:r w:rsidRPr="006A75A2">
              <w:rPr>
                <w:sz w:val="21"/>
                <w:szCs w:val="21"/>
                <w:lang w:eastAsia="en-AU"/>
              </w:rPr>
              <w:t>22 347.0</w:t>
            </w:r>
          </w:p>
        </w:tc>
        <w:tc>
          <w:tcPr>
            <w:tcW w:w="1120" w:type="dxa"/>
            <w:tcBorders>
              <w:bottom w:val="single" w:sz="12" w:space="0" w:color="auto"/>
            </w:tcBorders>
            <w:shd w:val="clear" w:color="auto" w:fill="auto"/>
          </w:tcPr>
          <w:p w:rsidR="004E6C32" w:rsidRPr="006A75A2" w:rsidRDefault="004E6C32" w:rsidP="004B5CB1">
            <w:pPr>
              <w:pStyle w:val="TableofFigures"/>
              <w:rPr>
                <w:sz w:val="21"/>
                <w:szCs w:val="21"/>
                <w:lang w:eastAsia="en-AU"/>
              </w:rPr>
            </w:pPr>
            <w:r w:rsidRPr="006A75A2">
              <w:rPr>
                <w:sz w:val="21"/>
                <w:szCs w:val="21"/>
                <w:lang w:eastAsia="en-AU"/>
              </w:rPr>
              <w:t>22 656.3</w:t>
            </w:r>
          </w:p>
        </w:tc>
        <w:tc>
          <w:tcPr>
            <w:tcW w:w="1120" w:type="dxa"/>
            <w:tcBorders>
              <w:bottom w:val="single" w:sz="12" w:space="0" w:color="auto"/>
            </w:tcBorders>
            <w:shd w:val="clear" w:color="auto" w:fill="auto"/>
          </w:tcPr>
          <w:p w:rsidR="004E6C32" w:rsidRPr="006A75A2" w:rsidRDefault="004E6C32" w:rsidP="004B5CB1">
            <w:pPr>
              <w:pStyle w:val="TableofFigures"/>
              <w:rPr>
                <w:sz w:val="21"/>
                <w:szCs w:val="21"/>
                <w:lang w:eastAsia="en-AU"/>
              </w:rPr>
            </w:pPr>
            <w:r w:rsidRPr="006A75A2">
              <w:rPr>
                <w:sz w:val="21"/>
                <w:szCs w:val="21"/>
                <w:lang w:eastAsia="en-AU"/>
              </w:rPr>
              <w:t>21 174.6</w:t>
            </w:r>
          </w:p>
        </w:tc>
      </w:tr>
    </w:tbl>
    <w:p w:rsidR="004E6C32" w:rsidRPr="006A75A2" w:rsidRDefault="004E6C32" w:rsidP="004B5CB1">
      <w:pPr>
        <w:pStyle w:val="Notes"/>
      </w:pPr>
      <w:r w:rsidRPr="006A75A2">
        <w:t>Note:</w:t>
      </w:r>
    </w:p>
    <w:p w:rsidR="004E6C32" w:rsidRPr="006A75A2" w:rsidRDefault="004E6C32" w:rsidP="004B5CB1">
      <w:pPr>
        <w:pStyle w:val="Notes"/>
      </w:pPr>
      <w:r w:rsidRPr="006A75A2">
        <w:t>(a)</w:t>
      </w:r>
      <w:r w:rsidRPr="006A75A2">
        <w:tab/>
        <w:t>June 2013 comparative figures have been restated. See Chapter 4, Note 37.</w:t>
      </w:r>
    </w:p>
    <w:p w:rsidR="004E6C32" w:rsidRPr="006A75A2" w:rsidRDefault="004E6C32" w:rsidP="004B5CB1">
      <w:pPr>
        <w:pStyle w:val="Notes"/>
      </w:pPr>
    </w:p>
    <w:p w:rsidR="004E6C32" w:rsidRPr="006A75A2" w:rsidRDefault="004E6C32" w:rsidP="004B5CB1">
      <w:pPr>
        <w:pStyle w:val="Notes"/>
      </w:pPr>
    </w:p>
    <w:p w:rsidR="004E6C32" w:rsidRPr="006A75A2" w:rsidRDefault="004E6C32">
      <w:pPr>
        <w:spacing w:after="0"/>
        <w:rPr>
          <w:rFonts w:ascii="Calibri" w:hAnsi="Calibri"/>
          <w:b/>
          <w:sz w:val="25"/>
        </w:rPr>
      </w:pPr>
      <w:r w:rsidRPr="006A75A2">
        <w:br w:type="page"/>
      </w:r>
    </w:p>
    <w:p w:rsidR="004E6C32" w:rsidRPr="006A75A2" w:rsidRDefault="004E6C32" w:rsidP="004B5CB1">
      <w:pPr>
        <w:pStyle w:val="Tableheading"/>
      </w:pPr>
      <w:r w:rsidRPr="006A75A2">
        <w:lastRenderedPageBreak/>
        <w:t>Table A.3:</w:t>
      </w:r>
      <w:r w:rsidRPr="006A75A2">
        <w:tab/>
        <w:t>Statement of cash flows for the past five quarters</w:t>
      </w:r>
    </w:p>
    <w:p w:rsidR="004E6C32" w:rsidRPr="006A75A2" w:rsidRDefault="004E6C32" w:rsidP="004B5CB1">
      <w:pPr>
        <w:pStyle w:val="million"/>
        <w:rPr>
          <w:rFonts w:ascii="Times New Roman" w:hAnsi="Times New Roman"/>
          <w:lang w:eastAsia="en-AU"/>
        </w:rPr>
      </w:pPr>
      <w:r w:rsidRPr="006A75A2">
        <w:t>($ million)</w:t>
      </w:r>
    </w:p>
    <w:tbl>
      <w:tblPr>
        <w:tblW w:w="9648" w:type="dxa"/>
        <w:tblInd w:w="29" w:type="dxa"/>
        <w:tblLayout w:type="fixed"/>
        <w:tblCellMar>
          <w:left w:w="43" w:type="dxa"/>
          <w:right w:w="43" w:type="dxa"/>
        </w:tblCellMar>
        <w:tblLook w:val="0000" w:firstRow="0" w:lastRow="0" w:firstColumn="0" w:lastColumn="0" w:noHBand="0" w:noVBand="0"/>
      </w:tblPr>
      <w:tblGrid>
        <w:gridCol w:w="4033"/>
        <w:gridCol w:w="1123"/>
        <w:gridCol w:w="1123"/>
        <w:gridCol w:w="1123"/>
        <w:gridCol w:w="1123"/>
        <w:gridCol w:w="1123"/>
      </w:tblGrid>
      <w:tr w:rsidR="00E761FF" w:rsidRPr="006A75A2" w:rsidTr="00C07A50">
        <w:tc>
          <w:tcPr>
            <w:tcW w:w="4033" w:type="dxa"/>
            <w:tcBorders>
              <w:top w:val="single" w:sz="6" w:space="0" w:color="auto"/>
              <w:left w:val="single" w:sz="6" w:space="0" w:color="auto"/>
              <w:right w:val="nil"/>
            </w:tcBorders>
            <w:shd w:val="clear" w:color="auto" w:fill="000000"/>
          </w:tcPr>
          <w:p w:rsidR="00E761FF" w:rsidRPr="006A75A2" w:rsidRDefault="00E761FF"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tcBorders>
              <w:top w:val="single" w:sz="6" w:space="0" w:color="auto"/>
              <w:left w:val="nil"/>
              <w:right w:val="nil"/>
            </w:tcBorders>
            <w:shd w:val="clear" w:color="auto" w:fill="000000"/>
          </w:tcPr>
          <w:p w:rsidR="00E761FF" w:rsidRPr="006A75A2" w:rsidRDefault="00E761FF" w:rsidP="004B5CB1">
            <w:pPr>
              <w:pStyle w:val="Tabletextheading"/>
              <w:rPr>
                <w:rFonts w:eastAsiaTheme="minorEastAsia"/>
                <w:sz w:val="21"/>
                <w:szCs w:val="21"/>
                <w:lang w:eastAsia="en-AU"/>
              </w:rPr>
            </w:pPr>
            <w:r w:rsidRPr="006A75A2">
              <w:rPr>
                <w:rFonts w:eastAsiaTheme="minorEastAsia"/>
                <w:sz w:val="21"/>
                <w:szCs w:val="21"/>
                <w:lang w:eastAsia="en-AU"/>
              </w:rPr>
              <w:t>2012-13</w:t>
            </w:r>
          </w:p>
        </w:tc>
        <w:tc>
          <w:tcPr>
            <w:tcW w:w="4492" w:type="dxa"/>
            <w:gridSpan w:val="4"/>
            <w:tcBorders>
              <w:top w:val="single" w:sz="6" w:space="0" w:color="auto"/>
              <w:left w:val="nil"/>
              <w:right w:val="single" w:sz="6" w:space="0" w:color="auto"/>
            </w:tcBorders>
            <w:shd w:val="clear" w:color="auto" w:fill="000000"/>
          </w:tcPr>
          <w:p w:rsidR="00E761FF" w:rsidRPr="006A75A2" w:rsidRDefault="00E761FF" w:rsidP="00E761FF">
            <w:pPr>
              <w:pStyle w:val="TabletextheadingCentred"/>
              <w:rPr>
                <w:rFonts w:eastAsiaTheme="minorEastAsia"/>
                <w:sz w:val="21"/>
                <w:szCs w:val="21"/>
                <w:lang w:eastAsia="en-AU"/>
              </w:rPr>
            </w:pPr>
            <w:r w:rsidRPr="006A75A2">
              <w:rPr>
                <w:rFonts w:eastAsiaTheme="minorEastAsia"/>
                <w:sz w:val="21"/>
                <w:szCs w:val="21"/>
                <w:lang w:eastAsia="en-AU"/>
              </w:rPr>
              <w:t>2013-14</w:t>
            </w:r>
          </w:p>
        </w:tc>
      </w:tr>
      <w:tr w:rsidR="004E6C32" w:rsidRPr="006A75A2" w:rsidTr="004B5CB1">
        <w:tc>
          <w:tcPr>
            <w:tcW w:w="4033" w:type="dxa"/>
            <w:tcBorders>
              <w:left w:val="single" w:sz="6" w:space="0" w:color="auto"/>
              <w:bottom w:val="single" w:sz="6" w:space="0" w:color="auto"/>
              <w:right w:val="nil"/>
            </w:tcBorders>
            <w:shd w:val="clear" w:color="auto" w:fill="000000"/>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 </w:t>
            </w:r>
          </w:p>
        </w:tc>
        <w:tc>
          <w:tcPr>
            <w:tcW w:w="1123" w:type="dxa"/>
            <w:tcBorders>
              <w:left w:val="nil"/>
              <w:bottom w:val="single" w:sz="6"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Jun</w:t>
            </w:r>
          </w:p>
        </w:tc>
        <w:tc>
          <w:tcPr>
            <w:tcW w:w="1123" w:type="dxa"/>
            <w:tcBorders>
              <w:left w:val="nil"/>
              <w:bottom w:val="single" w:sz="6"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Sep</w:t>
            </w:r>
          </w:p>
        </w:tc>
        <w:tc>
          <w:tcPr>
            <w:tcW w:w="1123" w:type="dxa"/>
            <w:tcBorders>
              <w:left w:val="nil"/>
              <w:bottom w:val="single" w:sz="6"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Dec</w:t>
            </w:r>
          </w:p>
        </w:tc>
        <w:tc>
          <w:tcPr>
            <w:tcW w:w="1123" w:type="dxa"/>
            <w:tcBorders>
              <w:left w:val="nil"/>
              <w:bottom w:val="single" w:sz="6" w:space="0" w:color="auto"/>
              <w:right w:val="nil"/>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Mar</w:t>
            </w:r>
          </w:p>
        </w:tc>
        <w:tc>
          <w:tcPr>
            <w:tcW w:w="1123" w:type="dxa"/>
            <w:tcBorders>
              <w:left w:val="nil"/>
              <w:bottom w:val="single" w:sz="6" w:space="0" w:color="auto"/>
              <w:right w:val="single" w:sz="6" w:space="0" w:color="auto"/>
            </w:tcBorders>
            <w:shd w:val="clear" w:color="auto" w:fill="000000"/>
          </w:tcPr>
          <w:p w:rsidR="004E6C32" w:rsidRPr="006A75A2" w:rsidRDefault="004E6C32" w:rsidP="004B5CB1">
            <w:pPr>
              <w:pStyle w:val="Tabletextheading"/>
              <w:rPr>
                <w:rFonts w:eastAsiaTheme="minorEastAsia"/>
                <w:sz w:val="21"/>
                <w:szCs w:val="21"/>
                <w:lang w:eastAsia="en-AU"/>
              </w:rPr>
            </w:pPr>
            <w:r w:rsidRPr="006A75A2">
              <w:rPr>
                <w:rFonts w:eastAsiaTheme="minorEastAsia"/>
                <w:sz w:val="21"/>
                <w:szCs w:val="21"/>
                <w:lang w:eastAsia="en-AU"/>
              </w:rPr>
              <w:t>Jun</w:t>
            </w:r>
          </w:p>
        </w:tc>
      </w:tr>
      <w:tr w:rsidR="00E761FF" w:rsidRPr="006A75A2" w:rsidTr="00C07A50">
        <w:tc>
          <w:tcPr>
            <w:tcW w:w="9648" w:type="dxa"/>
            <w:gridSpan w:val="6"/>
            <w:tcBorders>
              <w:top w:val="single" w:sz="6" w:space="0" w:color="auto"/>
              <w:left w:val="nil"/>
              <w:bottom w:val="nil"/>
              <w:right w:val="nil"/>
            </w:tcBorders>
          </w:tcPr>
          <w:p w:rsidR="00E761FF" w:rsidRPr="006A75A2" w:rsidRDefault="00E761FF" w:rsidP="00E761FF">
            <w:pPr>
              <w:pStyle w:val="Tabletext"/>
              <w:rPr>
                <w:rFonts w:eastAsiaTheme="minorEastAsia"/>
                <w:sz w:val="21"/>
                <w:szCs w:val="21"/>
                <w:lang w:eastAsia="en-AU"/>
              </w:rPr>
            </w:pPr>
            <w:r w:rsidRPr="006A75A2">
              <w:rPr>
                <w:rFonts w:eastAsiaTheme="minorEastAsia"/>
                <w:b/>
                <w:bCs/>
                <w:sz w:val="21"/>
                <w:szCs w:val="21"/>
                <w:lang w:eastAsia="en-AU"/>
              </w:rPr>
              <w:t>Cash flows from operating activities</w:t>
            </w:r>
          </w:p>
        </w:tc>
      </w:tr>
      <w:tr w:rsidR="00E761FF" w:rsidRPr="006A75A2" w:rsidTr="00C07A50">
        <w:tc>
          <w:tcPr>
            <w:tcW w:w="9648" w:type="dxa"/>
            <w:gridSpan w:val="6"/>
            <w:tcBorders>
              <w:top w:val="nil"/>
              <w:left w:val="nil"/>
              <w:bottom w:val="nil"/>
              <w:right w:val="nil"/>
            </w:tcBorders>
          </w:tcPr>
          <w:p w:rsidR="00E761FF" w:rsidRPr="006A75A2" w:rsidRDefault="00E761FF" w:rsidP="00E761FF">
            <w:pPr>
              <w:pStyle w:val="Tabletext"/>
              <w:rPr>
                <w:rFonts w:eastAsiaTheme="minorEastAsia"/>
                <w:sz w:val="21"/>
                <w:szCs w:val="21"/>
                <w:lang w:eastAsia="en-AU"/>
              </w:rPr>
            </w:pPr>
            <w:r w:rsidRPr="006A75A2">
              <w:rPr>
                <w:rFonts w:eastAsiaTheme="minorEastAsia"/>
                <w:b/>
                <w:bCs/>
                <w:sz w:val="21"/>
                <w:szCs w:val="21"/>
                <w:lang w:eastAsia="en-AU"/>
              </w:rPr>
              <w:t>Receipts</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Taxes received</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4 128.0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4 120.9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4 151.7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4 032.7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4 414.2</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Grants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5 465.1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5 430.9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5 849.1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6 303.4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7 557.0</w:t>
            </w:r>
          </w:p>
        </w:tc>
      </w:tr>
      <w:tr w:rsidR="004E6C32" w:rsidRPr="006A75A2" w:rsidTr="004B5CB1">
        <w:tc>
          <w:tcPr>
            <w:tcW w:w="4033" w:type="dxa"/>
            <w:tcBorders>
              <w:top w:val="nil"/>
              <w:left w:val="nil"/>
              <w:bottom w:val="nil"/>
              <w:right w:val="nil"/>
            </w:tcBorders>
          </w:tcPr>
          <w:p w:rsidR="004E6C32" w:rsidRPr="006A75A2" w:rsidRDefault="004E6C32" w:rsidP="0089225C">
            <w:pPr>
              <w:pStyle w:val="Tabletext"/>
              <w:rPr>
                <w:rFonts w:eastAsiaTheme="minorEastAsia"/>
                <w:sz w:val="21"/>
                <w:szCs w:val="21"/>
                <w:vertAlign w:val="superscript"/>
                <w:lang w:eastAsia="en-AU"/>
              </w:rPr>
            </w:pPr>
            <w:r w:rsidRPr="006A75A2">
              <w:rPr>
                <w:rFonts w:eastAsiaTheme="minorEastAsia"/>
                <w:sz w:val="21"/>
                <w:szCs w:val="21"/>
                <w:lang w:eastAsia="en-AU"/>
              </w:rPr>
              <w:t>Sales of goods and services</w:t>
            </w:r>
            <w:r w:rsidRPr="006A75A2">
              <w:rPr>
                <w:rFonts w:eastAsiaTheme="minorEastAsia"/>
                <w:sz w:val="21"/>
                <w:szCs w:val="21"/>
                <w:vertAlign w:val="superscript"/>
                <w:lang w:eastAsia="en-AU"/>
              </w:rPr>
              <w:t>(a)</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1 947.0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1 955.1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1 995.5</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1 802.0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1 628.4</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Interest received</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221.6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209.7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202.1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177.2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218.8</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Dividends and income tax equivalent and rate equivalent receipts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434.9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209.0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177.9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111.3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93.6</w:t>
            </w:r>
          </w:p>
        </w:tc>
      </w:tr>
      <w:tr w:rsidR="004E6C32" w:rsidRPr="006A75A2" w:rsidTr="004B5CB1">
        <w:tc>
          <w:tcPr>
            <w:tcW w:w="4033" w:type="dxa"/>
            <w:tcBorders>
              <w:top w:val="nil"/>
              <w:left w:val="nil"/>
              <w:bottom w:val="single" w:sz="6" w:space="0" w:color="auto"/>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 xml:space="preserve">Other receipts </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152.8</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482.1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82.2</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472.1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767.5</w:t>
            </w:r>
          </w:p>
        </w:tc>
      </w:tr>
      <w:tr w:rsidR="004E6C32" w:rsidRPr="006A75A2" w:rsidTr="004B5CB1">
        <w:tc>
          <w:tcPr>
            <w:tcW w:w="4033" w:type="dxa"/>
            <w:tcBorders>
              <w:top w:val="single" w:sz="6" w:space="0" w:color="auto"/>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Total receipts</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12 349.4</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12 407.6</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12 458.5</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12 898.6</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14 679.4</w:t>
            </w:r>
          </w:p>
        </w:tc>
      </w:tr>
      <w:tr w:rsidR="00E761FF" w:rsidRPr="006A75A2" w:rsidTr="00C07A50">
        <w:tc>
          <w:tcPr>
            <w:tcW w:w="9648" w:type="dxa"/>
            <w:gridSpan w:val="6"/>
            <w:tcBorders>
              <w:top w:val="nil"/>
              <w:left w:val="nil"/>
              <w:bottom w:val="nil"/>
              <w:right w:val="nil"/>
            </w:tcBorders>
          </w:tcPr>
          <w:p w:rsidR="00E761FF" w:rsidRPr="006A75A2" w:rsidRDefault="00E761FF" w:rsidP="00E761FF">
            <w:pPr>
              <w:pStyle w:val="TableofFigures"/>
              <w:jc w:val="left"/>
              <w:rPr>
                <w:rFonts w:eastAsiaTheme="minorEastAsia"/>
                <w:sz w:val="21"/>
                <w:szCs w:val="21"/>
                <w:lang w:eastAsia="en-AU"/>
              </w:rPr>
            </w:pPr>
            <w:r w:rsidRPr="006A75A2">
              <w:rPr>
                <w:rFonts w:eastAsiaTheme="minorEastAsia"/>
                <w:b/>
                <w:bCs/>
                <w:sz w:val="21"/>
                <w:szCs w:val="21"/>
                <w:lang w:eastAsia="en-AU"/>
              </w:rPr>
              <w:t>Payments</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Payments for employees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(4 532.1)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(4 313.6)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(4 611.1)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(4 283.0)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(4 718.9)</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Superannuation</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(622.2)</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(676.6)</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(700.6)</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(639.1)</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(660.2)</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Interest paid</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(500.5)</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(497.3)</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(523.6)</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(523.7)</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(537.0)</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Grants and subsidies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(1 335.6)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(2 325.4)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(1 732.9)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(2 428.9)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(1 159.8)</w:t>
            </w:r>
          </w:p>
        </w:tc>
      </w:tr>
      <w:tr w:rsidR="004E6C32" w:rsidRPr="006A75A2" w:rsidTr="004B5CB1">
        <w:tc>
          <w:tcPr>
            <w:tcW w:w="4033" w:type="dxa"/>
            <w:tcBorders>
              <w:top w:val="nil"/>
              <w:left w:val="nil"/>
              <w:bottom w:val="nil"/>
              <w:right w:val="nil"/>
            </w:tcBorders>
          </w:tcPr>
          <w:p w:rsidR="004E6C32" w:rsidRPr="006A75A2" w:rsidRDefault="004E6C32" w:rsidP="0089225C">
            <w:pPr>
              <w:pStyle w:val="Tabletext"/>
              <w:rPr>
                <w:rFonts w:eastAsiaTheme="minorEastAsia"/>
                <w:sz w:val="21"/>
                <w:szCs w:val="21"/>
                <w:vertAlign w:val="superscript"/>
                <w:lang w:eastAsia="en-AU"/>
              </w:rPr>
            </w:pPr>
            <w:r w:rsidRPr="006A75A2">
              <w:rPr>
                <w:rFonts w:eastAsiaTheme="minorEastAsia"/>
                <w:sz w:val="21"/>
                <w:szCs w:val="21"/>
                <w:lang w:eastAsia="en-AU"/>
              </w:rPr>
              <w:t>Goods and services</w:t>
            </w:r>
            <w:r w:rsidRPr="006A75A2">
              <w:rPr>
                <w:rFonts w:eastAsiaTheme="minorEastAsia"/>
                <w:sz w:val="21"/>
                <w:szCs w:val="21"/>
                <w:vertAlign w:val="superscript"/>
                <w:lang w:eastAsia="en-AU"/>
              </w:rPr>
              <w:t>(a)</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(4 069.7)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(4 915.6)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(3 974.8)</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(4 162.6)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(3 896.3)</w:t>
            </w:r>
          </w:p>
        </w:tc>
      </w:tr>
      <w:tr w:rsidR="004E6C32" w:rsidRPr="006A75A2" w:rsidTr="004B5CB1">
        <w:tc>
          <w:tcPr>
            <w:tcW w:w="4033" w:type="dxa"/>
            <w:tcBorders>
              <w:top w:val="nil"/>
              <w:left w:val="nil"/>
              <w:bottom w:val="single" w:sz="6" w:space="0" w:color="auto"/>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Other payments</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(133.1)</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(181.9)</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(152.3)</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(147.7)</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(738.6)</w:t>
            </w:r>
          </w:p>
        </w:tc>
      </w:tr>
      <w:tr w:rsidR="004E6C32" w:rsidRPr="006A75A2" w:rsidTr="004B5CB1">
        <w:tc>
          <w:tcPr>
            <w:tcW w:w="4033"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Total payments</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(11 193.3)</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(12 910.5)</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(11 695.4)</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(12 184.9)</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(11 710.9)</w:t>
            </w:r>
          </w:p>
        </w:tc>
      </w:tr>
      <w:tr w:rsidR="004E6C32" w:rsidRPr="006A75A2" w:rsidTr="004B5CB1">
        <w:tc>
          <w:tcPr>
            <w:tcW w:w="4033" w:type="dxa"/>
            <w:tcBorders>
              <w:top w:val="single" w:sz="6" w:space="0" w:color="auto"/>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Net cash flows from operating activities</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1 156.1</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(502.9)</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763.1</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713.7</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2 968.5</w:t>
            </w:r>
          </w:p>
        </w:tc>
      </w:tr>
      <w:tr w:rsidR="00E761FF" w:rsidRPr="006A75A2" w:rsidTr="00C07A50">
        <w:tc>
          <w:tcPr>
            <w:tcW w:w="9648" w:type="dxa"/>
            <w:gridSpan w:val="6"/>
            <w:tcBorders>
              <w:top w:val="nil"/>
              <w:left w:val="nil"/>
              <w:bottom w:val="nil"/>
              <w:right w:val="nil"/>
            </w:tcBorders>
          </w:tcPr>
          <w:p w:rsidR="00E761FF" w:rsidRPr="006A75A2" w:rsidRDefault="00E761FF" w:rsidP="00E761FF">
            <w:pPr>
              <w:pStyle w:val="TableofFigures"/>
              <w:jc w:val="left"/>
              <w:rPr>
                <w:rFonts w:eastAsiaTheme="minorEastAsia"/>
                <w:b/>
                <w:bCs/>
                <w:sz w:val="21"/>
                <w:szCs w:val="21"/>
                <w:lang w:eastAsia="en-AU"/>
              </w:rPr>
            </w:pPr>
            <w:r w:rsidRPr="006A75A2">
              <w:rPr>
                <w:rFonts w:eastAsiaTheme="minorEastAsia"/>
                <w:b/>
                <w:bCs/>
                <w:sz w:val="21"/>
                <w:szCs w:val="21"/>
                <w:lang w:eastAsia="en-AU"/>
              </w:rPr>
              <w:t>Cash flows from investing activities</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Purchases of non-financial assets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(1 814.2)</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(600.8)</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(1 341.7)</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(779.4)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(1 275.4)</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Sales of non-financial assets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130.8</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24.3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64.1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63.8</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118.8</w:t>
            </w:r>
          </w:p>
        </w:tc>
      </w:tr>
      <w:tr w:rsidR="004E6C32" w:rsidRPr="006A75A2" w:rsidTr="004B5CB1">
        <w:tc>
          <w:tcPr>
            <w:tcW w:w="4033" w:type="dxa"/>
            <w:tcBorders>
              <w:top w:val="single" w:sz="6" w:space="0" w:color="auto"/>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Cash flows from investments in non-financial assets</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(1 683.5)</w:t>
            </w:r>
          </w:p>
        </w:tc>
        <w:tc>
          <w:tcPr>
            <w:tcW w:w="1123"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(576.5)</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(1 277.6)</w:t>
            </w:r>
          </w:p>
        </w:tc>
        <w:tc>
          <w:tcPr>
            <w:tcW w:w="1123"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(715.6)</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(1 156.6)</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Net cash flows from investments in financial assets for policy purposes</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306.8</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(586.7)</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(323.3)</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(310.4)</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(257.8)</w:t>
            </w:r>
          </w:p>
        </w:tc>
      </w:tr>
      <w:tr w:rsidR="004E6C32" w:rsidRPr="006A75A2" w:rsidTr="004B5CB1">
        <w:tc>
          <w:tcPr>
            <w:tcW w:w="4033" w:type="dxa"/>
            <w:tcBorders>
              <w:top w:val="single" w:sz="6" w:space="0" w:color="auto"/>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Sub-total</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(1 376.7)</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(1 163.2)</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(1 601.0)</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(1 026.0)</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(1 414.4)</w:t>
            </w:r>
          </w:p>
        </w:tc>
      </w:tr>
      <w:tr w:rsidR="004E6C32" w:rsidRPr="006A75A2" w:rsidTr="004B5CB1">
        <w:tc>
          <w:tcPr>
            <w:tcW w:w="4033" w:type="dxa"/>
            <w:tcBorders>
              <w:top w:val="nil"/>
              <w:left w:val="nil"/>
              <w:bottom w:val="single" w:sz="6" w:space="0" w:color="auto"/>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Net cash flows from investments in financial assets for liquidity management purposes</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(905.7)</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(208.0)</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(103.5)</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(340.3)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983.6</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Net cash flows from investing activities</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(2 282.3)</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(1 371.2)</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(1 704.5)</w:t>
            </w:r>
          </w:p>
        </w:tc>
        <w:tc>
          <w:tcPr>
            <w:tcW w:w="1123" w:type="dxa"/>
            <w:tcBorders>
              <w:top w:val="single" w:sz="6" w:space="0" w:color="auto"/>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(1 366.4)</w:t>
            </w:r>
          </w:p>
        </w:tc>
        <w:tc>
          <w:tcPr>
            <w:tcW w:w="1123" w:type="dxa"/>
            <w:tcBorders>
              <w:top w:val="single" w:sz="6" w:space="0" w:color="auto"/>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(430.8)</w:t>
            </w:r>
          </w:p>
        </w:tc>
      </w:tr>
      <w:tr w:rsidR="00E761FF" w:rsidRPr="006A75A2" w:rsidTr="00C07A50">
        <w:tc>
          <w:tcPr>
            <w:tcW w:w="9648" w:type="dxa"/>
            <w:gridSpan w:val="6"/>
            <w:tcBorders>
              <w:top w:val="nil"/>
              <w:left w:val="nil"/>
              <w:bottom w:val="nil"/>
              <w:right w:val="nil"/>
            </w:tcBorders>
          </w:tcPr>
          <w:p w:rsidR="00E761FF" w:rsidRPr="006A75A2" w:rsidRDefault="00E761FF" w:rsidP="00E761FF">
            <w:pPr>
              <w:pStyle w:val="TableofFigures"/>
              <w:jc w:val="left"/>
              <w:rPr>
                <w:rFonts w:eastAsiaTheme="minorEastAsia"/>
                <w:b/>
                <w:bCs/>
                <w:sz w:val="21"/>
                <w:szCs w:val="21"/>
                <w:lang w:eastAsia="en-AU"/>
              </w:rPr>
            </w:pPr>
            <w:r w:rsidRPr="006A75A2">
              <w:rPr>
                <w:rFonts w:eastAsiaTheme="minorEastAsia"/>
                <w:b/>
                <w:bCs/>
                <w:sz w:val="21"/>
                <w:szCs w:val="21"/>
                <w:lang w:eastAsia="en-AU"/>
              </w:rPr>
              <w:t>Cash flows from financing activities</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Advances received (net)</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(3.0)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Net borrowings</w:t>
            </w:r>
          </w:p>
        </w:tc>
        <w:tc>
          <w:tcPr>
            <w:tcW w:w="1123" w:type="dxa"/>
            <w:tcBorders>
              <w:top w:val="nil"/>
              <w:left w:val="nil"/>
              <w:bottom w:val="nil"/>
              <w:right w:val="nil"/>
            </w:tcBorders>
          </w:tcPr>
          <w:p w:rsidR="004E6C32" w:rsidRPr="006A75A2" w:rsidRDefault="004E6C32" w:rsidP="00EA20C8">
            <w:pPr>
              <w:pStyle w:val="TableofFigures"/>
              <w:rPr>
                <w:rFonts w:eastAsiaTheme="minorEastAsia"/>
                <w:sz w:val="21"/>
                <w:szCs w:val="21"/>
                <w:lang w:eastAsia="en-AU"/>
              </w:rPr>
            </w:pPr>
            <w:r w:rsidRPr="006A75A2">
              <w:rPr>
                <w:rFonts w:eastAsiaTheme="minorEastAsia"/>
                <w:sz w:val="21"/>
                <w:szCs w:val="21"/>
                <w:lang w:eastAsia="en-AU"/>
              </w:rPr>
              <w:t>1 03</w:t>
            </w:r>
            <w:r w:rsidR="00EA20C8" w:rsidRPr="006A75A2">
              <w:rPr>
                <w:rFonts w:eastAsiaTheme="minorEastAsia"/>
                <w:sz w:val="21"/>
                <w:szCs w:val="21"/>
                <w:lang w:eastAsia="en-AU"/>
              </w:rPr>
              <w:t>6</w:t>
            </w:r>
            <w:r w:rsidRPr="006A75A2">
              <w:rPr>
                <w:rFonts w:eastAsiaTheme="minorEastAsia"/>
                <w:sz w:val="21"/>
                <w:szCs w:val="21"/>
                <w:lang w:eastAsia="en-AU"/>
              </w:rPr>
              <w:t>.</w:t>
            </w:r>
            <w:r w:rsidR="00EA20C8" w:rsidRPr="006A75A2">
              <w:rPr>
                <w:rFonts w:eastAsiaTheme="minorEastAsia"/>
                <w:sz w:val="21"/>
                <w:szCs w:val="21"/>
                <w:lang w:eastAsia="en-AU"/>
              </w:rPr>
              <w:t>9</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1 215.1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1 014.3</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199.5</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(937.2)</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Deposits received (net)</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49.7</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(26.4)</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83.1</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 xml:space="preserve"> 85.1</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szCs w:val="22"/>
                <w:lang w:eastAsia="en-AU"/>
              </w:rPr>
            </w:pPr>
            <w:r w:rsidRPr="006A75A2">
              <w:rPr>
                <w:rFonts w:eastAsiaTheme="minorEastAsia"/>
                <w:sz w:val="21"/>
                <w:szCs w:val="21"/>
                <w:lang w:eastAsia="en-AU"/>
              </w:rPr>
              <w:t>(164.5)</w:t>
            </w:r>
          </w:p>
        </w:tc>
      </w:tr>
      <w:tr w:rsidR="004E6C32" w:rsidRPr="006A75A2" w:rsidTr="004B5CB1">
        <w:tc>
          <w:tcPr>
            <w:tcW w:w="4033" w:type="dxa"/>
            <w:tcBorders>
              <w:top w:val="single" w:sz="6" w:space="0" w:color="auto"/>
              <w:left w:val="nil"/>
              <w:bottom w:val="single" w:sz="6" w:space="0" w:color="auto"/>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Net cash flows from financing activities</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1 083.6</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1 188.7</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1 097.4</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284.7</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cs="Calibri"/>
                <w:b/>
                <w:bCs/>
                <w:sz w:val="21"/>
                <w:szCs w:val="21"/>
                <w:lang w:eastAsia="en-AU"/>
              </w:rPr>
            </w:pPr>
            <w:r w:rsidRPr="006A75A2">
              <w:rPr>
                <w:rFonts w:eastAsiaTheme="minorEastAsia"/>
                <w:b/>
                <w:bCs/>
                <w:sz w:val="21"/>
                <w:szCs w:val="21"/>
                <w:lang w:eastAsia="en-AU"/>
              </w:rPr>
              <w:t>(1 101.6)</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Net increase/(decrease) in cash and cash equivalents</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(42.6)</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(685.4)</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156.1</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(368.0)</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1 436.1</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Cash and cash equivalents at beginning of reporting period</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4 004.6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3 962.0</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3 276.6</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3 432.7</w:t>
            </w:r>
          </w:p>
        </w:tc>
        <w:tc>
          <w:tcPr>
            <w:tcW w:w="1123" w:type="dxa"/>
            <w:tcBorders>
              <w:top w:val="nil"/>
              <w:left w:val="nil"/>
              <w:bottom w:val="nil"/>
              <w:right w:val="nil"/>
            </w:tcBorders>
          </w:tcPr>
          <w:p w:rsidR="004E6C32" w:rsidRPr="006A75A2" w:rsidRDefault="004E6C32" w:rsidP="004B5CB1">
            <w:pPr>
              <w:pStyle w:val="TableofFigures"/>
              <w:rPr>
                <w:rFonts w:eastAsiaTheme="minorEastAsia"/>
                <w:sz w:val="21"/>
                <w:szCs w:val="21"/>
                <w:lang w:eastAsia="en-AU"/>
              </w:rPr>
            </w:pPr>
            <w:r w:rsidRPr="006A75A2">
              <w:rPr>
                <w:rFonts w:eastAsiaTheme="minorEastAsia"/>
                <w:sz w:val="21"/>
                <w:szCs w:val="21"/>
                <w:lang w:eastAsia="en-AU"/>
              </w:rPr>
              <w:t>3 064.7</w:t>
            </w:r>
          </w:p>
        </w:tc>
      </w:tr>
      <w:tr w:rsidR="004E6C32" w:rsidRPr="006A75A2" w:rsidTr="004B5CB1">
        <w:tc>
          <w:tcPr>
            <w:tcW w:w="4033" w:type="dxa"/>
            <w:tcBorders>
              <w:top w:val="single" w:sz="6" w:space="0" w:color="auto"/>
              <w:left w:val="nil"/>
              <w:bottom w:val="single" w:sz="6" w:space="0" w:color="auto"/>
              <w:right w:val="nil"/>
            </w:tcBorders>
          </w:tcPr>
          <w:p w:rsidR="004E6C32" w:rsidRPr="006A75A2" w:rsidRDefault="004E6C32" w:rsidP="0089225C">
            <w:pPr>
              <w:pStyle w:val="Tabletext"/>
              <w:rPr>
                <w:rFonts w:eastAsiaTheme="minorEastAsia"/>
                <w:b/>
                <w:bCs/>
                <w:sz w:val="21"/>
                <w:szCs w:val="21"/>
                <w:vertAlign w:val="superscript"/>
                <w:lang w:eastAsia="en-AU"/>
              </w:rPr>
            </w:pPr>
            <w:r w:rsidRPr="006A75A2">
              <w:rPr>
                <w:rFonts w:eastAsiaTheme="minorEastAsia"/>
                <w:b/>
                <w:bCs/>
                <w:sz w:val="21"/>
                <w:szCs w:val="21"/>
                <w:lang w:eastAsia="en-AU"/>
              </w:rPr>
              <w:t>Cash and cash equivalents at end of the financial year</w:t>
            </w:r>
            <w:r w:rsidRPr="006A75A2">
              <w:rPr>
                <w:rFonts w:eastAsiaTheme="minorEastAsia"/>
                <w:b/>
                <w:bCs/>
                <w:sz w:val="21"/>
                <w:szCs w:val="21"/>
                <w:vertAlign w:val="superscript"/>
                <w:lang w:eastAsia="en-AU"/>
              </w:rPr>
              <w:t>(b)</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3 962.0</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3 276.6</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3 432.7</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3 064.7</w:t>
            </w:r>
          </w:p>
        </w:tc>
        <w:tc>
          <w:tcPr>
            <w:tcW w:w="1123" w:type="dxa"/>
            <w:tcBorders>
              <w:top w:val="single" w:sz="6" w:space="0" w:color="auto"/>
              <w:left w:val="nil"/>
              <w:bottom w:val="single" w:sz="6"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4 500.9</w:t>
            </w:r>
          </w:p>
        </w:tc>
      </w:tr>
      <w:tr w:rsidR="00E761FF" w:rsidRPr="006A75A2" w:rsidTr="00C07A50">
        <w:tc>
          <w:tcPr>
            <w:tcW w:w="9648" w:type="dxa"/>
            <w:gridSpan w:val="6"/>
            <w:tcBorders>
              <w:top w:val="nil"/>
              <w:left w:val="nil"/>
              <w:bottom w:val="nil"/>
              <w:right w:val="nil"/>
            </w:tcBorders>
          </w:tcPr>
          <w:p w:rsidR="00E761FF" w:rsidRPr="006A75A2" w:rsidRDefault="00E761FF" w:rsidP="00E761FF">
            <w:pPr>
              <w:pStyle w:val="TableofFigures"/>
              <w:jc w:val="left"/>
              <w:rPr>
                <w:rFonts w:eastAsiaTheme="minorEastAsia"/>
                <w:b/>
                <w:bCs/>
                <w:sz w:val="21"/>
                <w:szCs w:val="21"/>
                <w:lang w:eastAsia="en-AU"/>
              </w:rPr>
            </w:pPr>
            <w:r w:rsidRPr="006A75A2">
              <w:rPr>
                <w:rFonts w:eastAsiaTheme="minorEastAsia"/>
                <w:b/>
                <w:bCs/>
                <w:sz w:val="21"/>
                <w:szCs w:val="21"/>
                <w:lang w:eastAsia="en-AU"/>
              </w:rPr>
              <w:t>FISCAL AGGREGATES</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Net cash flows from operating activities</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1 156.1</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(502.9)</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763.1</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 xml:space="preserve"> 713.7</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2 968.5</w:t>
            </w:r>
          </w:p>
        </w:tc>
      </w:tr>
      <w:tr w:rsidR="004E6C32" w:rsidRPr="006A75A2" w:rsidTr="004B5CB1">
        <w:tc>
          <w:tcPr>
            <w:tcW w:w="4033" w:type="dxa"/>
            <w:tcBorders>
              <w:top w:val="nil"/>
              <w:left w:val="nil"/>
              <w:bottom w:val="nil"/>
              <w:right w:val="nil"/>
            </w:tcBorders>
          </w:tcPr>
          <w:p w:rsidR="004E6C32" w:rsidRPr="006A75A2" w:rsidRDefault="004E6C32" w:rsidP="004B5CB1">
            <w:pPr>
              <w:pStyle w:val="Tabletext"/>
              <w:rPr>
                <w:rFonts w:eastAsiaTheme="minorEastAsia"/>
                <w:sz w:val="21"/>
                <w:szCs w:val="21"/>
                <w:lang w:eastAsia="en-AU"/>
              </w:rPr>
            </w:pPr>
            <w:r w:rsidRPr="006A75A2">
              <w:rPr>
                <w:rFonts w:eastAsiaTheme="minorEastAsia"/>
                <w:sz w:val="21"/>
                <w:szCs w:val="21"/>
                <w:lang w:eastAsia="en-AU"/>
              </w:rPr>
              <w:t>Net cas</w:t>
            </w:r>
            <w:r w:rsidR="0089225C" w:rsidRPr="006A75A2">
              <w:rPr>
                <w:rFonts w:eastAsiaTheme="minorEastAsia"/>
                <w:sz w:val="21"/>
                <w:szCs w:val="21"/>
                <w:lang w:eastAsia="en-AU"/>
              </w:rPr>
              <w:t>h flows from investments in non</w:t>
            </w:r>
            <w:r w:rsidR="0089225C" w:rsidRPr="006A75A2">
              <w:rPr>
                <w:rFonts w:eastAsiaTheme="minorEastAsia"/>
                <w:sz w:val="21"/>
                <w:szCs w:val="21"/>
                <w:lang w:eastAsia="en-AU"/>
              </w:rPr>
              <w:noBreakHyphen/>
            </w:r>
            <w:r w:rsidRPr="006A75A2">
              <w:rPr>
                <w:rFonts w:eastAsiaTheme="minorEastAsia"/>
                <w:sz w:val="21"/>
                <w:szCs w:val="21"/>
                <w:lang w:eastAsia="en-AU"/>
              </w:rPr>
              <w:t>financial assets</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(1 683.5)</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(576.5)</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(1 277.6)</w:t>
            </w:r>
          </w:p>
        </w:tc>
        <w:tc>
          <w:tcPr>
            <w:tcW w:w="1123" w:type="dxa"/>
            <w:tcBorders>
              <w:top w:val="nil"/>
              <w:left w:val="nil"/>
              <w:bottom w:val="nil"/>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(715.6)</w:t>
            </w:r>
          </w:p>
        </w:tc>
        <w:tc>
          <w:tcPr>
            <w:tcW w:w="1123" w:type="dxa"/>
            <w:tcBorders>
              <w:top w:val="nil"/>
              <w:left w:val="nil"/>
              <w:bottom w:val="nil"/>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(1 156.6)</w:t>
            </w:r>
          </w:p>
        </w:tc>
      </w:tr>
      <w:tr w:rsidR="004E6C32" w:rsidRPr="006A75A2" w:rsidTr="004B5CB1">
        <w:tc>
          <w:tcPr>
            <w:tcW w:w="4033" w:type="dxa"/>
            <w:tcBorders>
              <w:top w:val="single" w:sz="6" w:space="0" w:color="auto"/>
              <w:left w:val="nil"/>
              <w:bottom w:val="single" w:sz="12" w:space="0" w:color="auto"/>
              <w:right w:val="nil"/>
            </w:tcBorders>
          </w:tcPr>
          <w:p w:rsidR="004E6C32" w:rsidRPr="006A75A2" w:rsidRDefault="004E6C32" w:rsidP="004B5CB1">
            <w:pPr>
              <w:pStyle w:val="Tabletext"/>
              <w:rPr>
                <w:rFonts w:eastAsiaTheme="minorEastAsia"/>
                <w:b/>
                <w:bCs/>
                <w:sz w:val="21"/>
                <w:szCs w:val="21"/>
                <w:lang w:eastAsia="en-AU"/>
              </w:rPr>
            </w:pPr>
            <w:r w:rsidRPr="006A75A2">
              <w:rPr>
                <w:rFonts w:eastAsiaTheme="minorEastAsia"/>
                <w:b/>
                <w:bCs/>
                <w:sz w:val="21"/>
                <w:szCs w:val="21"/>
                <w:lang w:eastAsia="en-AU"/>
              </w:rPr>
              <w:t>Cash surplus/(deficit)</w:t>
            </w:r>
          </w:p>
        </w:tc>
        <w:tc>
          <w:tcPr>
            <w:tcW w:w="1123" w:type="dxa"/>
            <w:tcBorders>
              <w:top w:val="single" w:sz="6" w:space="0" w:color="auto"/>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(527.4)</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(1 079.4)</w:t>
            </w:r>
          </w:p>
        </w:tc>
        <w:tc>
          <w:tcPr>
            <w:tcW w:w="1123" w:type="dxa"/>
            <w:tcBorders>
              <w:top w:val="single" w:sz="6" w:space="0" w:color="auto"/>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(514.5)</w:t>
            </w:r>
          </w:p>
        </w:tc>
        <w:tc>
          <w:tcPr>
            <w:tcW w:w="1123" w:type="dxa"/>
            <w:tcBorders>
              <w:top w:val="single" w:sz="6" w:space="0" w:color="auto"/>
              <w:left w:val="nil"/>
              <w:bottom w:val="single" w:sz="12" w:space="0" w:color="auto"/>
              <w:right w:val="nil"/>
            </w:tcBorders>
          </w:tcPr>
          <w:p w:rsidR="004E6C32" w:rsidRPr="006A75A2" w:rsidRDefault="00C96101" w:rsidP="004B5CB1">
            <w:pPr>
              <w:pStyle w:val="TableofFigures"/>
              <w:rPr>
                <w:rFonts w:eastAsiaTheme="minorEastAsia" w:cs="Calibri"/>
                <w:b/>
                <w:bCs/>
                <w:szCs w:val="22"/>
                <w:lang w:eastAsia="en-AU"/>
              </w:rPr>
            </w:pPr>
            <w:r w:rsidRPr="006A75A2">
              <w:rPr>
                <w:rFonts w:eastAsiaTheme="minorEastAsia"/>
                <w:b/>
                <w:bCs/>
                <w:sz w:val="21"/>
                <w:szCs w:val="21"/>
                <w:lang w:eastAsia="en-AU"/>
              </w:rPr>
              <w:t>(1.9)</w:t>
            </w:r>
          </w:p>
        </w:tc>
        <w:tc>
          <w:tcPr>
            <w:tcW w:w="1123" w:type="dxa"/>
            <w:tcBorders>
              <w:top w:val="single" w:sz="6" w:space="0" w:color="auto"/>
              <w:left w:val="nil"/>
              <w:bottom w:val="single" w:sz="12" w:space="0" w:color="auto"/>
              <w:right w:val="nil"/>
            </w:tcBorders>
          </w:tcPr>
          <w:p w:rsidR="004E6C32" w:rsidRPr="006A75A2" w:rsidRDefault="004E6C32" w:rsidP="004B5CB1">
            <w:pPr>
              <w:pStyle w:val="TableofFigures"/>
              <w:rPr>
                <w:rFonts w:eastAsiaTheme="minorEastAsia"/>
                <w:b/>
                <w:bCs/>
                <w:sz w:val="21"/>
                <w:szCs w:val="21"/>
                <w:lang w:eastAsia="en-AU"/>
              </w:rPr>
            </w:pPr>
            <w:r w:rsidRPr="006A75A2">
              <w:rPr>
                <w:rFonts w:eastAsiaTheme="minorEastAsia"/>
                <w:b/>
                <w:bCs/>
                <w:sz w:val="21"/>
                <w:szCs w:val="21"/>
                <w:lang w:eastAsia="en-AU"/>
              </w:rPr>
              <w:t>1 811.9</w:t>
            </w:r>
          </w:p>
        </w:tc>
      </w:tr>
    </w:tbl>
    <w:p w:rsidR="004E6C32" w:rsidRPr="006A75A2" w:rsidRDefault="004E6C32" w:rsidP="004B5CB1">
      <w:pPr>
        <w:pStyle w:val="Notes"/>
      </w:pPr>
      <w:r w:rsidRPr="006A75A2">
        <w:t>Notes:</w:t>
      </w:r>
    </w:p>
    <w:p w:rsidR="004E6C32" w:rsidRPr="006A75A2" w:rsidRDefault="004E6C32" w:rsidP="004B5CB1">
      <w:pPr>
        <w:pStyle w:val="Notes"/>
      </w:pPr>
      <w:r w:rsidRPr="006A75A2">
        <w:t>(a)</w:t>
      </w:r>
      <w:r w:rsidRPr="006A75A2">
        <w:tab/>
        <w:t>These items are inclusive of goods and services tax.</w:t>
      </w:r>
    </w:p>
    <w:p w:rsidR="004E6C32" w:rsidRPr="006A75A2" w:rsidRDefault="004E6C32" w:rsidP="004B5CB1">
      <w:pPr>
        <w:pStyle w:val="Notes"/>
      </w:pPr>
      <w:r w:rsidRPr="006A75A2">
        <w:t>(b)</w:t>
      </w:r>
      <w:r w:rsidRPr="006A75A2">
        <w:tab/>
        <w:t>September 2013 comparative cash and cash equivalents at the end of the reporting period does not equal cash and deposits on the balance sheet. This is due to overdrafts being included in the cash flow statement.</w:t>
      </w:r>
    </w:p>
    <w:p w:rsidR="004E6C32" w:rsidRPr="006A75A2" w:rsidRDefault="004E6C32" w:rsidP="004B5CB1">
      <w:pPr>
        <w:pStyle w:val="Notes"/>
      </w:pPr>
    </w:p>
    <w:p w:rsidR="004E6C32" w:rsidRPr="006A75A2" w:rsidRDefault="004E6C32" w:rsidP="007A44BF">
      <w:pPr>
        <w:sectPr w:rsidR="004E6C32" w:rsidRPr="006A75A2" w:rsidSect="00160ABB">
          <w:footerReference w:type="even" r:id="rId29"/>
          <w:footerReference w:type="default" r:id="rId30"/>
          <w:type w:val="oddPage"/>
          <w:pgSz w:w="11906" w:h="16838" w:code="9"/>
          <w:pgMar w:top="1151" w:right="1151" w:bottom="1151" w:left="1151" w:header="720" w:footer="720" w:gutter="0"/>
          <w:cols w:space="708"/>
          <w:docGrid w:linePitch="360"/>
        </w:sectPr>
      </w:pPr>
    </w:p>
    <w:p w:rsidR="004E6C32" w:rsidRPr="006A75A2" w:rsidRDefault="004E6C32" w:rsidP="004B5CB1">
      <w:pPr>
        <w:pStyle w:val="ChapterHeading"/>
      </w:pPr>
      <w:bookmarkStart w:id="82" w:name="_Toc400040246"/>
      <w:r w:rsidRPr="006A75A2">
        <w:lastRenderedPageBreak/>
        <w:t xml:space="preserve">Appendix B – </w:t>
      </w:r>
      <w:r w:rsidRPr="006A75A2">
        <w:rPr>
          <w:i/>
        </w:rPr>
        <w:t>Financial Management Act 1994</w:t>
      </w:r>
      <w:r w:rsidRPr="006A75A2">
        <w:t xml:space="preserve"> – Compliance index</w:t>
      </w:r>
      <w:bookmarkEnd w:id="82"/>
    </w:p>
    <w:p w:rsidR="004E6C32" w:rsidRPr="006A75A2" w:rsidRDefault="004E6C32" w:rsidP="004B5CB1">
      <w:r w:rsidRPr="006A75A2">
        <w:t xml:space="preserve">The </w:t>
      </w:r>
      <w:r w:rsidRPr="006A75A2">
        <w:rPr>
          <w:i/>
        </w:rPr>
        <w:t>Financial Management Act 1994</w:t>
      </w:r>
      <w:r w:rsidRPr="006A75A2">
        <w:t xml:space="preserve"> requires the Minister to prepare an audited annual financial report for tabling in the Parliament. This report has been prepared in accordance with applicable Australian Accounting Standards and the </w:t>
      </w:r>
      <w:r w:rsidRPr="006A75A2">
        <w:rPr>
          <w:i/>
        </w:rPr>
        <w:t>Financial Management Act 1994</w:t>
      </w:r>
      <w:r w:rsidRPr="006A75A2">
        <w:t>.</w:t>
      </w:r>
    </w:p>
    <w:p w:rsidR="004E6C32" w:rsidRPr="006A75A2" w:rsidRDefault="004E6C32" w:rsidP="004B5CB1">
      <w:r w:rsidRPr="006A75A2">
        <w:t xml:space="preserve">The </w:t>
      </w:r>
      <w:r w:rsidRPr="006A75A2">
        <w:rPr>
          <w:i/>
        </w:rPr>
        <w:t>Financial Management Act 1994</w:t>
      </w:r>
      <w:r w:rsidRPr="006A75A2">
        <w:t xml:space="preserve"> also requires the annual financial report to meet certain requirements. The following compliance index explains how these requirements are met, together with appropriate references in this document.</w:t>
      </w:r>
    </w:p>
    <w:tbl>
      <w:tblPr>
        <w:tblW w:w="9673" w:type="dxa"/>
        <w:tblInd w:w="43" w:type="dxa"/>
        <w:tblCellMar>
          <w:left w:w="43" w:type="dxa"/>
          <w:right w:w="43" w:type="dxa"/>
        </w:tblCellMar>
        <w:tblLook w:val="01E0" w:firstRow="1" w:lastRow="1" w:firstColumn="1" w:lastColumn="1" w:noHBand="0" w:noVBand="0"/>
      </w:tblPr>
      <w:tblGrid>
        <w:gridCol w:w="2250"/>
        <w:gridCol w:w="4183"/>
        <w:gridCol w:w="3240"/>
      </w:tblGrid>
      <w:tr w:rsidR="00123948" w:rsidRPr="006A75A2" w:rsidTr="006E6BA9">
        <w:trPr>
          <w:cantSplit/>
          <w:tblHeader/>
        </w:trPr>
        <w:tc>
          <w:tcPr>
            <w:tcW w:w="2250" w:type="dxa"/>
            <w:tcBorders>
              <w:top w:val="single" w:sz="4" w:space="0" w:color="auto"/>
              <w:bottom w:val="single" w:sz="4" w:space="0" w:color="auto"/>
            </w:tcBorders>
            <w:shd w:val="clear" w:color="auto" w:fill="000000"/>
          </w:tcPr>
          <w:p w:rsidR="00123948" w:rsidRPr="006A75A2" w:rsidRDefault="00123948" w:rsidP="006E6BA9">
            <w:pPr>
              <w:pStyle w:val="TabletextheadingLeft"/>
            </w:pPr>
            <w:r w:rsidRPr="006A75A2">
              <w:t>Financial Management Act 1994 reference</w:t>
            </w:r>
          </w:p>
        </w:tc>
        <w:tc>
          <w:tcPr>
            <w:tcW w:w="4183" w:type="dxa"/>
            <w:tcBorders>
              <w:top w:val="single" w:sz="4" w:space="0" w:color="auto"/>
              <w:bottom w:val="single" w:sz="4" w:space="0" w:color="auto"/>
            </w:tcBorders>
            <w:shd w:val="clear" w:color="auto" w:fill="000000"/>
          </w:tcPr>
          <w:p w:rsidR="00123948" w:rsidRPr="006A75A2" w:rsidRDefault="00123948" w:rsidP="006E6BA9">
            <w:pPr>
              <w:pStyle w:val="TabletextheadingLeft"/>
            </w:pPr>
            <w:r w:rsidRPr="006A75A2">
              <w:t>Requirement</w:t>
            </w:r>
          </w:p>
        </w:tc>
        <w:tc>
          <w:tcPr>
            <w:tcW w:w="3240" w:type="dxa"/>
            <w:tcBorders>
              <w:top w:val="single" w:sz="4" w:space="0" w:color="auto"/>
              <w:bottom w:val="single" w:sz="4" w:space="0" w:color="auto"/>
            </w:tcBorders>
            <w:shd w:val="clear" w:color="auto" w:fill="000000"/>
          </w:tcPr>
          <w:p w:rsidR="00123948" w:rsidRPr="006A75A2" w:rsidRDefault="00123948" w:rsidP="006E6BA9">
            <w:pPr>
              <w:pStyle w:val="TabletextheadingLeft"/>
            </w:pPr>
            <w:r w:rsidRPr="006A75A2">
              <w:t>Comments/reference</w:t>
            </w:r>
          </w:p>
        </w:tc>
      </w:tr>
      <w:tr w:rsidR="00123948" w:rsidRPr="006A75A2" w:rsidTr="006E6BA9">
        <w:trPr>
          <w:cantSplit/>
        </w:trPr>
        <w:tc>
          <w:tcPr>
            <w:tcW w:w="2250" w:type="dxa"/>
            <w:tcBorders>
              <w:top w:val="single" w:sz="4" w:space="0" w:color="auto"/>
            </w:tcBorders>
            <w:shd w:val="clear" w:color="auto" w:fill="auto"/>
          </w:tcPr>
          <w:p w:rsidR="00123948" w:rsidRPr="006A75A2" w:rsidRDefault="00123948" w:rsidP="006E6BA9">
            <w:pPr>
              <w:pStyle w:val="Tabletext"/>
              <w:spacing w:after="40"/>
            </w:pPr>
            <w:r w:rsidRPr="006A75A2">
              <w:t xml:space="preserve">Section 24(1) </w:t>
            </w:r>
          </w:p>
        </w:tc>
        <w:tc>
          <w:tcPr>
            <w:tcW w:w="4183" w:type="dxa"/>
            <w:tcBorders>
              <w:top w:val="single" w:sz="4" w:space="0" w:color="auto"/>
            </w:tcBorders>
            <w:shd w:val="clear" w:color="auto" w:fill="auto"/>
          </w:tcPr>
          <w:p w:rsidR="00123948" w:rsidRPr="006A75A2" w:rsidRDefault="00123948" w:rsidP="006E6BA9">
            <w:pPr>
              <w:pStyle w:val="Tabletext"/>
              <w:spacing w:after="40"/>
              <w:ind w:left="0" w:firstLine="0"/>
            </w:pPr>
            <w:r w:rsidRPr="006A75A2">
              <w:t>The Minister must prepare an annual financial report for each financial year.</w:t>
            </w:r>
          </w:p>
        </w:tc>
        <w:tc>
          <w:tcPr>
            <w:tcW w:w="3240" w:type="dxa"/>
            <w:tcBorders>
              <w:top w:val="single" w:sz="4" w:space="0" w:color="auto"/>
            </w:tcBorders>
            <w:shd w:val="clear" w:color="auto" w:fill="auto"/>
          </w:tcPr>
          <w:p w:rsidR="00123948" w:rsidRPr="006A75A2" w:rsidRDefault="00123948" w:rsidP="006E6BA9">
            <w:pPr>
              <w:pStyle w:val="Tabletext"/>
              <w:spacing w:after="40"/>
              <w:ind w:left="0" w:firstLine="0"/>
            </w:pPr>
            <w:r w:rsidRPr="006A75A2">
              <w:t>Refer to Chapter 4</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r w:rsidRPr="006A75A2">
              <w:t>Section 24(2)</w:t>
            </w:r>
          </w:p>
        </w:tc>
        <w:tc>
          <w:tcPr>
            <w:tcW w:w="4183" w:type="dxa"/>
            <w:shd w:val="clear" w:color="auto" w:fill="auto"/>
          </w:tcPr>
          <w:p w:rsidR="00123948" w:rsidRPr="006A75A2" w:rsidRDefault="00123948" w:rsidP="006E6BA9">
            <w:pPr>
              <w:pStyle w:val="Tabletext"/>
              <w:spacing w:after="40"/>
              <w:ind w:left="0" w:firstLine="0"/>
            </w:pPr>
            <w:r w:rsidRPr="006A75A2">
              <w:t>The annual financial report:</w:t>
            </w:r>
          </w:p>
          <w:p w:rsidR="00123948" w:rsidRPr="006A75A2" w:rsidRDefault="00123948" w:rsidP="006E6BA9">
            <w:pPr>
              <w:pStyle w:val="TabletextIndent1"/>
            </w:pPr>
            <w:r w:rsidRPr="006A75A2">
              <w:t>(a)</w:t>
            </w:r>
            <w:r w:rsidRPr="006A75A2">
              <w:tab/>
              <w:t>must be prepared in the manner and form determined by the Minister, having regard to appropriate financial reporting frameworks;</w:t>
            </w:r>
          </w:p>
        </w:tc>
        <w:tc>
          <w:tcPr>
            <w:tcW w:w="3240" w:type="dxa"/>
            <w:shd w:val="clear" w:color="auto" w:fill="auto"/>
          </w:tcPr>
          <w:p w:rsidR="00123948" w:rsidRPr="006A75A2" w:rsidRDefault="00123948" w:rsidP="006E6BA9">
            <w:pPr>
              <w:pStyle w:val="Tabletext"/>
              <w:spacing w:after="40"/>
              <w:ind w:left="0" w:firstLine="0"/>
            </w:pPr>
            <w:r w:rsidRPr="006A75A2">
              <w:t>Manner is in accordance with Australian Accounting Standards and Ministerial Directions. Form is consolidated comprehensive operating statement, consolidated balance sheet, consolidated cash flow statement, consolidated statement of changes in equity and accompanying notes. Refer to Chapter 4</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
              <w:tabs>
                <w:tab w:val="left" w:pos="344"/>
              </w:tabs>
              <w:spacing w:after="40"/>
              <w:ind w:left="360" w:hanging="360"/>
            </w:pPr>
            <w:r w:rsidRPr="006A75A2">
              <w:t>(b)</w:t>
            </w:r>
            <w:r w:rsidRPr="006A75A2">
              <w:tab/>
              <w:t>must present fairly the financial position of the State and the Victorian general government sector at the end of the financial year; and</w:t>
            </w:r>
          </w:p>
        </w:tc>
        <w:tc>
          <w:tcPr>
            <w:tcW w:w="3240" w:type="dxa"/>
            <w:shd w:val="clear" w:color="auto" w:fill="auto"/>
          </w:tcPr>
          <w:p w:rsidR="00123948" w:rsidRPr="006A75A2" w:rsidRDefault="00123948" w:rsidP="006E6BA9">
            <w:pPr>
              <w:pStyle w:val="Tabletext"/>
              <w:spacing w:after="40"/>
              <w:ind w:left="0" w:firstLine="0"/>
            </w:pPr>
            <w:r w:rsidRPr="006A75A2">
              <w:t>Consolidated balance sheet, page 32</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
              <w:spacing w:after="40"/>
              <w:ind w:left="720" w:hanging="360"/>
            </w:pPr>
            <w:r w:rsidRPr="006A75A2">
              <w:t>(i)</w:t>
            </w:r>
            <w:r w:rsidRPr="006A75A2">
              <w:tab/>
              <w:t>the transactions of the Public Account;</w:t>
            </w:r>
          </w:p>
        </w:tc>
        <w:tc>
          <w:tcPr>
            <w:tcW w:w="3240" w:type="dxa"/>
            <w:shd w:val="clear" w:color="auto" w:fill="auto"/>
          </w:tcPr>
          <w:p w:rsidR="00123948" w:rsidRPr="006A75A2" w:rsidRDefault="00123948" w:rsidP="006E6BA9">
            <w:pPr>
              <w:pStyle w:val="Tabletext"/>
              <w:spacing w:after="40"/>
              <w:ind w:left="0" w:firstLine="0"/>
            </w:pPr>
            <w:r w:rsidRPr="006A75A2">
              <w:t xml:space="preserve">Refer </w:t>
            </w:r>
            <w:r w:rsidR="007B63E3" w:rsidRPr="006A75A2">
              <w:t>Chapter 4, Note 39 pages 182–207</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
              <w:spacing w:after="40"/>
              <w:ind w:left="720" w:hanging="360"/>
            </w:pPr>
            <w:r w:rsidRPr="006A75A2">
              <w:t>(ii)</w:t>
            </w:r>
            <w:r w:rsidRPr="006A75A2">
              <w:tab/>
              <w:t>the transactions of the Victorian general government sector; and</w:t>
            </w:r>
          </w:p>
        </w:tc>
        <w:tc>
          <w:tcPr>
            <w:tcW w:w="3240" w:type="dxa"/>
            <w:shd w:val="clear" w:color="auto" w:fill="auto"/>
          </w:tcPr>
          <w:p w:rsidR="00123948" w:rsidRPr="006A75A2" w:rsidRDefault="00123948" w:rsidP="006E6BA9">
            <w:pPr>
              <w:pStyle w:val="Tabletext"/>
              <w:spacing w:after="40"/>
              <w:ind w:left="0" w:firstLine="0"/>
            </w:pPr>
            <w:r w:rsidRPr="006A75A2">
              <w:t>Refer Chapter 4, consolidated comprehensive operating statement page 31, consolidated cash flow statement page 33 and selected notes</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
              <w:spacing w:after="40"/>
              <w:ind w:left="720" w:hanging="360"/>
            </w:pPr>
            <w:r w:rsidRPr="006A75A2">
              <w:t>(iii)</w:t>
            </w:r>
            <w:r w:rsidRPr="006A75A2">
              <w:tab/>
              <w:t>other financial transactions of the State;</w:t>
            </w:r>
          </w:p>
        </w:tc>
        <w:tc>
          <w:tcPr>
            <w:tcW w:w="3240" w:type="dxa"/>
            <w:shd w:val="clear" w:color="auto" w:fill="auto"/>
          </w:tcPr>
          <w:p w:rsidR="00123948" w:rsidRPr="006A75A2" w:rsidRDefault="00123948" w:rsidP="006E6BA9">
            <w:pPr>
              <w:pStyle w:val="Tabletext"/>
              <w:spacing w:after="40"/>
              <w:ind w:left="0" w:firstLine="0"/>
            </w:pPr>
            <w:r w:rsidRPr="006A75A2">
              <w:t>Refer Chapter 4, consolidated comprehensive operating statement page 31, consolidated cash flow statement page 33 and Notes 2–39, pages 66–207</w:t>
            </w:r>
          </w:p>
        </w:tc>
      </w:tr>
      <w:tr w:rsidR="00123948" w:rsidRPr="006A75A2" w:rsidTr="006E6BA9">
        <w:trPr>
          <w:cantSplit/>
        </w:trPr>
        <w:tc>
          <w:tcPr>
            <w:tcW w:w="2250" w:type="dxa"/>
            <w:shd w:val="clear" w:color="auto" w:fill="auto"/>
          </w:tcPr>
          <w:p w:rsidR="00123948" w:rsidRPr="006A75A2" w:rsidRDefault="00123948" w:rsidP="006E6BA9">
            <w:pPr>
              <w:pStyle w:val="Tabletext"/>
              <w:pageBreakBefore/>
              <w:spacing w:after="40"/>
              <w:ind w:left="187" w:hanging="187"/>
            </w:pPr>
          </w:p>
        </w:tc>
        <w:tc>
          <w:tcPr>
            <w:tcW w:w="4183" w:type="dxa"/>
            <w:shd w:val="clear" w:color="auto" w:fill="auto"/>
          </w:tcPr>
          <w:p w:rsidR="00123948" w:rsidRPr="006A75A2" w:rsidRDefault="00123948" w:rsidP="006E6BA9">
            <w:pPr>
              <w:pStyle w:val="Tabletext"/>
              <w:spacing w:after="40"/>
              <w:ind w:left="0" w:firstLine="0"/>
            </w:pPr>
            <w:r w:rsidRPr="006A75A2">
              <w:t>in respect of the financial year;</w:t>
            </w:r>
          </w:p>
        </w:tc>
        <w:tc>
          <w:tcPr>
            <w:tcW w:w="3240" w:type="dxa"/>
            <w:shd w:val="clear" w:color="auto" w:fill="auto"/>
          </w:tcPr>
          <w:p w:rsidR="00123948" w:rsidRPr="006A75A2" w:rsidRDefault="00123948" w:rsidP="006E6BA9">
            <w:pPr>
              <w:pStyle w:val="Tabletext"/>
              <w:spacing w:after="40"/>
              <w:ind w:left="0" w:firstLine="0"/>
            </w:pP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(c)</w:t>
            </w:r>
            <w:r w:rsidRPr="006A75A2">
              <w:tab/>
              <w:t>must include details of amounts paid into working accounts under section 23;</w:t>
            </w:r>
          </w:p>
        </w:tc>
        <w:tc>
          <w:tcPr>
            <w:tcW w:w="3240" w:type="dxa"/>
            <w:shd w:val="clear" w:color="auto" w:fill="auto"/>
          </w:tcPr>
          <w:p w:rsidR="00123948" w:rsidRPr="006A75A2" w:rsidRDefault="00123948" w:rsidP="006E6BA9">
            <w:pPr>
              <w:pStyle w:val="Tabletext"/>
              <w:spacing w:after="40"/>
              <w:ind w:left="0" w:firstLine="0"/>
            </w:pPr>
            <w:r w:rsidRPr="006A75A2">
              <w:t>Refer Chapter 4, Note 39 Table (g), page 188</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(d)</w:t>
            </w:r>
            <w:r w:rsidRPr="006A75A2">
              <w:tab/>
              <w:t>must include details of amounts allocated to departments during the financial year under section 28;</w:t>
            </w:r>
          </w:p>
        </w:tc>
        <w:tc>
          <w:tcPr>
            <w:tcW w:w="3240" w:type="dxa"/>
            <w:shd w:val="clear" w:color="auto" w:fill="auto"/>
          </w:tcPr>
          <w:p w:rsidR="00123948" w:rsidRPr="006A75A2" w:rsidRDefault="00123948" w:rsidP="006E6BA9">
            <w:pPr>
              <w:pStyle w:val="Tabletext"/>
              <w:spacing w:after="40"/>
              <w:ind w:left="0" w:firstLine="0"/>
            </w:pPr>
            <w:r w:rsidRPr="006A75A2">
              <w:t>Refer Chapter 4, Note 39 Table (h), page 188</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(e)</w:t>
            </w:r>
            <w:r w:rsidRPr="006A75A2">
              <w:tab/>
              <w:t>must include details of money credited under section 29 to an item in a schedule to an appropriation Act for that financial year;</w:t>
            </w:r>
          </w:p>
        </w:tc>
        <w:tc>
          <w:tcPr>
            <w:tcW w:w="3240" w:type="dxa"/>
            <w:shd w:val="clear" w:color="auto" w:fill="auto"/>
          </w:tcPr>
          <w:p w:rsidR="00123948" w:rsidRPr="006A75A2" w:rsidRDefault="00123948" w:rsidP="006E6BA9">
            <w:pPr>
              <w:pStyle w:val="Tabletext"/>
              <w:spacing w:after="40"/>
              <w:ind w:left="0" w:firstLine="0"/>
            </w:pPr>
            <w:r w:rsidRPr="006A75A2">
              <w:t>Refer Chapter 4, Note 39 Table (j), page 190</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(f)</w:t>
            </w:r>
            <w:r w:rsidRPr="006A75A2">
              <w:tab/>
              <w:t>must include particulars of amounts transferred in accordance with determinations under section 30 or 31;</w:t>
            </w:r>
          </w:p>
        </w:tc>
        <w:tc>
          <w:tcPr>
            <w:tcW w:w="3240" w:type="dxa"/>
            <w:shd w:val="clear" w:color="auto" w:fill="auto"/>
          </w:tcPr>
          <w:p w:rsidR="00123948" w:rsidRPr="006A75A2" w:rsidRDefault="00123948" w:rsidP="006E6BA9">
            <w:pPr>
              <w:pStyle w:val="Tabletext"/>
              <w:spacing w:after="40"/>
              <w:ind w:left="0" w:firstLine="0"/>
            </w:pPr>
            <w:r w:rsidRPr="006A75A2">
              <w:t>Refer Chapter 4, Note 39 Table (i), page 189</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(g)</w:t>
            </w:r>
            <w:r w:rsidRPr="006A75A2">
              <w:tab/>
              <w:t>must include details of;</w:t>
            </w:r>
          </w:p>
        </w:tc>
        <w:tc>
          <w:tcPr>
            <w:tcW w:w="3240" w:type="dxa"/>
            <w:shd w:val="clear" w:color="auto" w:fill="auto"/>
          </w:tcPr>
          <w:p w:rsidR="00123948" w:rsidRPr="006A75A2" w:rsidRDefault="00123948" w:rsidP="006E6BA9">
            <w:pPr>
              <w:pStyle w:val="Tabletext"/>
              <w:spacing w:after="40"/>
              <w:ind w:left="0" w:firstLine="0"/>
            </w:pP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
              <w:spacing w:after="40"/>
              <w:ind w:left="720" w:hanging="360"/>
            </w:pPr>
            <w:r w:rsidRPr="006A75A2">
              <w:t>(i)</w:t>
            </w:r>
            <w:r w:rsidRPr="006A75A2">
              <w:tab/>
              <w:t>amounts appropriated in respect of the financial year as a result of a determination under section 32 in respect of unused appropriation for the preceding financial year;</w:t>
            </w:r>
          </w:p>
        </w:tc>
        <w:tc>
          <w:tcPr>
            <w:tcW w:w="3240" w:type="dxa"/>
            <w:shd w:val="clear" w:color="auto" w:fill="auto"/>
          </w:tcPr>
          <w:p w:rsidR="00123948" w:rsidRPr="006A75A2" w:rsidRDefault="00123948" w:rsidP="006E6BA9">
            <w:pPr>
              <w:pStyle w:val="Tabletext"/>
              <w:spacing w:after="40"/>
              <w:ind w:left="0" w:firstLine="0"/>
            </w:pPr>
            <w:r w:rsidRPr="006A75A2">
              <w:t>Refer Chapter 4, Note 39 Table (k), page 190</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
              <w:spacing w:after="40"/>
              <w:ind w:left="720" w:hanging="360"/>
            </w:pPr>
            <w:r w:rsidRPr="006A75A2">
              <w:t>(ii)</w:t>
            </w:r>
            <w:r w:rsidRPr="006A75A2">
              <w:tab/>
              <w:t>the application during the financial year of amounts referred to in subparagraph (i); and</w:t>
            </w:r>
          </w:p>
        </w:tc>
        <w:tc>
          <w:tcPr>
            <w:tcW w:w="3240" w:type="dxa"/>
            <w:shd w:val="clear" w:color="auto" w:fill="auto"/>
          </w:tcPr>
          <w:p w:rsidR="00123948" w:rsidRPr="006A75A2" w:rsidRDefault="00123948" w:rsidP="006E6BA9">
            <w:pPr>
              <w:pStyle w:val="Tabletext"/>
              <w:spacing w:after="40"/>
              <w:ind w:left="0" w:firstLine="0"/>
            </w:pPr>
            <w:r w:rsidRPr="006A75A2">
              <w:t>Refer Chapte</w:t>
            </w:r>
            <w:r w:rsidR="007B63E3" w:rsidRPr="006A75A2">
              <w:t>r 4, Note 39 Table (k), page 191</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
              <w:spacing w:after="40"/>
              <w:ind w:left="720" w:hanging="360"/>
            </w:pPr>
            <w:r w:rsidRPr="006A75A2">
              <w:t>(iii)</w:t>
            </w:r>
            <w:r w:rsidRPr="006A75A2">
              <w:tab/>
              <w:t>amounts appropriated in respect of the next financial year as a result of a determination under section 32 in respect of unused appropriation for the financial year;</w:t>
            </w:r>
          </w:p>
        </w:tc>
        <w:tc>
          <w:tcPr>
            <w:tcW w:w="3240" w:type="dxa"/>
            <w:shd w:val="clear" w:color="auto" w:fill="auto"/>
          </w:tcPr>
          <w:p w:rsidR="00123948" w:rsidRPr="006A75A2" w:rsidRDefault="00123948" w:rsidP="006E6BA9">
            <w:pPr>
              <w:pStyle w:val="Tabletext"/>
              <w:spacing w:after="40"/>
              <w:ind w:left="0" w:firstLine="0"/>
            </w:pPr>
            <w:r w:rsidRPr="006A75A2">
              <w:t>Refer Chapte</w:t>
            </w:r>
            <w:r w:rsidR="007B63E3" w:rsidRPr="006A75A2">
              <w:t>r 4, Note 39 Table (k), page 191</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ind w:left="187" w:hanging="187"/>
            </w:pPr>
          </w:p>
        </w:tc>
        <w:tc>
          <w:tcPr>
            <w:tcW w:w="4183" w:type="dxa"/>
            <w:shd w:val="clear" w:color="auto" w:fill="auto"/>
          </w:tcPr>
          <w:p w:rsidR="00123948" w:rsidRPr="006A75A2" w:rsidRDefault="00123948" w:rsidP="006E6BA9">
            <w:pPr>
              <w:pStyle w:val="TabletextIndent1"/>
            </w:pPr>
            <w:r w:rsidRPr="006A75A2">
              <w:t>(h)</w:t>
            </w:r>
            <w:r w:rsidRPr="006A75A2">
              <w:tab/>
              <w:t>must include;</w:t>
            </w:r>
          </w:p>
        </w:tc>
        <w:tc>
          <w:tcPr>
            <w:tcW w:w="3240" w:type="dxa"/>
            <w:shd w:val="clear" w:color="auto" w:fill="auto"/>
          </w:tcPr>
          <w:p w:rsidR="00123948" w:rsidRPr="006A75A2" w:rsidRDefault="00123948" w:rsidP="006E6BA9">
            <w:pPr>
              <w:pStyle w:val="Tabletext"/>
              <w:spacing w:after="40"/>
              <w:ind w:left="0" w:firstLine="0"/>
            </w:pP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
              <w:tabs>
                <w:tab w:val="left" w:pos="344"/>
              </w:tabs>
              <w:spacing w:after="40"/>
              <w:ind w:left="706" w:hanging="362"/>
            </w:pPr>
            <w:r w:rsidRPr="006A75A2">
              <w:t>(i)</w:t>
            </w:r>
            <w:r w:rsidRPr="006A75A2">
              <w:tab/>
              <w:t>details of expenses and obligations met from money advanced to the Minister under section 35(1) during the financial year; and</w:t>
            </w:r>
          </w:p>
        </w:tc>
        <w:tc>
          <w:tcPr>
            <w:tcW w:w="3240" w:type="dxa"/>
            <w:shd w:val="clear" w:color="auto" w:fill="auto"/>
          </w:tcPr>
          <w:p w:rsidR="00123948" w:rsidRPr="006A75A2" w:rsidRDefault="00123948" w:rsidP="006E6BA9">
            <w:pPr>
              <w:pStyle w:val="Tabletext"/>
              <w:spacing w:after="40"/>
              <w:ind w:left="0" w:firstLine="0"/>
            </w:pPr>
            <w:r w:rsidRPr="006A75A2">
              <w:t>Refer Chapter 4, Note 39 Table (m), page 193</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
              <w:tabs>
                <w:tab w:val="left" w:pos="344"/>
              </w:tabs>
              <w:spacing w:after="40"/>
              <w:ind w:left="706" w:hanging="362"/>
            </w:pPr>
            <w:r w:rsidRPr="006A75A2">
              <w:t>(ii)</w:t>
            </w:r>
            <w:r w:rsidRPr="006A75A2">
              <w:tab/>
              <w:t>a statement of the reasons for carrying forward any part of an unused advance to the next financial year under section 35(4);</w:t>
            </w:r>
          </w:p>
        </w:tc>
        <w:tc>
          <w:tcPr>
            <w:tcW w:w="3240" w:type="dxa"/>
            <w:shd w:val="clear" w:color="auto" w:fill="auto"/>
          </w:tcPr>
          <w:p w:rsidR="00123948" w:rsidRPr="006A75A2" w:rsidRDefault="00123948" w:rsidP="006E6BA9">
            <w:pPr>
              <w:pStyle w:val="Tabletext"/>
              <w:spacing w:after="40"/>
              <w:ind w:left="0" w:firstLine="0"/>
            </w:pPr>
            <w:r w:rsidRPr="006A75A2">
              <w:t>Refer Chapter 4, Note 39 see (n), page 193</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(i)</w:t>
            </w:r>
            <w:r w:rsidRPr="006A75A2">
              <w:tab/>
              <w:t>must include details of payments made during the financial year out of money advanced to the Treasurer in an annual appropriation Act for that year to meet urgent claims;</w:t>
            </w:r>
          </w:p>
        </w:tc>
        <w:tc>
          <w:tcPr>
            <w:tcW w:w="3240" w:type="dxa"/>
            <w:shd w:val="clear" w:color="auto" w:fill="auto"/>
          </w:tcPr>
          <w:p w:rsidR="00123948" w:rsidRPr="006A75A2" w:rsidRDefault="00123948" w:rsidP="006E6BA9">
            <w:pPr>
              <w:pStyle w:val="Tabletext"/>
              <w:spacing w:after="40"/>
              <w:ind w:left="0" w:firstLine="0"/>
            </w:pPr>
            <w:r w:rsidRPr="006A75A2">
              <w:t>Refer Chapter 4, Note 39 Table (l), page 192</w:t>
            </w:r>
          </w:p>
        </w:tc>
      </w:tr>
      <w:tr w:rsidR="00123948" w:rsidRPr="006A75A2" w:rsidTr="006E6BA9">
        <w:trPr>
          <w:cantSplit/>
        </w:trPr>
        <w:tc>
          <w:tcPr>
            <w:tcW w:w="2250" w:type="dxa"/>
            <w:shd w:val="clear" w:color="auto" w:fill="auto"/>
          </w:tcPr>
          <w:p w:rsidR="00123948" w:rsidRPr="006A75A2" w:rsidRDefault="00123948" w:rsidP="006E6BA9">
            <w:pPr>
              <w:pStyle w:val="Tabletext"/>
              <w:pageBreakBefore/>
              <w:ind w:left="187" w:hanging="187"/>
            </w:pPr>
          </w:p>
        </w:tc>
        <w:tc>
          <w:tcPr>
            <w:tcW w:w="4183" w:type="dxa"/>
            <w:shd w:val="clear" w:color="auto" w:fill="auto"/>
          </w:tcPr>
          <w:p w:rsidR="00123948" w:rsidRPr="006A75A2" w:rsidRDefault="00123948" w:rsidP="006E6BA9">
            <w:pPr>
              <w:pStyle w:val="Tabletext"/>
              <w:tabs>
                <w:tab w:val="left" w:pos="344"/>
              </w:tabs>
              <w:ind w:left="362" w:hanging="362"/>
            </w:pPr>
            <w:r w:rsidRPr="006A75A2">
              <w:t>(j)</w:t>
            </w:r>
            <w:r w:rsidRPr="006A75A2">
              <w:tab/>
              <w:t>must include details of;</w:t>
            </w:r>
          </w:p>
        </w:tc>
        <w:tc>
          <w:tcPr>
            <w:tcW w:w="3240" w:type="dxa"/>
            <w:shd w:val="clear" w:color="auto" w:fill="auto"/>
          </w:tcPr>
          <w:p w:rsidR="00123948" w:rsidRPr="006A75A2" w:rsidRDefault="00123948" w:rsidP="006E6BA9">
            <w:pPr>
              <w:pStyle w:val="Tabletext"/>
              <w:ind w:left="0" w:firstLine="0"/>
            </w:pP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
              <w:tabs>
                <w:tab w:val="left" w:pos="344"/>
              </w:tabs>
              <w:spacing w:after="40"/>
              <w:ind w:left="706" w:hanging="362"/>
            </w:pPr>
            <w:r w:rsidRPr="006A75A2">
              <w:t>(i)</w:t>
            </w:r>
            <w:r w:rsidRPr="006A75A2">
              <w:tab/>
              <w:t>payments made during the financial year in fulfilment of any guarantee by the Government under any Act; and</w:t>
            </w:r>
          </w:p>
        </w:tc>
        <w:tc>
          <w:tcPr>
            <w:tcW w:w="3240" w:type="dxa"/>
            <w:shd w:val="clear" w:color="auto" w:fill="auto"/>
          </w:tcPr>
          <w:p w:rsidR="00123948" w:rsidRPr="006A75A2" w:rsidRDefault="00123948" w:rsidP="006E6BA9">
            <w:pPr>
              <w:pStyle w:val="Tabletext"/>
              <w:spacing w:after="40"/>
              <w:ind w:left="0" w:firstLine="0"/>
            </w:pPr>
            <w:r w:rsidRPr="006A75A2">
              <w:t>Refer Chapter 4, Note 39, see (aa), page 207</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
              <w:tabs>
                <w:tab w:val="left" w:pos="344"/>
              </w:tabs>
              <w:spacing w:after="40"/>
              <w:ind w:left="706" w:hanging="362"/>
            </w:pPr>
            <w:r w:rsidRPr="006A75A2">
              <w:t>(ii)</w:t>
            </w:r>
            <w:r w:rsidRPr="006A75A2">
              <w:tab/>
              <w:t>money received or recovered by the Minister or Treasurer during the financial year in respect of any guarantee payments;</w:t>
            </w:r>
          </w:p>
        </w:tc>
        <w:tc>
          <w:tcPr>
            <w:tcW w:w="3240" w:type="dxa"/>
            <w:shd w:val="clear" w:color="auto" w:fill="auto"/>
          </w:tcPr>
          <w:p w:rsidR="00123948" w:rsidRPr="006A75A2" w:rsidRDefault="00123948" w:rsidP="006E6BA9">
            <w:pPr>
              <w:pStyle w:val="Tabletext"/>
              <w:spacing w:after="40"/>
              <w:ind w:left="0" w:firstLine="0"/>
            </w:pPr>
            <w:r w:rsidRPr="006A75A2">
              <w:t>Refer Chapter 4, Note 39, see (aa), page 207</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ind w:left="187" w:hanging="187"/>
            </w:pPr>
            <w:r w:rsidRPr="006A75A2">
              <w:br w:type="page"/>
            </w:r>
          </w:p>
        </w:tc>
        <w:tc>
          <w:tcPr>
            <w:tcW w:w="4183" w:type="dxa"/>
            <w:shd w:val="clear" w:color="auto" w:fill="auto"/>
          </w:tcPr>
          <w:p w:rsidR="00123948" w:rsidRPr="006A75A2" w:rsidRDefault="00123948" w:rsidP="006E6BA9">
            <w:pPr>
              <w:pStyle w:val="TabletextIndent1"/>
            </w:pPr>
            <w:r w:rsidRPr="006A75A2">
              <w:t>(k)</w:t>
            </w:r>
            <w:r w:rsidRPr="006A75A2">
              <w:tab/>
              <w:t>must include details, as at the end of the financial year, of;</w:t>
            </w:r>
          </w:p>
        </w:tc>
        <w:tc>
          <w:tcPr>
            <w:tcW w:w="3240" w:type="dxa"/>
            <w:shd w:val="clear" w:color="auto" w:fill="auto"/>
          </w:tcPr>
          <w:p w:rsidR="00123948" w:rsidRPr="006A75A2" w:rsidRDefault="00123948" w:rsidP="006E6BA9">
            <w:pPr>
              <w:pStyle w:val="Tabletext"/>
              <w:spacing w:after="40"/>
              <w:ind w:left="0" w:firstLine="0"/>
            </w:pP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
              <w:tabs>
                <w:tab w:val="left" w:pos="344"/>
              </w:tabs>
              <w:spacing w:after="40"/>
              <w:ind w:left="706" w:hanging="362"/>
            </w:pPr>
            <w:r w:rsidRPr="006A75A2">
              <w:t>(i)</w:t>
            </w:r>
            <w:r w:rsidRPr="006A75A2">
              <w:tab/>
              <w:t>the liabilities (including contingent liabilities under guarantees and indemnities or in respect of superannuation payments and all other contingent liabilities) and assets of the State; and</w:t>
            </w:r>
          </w:p>
        </w:tc>
        <w:tc>
          <w:tcPr>
            <w:tcW w:w="3240" w:type="dxa"/>
            <w:shd w:val="clear" w:color="auto" w:fill="auto"/>
          </w:tcPr>
          <w:p w:rsidR="00123948" w:rsidRPr="006A75A2" w:rsidRDefault="00123948" w:rsidP="006E6BA9">
            <w:pPr>
              <w:pStyle w:val="Tabletext"/>
              <w:spacing w:after="40"/>
              <w:ind w:left="0" w:firstLine="0"/>
            </w:pPr>
            <w:r w:rsidRPr="006A75A2">
              <w:t>Refer Chapter 4, Note 35 pages 171–176, Note 8 pages </w:t>
            </w:r>
            <w:r w:rsidRPr="006A75A2">
              <w:br/>
              <w:t>79–84 and consolidated balance sheet page 32</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
              <w:tabs>
                <w:tab w:val="left" w:pos="344"/>
              </w:tabs>
              <w:spacing w:after="40"/>
              <w:ind w:left="706" w:hanging="362"/>
            </w:pPr>
            <w:r w:rsidRPr="006A75A2">
              <w:t>(ii)</w:t>
            </w:r>
            <w:r w:rsidRPr="006A75A2">
              <w:tab/>
              <w:t>prescribed assets and prescribed liabilities of prescribed bodies;</w:t>
            </w:r>
          </w:p>
        </w:tc>
        <w:tc>
          <w:tcPr>
            <w:tcW w:w="3240" w:type="dxa"/>
            <w:shd w:val="clear" w:color="auto" w:fill="auto"/>
          </w:tcPr>
          <w:p w:rsidR="00123948" w:rsidRPr="006A75A2" w:rsidRDefault="00123948" w:rsidP="006E6BA9">
            <w:pPr>
              <w:pStyle w:val="Tabletext"/>
              <w:spacing w:after="40"/>
              <w:ind w:left="0" w:firstLine="0"/>
            </w:pPr>
            <w:r w:rsidRPr="006A75A2">
              <w:t>Refer Chapter 4, Note 2 pages </w:t>
            </w:r>
            <w:r w:rsidRPr="006A75A2">
              <w:br/>
              <w:t>66–75, Refer Chapter 5, Table 5.2 page 228</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ind w:left="187" w:hanging="187"/>
            </w:pPr>
          </w:p>
        </w:tc>
        <w:tc>
          <w:tcPr>
            <w:tcW w:w="4183" w:type="dxa"/>
            <w:shd w:val="clear" w:color="auto" w:fill="auto"/>
          </w:tcPr>
          <w:p w:rsidR="00123948" w:rsidRPr="006A75A2" w:rsidRDefault="00123948" w:rsidP="006E6BA9">
            <w:pPr>
              <w:pStyle w:val="TabletextIndent1"/>
            </w:pPr>
            <w:r w:rsidRPr="006A75A2">
              <w:t>(m) must be audited by the Auditor</w:t>
            </w:r>
            <w:r w:rsidRPr="006A75A2">
              <w:noBreakHyphen/>
              <w:t>General.</w:t>
            </w:r>
          </w:p>
        </w:tc>
        <w:tc>
          <w:tcPr>
            <w:tcW w:w="3240" w:type="dxa"/>
            <w:shd w:val="clear" w:color="auto" w:fill="auto"/>
          </w:tcPr>
          <w:p w:rsidR="00123948" w:rsidRPr="006A75A2" w:rsidRDefault="00123948" w:rsidP="006E6BA9">
            <w:pPr>
              <w:pStyle w:val="Tabletext"/>
              <w:spacing w:after="40"/>
              <w:ind w:left="0" w:firstLine="0"/>
            </w:pPr>
            <w:r w:rsidRPr="006A75A2">
              <w:t>Refer Chapter 4, Report of the Auditor</w:t>
            </w:r>
            <w:r w:rsidRPr="006A75A2">
              <w:noBreakHyphen/>
              <w:t>General, pages 26–28</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r w:rsidRPr="006A75A2">
              <w:t>Section 26(1)</w:t>
            </w:r>
          </w:p>
        </w:tc>
        <w:tc>
          <w:tcPr>
            <w:tcW w:w="4183" w:type="dxa"/>
            <w:shd w:val="clear" w:color="auto" w:fill="auto"/>
          </w:tcPr>
          <w:p w:rsidR="00123948" w:rsidRPr="006A75A2" w:rsidRDefault="00123948" w:rsidP="006E6BA9">
            <w:pPr>
              <w:pStyle w:val="Tabletext"/>
              <w:spacing w:after="40"/>
              <w:ind w:left="0" w:firstLine="0"/>
            </w:pPr>
            <w:r w:rsidRPr="006A75A2">
              <w:t xml:space="preserve">The Minister must prepare a </w:t>
            </w:r>
            <w:r w:rsidRPr="006A75A2">
              <w:rPr>
                <w:szCs w:val="24"/>
              </w:rPr>
              <w:t>quarterly</w:t>
            </w:r>
            <w:r w:rsidRPr="006A75A2">
              <w:t xml:space="preserve"> financial report for each quarter of each financial year.</w:t>
            </w:r>
          </w:p>
        </w:tc>
        <w:tc>
          <w:tcPr>
            <w:tcW w:w="3240" w:type="dxa"/>
            <w:shd w:val="clear" w:color="auto" w:fill="auto"/>
          </w:tcPr>
          <w:p w:rsidR="00123948" w:rsidRPr="006A75A2" w:rsidRDefault="00123948" w:rsidP="006E6BA9">
            <w:pPr>
              <w:pStyle w:val="Tabletext"/>
              <w:spacing w:after="40"/>
              <w:ind w:left="0" w:firstLine="0"/>
            </w:pPr>
            <w:r w:rsidRPr="006A75A2">
              <w:t xml:space="preserve">Refer Appendix A, pages </w:t>
            </w:r>
            <w:r w:rsidRPr="006A75A2">
              <w:br/>
              <w:t>237–240</w:t>
            </w:r>
          </w:p>
        </w:tc>
      </w:tr>
      <w:tr w:rsidR="00123948" w:rsidRPr="006A75A2" w:rsidTr="006E6BA9">
        <w:trPr>
          <w:cantSplit/>
        </w:trPr>
        <w:tc>
          <w:tcPr>
            <w:tcW w:w="2250" w:type="dxa"/>
            <w:shd w:val="clear" w:color="auto" w:fill="auto"/>
          </w:tcPr>
          <w:p w:rsidR="00123948" w:rsidRPr="006A75A2" w:rsidRDefault="00123948" w:rsidP="006E6BA9">
            <w:pPr>
              <w:pStyle w:val="Tabletext"/>
            </w:pPr>
            <w:r w:rsidRPr="006A75A2">
              <w:t>Section 26(2)</w:t>
            </w:r>
          </w:p>
        </w:tc>
        <w:tc>
          <w:tcPr>
            <w:tcW w:w="4183" w:type="dxa"/>
            <w:shd w:val="clear" w:color="auto" w:fill="auto"/>
          </w:tcPr>
          <w:p w:rsidR="00123948" w:rsidRPr="006A75A2" w:rsidRDefault="00123948" w:rsidP="006E6BA9">
            <w:pPr>
              <w:pStyle w:val="Tabletext"/>
              <w:ind w:left="0" w:firstLine="0"/>
            </w:pPr>
            <w:r w:rsidRPr="006A75A2">
              <w:t>A quarterly financial report comprises:</w:t>
            </w:r>
          </w:p>
        </w:tc>
        <w:tc>
          <w:tcPr>
            <w:tcW w:w="3240" w:type="dxa"/>
            <w:shd w:val="clear" w:color="auto" w:fill="auto"/>
          </w:tcPr>
          <w:p w:rsidR="00123948" w:rsidRPr="006A75A2" w:rsidRDefault="00123948" w:rsidP="006E6BA9">
            <w:pPr>
              <w:pStyle w:val="Tabletext"/>
              <w:ind w:left="0" w:firstLine="0"/>
            </w:pP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(a)</w:t>
            </w:r>
            <w:r w:rsidRPr="006A75A2">
              <w:tab/>
              <w:t>a statement of financial performance of the Victorian general government sector for the quarter;</w:t>
            </w:r>
          </w:p>
        </w:tc>
        <w:tc>
          <w:tcPr>
            <w:tcW w:w="3240" w:type="dxa"/>
            <w:shd w:val="clear" w:color="auto" w:fill="auto"/>
          </w:tcPr>
          <w:p w:rsidR="00123948" w:rsidRPr="006A75A2" w:rsidRDefault="00123948" w:rsidP="006E6BA9">
            <w:pPr>
              <w:pStyle w:val="Tabletext"/>
              <w:spacing w:after="40"/>
              <w:ind w:left="0" w:firstLine="0"/>
            </w:pPr>
            <w:r w:rsidRPr="006A75A2">
              <w:t>Refer Appendix A, pages</w:t>
            </w:r>
            <w:r w:rsidRPr="006A75A2">
              <w:br/>
              <w:t>237–2</w:t>
            </w:r>
            <w:r w:rsidR="007B63E3" w:rsidRPr="006A75A2">
              <w:t>40</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(b)</w:t>
            </w:r>
            <w:r w:rsidRPr="006A75A2">
              <w:tab/>
              <w:t>a statement of financial position of the Victorian general government sector at the end of the quarter;</w:t>
            </w:r>
          </w:p>
        </w:tc>
        <w:tc>
          <w:tcPr>
            <w:tcW w:w="3240" w:type="dxa"/>
            <w:shd w:val="clear" w:color="auto" w:fill="auto"/>
          </w:tcPr>
          <w:p w:rsidR="00123948" w:rsidRPr="006A75A2" w:rsidRDefault="007B63E3" w:rsidP="006E6BA9">
            <w:pPr>
              <w:pStyle w:val="Tabletext"/>
              <w:spacing w:after="40"/>
              <w:ind w:left="0" w:firstLine="0"/>
            </w:pPr>
            <w:r w:rsidRPr="006A75A2">
              <w:t>Refer Appendix A, page 239</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(c)</w:t>
            </w:r>
            <w:r w:rsidRPr="006A75A2">
              <w:tab/>
              <w:t>a statement of cash flows of the Victorian general government sector for the quarter; and</w:t>
            </w:r>
          </w:p>
        </w:tc>
        <w:tc>
          <w:tcPr>
            <w:tcW w:w="3240" w:type="dxa"/>
            <w:shd w:val="clear" w:color="auto" w:fill="auto"/>
          </w:tcPr>
          <w:p w:rsidR="00123948" w:rsidRPr="006A75A2" w:rsidRDefault="00123948" w:rsidP="006E6BA9">
            <w:pPr>
              <w:pStyle w:val="Tabletext"/>
              <w:spacing w:after="40"/>
              <w:ind w:left="0" w:firstLine="0"/>
            </w:pPr>
            <w:r w:rsidRPr="006A75A2">
              <w:t>Refer Appendix A, page 240</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p>
        </w:tc>
        <w:tc>
          <w:tcPr>
            <w:tcW w:w="4183" w:type="dxa"/>
            <w:shd w:val="clear" w:color="auto" w:fill="auto"/>
          </w:tcPr>
          <w:p w:rsidR="00123948" w:rsidRPr="006A75A2" w:rsidRDefault="00123948" w:rsidP="006E6BA9">
            <w:pPr>
              <w:pStyle w:val="TabletextIndent1"/>
            </w:pPr>
            <w:r w:rsidRPr="006A75A2">
              <w:t>(d)</w:t>
            </w:r>
            <w:r w:rsidRPr="006A75A2">
              <w:tab/>
              <w:t>a statement of the accounting policies on which the statements required by paragraphs (a), (b) and (c) are based.</w:t>
            </w:r>
          </w:p>
        </w:tc>
        <w:tc>
          <w:tcPr>
            <w:tcW w:w="3240" w:type="dxa"/>
            <w:shd w:val="clear" w:color="auto" w:fill="auto"/>
          </w:tcPr>
          <w:p w:rsidR="00123948" w:rsidRPr="006A75A2" w:rsidRDefault="00123948" w:rsidP="006E6BA9">
            <w:pPr>
              <w:pStyle w:val="Tabletext"/>
              <w:spacing w:after="40"/>
              <w:ind w:left="0" w:firstLine="0"/>
            </w:pPr>
            <w:r w:rsidRPr="006A75A2">
              <w:t xml:space="preserve">Refer Chapter 4, Note 1 pages </w:t>
            </w:r>
            <w:r w:rsidRPr="006A75A2">
              <w:br/>
              <w:t>37–65</w:t>
            </w:r>
          </w:p>
        </w:tc>
      </w:tr>
      <w:tr w:rsidR="00123948" w:rsidRPr="006A75A2" w:rsidTr="006E6BA9">
        <w:trPr>
          <w:cantSplit/>
        </w:trPr>
        <w:tc>
          <w:tcPr>
            <w:tcW w:w="2250" w:type="dxa"/>
            <w:shd w:val="clear" w:color="auto" w:fill="auto"/>
          </w:tcPr>
          <w:p w:rsidR="00123948" w:rsidRPr="006A75A2" w:rsidRDefault="00123948" w:rsidP="006E6BA9">
            <w:pPr>
              <w:pStyle w:val="Tabletext"/>
              <w:spacing w:after="40"/>
            </w:pPr>
            <w:r w:rsidRPr="006A75A2">
              <w:t>Section 26(2A)</w:t>
            </w:r>
          </w:p>
        </w:tc>
        <w:tc>
          <w:tcPr>
            <w:tcW w:w="4183" w:type="dxa"/>
            <w:shd w:val="clear" w:color="auto" w:fill="auto"/>
          </w:tcPr>
          <w:p w:rsidR="00123948" w:rsidRPr="006A75A2" w:rsidRDefault="00123948" w:rsidP="006E6BA9">
            <w:pPr>
              <w:pStyle w:val="Tabletext"/>
              <w:spacing w:after="40"/>
              <w:ind w:left="0" w:firstLine="0"/>
            </w:pPr>
            <w:r w:rsidRPr="006A75A2">
              <w:t>A quarterly financial report must be prepared in the manner and form determined by the Minister, having regard to appropriate financial reporting frameworks.</w:t>
            </w:r>
          </w:p>
        </w:tc>
        <w:tc>
          <w:tcPr>
            <w:tcW w:w="3240" w:type="dxa"/>
            <w:shd w:val="clear" w:color="auto" w:fill="auto"/>
          </w:tcPr>
          <w:p w:rsidR="00123948" w:rsidRPr="006A75A2" w:rsidRDefault="00123948" w:rsidP="006E6BA9">
            <w:pPr>
              <w:pStyle w:val="Tabletext"/>
              <w:spacing w:after="40"/>
              <w:ind w:left="0" w:firstLine="0"/>
            </w:pPr>
            <w:r w:rsidRPr="006A75A2">
              <w:t>Refer to Appendix A for agreed form, pages 237–240</w:t>
            </w:r>
          </w:p>
        </w:tc>
      </w:tr>
      <w:tr w:rsidR="00123948" w:rsidRPr="006A75A2" w:rsidTr="006E6BA9">
        <w:trPr>
          <w:cantSplit/>
        </w:trPr>
        <w:tc>
          <w:tcPr>
            <w:tcW w:w="2250" w:type="dxa"/>
            <w:tcBorders>
              <w:bottom w:val="single" w:sz="12" w:space="0" w:color="auto"/>
            </w:tcBorders>
            <w:shd w:val="clear" w:color="auto" w:fill="auto"/>
          </w:tcPr>
          <w:p w:rsidR="00123948" w:rsidRPr="006A75A2" w:rsidRDefault="00123948" w:rsidP="006E6BA9">
            <w:pPr>
              <w:pStyle w:val="Tabletext"/>
              <w:spacing w:after="40"/>
              <w:ind w:left="187" w:hanging="187"/>
            </w:pPr>
            <w:r w:rsidRPr="006A75A2">
              <w:t>Section 26(3A)</w:t>
            </w:r>
          </w:p>
        </w:tc>
        <w:tc>
          <w:tcPr>
            <w:tcW w:w="4183" w:type="dxa"/>
            <w:tcBorders>
              <w:bottom w:val="single" w:sz="12" w:space="0" w:color="auto"/>
            </w:tcBorders>
            <w:shd w:val="clear" w:color="auto" w:fill="auto"/>
          </w:tcPr>
          <w:p w:rsidR="00123948" w:rsidRPr="006A75A2" w:rsidRDefault="00123948" w:rsidP="006E6BA9">
            <w:pPr>
              <w:pStyle w:val="Tabletext"/>
              <w:spacing w:after="40"/>
              <w:ind w:left="0" w:firstLine="0"/>
            </w:pPr>
            <w:r w:rsidRPr="006A75A2">
              <w:t>The quarterly financial report for the quarter ending on 30 June in a financial year must include, in addition to the statements referred to in sub</w:t>
            </w:r>
            <w:r w:rsidRPr="006A75A2">
              <w:noBreakHyphen/>
              <w:t>section (2)(a) to (d) for that quarter, those statements for the period of 12 months ending on that 30 June.</w:t>
            </w:r>
          </w:p>
        </w:tc>
        <w:tc>
          <w:tcPr>
            <w:tcW w:w="3240" w:type="dxa"/>
            <w:tcBorders>
              <w:bottom w:val="single" w:sz="12" w:space="0" w:color="auto"/>
            </w:tcBorders>
            <w:shd w:val="clear" w:color="auto" w:fill="auto"/>
          </w:tcPr>
          <w:p w:rsidR="00123948" w:rsidRPr="006A75A2" w:rsidRDefault="00123948" w:rsidP="006E6BA9">
            <w:pPr>
              <w:pStyle w:val="Tabletext"/>
              <w:spacing w:after="40"/>
              <w:ind w:left="0" w:firstLine="0"/>
            </w:pPr>
            <w:r w:rsidRPr="006A75A2">
              <w:t>Refer to Chapter 4, consolidated comprehensive operating statement pages 31, consolidated balance sheet page 32, consolidated cash flow statement pages 33 and selected notes</w:t>
            </w:r>
          </w:p>
        </w:tc>
      </w:tr>
    </w:tbl>
    <w:p w:rsidR="004E6C32" w:rsidRPr="006A75A2" w:rsidRDefault="004E6C32" w:rsidP="004B5CB1"/>
    <w:p w:rsidR="004E6C32" w:rsidRPr="006A75A2" w:rsidRDefault="004E6C32" w:rsidP="007A44BF">
      <w:pPr>
        <w:sectPr w:rsidR="004E6C32" w:rsidRPr="006A75A2" w:rsidSect="00160ABB">
          <w:footerReference w:type="even" r:id="rId31"/>
          <w:footerReference w:type="default" r:id="rId32"/>
          <w:type w:val="oddPage"/>
          <w:pgSz w:w="11906" w:h="16838" w:code="9"/>
          <w:pgMar w:top="1151" w:right="1151" w:bottom="1151" w:left="1151" w:header="720" w:footer="720" w:gutter="0"/>
          <w:cols w:space="708"/>
          <w:docGrid w:linePitch="360"/>
        </w:sectPr>
      </w:pPr>
    </w:p>
    <w:p w:rsidR="004E6C32" w:rsidRPr="006A75A2" w:rsidRDefault="004E6C32" w:rsidP="004B5CB1">
      <w:pPr>
        <w:pStyle w:val="ChapterHeading"/>
      </w:pPr>
      <w:bookmarkStart w:id="83" w:name="_Toc400040247"/>
      <w:r w:rsidRPr="006A75A2">
        <w:lastRenderedPageBreak/>
        <w:t>Appendix C – Scope and style conventions</w:t>
      </w:r>
      <w:bookmarkEnd w:id="83"/>
    </w:p>
    <w:p w:rsidR="004E6C32" w:rsidRPr="006A75A2" w:rsidRDefault="004E6C32" w:rsidP="004B5CB1">
      <w:pPr>
        <w:pStyle w:val="Heading2"/>
        <w:rPr>
          <w:kern w:val="0"/>
        </w:rPr>
      </w:pPr>
      <w:r w:rsidRPr="006A75A2">
        <w:rPr>
          <w:kern w:val="0"/>
        </w:rPr>
        <w:t>Scope of the Financial Report for the State of Victoria</w:t>
      </w:r>
    </w:p>
    <w:p w:rsidR="004E6C32" w:rsidRPr="006A75A2" w:rsidRDefault="004E6C32" w:rsidP="004B5CB1">
      <w:pPr>
        <w:pStyle w:val="BulletText"/>
      </w:pPr>
      <w:r w:rsidRPr="006A75A2">
        <w:t>The state financial outcome reflects the consolidation of all entities that are controlled by the Victorian State Government. Entities included in the state outcome include all government departments and other organisations which are legally constituted bodies that are controlled by the State.</w:t>
      </w:r>
    </w:p>
    <w:p w:rsidR="004E6C32" w:rsidRPr="006A75A2" w:rsidRDefault="004E6C32" w:rsidP="004B5CB1">
      <w:pPr>
        <w:pStyle w:val="BulletText"/>
      </w:pPr>
      <w:r w:rsidRPr="006A75A2">
        <w:t xml:space="preserve">The reporting structure for the entities reported in the </w:t>
      </w:r>
      <w:r w:rsidRPr="006A75A2">
        <w:rPr>
          <w:i/>
        </w:rPr>
        <w:t>Annual Financial Report for the State of Victoria</w:t>
      </w:r>
      <w:r w:rsidRPr="006A75A2">
        <w:t xml:space="preserve"> is based on that used in the System of National Accounts (SNA), and classifies each entity into either the general government sector, the public non</w:t>
      </w:r>
      <w:r w:rsidRPr="006A75A2">
        <w:noBreakHyphen/>
        <w:t>financial corporation sector or the public financial corporation sector. The chart below provides an overview of this reporting structure as applied in Victoria.</w:t>
      </w:r>
    </w:p>
    <w:p w:rsidR="004E6C32" w:rsidRPr="006A75A2" w:rsidRDefault="004E6C32" w:rsidP="004B5CB1">
      <w:pPr>
        <w:pStyle w:val="Chartheading"/>
      </w:pPr>
      <w:r w:rsidRPr="006A75A2">
        <w:t>Chart C.1:</w:t>
      </w:r>
      <w:r w:rsidRPr="006A75A2">
        <w:tab/>
        <w:t>Entity framework for the State of Victoria</w:t>
      </w:r>
    </w:p>
    <w:p w:rsidR="004E6C32" w:rsidRPr="006A75A2" w:rsidRDefault="004E6C32" w:rsidP="004B5CB1">
      <w:r w:rsidRPr="006A75A2">
        <w:rPr>
          <w:noProof/>
          <w:lang w:eastAsia="en-AU"/>
        </w:rPr>
        <w:drawing>
          <wp:inline distT="0" distB="0" distL="0" distR="0" wp14:anchorId="5A359ABD" wp14:editId="557E2671">
            <wp:extent cx="5557520" cy="210185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7520" cy="2101850"/>
                    </a:xfrm>
                    <a:prstGeom prst="rect">
                      <a:avLst/>
                    </a:prstGeom>
                    <a:noFill/>
                    <a:ln>
                      <a:noFill/>
                    </a:ln>
                  </pic:spPr>
                </pic:pic>
              </a:graphicData>
            </a:graphic>
          </wp:inline>
        </w:drawing>
      </w:r>
    </w:p>
    <w:p w:rsidR="004E6C32" w:rsidRPr="006A75A2" w:rsidRDefault="004E6C32" w:rsidP="004B5CB1">
      <w:pPr>
        <w:pStyle w:val="Source"/>
      </w:pPr>
      <w:r w:rsidRPr="006A75A2">
        <w:t>Source: Department of Treasury and Finance</w:t>
      </w:r>
    </w:p>
    <w:p w:rsidR="004E6C32" w:rsidRPr="006A75A2" w:rsidRDefault="004E6C32" w:rsidP="004B5CB1">
      <w:pPr>
        <w:pStyle w:val="BulletText"/>
      </w:pPr>
      <w:r w:rsidRPr="006A75A2">
        <w:t>The general government sector comprises all government departments, offices and other government bodies engaged in providing public services free of charge or at prices significantly below the cost of production. Some of these entities may also earn revenue from commercial activities, however such revenue represents less than half of their total revenue.</w:t>
      </w:r>
    </w:p>
    <w:p w:rsidR="004E6C32" w:rsidRPr="006A75A2" w:rsidRDefault="004E6C32" w:rsidP="004B5CB1">
      <w:pPr>
        <w:pStyle w:val="BulletText"/>
      </w:pPr>
      <w:r w:rsidRPr="006A75A2">
        <w:t>The public non</w:t>
      </w:r>
      <w:r w:rsidRPr="006A75A2">
        <w:noBreakHyphen/>
        <w:t>financial corporation sector provides goods and services (of a non</w:t>
      </w:r>
      <w:r w:rsidRPr="006A75A2">
        <w:noBreakHyphen/>
        <w:t>financial nature) within a competitive market, such as water authorities.</w:t>
      </w:r>
    </w:p>
    <w:p w:rsidR="004E6C32" w:rsidRPr="006A75A2" w:rsidRDefault="004E6C32" w:rsidP="004B5CB1">
      <w:pPr>
        <w:pStyle w:val="BulletText"/>
      </w:pPr>
      <w:r w:rsidRPr="006A75A2">
        <w:t xml:space="preserve">The public financial corporation sector comprises entities primarily engaged in the provision of financial services, including the Treasury Corporation of Victoria and the Transport Accident Commission. </w:t>
      </w:r>
    </w:p>
    <w:p w:rsidR="004E6C32" w:rsidRPr="006A75A2" w:rsidRDefault="004E6C32">
      <w:pPr>
        <w:spacing w:after="0"/>
        <w:rPr>
          <w:rFonts w:ascii="Calibri" w:hAnsi="Calibri"/>
          <w:b/>
          <w:sz w:val="28"/>
          <w:szCs w:val="22"/>
        </w:rPr>
      </w:pPr>
      <w:r w:rsidRPr="006A75A2">
        <w:br w:type="page"/>
      </w:r>
    </w:p>
    <w:p w:rsidR="004E6C32" w:rsidRPr="006A75A2" w:rsidRDefault="004E6C32" w:rsidP="00264BDE">
      <w:pPr>
        <w:pStyle w:val="Heading2"/>
        <w:rPr>
          <w:caps/>
          <w:kern w:val="0"/>
        </w:rPr>
      </w:pPr>
      <w:r w:rsidRPr="006A75A2">
        <w:rPr>
          <w:kern w:val="0"/>
        </w:rPr>
        <w:lastRenderedPageBreak/>
        <w:t>Style conventions</w:t>
      </w:r>
    </w:p>
    <w:p w:rsidR="004E6C32" w:rsidRPr="006A75A2" w:rsidRDefault="004E6C32" w:rsidP="004B5CB1">
      <w:r w:rsidRPr="006A75A2">
        <w:t>Figures in the tables and in the text have been rounded. Discrepancies in tables between totals and sums of components reflect rounding. Percentage variations in all tables are based on the underlying unrounded amounts.</w:t>
      </w:r>
    </w:p>
    <w:p w:rsidR="004E6C32" w:rsidRPr="006A75A2" w:rsidRDefault="004E6C32" w:rsidP="004B5CB1">
      <w:r w:rsidRPr="006A75A2">
        <w:t>The notation used in the tables is as follows:</w:t>
      </w:r>
    </w:p>
    <w:p w:rsidR="004E6C32" w:rsidRPr="006A75A2" w:rsidRDefault="004E6C32" w:rsidP="004B5CB1">
      <w:pPr>
        <w:tabs>
          <w:tab w:val="left" w:pos="2694"/>
        </w:tabs>
        <w:ind w:left="851"/>
      </w:pPr>
      <w:r w:rsidRPr="006A75A2">
        <w:t>n.a.</w:t>
      </w:r>
      <w:r w:rsidRPr="006A75A2">
        <w:tab/>
        <w:t>not available or not applicable</w:t>
      </w:r>
    </w:p>
    <w:p w:rsidR="004E6C32" w:rsidRPr="006A75A2" w:rsidRDefault="004E6C32" w:rsidP="004B5CB1">
      <w:pPr>
        <w:tabs>
          <w:tab w:val="left" w:pos="2694"/>
        </w:tabs>
        <w:ind w:left="851"/>
      </w:pPr>
      <w:r w:rsidRPr="006A75A2">
        <w:t>1 billion</w:t>
      </w:r>
      <w:r w:rsidRPr="006A75A2">
        <w:tab/>
        <w:t>1 000 million</w:t>
      </w:r>
    </w:p>
    <w:p w:rsidR="004E6C32" w:rsidRPr="006A75A2" w:rsidRDefault="004E6C32" w:rsidP="004B5CB1">
      <w:pPr>
        <w:tabs>
          <w:tab w:val="left" w:pos="2694"/>
        </w:tabs>
        <w:ind w:left="851"/>
      </w:pPr>
      <w:r w:rsidRPr="006A75A2">
        <w:t>1 basis point</w:t>
      </w:r>
      <w:r w:rsidRPr="006A75A2">
        <w:tab/>
        <w:t>0.01 per cent</w:t>
      </w:r>
    </w:p>
    <w:p w:rsidR="004E6C32" w:rsidRPr="006A75A2" w:rsidRDefault="004E6C32" w:rsidP="004B5CB1">
      <w:pPr>
        <w:tabs>
          <w:tab w:val="left" w:pos="2694"/>
        </w:tabs>
        <w:ind w:left="851"/>
      </w:pPr>
      <w:r w:rsidRPr="006A75A2">
        <w:t>..</w:t>
      </w:r>
      <w:r w:rsidRPr="006A75A2">
        <w:tab/>
        <w:t>zero, or rounded to zero</w:t>
      </w:r>
    </w:p>
    <w:p w:rsidR="004E6C32" w:rsidRPr="006A75A2" w:rsidRDefault="004E6C32" w:rsidP="004B5CB1">
      <w:pPr>
        <w:tabs>
          <w:tab w:val="left" w:pos="2694"/>
        </w:tabs>
        <w:ind w:left="851"/>
      </w:pPr>
      <w:r w:rsidRPr="006A75A2">
        <w:t>(x xxx.x)</w:t>
      </w:r>
      <w:r w:rsidRPr="006A75A2">
        <w:tab/>
        <w:t>negative amount</w:t>
      </w:r>
    </w:p>
    <w:p w:rsidR="004E6C32" w:rsidRPr="006A75A2" w:rsidRDefault="004E6C32" w:rsidP="004B5CB1">
      <w:pPr>
        <w:tabs>
          <w:tab w:val="left" w:pos="2694"/>
        </w:tabs>
        <w:ind w:left="851"/>
      </w:pPr>
      <w:r w:rsidRPr="006A75A2">
        <w:t>x xxx.0</w:t>
      </w:r>
      <w:r w:rsidRPr="006A75A2">
        <w:tab/>
        <w:t>rounded amount</w:t>
      </w:r>
    </w:p>
    <w:p w:rsidR="004E6C32" w:rsidRPr="006A75A2" w:rsidRDefault="004E6C32" w:rsidP="004B5CB1">
      <w:pPr>
        <w:tabs>
          <w:tab w:val="left" w:pos="2694"/>
        </w:tabs>
        <w:ind w:left="851"/>
      </w:pPr>
      <w:r w:rsidRPr="006A75A2">
        <w:t>201x</w:t>
      </w:r>
      <w:r w:rsidRPr="006A75A2">
        <w:tab/>
        <w:t>year period (Chapter 4)</w:t>
      </w:r>
    </w:p>
    <w:p w:rsidR="004E6C32" w:rsidRPr="006A75A2" w:rsidRDefault="004E6C32" w:rsidP="004B5CB1">
      <w:pPr>
        <w:tabs>
          <w:tab w:val="left" w:pos="2694"/>
        </w:tabs>
        <w:ind w:left="851"/>
      </w:pPr>
      <w:r w:rsidRPr="006A75A2">
        <w:t>201x</w:t>
      </w:r>
      <w:r w:rsidRPr="006A75A2">
        <w:noBreakHyphen/>
        <w:t>1x</w:t>
      </w:r>
      <w:r w:rsidRPr="006A75A2">
        <w:tab/>
        <w:t>year period (other than in Chapter 4)</w:t>
      </w:r>
    </w:p>
    <w:p w:rsidR="004E6C32" w:rsidRPr="006A75A2" w:rsidRDefault="004E6C32" w:rsidP="004B5CB1"/>
    <w:p w:rsidR="004E6C32" w:rsidRPr="006A75A2" w:rsidRDefault="004E6C32" w:rsidP="004B5CB1">
      <w:r w:rsidRPr="006A75A2">
        <w:rPr>
          <w:i/>
        </w:rPr>
        <w:t xml:space="preserve">The Annual Financial Report </w:t>
      </w:r>
      <w:r w:rsidRPr="006A75A2">
        <w:t xml:space="preserve">is based on the style set in the example of a general purpose financial report for a government in illustrative example A of AASB 1049 </w:t>
      </w:r>
      <w:r w:rsidRPr="006A75A2">
        <w:rPr>
          <w:i/>
        </w:rPr>
        <w:t>Whole of Government and General Government Sector Financial Reporting</w:t>
      </w:r>
      <w:r w:rsidRPr="006A75A2">
        <w:t>. The styles used in other chapters of this document are generally consistent with those used in other publications relating to the annual budget papers.</w:t>
      </w:r>
    </w:p>
    <w:p w:rsidR="004E6C32" w:rsidRPr="006A75A2" w:rsidRDefault="004E6C32" w:rsidP="004B5CB1"/>
    <w:p w:rsidR="004E6C32" w:rsidRPr="006A75A2" w:rsidRDefault="004E6C32" w:rsidP="00C723F1"/>
    <w:sectPr w:rsidR="004E6C32" w:rsidRPr="006A75A2" w:rsidSect="00FA2033">
      <w:footerReference w:type="even" r:id="rId34"/>
      <w:footerReference w:type="default" r:id="rId35"/>
      <w:type w:val="oddPage"/>
      <w:pgSz w:w="11906" w:h="16838" w:code="9"/>
      <w:pgMar w:top="1152" w:right="1152" w:bottom="1152" w:left="1152"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C34" w:rsidRDefault="002C0C34" w:rsidP="004E6C32">
      <w:pPr>
        <w:spacing w:after="0"/>
      </w:pPr>
      <w:r>
        <w:separator/>
      </w:r>
    </w:p>
  </w:endnote>
  <w:endnote w:type="continuationSeparator" w:id="0">
    <w:p w:rsidR="002C0C34" w:rsidRDefault="002C0C34" w:rsidP="004E6C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Pr="006A7948" w:rsidRDefault="006A7948" w:rsidP="006A7948">
    <w:pPr>
      <w:pStyle w:val="Footer"/>
      <w:pBdr>
        <w:top w:val="single" w:sz="6" w:space="1" w:color="000000"/>
      </w:pBd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t>Chapter 1</w:t>
    </w:r>
    <w:r>
      <w:tab/>
      <w:t>2013</w:t>
    </w:r>
    <w:r>
      <w:noBreakHyphen/>
      <w:t>14 Financial Report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Pr="00675356" w:rsidRDefault="002C0C34" w:rsidP="004B5CB1">
    <w:pPr>
      <w:pStyle w:val="Footer"/>
      <w:tabs>
        <w:tab w:val="clear" w:pos="7085"/>
        <w:tab w:val="center" w:pos="5940"/>
        <w:tab w:val="right" w:pos="9630"/>
      </w:tabs>
      <w:spacing w:after="0"/>
      <w:rPr>
        <w:rStyle w:val="PageNumber"/>
      </w:rPr>
    </w:pPr>
    <w:r>
      <w:t>2013</w:t>
    </w:r>
    <w:r>
      <w:noBreakHyphen/>
      <w:t>14 Financial Report</w:t>
    </w:r>
    <w:r>
      <w:tab/>
      <w:t>Chapter 4</w:t>
    </w:r>
    <w:r>
      <w:tab/>
    </w: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171</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Default="002C0C34"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234</w:t>
    </w:r>
    <w:r>
      <w:rPr>
        <w:rStyle w:val="PageNumber"/>
      </w:rPr>
      <w:fldChar w:fldCharType="end"/>
    </w:r>
    <w:r>
      <w:tab/>
      <w:t>Chapter 5</w:t>
    </w:r>
    <w:r>
      <w:tab/>
      <w:t>2013</w:t>
    </w:r>
    <w:r>
      <w:noBreakHyphen/>
      <w:t>14 Financial Report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Pr="00675356" w:rsidRDefault="002C0C34" w:rsidP="004B5CB1">
    <w:pPr>
      <w:pStyle w:val="Footer"/>
      <w:tabs>
        <w:tab w:val="clear" w:pos="7085"/>
        <w:tab w:val="center" w:pos="5940"/>
        <w:tab w:val="right" w:pos="9630"/>
      </w:tabs>
      <w:spacing w:after="0"/>
      <w:rPr>
        <w:rStyle w:val="PageNumber"/>
      </w:rPr>
    </w:pPr>
    <w:r>
      <w:t>2013</w:t>
    </w:r>
    <w:r>
      <w:noBreakHyphen/>
      <w:t>14 Financial Report</w:t>
    </w:r>
    <w:r>
      <w:tab/>
      <w:t>Chapter 5</w:t>
    </w:r>
    <w:r>
      <w:tab/>
    </w: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235</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Default="002C0C34"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240</w:t>
    </w:r>
    <w:r>
      <w:rPr>
        <w:rStyle w:val="PageNumber"/>
      </w:rPr>
      <w:fldChar w:fldCharType="end"/>
    </w:r>
    <w:r>
      <w:tab/>
      <w:t>Appendix A</w:t>
    </w:r>
    <w:r>
      <w:tab/>
      <w:t>2013</w:t>
    </w:r>
    <w:r>
      <w:noBreakHyphen/>
      <w:t>14 Financial Report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Pr="00675356" w:rsidRDefault="002C0C34" w:rsidP="004B5CB1">
    <w:pPr>
      <w:pStyle w:val="Footer"/>
      <w:tabs>
        <w:tab w:val="clear" w:pos="7085"/>
        <w:tab w:val="center" w:pos="5940"/>
        <w:tab w:val="right" w:pos="9630"/>
      </w:tabs>
      <w:spacing w:after="0"/>
      <w:rPr>
        <w:rStyle w:val="PageNumber"/>
      </w:rPr>
    </w:pPr>
    <w:r>
      <w:t>2013</w:t>
    </w:r>
    <w:r>
      <w:noBreakHyphen/>
      <w:t>14 Financial Report</w:t>
    </w:r>
    <w:r>
      <w:tab/>
      <w:t>Appendix A</w:t>
    </w:r>
    <w:r>
      <w:tab/>
    </w: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239</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Default="002C0C34"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242</w:t>
    </w:r>
    <w:r>
      <w:rPr>
        <w:rStyle w:val="PageNumber"/>
      </w:rPr>
      <w:fldChar w:fldCharType="end"/>
    </w:r>
    <w:r>
      <w:tab/>
      <w:t>Appendix B</w:t>
    </w:r>
    <w:r>
      <w:tab/>
      <w:t>2013</w:t>
    </w:r>
    <w:r>
      <w:noBreakHyphen/>
      <w:t>14 Financial Report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Pr="00675356" w:rsidRDefault="002C0C34" w:rsidP="004B5CB1">
    <w:pPr>
      <w:pStyle w:val="Footer"/>
      <w:tabs>
        <w:tab w:val="clear" w:pos="7085"/>
        <w:tab w:val="center" w:pos="5940"/>
        <w:tab w:val="right" w:pos="9630"/>
      </w:tabs>
      <w:spacing w:after="0"/>
      <w:rPr>
        <w:rStyle w:val="PageNumber"/>
      </w:rPr>
    </w:pPr>
    <w:r>
      <w:t>2013</w:t>
    </w:r>
    <w:r>
      <w:noBreakHyphen/>
      <w:t>14 Financial Report</w:t>
    </w:r>
    <w:r>
      <w:tab/>
      <w:t>Appendix B</w:t>
    </w:r>
    <w:r>
      <w:tab/>
    </w: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243</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Default="002C0C34"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246</w:t>
    </w:r>
    <w:r>
      <w:rPr>
        <w:rStyle w:val="PageNumber"/>
      </w:rPr>
      <w:fldChar w:fldCharType="end"/>
    </w:r>
    <w:r>
      <w:tab/>
      <w:t>Appendix C</w:t>
    </w:r>
    <w:r>
      <w:tab/>
      <w:t>2013</w:t>
    </w:r>
    <w:r>
      <w:noBreakHyphen/>
      <w:t>14 Financial Report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Pr="00675356" w:rsidRDefault="002C0C34" w:rsidP="004B5CB1">
    <w:pPr>
      <w:pStyle w:val="Footer"/>
      <w:tabs>
        <w:tab w:val="clear" w:pos="7085"/>
        <w:tab w:val="center" w:pos="5940"/>
        <w:tab w:val="right" w:pos="9630"/>
      </w:tabs>
      <w:spacing w:after="0"/>
      <w:rPr>
        <w:rStyle w:val="PageNumber"/>
      </w:rPr>
    </w:pPr>
    <w:r>
      <w:t>2013</w:t>
    </w:r>
    <w:r>
      <w:noBreakHyphen/>
      <w:t>14 Financial Report</w:t>
    </w:r>
    <w:r>
      <w:tab/>
      <w:t>Appendix C</w:t>
    </w:r>
    <w:r>
      <w:tab/>
    </w: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245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Default="002C0C34" w:rsidP="00160ABB">
    <w:pPr>
      <w:pStyle w:val="Footer"/>
      <w:pBdr>
        <w:top w:val="none" w:sz="0" w:space="0" w:color="auto"/>
      </w:pBdr>
      <w:tabs>
        <w:tab w:val="clear" w:pos="7085"/>
        <w:tab w:val="center" w:pos="5940"/>
        <w:tab w:val="right" w:pos="9630"/>
      </w:tabs>
      <w:spacing w:after="0"/>
      <w:rPr>
        <w:rStyle w:val="PageNumber"/>
      </w:rPr>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Default="002C0C34" w:rsidP="005256C6">
    <w:pPr>
      <w:pStyle w:val="Footer"/>
      <w:pBdr>
        <w:top w:val="single" w:sz="6" w:space="1" w:color="000000"/>
      </w:pBd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w:t>
    </w:r>
    <w:r>
      <w:rPr>
        <w:rStyle w:val="PageNumber"/>
      </w:rPr>
      <w:fldChar w:fldCharType="end"/>
    </w:r>
    <w:r>
      <w:tab/>
      <w:t>Chapter 1</w:t>
    </w:r>
    <w:r>
      <w:tab/>
      <w:t>2013</w:t>
    </w:r>
    <w:r>
      <w:noBreakHyphen/>
      <w:t>14 Financial Report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Pr="00675356" w:rsidRDefault="002C0C34" w:rsidP="004B5CB1">
    <w:pPr>
      <w:pStyle w:val="Footer"/>
      <w:tabs>
        <w:tab w:val="clear" w:pos="7085"/>
        <w:tab w:val="center" w:pos="5940"/>
        <w:tab w:val="right" w:pos="9630"/>
      </w:tabs>
      <w:spacing w:after="0"/>
      <w:rPr>
        <w:rStyle w:val="PageNumber"/>
      </w:rPr>
    </w:pPr>
    <w:r>
      <w:t>2013</w:t>
    </w:r>
    <w:r>
      <w:noBreakHyphen/>
      <w:t>14 Financial Report</w:t>
    </w:r>
    <w:r>
      <w:tab/>
      <w:t>Chapter 1</w:t>
    </w:r>
    <w:r>
      <w:tab/>
    </w: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3</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Default="002C0C34"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14</w:t>
    </w:r>
    <w:r>
      <w:rPr>
        <w:rStyle w:val="PageNumber"/>
      </w:rPr>
      <w:fldChar w:fldCharType="end"/>
    </w:r>
    <w:r>
      <w:tab/>
      <w:t>Chapter 2</w:t>
    </w:r>
    <w:r>
      <w:tab/>
      <w:t>2013</w:t>
    </w:r>
    <w:r>
      <w:noBreakHyphen/>
      <w:t>14 Financial Report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Pr="00675356" w:rsidRDefault="002C0C34" w:rsidP="004B5CB1">
    <w:pPr>
      <w:pStyle w:val="Footer"/>
      <w:tabs>
        <w:tab w:val="clear" w:pos="7085"/>
        <w:tab w:val="center" w:pos="5940"/>
        <w:tab w:val="right" w:pos="9630"/>
      </w:tabs>
      <w:spacing w:after="0"/>
      <w:rPr>
        <w:rStyle w:val="PageNumber"/>
      </w:rPr>
    </w:pPr>
    <w:r>
      <w:t>2013</w:t>
    </w:r>
    <w:r>
      <w:noBreakHyphen/>
      <w:t>14 Financial Report</w:t>
    </w:r>
    <w:r>
      <w:tab/>
      <w:t>Chapter 2</w:t>
    </w:r>
    <w:r>
      <w:tab/>
    </w: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15</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Default="002C0C34"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24</w:t>
    </w:r>
    <w:r>
      <w:rPr>
        <w:rStyle w:val="PageNumber"/>
      </w:rPr>
      <w:fldChar w:fldCharType="end"/>
    </w:r>
    <w:r>
      <w:tab/>
      <w:t>Chapter 3</w:t>
    </w:r>
    <w:r>
      <w:tab/>
      <w:t>2013</w:t>
    </w:r>
    <w:r>
      <w:noBreakHyphen/>
      <w:t>14 Financial Report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Pr="00675356" w:rsidRDefault="002C0C34" w:rsidP="004B5CB1">
    <w:pPr>
      <w:pStyle w:val="Footer"/>
      <w:tabs>
        <w:tab w:val="clear" w:pos="7085"/>
        <w:tab w:val="center" w:pos="5940"/>
        <w:tab w:val="right" w:pos="9630"/>
      </w:tabs>
      <w:spacing w:after="0"/>
      <w:rPr>
        <w:rStyle w:val="PageNumber"/>
      </w:rPr>
    </w:pPr>
    <w:r>
      <w:t>2013</w:t>
    </w:r>
    <w:r>
      <w:noBreakHyphen/>
      <w:t>14 Financial Report</w:t>
    </w:r>
    <w:r>
      <w:tab/>
      <w:t>Chapter 3</w:t>
    </w:r>
    <w:r>
      <w:tab/>
    </w: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23</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C34" w:rsidRDefault="002C0C34" w:rsidP="00675356">
    <w:pPr>
      <w:pStyle w:val="Footer"/>
      <w:tabs>
        <w:tab w:val="clear" w:pos="7085"/>
        <w:tab w:val="center" w:pos="3690"/>
        <w:tab w:val="right" w:pos="9630"/>
      </w:tabs>
      <w:spacing w:after="0"/>
    </w:pPr>
    <w:r>
      <w:rPr>
        <w:rStyle w:val="PageNumber"/>
      </w:rPr>
      <w:fldChar w:fldCharType="begin"/>
    </w:r>
    <w:r>
      <w:rPr>
        <w:rStyle w:val="PageNumber"/>
      </w:rPr>
      <w:instrText xml:space="preserve"> PAGE </w:instrText>
    </w:r>
    <w:r>
      <w:rPr>
        <w:rStyle w:val="PageNumber"/>
      </w:rPr>
      <w:fldChar w:fldCharType="separate"/>
    </w:r>
    <w:r w:rsidR="00E25333">
      <w:rPr>
        <w:rStyle w:val="PageNumber"/>
        <w:noProof/>
      </w:rPr>
      <w:t>172</w:t>
    </w:r>
    <w:r>
      <w:rPr>
        <w:rStyle w:val="PageNumber"/>
      </w:rPr>
      <w:fldChar w:fldCharType="end"/>
    </w:r>
    <w:r>
      <w:tab/>
      <w:t>Chapter 4</w:t>
    </w:r>
    <w:r>
      <w:tab/>
      <w:t>2013</w:t>
    </w:r>
    <w:r>
      <w:noBreakHyphen/>
      <w:t>14 Financial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C34" w:rsidRDefault="002C0C34" w:rsidP="004E6C32">
      <w:pPr>
        <w:spacing w:after="0"/>
      </w:pPr>
      <w:r>
        <w:separator/>
      </w:r>
    </w:p>
  </w:footnote>
  <w:footnote w:type="continuationSeparator" w:id="0">
    <w:p w:rsidR="002C0C34" w:rsidRDefault="002C0C34" w:rsidP="004E6C32">
      <w:pPr>
        <w:spacing w:after="0"/>
      </w:pPr>
      <w:r>
        <w:continuationSeparator/>
      </w:r>
    </w:p>
  </w:footnote>
  <w:footnote w:id="1">
    <w:p w:rsidR="002C0C34" w:rsidRDefault="002C0C34">
      <w:pPr>
        <w:pStyle w:val="FootnoteText"/>
      </w:pPr>
      <w:r>
        <w:rPr>
          <w:rStyle w:val="FootnoteReference"/>
        </w:rPr>
        <w:footnoteRef/>
      </w:r>
      <w:r>
        <w:t xml:space="preserve"> Ratios to GSP for 2013</w:t>
      </w:r>
      <w:r>
        <w:noBreakHyphen/>
        <w:t xml:space="preserve">14 are calculated using an estimate of nominal GSP prepared for the </w:t>
      </w:r>
      <w:r>
        <w:rPr>
          <w:i/>
          <w:iCs/>
        </w:rPr>
        <w:t>2014</w:t>
      </w:r>
      <w:r>
        <w:rPr>
          <w:i/>
          <w:iCs/>
        </w:rPr>
        <w:noBreakHyphen/>
        <w:t>15 Budget</w:t>
      </w:r>
      <w:r>
        <w:t>. Future publications may show revised ratios following release of actual 2013</w:t>
      </w:r>
      <w:r>
        <w:noBreakHyphen/>
        <w:t>14 GSP outcomes by the Australian Bureau of Statistics.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09F2"/>
    <w:multiLevelType w:val="singleLevel"/>
    <w:tmpl w:val="3AE00BBA"/>
    <w:lvl w:ilvl="0">
      <w:start w:val="1"/>
      <w:numFmt w:val="bullet"/>
      <w:pStyle w:val="OGBullet"/>
      <w:lvlText w:val=""/>
      <w:lvlJc w:val="left"/>
      <w:pPr>
        <w:tabs>
          <w:tab w:val="num" w:pos="360"/>
        </w:tabs>
        <w:ind w:left="360" w:hanging="360"/>
      </w:pPr>
      <w:rPr>
        <w:rFonts w:ascii="Symbol" w:hAnsi="Symbol" w:hint="default"/>
        <w:sz w:val="16"/>
      </w:rPr>
    </w:lvl>
  </w:abstractNum>
  <w:abstractNum w:abstractNumId="1">
    <w:nsid w:val="06B75175"/>
    <w:multiLevelType w:val="hybridMultilevel"/>
    <w:tmpl w:val="5B428BFA"/>
    <w:lvl w:ilvl="0" w:tplc="A5C027E6">
      <w:start w:val="1"/>
      <w:numFmt w:val="bullet"/>
      <w:pStyle w:val="TableTex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9E1B85"/>
    <w:multiLevelType w:val="hybridMultilevel"/>
    <w:tmpl w:val="0D54AB8C"/>
    <w:lvl w:ilvl="0" w:tplc="0C044C2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11367AAC"/>
    <w:multiLevelType w:val="hybridMultilevel"/>
    <w:tmpl w:val="3DD44E62"/>
    <w:lvl w:ilvl="0" w:tplc="85D82D52">
      <w:start w:val="1"/>
      <w:numFmt w:val="bullet"/>
      <w:pStyle w:val="OGTabBullet"/>
      <w:lvlText w:val=""/>
      <w:lvlJc w:val="left"/>
      <w:pPr>
        <w:tabs>
          <w:tab w:val="num" w:pos="605"/>
        </w:tabs>
        <w:ind w:left="605"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3D46D84"/>
    <w:multiLevelType w:val="hybridMultilevel"/>
    <w:tmpl w:val="756E9848"/>
    <w:lvl w:ilvl="0" w:tplc="3C12E6D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6C17DBD"/>
    <w:multiLevelType w:val="hybridMultilevel"/>
    <w:tmpl w:val="FC5E3F50"/>
    <w:lvl w:ilvl="0" w:tplc="0C044C2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83B293C"/>
    <w:multiLevelType w:val="hybridMultilevel"/>
    <w:tmpl w:val="B540C8D6"/>
    <w:lvl w:ilvl="0" w:tplc="BF24713E">
      <w:start w:val="1"/>
      <w:numFmt w:val="bullet"/>
      <w:pStyle w:val="VAGOBullet"/>
      <w:lvlText w:val=""/>
      <w:lvlJc w:val="left"/>
      <w:pPr>
        <w:tabs>
          <w:tab w:val="num" w:pos="426"/>
        </w:tabs>
        <w:ind w:left="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8405234"/>
    <w:multiLevelType w:val="hybridMultilevel"/>
    <w:tmpl w:val="CF48B8DA"/>
    <w:lvl w:ilvl="0" w:tplc="0C044C2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285C08AE"/>
    <w:multiLevelType w:val="multilevel"/>
    <w:tmpl w:val="86BA075E"/>
    <w:lvl w:ilvl="0">
      <w:start w:val="1"/>
      <w:numFmt w:val="bullet"/>
      <w:pStyle w:val="BulletText"/>
      <w:lvlText w:val=""/>
      <w:lvlJc w:val="left"/>
      <w:pPr>
        <w:tabs>
          <w:tab w:val="num" w:pos="360"/>
        </w:tabs>
        <w:ind w:left="360" w:hanging="360"/>
      </w:pPr>
      <w:rPr>
        <w:rFonts w:ascii="Symbol" w:hAnsi="Symbol" w:hint="default"/>
        <w:sz w:val="18"/>
        <w:szCs w:val="18"/>
      </w:rPr>
    </w:lvl>
    <w:lvl w:ilvl="1">
      <w:start w:val="1"/>
      <w:numFmt w:val="bullet"/>
      <w:pStyle w:val="DashText"/>
      <w:lvlText w:val=""/>
      <w:lvlJc w:val="left"/>
      <w:pPr>
        <w:tabs>
          <w:tab w:val="num" w:pos="720"/>
        </w:tabs>
        <w:ind w:left="720" w:hanging="360"/>
      </w:pPr>
      <w:rPr>
        <w:rFonts w:ascii="Symbol" w:hAnsi="Symbol"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
    <w:nsid w:val="31B358F5"/>
    <w:multiLevelType w:val="hybridMultilevel"/>
    <w:tmpl w:val="15965FF0"/>
    <w:lvl w:ilvl="0" w:tplc="4C42D560">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BDE6BF7"/>
    <w:multiLevelType w:val="hybridMultilevel"/>
    <w:tmpl w:val="4416921C"/>
    <w:lvl w:ilvl="0" w:tplc="0C044C2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3CFC52E9"/>
    <w:multiLevelType w:val="hybridMultilevel"/>
    <w:tmpl w:val="29C2504A"/>
    <w:lvl w:ilvl="0" w:tplc="D0968288">
      <w:start w:val="1"/>
      <w:numFmt w:val="bullet"/>
      <w:pStyle w:val="NotesDash"/>
      <w:lvlText w:val="–"/>
      <w:lvlJc w:val="left"/>
      <w:pPr>
        <w:tabs>
          <w:tab w:val="num" w:pos="922"/>
        </w:tabs>
        <w:ind w:left="922" w:hanging="468"/>
      </w:pPr>
      <w:rPr>
        <w:rFonts w:ascii="Times New Roman" w:hAnsi="Times New Roman"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6FB2E0B"/>
    <w:multiLevelType w:val="hybridMultilevel"/>
    <w:tmpl w:val="EDCE7868"/>
    <w:lvl w:ilvl="0" w:tplc="69205F3C">
      <w:start w:val="1"/>
      <w:numFmt w:val="bullet"/>
      <w:pStyle w:val="HighlightBoxBullet"/>
      <w:lvlText w:val=""/>
      <w:lvlJc w:val="left"/>
      <w:pPr>
        <w:tabs>
          <w:tab w:val="num" w:pos="90"/>
        </w:tabs>
        <w:ind w:left="450" w:hanging="360"/>
      </w:pPr>
      <w:rPr>
        <w:rFonts w:ascii="Symbol" w:hAnsi="Symbol" w:hint="default"/>
        <w:sz w:val="20"/>
        <w:szCs w:val="20"/>
      </w:rPr>
    </w:lvl>
    <w:lvl w:ilvl="1" w:tplc="0C090003" w:tentative="1">
      <w:start w:val="1"/>
      <w:numFmt w:val="bullet"/>
      <w:lvlText w:val="o"/>
      <w:lvlJc w:val="left"/>
      <w:pPr>
        <w:tabs>
          <w:tab w:val="num" w:pos="1530"/>
        </w:tabs>
        <w:ind w:left="1530" w:hanging="360"/>
      </w:pPr>
      <w:rPr>
        <w:rFonts w:ascii="Courier New" w:hAnsi="Courier New" w:cs="Courier New" w:hint="default"/>
      </w:rPr>
    </w:lvl>
    <w:lvl w:ilvl="2" w:tplc="0C090005" w:tentative="1">
      <w:start w:val="1"/>
      <w:numFmt w:val="bullet"/>
      <w:lvlText w:val=""/>
      <w:lvlJc w:val="left"/>
      <w:pPr>
        <w:tabs>
          <w:tab w:val="num" w:pos="2250"/>
        </w:tabs>
        <w:ind w:left="2250" w:hanging="360"/>
      </w:pPr>
      <w:rPr>
        <w:rFonts w:ascii="Wingdings" w:hAnsi="Wingdings" w:hint="default"/>
      </w:rPr>
    </w:lvl>
    <w:lvl w:ilvl="3" w:tplc="0C090001" w:tentative="1">
      <w:start w:val="1"/>
      <w:numFmt w:val="bullet"/>
      <w:lvlText w:val=""/>
      <w:lvlJc w:val="left"/>
      <w:pPr>
        <w:tabs>
          <w:tab w:val="num" w:pos="2970"/>
        </w:tabs>
        <w:ind w:left="2970" w:hanging="360"/>
      </w:pPr>
      <w:rPr>
        <w:rFonts w:ascii="Symbol" w:hAnsi="Symbol" w:hint="default"/>
      </w:rPr>
    </w:lvl>
    <w:lvl w:ilvl="4" w:tplc="0C090003" w:tentative="1">
      <w:start w:val="1"/>
      <w:numFmt w:val="bullet"/>
      <w:lvlText w:val="o"/>
      <w:lvlJc w:val="left"/>
      <w:pPr>
        <w:tabs>
          <w:tab w:val="num" w:pos="3690"/>
        </w:tabs>
        <w:ind w:left="3690" w:hanging="360"/>
      </w:pPr>
      <w:rPr>
        <w:rFonts w:ascii="Courier New" w:hAnsi="Courier New" w:cs="Courier New" w:hint="default"/>
      </w:rPr>
    </w:lvl>
    <w:lvl w:ilvl="5" w:tplc="0C090005" w:tentative="1">
      <w:start w:val="1"/>
      <w:numFmt w:val="bullet"/>
      <w:lvlText w:val=""/>
      <w:lvlJc w:val="left"/>
      <w:pPr>
        <w:tabs>
          <w:tab w:val="num" w:pos="4410"/>
        </w:tabs>
        <w:ind w:left="4410" w:hanging="360"/>
      </w:pPr>
      <w:rPr>
        <w:rFonts w:ascii="Wingdings" w:hAnsi="Wingdings" w:hint="default"/>
      </w:rPr>
    </w:lvl>
    <w:lvl w:ilvl="6" w:tplc="0C090001" w:tentative="1">
      <w:start w:val="1"/>
      <w:numFmt w:val="bullet"/>
      <w:lvlText w:val=""/>
      <w:lvlJc w:val="left"/>
      <w:pPr>
        <w:tabs>
          <w:tab w:val="num" w:pos="5130"/>
        </w:tabs>
        <w:ind w:left="5130" w:hanging="360"/>
      </w:pPr>
      <w:rPr>
        <w:rFonts w:ascii="Symbol" w:hAnsi="Symbol" w:hint="default"/>
      </w:rPr>
    </w:lvl>
    <w:lvl w:ilvl="7" w:tplc="0C090003" w:tentative="1">
      <w:start w:val="1"/>
      <w:numFmt w:val="bullet"/>
      <w:lvlText w:val="o"/>
      <w:lvlJc w:val="left"/>
      <w:pPr>
        <w:tabs>
          <w:tab w:val="num" w:pos="5850"/>
        </w:tabs>
        <w:ind w:left="5850" w:hanging="360"/>
      </w:pPr>
      <w:rPr>
        <w:rFonts w:ascii="Courier New" w:hAnsi="Courier New" w:cs="Courier New" w:hint="default"/>
      </w:rPr>
    </w:lvl>
    <w:lvl w:ilvl="8" w:tplc="0C090005" w:tentative="1">
      <w:start w:val="1"/>
      <w:numFmt w:val="bullet"/>
      <w:lvlText w:val=""/>
      <w:lvlJc w:val="left"/>
      <w:pPr>
        <w:tabs>
          <w:tab w:val="num" w:pos="6570"/>
        </w:tabs>
        <w:ind w:left="6570" w:hanging="360"/>
      </w:pPr>
      <w:rPr>
        <w:rFonts w:ascii="Wingdings" w:hAnsi="Wingdings" w:hint="default"/>
      </w:rPr>
    </w:lvl>
  </w:abstractNum>
  <w:abstractNum w:abstractNumId="13">
    <w:nsid w:val="5CD106E3"/>
    <w:multiLevelType w:val="hybridMultilevel"/>
    <w:tmpl w:val="A3DEF806"/>
    <w:lvl w:ilvl="0" w:tplc="0C044C2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5FF04045"/>
    <w:multiLevelType w:val="hybridMultilevel"/>
    <w:tmpl w:val="94E6A7A2"/>
    <w:lvl w:ilvl="0" w:tplc="0C044C2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6E3E1545"/>
    <w:multiLevelType w:val="hybridMultilevel"/>
    <w:tmpl w:val="6F3495FE"/>
    <w:lvl w:ilvl="0" w:tplc="5D0C0610">
      <w:start w:val="2"/>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EE34E10"/>
    <w:multiLevelType w:val="multilevel"/>
    <w:tmpl w:val="D9F407CA"/>
    <w:lvl w:ilvl="0">
      <w:start w:val="1"/>
      <w:numFmt w:val="upperLetter"/>
      <w:pStyle w:val="Heading3Numbering"/>
      <w:lvlText w:val="(%1)"/>
      <w:lvlJc w:val="left"/>
      <w:pPr>
        <w:tabs>
          <w:tab w:val="num" w:pos="720"/>
        </w:tabs>
        <w:ind w:left="720" w:hanging="720"/>
      </w:pPr>
      <w:rPr>
        <w:rFonts w:ascii="Calibri" w:hAnsi="Calibri" w:hint="default"/>
        <w:sz w:val="24"/>
        <w:szCs w:val="24"/>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762D5F72"/>
    <w:multiLevelType w:val="hybridMultilevel"/>
    <w:tmpl w:val="BF42C50A"/>
    <w:lvl w:ilvl="0" w:tplc="B5FAAE8E">
      <w:start w:val="1"/>
      <w:numFmt w:val="bullet"/>
      <w:pStyle w:val="Bullet"/>
      <w:lvlText w:val=""/>
      <w:lvlJc w:val="left"/>
      <w:pPr>
        <w:tabs>
          <w:tab w:val="num" w:pos="786"/>
        </w:tabs>
        <w:ind w:left="786" w:hanging="360"/>
      </w:pPr>
      <w:rPr>
        <w:rFonts w:ascii="Symbol" w:hAnsi="Symbol" w:cs="Symbol" w:hint="default"/>
        <w:color w:val="auto"/>
        <w:sz w:val="20"/>
        <w:szCs w:val="20"/>
      </w:rPr>
    </w:lvl>
    <w:lvl w:ilvl="1" w:tplc="0C090003">
      <w:start w:val="1"/>
      <w:numFmt w:val="bullet"/>
      <w:lvlText w:val=""/>
      <w:lvlJc w:val="left"/>
      <w:pPr>
        <w:tabs>
          <w:tab w:val="num" w:pos="1440"/>
        </w:tabs>
        <w:ind w:left="1440" w:hanging="360"/>
      </w:pPr>
      <w:rPr>
        <w:rFonts w:ascii="Symbol" w:hAnsi="Symbol" w:cs="Symbol" w:hint="default"/>
        <w:sz w:val="16"/>
        <w:szCs w:val="16"/>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8">
    <w:nsid w:val="78244F38"/>
    <w:multiLevelType w:val="hybridMultilevel"/>
    <w:tmpl w:val="3D0672E2"/>
    <w:lvl w:ilvl="0" w:tplc="B92C81CA">
      <w:start w:val="1"/>
      <w:numFmt w:val="bullet"/>
      <w:pStyle w:val="TableText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2"/>
  </w:num>
  <w:num w:numId="4">
    <w:abstractNumId w:val="11"/>
  </w:num>
  <w:num w:numId="5">
    <w:abstractNumId w:val="0"/>
  </w:num>
  <w:num w:numId="6">
    <w:abstractNumId w:val="6"/>
  </w:num>
  <w:num w:numId="7">
    <w:abstractNumId w:val="3"/>
  </w:num>
  <w:num w:numId="8">
    <w:abstractNumId w:val="18"/>
  </w:num>
  <w:num w:numId="9">
    <w:abstractNumId w:val="17"/>
  </w:num>
  <w:num w:numId="10">
    <w:abstractNumId w:val="1"/>
  </w:num>
  <w:num w:numId="11">
    <w:abstractNumId w:val="7"/>
  </w:num>
  <w:num w:numId="12">
    <w:abstractNumId w:val="2"/>
  </w:num>
  <w:num w:numId="13">
    <w:abstractNumId w:val="10"/>
  </w:num>
  <w:num w:numId="14">
    <w:abstractNumId w:val="5"/>
  </w:num>
  <w:num w:numId="15">
    <w:abstractNumId w:val="4"/>
  </w:num>
  <w:num w:numId="16">
    <w:abstractNumId w:val="13"/>
  </w:num>
  <w:num w:numId="17">
    <w:abstractNumId w:val="14"/>
  </w:num>
  <w:num w:numId="18">
    <w:abstractNumId w:val="9"/>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nforcement="0"/>
  <w:autoFormatOverride/>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4BF"/>
    <w:rsid w:val="00006F06"/>
    <w:rsid w:val="00007ABB"/>
    <w:rsid w:val="00021CE5"/>
    <w:rsid w:val="00022E3F"/>
    <w:rsid w:val="0004119A"/>
    <w:rsid w:val="000557B1"/>
    <w:rsid w:val="00057EE3"/>
    <w:rsid w:val="000701E0"/>
    <w:rsid w:val="000771C1"/>
    <w:rsid w:val="00087089"/>
    <w:rsid w:val="000B1105"/>
    <w:rsid w:val="000B2895"/>
    <w:rsid w:val="000B568A"/>
    <w:rsid w:val="000C1027"/>
    <w:rsid w:val="000D4B68"/>
    <w:rsid w:val="000D652A"/>
    <w:rsid w:val="000E2915"/>
    <w:rsid w:val="000E435C"/>
    <w:rsid w:val="000F4C88"/>
    <w:rsid w:val="000F532A"/>
    <w:rsid w:val="00120EDE"/>
    <w:rsid w:val="00123948"/>
    <w:rsid w:val="0013022C"/>
    <w:rsid w:val="00131B8B"/>
    <w:rsid w:val="001368DE"/>
    <w:rsid w:val="001425EC"/>
    <w:rsid w:val="0014342C"/>
    <w:rsid w:val="001438DF"/>
    <w:rsid w:val="00160ABB"/>
    <w:rsid w:val="00186B75"/>
    <w:rsid w:val="001D18E7"/>
    <w:rsid w:val="001D5D99"/>
    <w:rsid w:val="001E39DC"/>
    <w:rsid w:val="001F36BA"/>
    <w:rsid w:val="00206EB5"/>
    <w:rsid w:val="00214D40"/>
    <w:rsid w:val="00245DCF"/>
    <w:rsid w:val="00246993"/>
    <w:rsid w:val="00264BDE"/>
    <w:rsid w:val="002733B3"/>
    <w:rsid w:val="00281929"/>
    <w:rsid w:val="00284FC9"/>
    <w:rsid w:val="00285253"/>
    <w:rsid w:val="002A6119"/>
    <w:rsid w:val="002C0C34"/>
    <w:rsid w:val="002C1D55"/>
    <w:rsid w:val="002D2F70"/>
    <w:rsid w:val="002D4015"/>
    <w:rsid w:val="002D4EAB"/>
    <w:rsid w:val="002E2762"/>
    <w:rsid w:val="002E31A2"/>
    <w:rsid w:val="002E5C62"/>
    <w:rsid w:val="002E6139"/>
    <w:rsid w:val="002F18C5"/>
    <w:rsid w:val="002F3CB5"/>
    <w:rsid w:val="00322DD7"/>
    <w:rsid w:val="003233E0"/>
    <w:rsid w:val="00341734"/>
    <w:rsid w:val="003433EB"/>
    <w:rsid w:val="003502C8"/>
    <w:rsid w:val="003511F8"/>
    <w:rsid w:val="00355792"/>
    <w:rsid w:val="003926C8"/>
    <w:rsid w:val="003A1B60"/>
    <w:rsid w:val="003C3AAE"/>
    <w:rsid w:val="003E29DB"/>
    <w:rsid w:val="003E39D9"/>
    <w:rsid w:val="003E4C1F"/>
    <w:rsid w:val="00401171"/>
    <w:rsid w:val="00402B50"/>
    <w:rsid w:val="00410A6C"/>
    <w:rsid w:val="00410D51"/>
    <w:rsid w:val="0041227C"/>
    <w:rsid w:val="00442352"/>
    <w:rsid w:val="00452B29"/>
    <w:rsid w:val="00455F51"/>
    <w:rsid w:val="00465985"/>
    <w:rsid w:val="00477003"/>
    <w:rsid w:val="00480ADD"/>
    <w:rsid w:val="004854E5"/>
    <w:rsid w:val="004B5CB1"/>
    <w:rsid w:val="004C3F0D"/>
    <w:rsid w:val="004C582A"/>
    <w:rsid w:val="004D54D7"/>
    <w:rsid w:val="004D666C"/>
    <w:rsid w:val="004E40BC"/>
    <w:rsid w:val="004E43BF"/>
    <w:rsid w:val="004E6C32"/>
    <w:rsid w:val="004F6BAB"/>
    <w:rsid w:val="00503A10"/>
    <w:rsid w:val="005040D7"/>
    <w:rsid w:val="00513750"/>
    <w:rsid w:val="005256C6"/>
    <w:rsid w:val="00531A3D"/>
    <w:rsid w:val="00531ECD"/>
    <w:rsid w:val="005429ED"/>
    <w:rsid w:val="00546848"/>
    <w:rsid w:val="005545C0"/>
    <w:rsid w:val="005659B1"/>
    <w:rsid w:val="005936CC"/>
    <w:rsid w:val="00594D72"/>
    <w:rsid w:val="005A32A3"/>
    <w:rsid w:val="005A6BE2"/>
    <w:rsid w:val="005A6FB4"/>
    <w:rsid w:val="005A7A10"/>
    <w:rsid w:val="005B4DC5"/>
    <w:rsid w:val="005D2193"/>
    <w:rsid w:val="00606A43"/>
    <w:rsid w:val="00630FB1"/>
    <w:rsid w:val="00642BF1"/>
    <w:rsid w:val="0066770B"/>
    <w:rsid w:val="006707CE"/>
    <w:rsid w:val="0067336F"/>
    <w:rsid w:val="006736CC"/>
    <w:rsid w:val="00674721"/>
    <w:rsid w:val="00675356"/>
    <w:rsid w:val="0068731F"/>
    <w:rsid w:val="00690C84"/>
    <w:rsid w:val="006A75A2"/>
    <w:rsid w:val="006A7948"/>
    <w:rsid w:val="006A7B84"/>
    <w:rsid w:val="006D5090"/>
    <w:rsid w:val="006D6A13"/>
    <w:rsid w:val="006D7F71"/>
    <w:rsid w:val="006E60A8"/>
    <w:rsid w:val="0071751D"/>
    <w:rsid w:val="007178C7"/>
    <w:rsid w:val="00732D14"/>
    <w:rsid w:val="0074008B"/>
    <w:rsid w:val="00742218"/>
    <w:rsid w:val="007703C5"/>
    <w:rsid w:val="00787428"/>
    <w:rsid w:val="007A44BF"/>
    <w:rsid w:val="007A601D"/>
    <w:rsid w:val="007B4258"/>
    <w:rsid w:val="007B63E3"/>
    <w:rsid w:val="007C41A8"/>
    <w:rsid w:val="007D3406"/>
    <w:rsid w:val="007F5292"/>
    <w:rsid w:val="007F6020"/>
    <w:rsid w:val="00803B55"/>
    <w:rsid w:val="008047B2"/>
    <w:rsid w:val="00836249"/>
    <w:rsid w:val="00842AFB"/>
    <w:rsid w:val="0086033C"/>
    <w:rsid w:val="008708FF"/>
    <w:rsid w:val="00873DA7"/>
    <w:rsid w:val="00887F89"/>
    <w:rsid w:val="0089225C"/>
    <w:rsid w:val="008A5FE9"/>
    <w:rsid w:val="008B7B8A"/>
    <w:rsid w:val="008C2408"/>
    <w:rsid w:val="008E1A87"/>
    <w:rsid w:val="00901E03"/>
    <w:rsid w:val="009025F1"/>
    <w:rsid w:val="00904A16"/>
    <w:rsid w:val="00912443"/>
    <w:rsid w:val="00923AD5"/>
    <w:rsid w:val="0092470F"/>
    <w:rsid w:val="0093166C"/>
    <w:rsid w:val="00943855"/>
    <w:rsid w:val="00943D46"/>
    <w:rsid w:val="0096304A"/>
    <w:rsid w:val="009651DA"/>
    <w:rsid w:val="0097206F"/>
    <w:rsid w:val="00973A41"/>
    <w:rsid w:val="009861EA"/>
    <w:rsid w:val="009942D2"/>
    <w:rsid w:val="00995570"/>
    <w:rsid w:val="009A2BC2"/>
    <w:rsid w:val="009A3179"/>
    <w:rsid w:val="009B59AB"/>
    <w:rsid w:val="009C5731"/>
    <w:rsid w:val="009D1CA9"/>
    <w:rsid w:val="009F0F12"/>
    <w:rsid w:val="009F2577"/>
    <w:rsid w:val="009F534D"/>
    <w:rsid w:val="00A02B1B"/>
    <w:rsid w:val="00A1268C"/>
    <w:rsid w:val="00A167C1"/>
    <w:rsid w:val="00A2267E"/>
    <w:rsid w:val="00A251B1"/>
    <w:rsid w:val="00A30094"/>
    <w:rsid w:val="00A426C4"/>
    <w:rsid w:val="00A5588D"/>
    <w:rsid w:val="00A576F6"/>
    <w:rsid w:val="00A62AFB"/>
    <w:rsid w:val="00A659BA"/>
    <w:rsid w:val="00A67F93"/>
    <w:rsid w:val="00A71163"/>
    <w:rsid w:val="00A74AB1"/>
    <w:rsid w:val="00A74CBC"/>
    <w:rsid w:val="00A945A3"/>
    <w:rsid w:val="00AA1ED5"/>
    <w:rsid w:val="00AA6337"/>
    <w:rsid w:val="00AC319F"/>
    <w:rsid w:val="00AD1FBF"/>
    <w:rsid w:val="00B022A5"/>
    <w:rsid w:val="00B0624D"/>
    <w:rsid w:val="00B07F57"/>
    <w:rsid w:val="00B1409D"/>
    <w:rsid w:val="00B203B9"/>
    <w:rsid w:val="00B208AA"/>
    <w:rsid w:val="00B27782"/>
    <w:rsid w:val="00B527F0"/>
    <w:rsid w:val="00B546EF"/>
    <w:rsid w:val="00B55816"/>
    <w:rsid w:val="00B725D5"/>
    <w:rsid w:val="00B8605D"/>
    <w:rsid w:val="00BB3860"/>
    <w:rsid w:val="00BB71EC"/>
    <w:rsid w:val="00BC61E2"/>
    <w:rsid w:val="00BF7248"/>
    <w:rsid w:val="00C017D4"/>
    <w:rsid w:val="00C04DD7"/>
    <w:rsid w:val="00C05DC9"/>
    <w:rsid w:val="00C07A50"/>
    <w:rsid w:val="00C21642"/>
    <w:rsid w:val="00C2380B"/>
    <w:rsid w:val="00C24FB1"/>
    <w:rsid w:val="00C35791"/>
    <w:rsid w:val="00C419DE"/>
    <w:rsid w:val="00C4543A"/>
    <w:rsid w:val="00C46316"/>
    <w:rsid w:val="00C61389"/>
    <w:rsid w:val="00C723F1"/>
    <w:rsid w:val="00C75D0E"/>
    <w:rsid w:val="00C96101"/>
    <w:rsid w:val="00C974AC"/>
    <w:rsid w:val="00CA1E44"/>
    <w:rsid w:val="00CB3C8A"/>
    <w:rsid w:val="00CB5C08"/>
    <w:rsid w:val="00CC69F7"/>
    <w:rsid w:val="00CC73D9"/>
    <w:rsid w:val="00CD0577"/>
    <w:rsid w:val="00CF0F98"/>
    <w:rsid w:val="00CF1D10"/>
    <w:rsid w:val="00CF25B1"/>
    <w:rsid w:val="00D12656"/>
    <w:rsid w:val="00D20424"/>
    <w:rsid w:val="00D50064"/>
    <w:rsid w:val="00D53A94"/>
    <w:rsid w:val="00D56B84"/>
    <w:rsid w:val="00D76647"/>
    <w:rsid w:val="00D7758B"/>
    <w:rsid w:val="00D95D7D"/>
    <w:rsid w:val="00DA4D63"/>
    <w:rsid w:val="00DA6CAB"/>
    <w:rsid w:val="00DB3187"/>
    <w:rsid w:val="00DB7B76"/>
    <w:rsid w:val="00DD5A74"/>
    <w:rsid w:val="00DD79E9"/>
    <w:rsid w:val="00DE1D28"/>
    <w:rsid w:val="00E25333"/>
    <w:rsid w:val="00E41446"/>
    <w:rsid w:val="00E51259"/>
    <w:rsid w:val="00E666B8"/>
    <w:rsid w:val="00E761FF"/>
    <w:rsid w:val="00E940C8"/>
    <w:rsid w:val="00EA20C8"/>
    <w:rsid w:val="00EA5B44"/>
    <w:rsid w:val="00EC2ADF"/>
    <w:rsid w:val="00EC73E7"/>
    <w:rsid w:val="00EE2363"/>
    <w:rsid w:val="00EE4554"/>
    <w:rsid w:val="00EF59EA"/>
    <w:rsid w:val="00F17676"/>
    <w:rsid w:val="00F35817"/>
    <w:rsid w:val="00F44A2E"/>
    <w:rsid w:val="00F5014D"/>
    <w:rsid w:val="00F560E7"/>
    <w:rsid w:val="00FA2033"/>
    <w:rsid w:val="00FA5CC9"/>
    <w:rsid w:val="00FC21A7"/>
    <w:rsid w:val="00FE1306"/>
    <w:rsid w:val="00FF1527"/>
    <w:rsid w:val="00FF6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4"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locked="1"/>
    <w:lsdException w:name="Emphasis" w:locked="1" w:uiPriority="2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659BA"/>
    <w:pPr>
      <w:spacing w:after="120"/>
    </w:pPr>
    <w:rPr>
      <w:rFonts w:ascii="Garamond" w:hAnsi="Garamond"/>
      <w:sz w:val="24"/>
      <w:lang w:eastAsia="en-US"/>
    </w:rPr>
  </w:style>
  <w:style w:type="paragraph" w:styleId="Heading1">
    <w:name w:val="heading 1"/>
    <w:basedOn w:val="Normal"/>
    <w:next w:val="Normal"/>
    <w:link w:val="Heading1Char"/>
    <w:qFormat/>
    <w:rsid w:val="00BB71EC"/>
    <w:pPr>
      <w:keepNext/>
      <w:spacing w:before="360"/>
      <w:outlineLvl w:val="0"/>
    </w:pPr>
    <w:rPr>
      <w:rFonts w:ascii="Calibri" w:hAnsi="Calibri"/>
      <w:b/>
      <w:caps/>
      <w:sz w:val="28"/>
      <w:szCs w:val="22"/>
    </w:rPr>
  </w:style>
  <w:style w:type="paragraph" w:styleId="Heading2">
    <w:name w:val="heading 2"/>
    <w:basedOn w:val="Normal"/>
    <w:next w:val="Normal"/>
    <w:link w:val="Heading2Char"/>
    <w:qFormat/>
    <w:rsid w:val="00BB71EC"/>
    <w:pPr>
      <w:keepNext/>
      <w:spacing w:before="240"/>
      <w:outlineLvl w:val="1"/>
    </w:pPr>
    <w:rPr>
      <w:rFonts w:ascii="Calibri" w:hAnsi="Calibri"/>
      <w:b/>
      <w:kern w:val="28"/>
      <w:sz w:val="28"/>
      <w:szCs w:val="22"/>
    </w:rPr>
  </w:style>
  <w:style w:type="paragraph" w:styleId="Heading3">
    <w:name w:val="heading 3"/>
    <w:basedOn w:val="Normal"/>
    <w:next w:val="Normal"/>
    <w:link w:val="Heading3Char"/>
    <w:qFormat/>
    <w:rsid w:val="00BB71EC"/>
    <w:pPr>
      <w:keepNext/>
      <w:spacing w:before="240"/>
      <w:outlineLvl w:val="2"/>
    </w:pPr>
    <w:rPr>
      <w:rFonts w:ascii="Calibri" w:hAnsi="Calibri"/>
      <w:b/>
      <w:i/>
      <w:kern w:val="28"/>
      <w:sz w:val="26"/>
      <w:szCs w:val="22"/>
    </w:rPr>
  </w:style>
  <w:style w:type="paragraph" w:styleId="Heading4">
    <w:name w:val="heading 4"/>
    <w:basedOn w:val="Normal"/>
    <w:next w:val="Normal"/>
    <w:link w:val="Heading4Char"/>
    <w:qFormat/>
    <w:rsid w:val="00BB71EC"/>
    <w:pPr>
      <w:keepNext/>
      <w:spacing w:before="240"/>
      <w:outlineLvl w:val="3"/>
    </w:pPr>
    <w:rPr>
      <w:rFonts w:ascii="Calibri" w:hAnsi="Calibri"/>
      <w:i/>
      <w:sz w:val="26"/>
      <w:szCs w:val="22"/>
    </w:rPr>
  </w:style>
  <w:style w:type="paragraph" w:styleId="Heading5">
    <w:name w:val="heading 5"/>
    <w:basedOn w:val="Normal"/>
    <w:next w:val="Normal"/>
    <w:link w:val="Heading5Char"/>
    <w:qFormat/>
    <w:rsid w:val="0067336F"/>
    <w:pPr>
      <w:keepNext/>
      <w:tabs>
        <w:tab w:val="left" w:pos="504"/>
      </w:tabs>
      <w:spacing w:before="120" w:after="60"/>
      <w:ind w:left="505" w:hanging="505"/>
      <w:outlineLvl w:val="4"/>
    </w:pPr>
    <w:rPr>
      <w:rFonts w:ascii="Calibri" w:hAnsi="Calibri"/>
      <w:b/>
    </w:rPr>
  </w:style>
  <w:style w:type="paragraph" w:styleId="Heading6">
    <w:name w:val="heading 6"/>
    <w:basedOn w:val="Normal"/>
    <w:next w:val="Normal"/>
    <w:link w:val="Heading6Char"/>
    <w:semiHidden/>
    <w:unhideWhenUsed/>
    <w:qFormat/>
    <w:locked/>
    <w:rsid w:val="005A778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5A778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5A7787"/>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locked/>
    <w:rsid w:val="005A7787"/>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690C84"/>
    <w:pPr>
      <w:spacing w:after="0"/>
      <w:jc w:val="center"/>
    </w:pPr>
    <w:rPr>
      <w:rFonts w:ascii="Calibri" w:hAnsi="Calibri"/>
      <w:i/>
      <w:sz w:val="20"/>
      <w:szCs w:val="18"/>
    </w:rPr>
  </w:style>
  <w:style w:type="paragraph" w:styleId="TableofFigures">
    <w:name w:val="table of figures"/>
    <w:basedOn w:val="Normal"/>
    <w:next w:val="Normal"/>
    <w:link w:val="TableofFiguresChar"/>
    <w:qFormat/>
    <w:rsid w:val="0093166C"/>
    <w:pPr>
      <w:spacing w:after="0"/>
      <w:jc w:val="right"/>
    </w:pPr>
    <w:rPr>
      <w:rFonts w:ascii="Calibri" w:hAnsi="Calibri"/>
      <w:sz w:val="22"/>
      <w:szCs w:val="18"/>
    </w:rPr>
  </w:style>
  <w:style w:type="paragraph" w:customStyle="1" w:styleId="BIP1Figures">
    <w:name w:val="BIP1 Figures"/>
    <w:basedOn w:val="TableofFigures"/>
    <w:semiHidden/>
    <w:rsid w:val="00901E03"/>
    <w:pPr>
      <w:spacing w:after="20"/>
    </w:pPr>
  </w:style>
  <w:style w:type="paragraph" w:customStyle="1" w:styleId="Tabletextheading">
    <w:name w:val="Table text heading"/>
    <w:basedOn w:val="TableofFigures"/>
    <w:link w:val="TabletextheadingChar"/>
    <w:qFormat/>
    <w:rsid w:val="00901E03"/>
    <w:rPr>
      <w:i/>
    </w:rPr>
  </w:style>
  <w:style w:type="paragraph" w:customStyle="1" w:styleId="BIP1headingr">
    <w:name w:val="BIP1 heading r"/>
    <w:basedOn w:val="Tabletextheading"/>
    <w:semiHidden/>
    <w:rsid w:val="00901E03"/>
  </w:style>
  <w:style w:type="paragraph" w:customStyle="1" w:styleId="BIP1headingl">
    <w:name w:val="BIP1 heading l"/>
    <w:basedOn w:val="BIP1headingr"/>
    <w:link w:val="BIP1headinglChar"/>
    <w:semiHidden/>
    <w:rsid w:val="00901E03"/>
    <w:pPr>
      <w:jc w:val="left"/>
    </w:pPr>
  </w:style>
  <w:style w:type="paragraph" w:customStyle="1" w:styleId="Tabletext">
    <w:name w:val="Table text"/>
    <w:basedOn w:val="TableofFigures"/>
    <w:link w:val="TabletextChar"/>
    <w:qFormat/>
    <w:rsid w:val="00901E03"/>
    <w:pPr>
      <w:ind w:left="180" w:hanging="180"/>
      <w:jc w:val="left"/>
    </w:pPr>
  </w:style>
  <w:style w:type="paragraph" w:customStyle="1" w:styleId="BIP1tabletext">
    <w:name w:val="BIP1 table text"/>
    <w:basedOn w:val="Tabletext"/>
    <w:semiHidden/>
    <w:rsid w:val="00901E03"/>
    <w:pPr>
      <w:spacing w:after="20"/>
      <w:ind w:left="72" w:hanging="72"/>
    </w:pPr>
  </w:style>
  <w:style w:type="paragraph" w:customStyle="1" w:styleId="Tableheading">
    <w:name w:val="Table heading"/>
    <w:basedOn w:val="Normal"/>
    <w:link w:val="TableheadingChar"/>
    <w:qFormat/>
    <w:rsid w:val="00BB71EC"/>
    <w:pPr>
      <w:keepNext/>
      <w:spacing w:before="240"/>
      <w:ind w:left="1152" w:hanging="1152"/>
    </w:pPr>
    <w:rPr>
      <w:rFonts w:ascii="Calibri" w:hAnsi="Calibri"/>
      <w:b/>
      <w:sz w:val="25"/>
    </w:rPr>
  </w:style>
  <w:style w:type="table" w:styleId="TableGrid">
    <w:name w:val="Table Grid"/>
    <w:basedOn w:val="TableNormal"/>
    <w:locked/>
    <w:rsid w:val="00901E03"/>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901E03"/>
    <w:pPr>
      <w:numPr>
        <w:numId w:val="1"/>
      </w:numPr>
    </w:pPr>
  </w:style>
  <w:style w:type="paragraph" w:customStyle="1" w:styleId="ChapterHeading">
    <w:name w:val="Chapter Heading"/>
    <w:basedOn w:val="Normal"/>
    <w:next w:val="Heading1"/>
    <w:qFormat/>
    <w:rsid w:val="0013022C"/>
    <w:pPr>
      <w:keepNext/>
      <w:pBdr>
        <w:bottom w:val="single" w:sz="12" w:space="7" w:color="auto"/>
      </w:pBdr>
      <w:spacing w:before="1440" w:after="360"/>
    </w:pPr>
    <w:rPr>
      <w:rFonts w:ascii="Calibri" w:hAnsi="Calibri"/>
      <w:b/>
      <w:caps/>
      <w:sz w:val="38"/>
      <w:szCs w:val="28"/>
    </w:rPr>
  </w:style>
  <w:style w:type="paragraph" w:customStyle="1" w:styleId="Chartheading">
    <w:name w:val="Chart heading"/>
    <w:basedOn w:val="Tableheading"/>
    <w:next w:val="Normal"/>
    <w:qFormat/>
    <w:rsid w:val="00901E03"/>
  </w:style>
  <w:style w:type="paragraph" w:styleId="Footer">
    <w:name w:val="footer"/>
    <w:basedOn w:val="Normal"/>
    <w:link w:val="FooterChar"/>
    <w:rsid w:val="002D4015"/>
    <w:pPr>
      <w:pBdr>
        <w:top w:val="single" w:sz="6" w:space="1" w:color="auto"/>
      </w:pBdr>
      <w:tabs>
        <w:tab w:val="right" w:pos="7085"/>
      </w:tabs>
    </w:pPr>
    <w:rPr>
      <w:rFonts w:ascii="Calibri" w:hAnsi="Calibri"/>
      <w:sz w:val="22"/>
      <w:szCs w:val="18"/>
    </w:rPr>
  </w:style>
  <w:style w:type="paragraph" w:styleId="Header">
    <w:name w:val="header"/>
    <w:basedOn w:val="Footer"/>
    <w:link w:val="HeaderChar"/>
    <w:rsid w:val="00901E03"/>
    <w:pPr>
      <w:pBdr>
        <w:top w:val="none" w:sz="0" w:space="0" w:color="auto"/>
      </w:pBdr>
      <w:tabs>
        <w:tab w:val="clear" w:pos="7085"/>
      </w:tabs>
    </w:pPr>
  </w:style>
  <w:style w:type="paragraph" w:customStyle="1" w:styleId="Heading2Notes">
    <w:name w:val="Heading 2 Notes"/>
    <w:basedOn w:val="Heading2"/>
    <w:link w:val="Heading2NotesChar"/>
    <w:rsid w:val="00901E03"/>
    <w:pPr>
      <w:tabs>
        <w:tab w:val="left" w:pos="1152"/>
      </w:tabs>
      <w:ind w:left="1152" w:hanging="1152"/>
    </w:pPr>
  </w:style>
  <w:style w:type="paragraph" w:customStyle="1" w:styleId="Notes">
    <w:name w:val="Notes"/>
    <w:basedOn w:val="Normal"/>
    <w:link w:val="NotesChar"/>
    <w:qFormat/>
    <w:rsid w:val="00BB71EC"/>
    <w:pPr>
      <w:tabs>
        <w:tab w:val="left" w:pos="454"/>
      </w:tabs>
      <w:spacing w:after="0"/>
      <w:ind w:left="461" w:hanging="461"/>
    </w:pPr>
    <w:rPr>
      <w:rFonts w:ascii="Calibri" w:hAnsi="Calibri"/>
      <w:i/>
      <w:sz w:val="16"/>
    </w:rPr>
  </w:style>
  <w:style w:type="paragraph" w:customStyle="1" w:styleId="OGBullet">
    <w:name w:val="OGBullet"/>
    <w:basedOn w:val="Normal"/>
    <w:semiHidden/>
    <w:rsid w:val="00BB71EC"/>
    <w:pPr>
      <w:numPr>
        <w:numId w:val="5"/>
      </w:numPr>
    </w:pPr>
    <w:rPr>
      <w:rFonts w:ascii="Calibri" w:hAnsi="Calibri"/>
      <w:sz w:val="22"/>
      <w:szCs w:val="18"/>
    </w:rPr>
  </w:style>
  <w:style w:type="paragraph" w:customStyle="1" w:styleId="OGHeading1">
    <w:name w:val="OGHeading1"/>
    <w:basedOn w:val="Normal"/>
    <w:semiHidden/>
    <w:rsid w:val="00BB71EC"/>
    <w:rPr>
      <w:rFonts w:ascii="Calibri" w:hAnsi="Calibri"/>
      <w:b/>
      <w:sz w:val="34"/>
      <w:szCs w:val="28"/>
    </w:rPr>
  </w:style>
  <w:style w:type="paragraph" w:customStyle="1" w:styleId="OGHeading2">
    <w:name w:val="OGHeading2"/>
    <w:basedOn w:val="Normal"/>
    <w:link w:val="OGHeading2Char"/>
    <w:semiHidden/>
    <w:rsid w:val="00BB71EC"/>
    <w:pPr>
      <w:keepNext/>
      <w:spacing w:before="60"/>
    </w:pPr>
    <w:rPr>
      <w:rFonts w:ascii="Calibri" w:hAnsi="Calibri"/>
      <w:b/>
      <w:sz w:val="30"/>
      <w:szCs w:val="24"/>
    </w:rPr>
  </w:style>
  <w:style w:type="paragraph" w:customStyle="1" w:styleId="OGTabHead">
    <w:name w:val="OGTabHead"/>
    <w:basedOn w:val="Normal"/>
    <w:semiHidden/>
    <w:rsid w:val="00BB71EC"/>
    <w:pPr>
      <w:keepNext/>
      <w:keepLines/>
      <w:spacing w:before="30" w:after="30"/>
    </w:pPr>
    <w:rPr>
      <w:rFonts w:ascii="Calibri" w:hAnsi="Calibri"/>
      <w:i/>
      <w:sz w:val="22"/>
      <w:szCs w:val="18"/>
    </w:rPr>
  </w:style>
  <w:style w:type="paragraph" w:customStyle="1" w:styleId="OGTabText">
    <w:name w:val="OGTabText"/>
    <w:basedOn w:val="Normal"/>
    <w:link w:val="OGTabTextChar"/>
    <w:semiHidden/>
    <w:rsid w:val="00BB71EC"/>
    <w:pPr>
      <w:spacing w:before="30" w:after="30"/>
      <w:ind w:left="144"/>
    </w:pPr>
    <w:rPr>
      <w:rFonts w:ascii="Calibri" w:hAnsi="Calibri"/>
      <w:sz w:val="22"/>
      <w:szCs w:val="18"/>
    </w:rPr>
  </w:style>
  <w:style w:type="paragraph" w:customStyle="1" w:styleId="OGText">
    <w:name w:val="OGText"/>
    <w:basedOn w:val="Normal"/>
    <w:link w:val="OGTextChar"/>
    <w:semiHidden/>
    <w:rsid w:val="00BB71EC"/>
    <w:pPr>
      <w:keepNext/>
      <w:spacing w:before="40"/>
    </w:pPr>
    <w:rPr>
      <w:rFonts w:ascii="Calibri" w:hAnsi="Calibri"/>
      <w:sz w:val="22"/>
      <w:szCs w:val="18"/>
    </w:rPr>
  </w:style>
  <w:style w:type="character" w:styleId="PageNumber">
    <w:name w:val="page number"/>
    <w:rsid w:val="00BB71EC"/>
    <w:rPr>
      <w:rFonts w:ascii="Calibri" w:hAnsi="Calibri"/>
      <w:sz w:val="22"/>
    </w:rPr>
  </w:style>
  <w:style w:type="paragraph" w:customStyle="1" w:styleId="Source">
    <w:name w:val="Source"/>
    <w:basedOn w:val="Normal"/>
    <w:next w:val="Normal"/>
    <w:link w:val="SourceChar"/>
    <w:qFormat/>
    <w:locked/>
    <w:rsid w:val="00BB71EC"/>
    <w:rPr>
      <w:rFonts w:ascii="Calibri" w:hAnsi="Calibri"/>
      <w:i/>
      <w:sz w:val="16"/>
    </w:rPr>
  </w:style>
  <w:style w:type="paragraph" w:customStyle="1" w:styleId="TableofContentsheading">
    <w:name w:val="Table of Contents heading"/>
    <w:basedOn w:val="ChapterHeading"/>
    <w:next w:val="Normal"/>
    <w:rsid w:val="00901E03"/>
  </w:style>
  <w:style w:type="paragraph" w:customStyle="1" w:styleId="Heading2NotesContd">
    <w:name w:val="Heading 2 Notes Cont'd"/>
    <w:basedOn w:val="Heading2Notes"/>
    <w:link w:val="Heading2NotesContdChar"/>
    <w:rsid w:val="00901E03"/>
  </w:style>
  <w:style w:type="paragraph" w:customStyle="1" w:styleId="HighlightBoxText">
    <w:name w:val="Highlight Box Text"/>
    <w:basedOn w:val="HighlightBoxBullet"/>
    <w:qFormat/>
    <w:rsid w:val="00901E03"/>
    <w:pPr>
      <w:numPr>
        <w:numId w:val="0"/>
      </w:numPr>
    </w:pPr>
  </w:style>
  <w:style w:type="paragraph" w:styleId="TOC1">
    <w:name w:val="toc 1"/>
    <w:basedOn w:val="Normal"/>
    <w:next w:val="Normal"/>
    <w:uiPriority w:val="39"/>
    <w:rsid w:val="00160ABB"/>
    <w:pPr>
      <w:tabs>
        <w:tab w:val="right" w:leader="dot" w:pos="9356"/>
      </w:tabs>
      <w:spacing w:before="40" w:after="40"/>
      <w:ind w:right="420"/>
    </w:pPr>
    <w:rPr>
      <w:rFonts w:ascii="Calibri" w:hAnsi="Calibri"/>
      <w:b/>
    </w:rPr>
  </w:style>
  <w:style w:type="paragraph" w:styleId="TOC2">
    <w:name w:val="toc 2"/>
    <w:basedOn w:val="Normal"/>
    <w:next w:val="Normal"/>
    <w:uiPriority w:val="39"/>
    <w:rsid w:val="00160ABB"/>
    <w:pPr>
      <w:tabs>
        <w:tab w:val="right" w:leader="dot" w:pos="9356"/>
      </w:tabs>
      <w:spacing w:after="0"/>
      <w:ind w:left="289" w:right="420"/>
    </w:pPr>
    <w:rPr>
      <w:rFonts w:ascii="Calibri" w:hAnsi="Calibri"/>
      <w:sz w:val="22"/>
    </w:rPr>
  </w:style>
  <w:style w:type="paragraph" w:styleId="TOC3">
    <w:name w:val="toc 3"/>
    <w:basedOn w:val="Normal"/>
    <w:next w:val="Normal"/>
    <w:rsid w:val="00BB71EC"/>
    <w:pPr>
      <w:tabs>
        <w:tab w:val="right" w:leader="dot" w:pos="7830"/>
      </w:tabs>
      <w:spacing w:after="0"/>
      <w:ind w:left="432" w:right="422"/>
    </w:pPr>
    <w:rPr>
      <w:rFonts w:ascii="Calibri" w:hAnsi="Calibri"/>
      <w:i/>
      <w:sz w:val="22"/>
    </w:rPr>
  </w:style>
  <w:style w:type="paragraph" w:styleId="TOC4">
    <w:name w:val="toc 4"/>
    <w:basedOn w:val="TOC1"/>
    <w:next w:val="Normal"/>
    <w:uiPriority w:val="39"/>
    <w:rsid w:val="00742218"/>
    <w:pPr>
      <w:tabs>
        <w:tab w:val="right" w:leader="dot" w:pos="9533"/>
      </w:tabs>
      <w:spacing w:after="0"/>
      <w:ind w:left="1152" w:hanging="1152"/>
    </w:pPr>
    <w:rPr>
      <w:b w:val="0"/>
      <w:sz w:val="22"/>
    </w:rPr>
  </w:style>
  <w:style w:type="paragraph" w:styleId="TOC5">
    <w:name w:val="toc 5"/>
    <w:basedOn w:val="TOC1"/>
    <w:next w:val="Normal"/>
    <w:rsid w:val="00742218"/>
    <w:rPr>
      <w:b w:val="0"/>
      <w:sz w:val="22"/>
    </w:rPr>
  </w:style>
  <w:style w:type="paragraph" w:customStyle="1" w:styleId="Tableheadingcontinued">
    <w:name w:val="Table heading continued"/>
    <w:basedOn w:val="Tableheading"/>
    <w:rsid w:val="00901E03"/>
  </w:style>
  <w:style w:type="paragraph" w:customStyle="1" w:styleId="TableTextCentred">
    <w:name w:val="Table Text Centred"/>
    <w:basedOn w:val="Tabletext"/>
    <w:rsid w:val="00901E03"/>
    <w:pPr>
      <w:ind w:left="0" w:firstLine="0"/>
      <w:jc w:val="center"/>
    </w:pPr>
  </w:style>
  <w:style w:type="paragraph" w:customStyle="1" w:styleId="Heading3Numbering">
    <w:name w:val="Heading 3 Numbering"/>
    <w:basedOn w:val="Heading3"/>
    <w:rsid w:val="00901E03"/>
    <w:pPr>
      <w:numPr>
        <w:numId w:val="2"/>
      </w:numPr>
      <w:tabs>
        <w:tab w:val="left" w:pos="504"/>
      </w:tabs>
    </w:pPr>
  </w:style>
  <w:style w:type="paragraph" w:customStyle="1" w:styleId="Heading5a">
    <w:name w:val="Heading 5a"/>
    <w:basedOn w:val="Heading5"/>
    <w:rsid w:val="00BB71EC"/>
    <w:pPr>
      <w:tabs>
        <w:tab w:val="clear" w:pos="504"/>
      </w:tabs>
    </w:pPr>
    <w:rPr>
      <w:b w:val="0"/>
      <w:i/>
      <w:sz w:val="23"/>
    </w:rPr>
  </w:style>
  <w:style w:type="character" w:customStyle="1" w:styleId="OGTabBulletChar">
    <w:name w:val="OGTabBullet Char"/>
    <w:link w:val="OGTabBullet"/>
    <w:semiHidden/>
    <w:rsid w:val="000F532A"/>
    <w:rPr>
      <w:rFonts w:ascii="Calibri" w:hAnsi="Calibri"/>
      <w:sz w:val="22"/>
      <w:szCs w:val="18"/>
    </w:rPr>
  </w:style>
  <w:style w:type="paragraph" w:customStyle="1" w:styleId="OGTabBullet">
    <w:name w:val="OGTabBullet"/>
    <w:basedOn w:val="OGBullet"/>
    <w:link w:val="OGTabBulletChar"/>
    <w:semiHidden/>
    <w:rsid w:val="000F532A"/>
    <w:pPr>
      <w:numPr>
        <w:numId w:val="7"/>
      </w:numPr>
      <w:spacing w:before="30" w:after="30"/>
    </w:pPr>
    <w:rPr>
      <w:lang w:eastAsia="en-AU"/>
    </w:rPr>
  </w:style>
  <w:style w:type="paragraph" w:customStyle="1" w:styleId="TabletextheadingCentred">
    <w:name w:val="Table text heading Centred"/>
    <w:basedOn w:val="Tabletextheading"/>
    <w:link w:val="TabletextheadingCentredChar"/>
    <w:rsid w:val="00901E03"/>
    <w:pPr>
      <w:jc w:val="center"/>
    </w:pPr>
  </w:style>
  <w:style w:type="paragraph" w:customStyle="1" w:styleId="DashText">
    <w:name w:val="Dash Text"/>
    <w:basedOn w:val="Normal"/>
    <w:link w:val="DashTextChar"/>
    <w:qFormat/>
    <w:rsid w:val="00901E03"/>
    <w:pPr>
      <w:numPr>
        <w:ilvl w:val="1"/>
        <w:numId w:val="1"/>
      </w:numPr>
    </w:pPr>
  </w:style>
  <w:style w:type="paragraph" w:customStyle="1" w:styleId="VersionTableText">
    <w:name w:val="VersionTableText"/>
    <w:basedOn w:val="Normal"/>
    <w:rsid w:val="00206EB5"/>
    <w:pPr>
      <w:spacing w:after="0"/>
      <w:jc w:val="center"/>
    </w:pPr>
    <w:rPr>
      <w:rFonts w:ascii="Calibri" w:hAnsi="Calibri"/>
      <w:sz w:val="22"/>
    </w:rPr>
  </w:style>
  <w:style w:type="paragraph" w:customStyle="1" w:styleId="VersionTableHeading">
    <w:name w:val="VersionTableHeading"/>
    <w:basedOn w:val="Normal"/>
    <w:rsid w:val="00206EB5"/>
    <w:pPr>
      <w:spacing w:after="0"/>
      <w:jc w:val="center"/>
    </w:pPr>
    <w:rPr>
      <w:rFonts w:ascii="Calibri" w:hAnsi="Calibri"/>
      <w:b/>
      <w:sz w:val="22"/>
    </w:rPr>
  </w:style>
  <w:style w:type="paragraph" w:customStyle="1" w:styleId="NotesIndent">
    <w:name w:val="NotesIndent"/>
    <w:basedOn w:val="Notes"/>
    <w:rsid w:val="00901E03"/>
    <w:pPr>
      <w:ind w:left="915"/>
    </w:pPr>
  </w:style>
  <w:style w:type="paragraph" w:customStyle="1" w:styleId="NotesDash">
    <w:name w:val="NotesDash"/>
    <w:basedOn w:val="NotesIndent"/>
    <w:rsid w:val="00901E03"/>
    <w:pPr>
      <w:numPr>
        <w:numId w:val="4"/>
      </w:numPr>
      <w:tabs>
        <w:tab w:val="clear" w:pos="454"/>
      </w:tabs>
    </w:pPr>
  </w:style>
  <w:style w:type="paragraph" w:customStyle="1" w:styleId="VAGOText">
    <w:name w:val="VAGOText"/>
    <w:basedOn w:val="Normal"/>
    <w:semiHidden/>
    <w:rsid w:val="00901E03"/>
    <w:pPr>
      <w:spacing w:before="120"/>
    </w:pPr>
    <w:rPr>
      <w:rFonts w:ascii="Arial" w:hAnsi="Arial" w:cs="Arial"/>
      <w:sz w:val="16"/>
      <w:szCs w:val="16"/>
    </w:rPr>
  </w:style>
  <w:style w:type="paragraph" w:customStyle="1" w:styleId="VAGOHeading2">
    <w:name w:val="VAGOHeading2"/>
    <w:basedOn w:val="Normal"/>
    <w:semiHidden/>
    <w:rsid w:val="00901E03"/>
    <w:rPr>
      <w:rFonts w:ascii="Arial" w:hAnsi="Arial" w:cs="Arial"/>
      <w:b/>
      <w:sz w:val="16"/>
      <w:szCs w:val="16"/>
    </w:rPr>
  </w:style>
  <w:style w:type="paragraph" w:customStyle="1" w:styleId="VAGOHeading1">
    <w:name w:val="VAGOHeading1"/>
    <w:basedOn w:val="Normal"/>
    <w:semiHidden/>
    <w:rsid w:val="00901E03"/>
    <w:pPr>
      <w:jc w:val="center"/>
    </w:pPr>
    <w:rPr>
      <w:rFonts w:ascii="Arial" w:hAnsi="Arial" w:cs="Arial"/>
      <w:b/>
      <w:sz w:val="17"/>
      <w:szCs w:val="17"/>
    </w:rPr>
  </w:style>
  <w:style w:type="paragraph" w:customStyle="1" w:styleId="VAGOHeading3">
    <w:name w:val="VAGOHeading3"/>
    <w:basedOn w:val="VAGOHeading2"/>
    <w:semiHidden/>
    <w:rsid w:val="00901E03"/>
    <w:rPr>
      <w:b w:val="0"/>
      <w:i/>
    </w:rPr>
  </w:style>
  <w:style w:type="character" w:customStyle="1" w:styleId="TableheadingChar">
    <w:name w:val="Table heading Char"/>
    <w:link w:val="Tableheading"/>
    <w:rsid w:val="00BB71EC"/>
    <w:rPr>
      <w:rFonts w:ascii="Calibri" w:hAnsi="Calibri"/>
      <w:b/>
      <w:sz w:val="25"/>
      <w:lang w:val="en-AU" w:eastAsia="en-US" w:bidi="ar-SA"/>
    </w:rPr>
  </w:style>
  <w:style w:type="paragraph" w:customStyle="1" w:styleId="TabletextheadingLeft">
    <w:name w:val="Table text heading Left"/>
    <w:basedOn w:val="Tabletextheading"/>
    <w:rsid w:val="00901E03"/>
    <w:pPr>
      <w:jc w:val="left"/>
    </w:pPr>
  </w:style>
  <w:style w:type="paragraph" w:customStyle="1" w:styleId="Chartpara">
    <w:name w:val="Chart para"/>
    <w:basedOn w:val="Normal"/>
    <w:semiHidden/>
    <w:rsid w:val="00901E03"/>
    <w:pPr>
      <w:spacing w:after="0"/>
    </w:pPr>
  </w:style>
  <w:style w:type="paragraph" w:customStyle="1" w:styleId="FrontPage">
    <w:name w:val="Front Page"/>
    <w:basedOn w:val="Normal"/>
    <w:semiHidden/>
    <w:rsid w:val="00C2380B"/>
    <w:pPr>
      <w:jc w:val="center"/>
    </w:pPr>
    <w:rPr>
      <w:rFonts w:ascii="Calibri" w:hAnsi="Calibri"/>
      <w:b/>
      <w:sz w:val="54"/>
      <w:szCs w:val="52"/>
    </w:rPr>
  </w:style>
  <w:style w:type="paragraph" w:customStyle="1" w:styleId="FrontPage2">
    <w:name w:val="Front Page 2"/>
    <w:basedOn w:val="FrontPage"/>
    <w:semiHidden/>
    <w:rsid w:val="00901E03"/>
    <w:pPr>
      <w:pBdr>
        <w:bottom w:val="single" w:sz="12" w:space="1" w:color="auto"/>
      </w:pBdr>
    </w:pPr>
  </w:style>
  <w:style w:type="paragraph" w:customStyle="1" w:styleId="FrontPage3">
    <w:name w:val="Front Page 3"/>
    <w:basedOn w:val="Normal"/>
    <w:semiHidden/>
    <w:rsid w:val="00C2380B"/>
    <w:pPr>
      <w:jc w:val="center"/>
    </w:pPr>
    <w:rPr>
      <w:rFonts w:ascii="Calibri" w:hAnsi="Calibri"/>
      <w:sz w:val="30"/>
      <w:szCs w:val="28"/>
    </w:rPr>
  </w:style>
  <w:style w:type="paragraph" w:customStyle="1" w:styleId="FrontPageBP">
    <w:name w:val="Front Page BP"/>
    <w:basedOn w:val="Normal"/>
    <w:semiHidden/>
    <w:rsid w:val="00C2380B"/>
    <w:pPr>
      <w:jc w:val="center"/>
    </w:pPr>
    <w:rPr>
      <w:rFonts w:ascii="Calibri" w:hAnsi="Calibri"/>
      <w:b/>
      <w:sz w:val="34"/>
      <w:szCs w:val="32"/>
    </w:rPr>
  </w:style>
  <w:style w:type="paragraph" w:customStyle="1" w:styleId="FrontPageHon">
    <w:name w:val="Front Page Hon"/>
    <w:basedOn w:val="Normal"/>
    <w:semiHidden/>
    <w:rsid w:val="00C2380B"/>
    <w:pPr>
      <w:jc w:val="center"/>
    </w:pPr>
    <w:rPr>
      <w:rFonts w:ascii="Calibri" w:hAnsi="Calibri"/>
      <w:sz w:val="32"/>
      <w:szCs w:val="30"/>
    </w:rPr>
  </w:style>
  <w:style w:type="paragraph" w:customStyle="1" w:styleId="FrontPageMin">
    <w:name w:val="Front Page Min"/>
    <w:basedOn w:val="Normal"/>
    <w:semiHidden/>
    <w:rsid w:val="00C2380B"/>
    <w:pPr>
      <w:jc w:val="center"/>
    </w:pPr>
    <w:rPr>
      <w:rFonts w:ascii="Calibri" w:hAnsi="Calibri"/>
      <w:sz w:val="36"/>
      <w:szCs w:val="36"/>
    </w:rPr>
  </w:style>
  <w:style w:type="paragraph" w:customStyle="1" w:styleId="Heading2NotesQtrly">
    <w:name w:val="Heading 2 Notes Qtrly"/>
    <w:basedOn w:val="Heading2Notes"/>
    <w:rsid w:val="00901E03"/>
  </w:style>
  <w:style w:type="paragraph" w:customStyle="1" w:styleId="Heading3NumberingBP4">
    <w:name w:val="Heading 3 Numbering BP4"/>
    <w:basedOn w:val="Heading3Numbering"/>
    <w:semiHidden/>
    <w:rsid w:val="00901E03"/>
    <w:pPr>
      <w:numPr>
        <w:numId w:val="0"/>
      </w:numPr>
    </w:pPr>
  </w:style>
  <w:style w:type="paragraph" w:customStyle="1" w:styleId="HighlightBoxBullet">
    <w:name w:val="Highlight Box Bullet"/>
    <w:basedOn w:val="Normal"/>
    <w:qFormat/>
    <w:rsid w:val="00477003"/>
    <w:pPr>
      <w:numPr>
        <w:numId w:val="3"/>
      </w:numPr>
      <w:shd w:val="pct10" w:color="auto" w:fill="FFFFFF"/>
      <w:ind w:left="360"/>
    </w:pPr>
  </w:style>
  <w:style w:type="paragraph" w:customStyle="1" w:styleId="HighlightBoxHeading">
    <w:name w:val="Highlight Box Heading"/>
    <w:basedOn w:val="Heading5a"/>
    <w:qFormat/>
    <w:rsid w:val="00901E03"/>
    <w:pPr>
      <w:shd w:val="clear" w:color="auto" w:fill="E6E6E6"/>
    </w:pPr>
  </w:style>
  <w:style w:type="paragraph" w:styleId="Index1">
    <w:name w:val="index 1"/>
    <w:basedOn w:val="Normal"/>
    <w:next w:val="Normal"/>
    <w:autoRedefine/>
    <w:semiHidden/>
    <w:rsid w:val="00901E03"/>
    <w:pPr>
      <w:spacing w:after="0"/>
      <w:ind w:left="220" w:hanging="220"/>
    </w:pPr>
    <w:rPr>
      <w:sz w:val="18"/>
      <w:szCs w:val="18"/>
    </w:rPr>
  </w:style>
  <w:style w:type="paragraph" w:styleId="Index2">
    <w:name w:val="index 2"/>
    <w:basedOn w:val="Normal"/>
    <w:next w:val="Normal"/>
    <w:autoRedefine/>
    <w:semiHidden/>
    <w:rsid w:val="00901E03"/>
    <w:pPr>
      <w:spacing w:after="0"/>
      <w:ind w:left="440" w:hanging="220"/>
    </w:pPr>
    <w:rPr>
      <w:sz w:val="18"/>
      <w:szCs w:val="18"/>
    </w:rPr>
  </w:style>
  <w:style w:type="paragraph" w:styleId="IndexHeading">
    <w:name w:val="index heading"/>
    <w:basedOn w:val="Normal"/>
    <w:next w:val="Index1"/>
    <w:semiHidden/>
    <w:rsid w:val="00901E03"/>
    <w:pPr>
      <w:spacing w:before="240"/>
      <w:jc w:val="center"/>
    </w:pPr>
    <w:rPr>
      <w:b/>
      <w:bCs/>
      <w:sz w:val="26"/>
      <w:szCs w:val="26"/>
    </w:rPr>
  </w:style>
  <w:style w:type="paragraph" w:styleId="NormalIndent">
    <w:name w:val="Normal Indent"/>
    <w:basedOn w:val="Normal"/>
    <w:locked/>
    <w:rsid w:val="00901E03"/>
    <w:pPr>
      <w:ind w:left="360"/>
    </w:pPr>
  </w:style>
  <w:style w:type="character" w:customStyle="1" w:styleId="OGHeading2Char">
    <w:name w:val="OGHeading2 Char"/>
    <w:link w:val="OGHeading2"/>
    <w:rsid w:val="00BB71EC"/>
    <w:rPr>
      <w:rFonts w:ascii="Calibri" w:hAnsi="Calibri"/>
      <w:b/>
      <w:sz w:val="30"/>
      <w:szCs w:val="24"/>
      <w:lang w:val="en-AU" w:eastAsia="en-US" w:bidi="ar-SA"/>
    </w:rPr>
  </w:style>
  <w:style w:type="paragraph" w:customStyle="1" w:styleId="OGNotes">
    <w:name w:val="OGNotes"/>
    <w:basedOn w:val="NotesIndent"/>
    <w:semiHidden/>
    <w:rsid w:val="00901E03"/>
    <w:pPr>
      <w:tabs>
        <w:tab w:val="clear" w:pos="454"/>
      </w:tabs>
      <w:spacing w:after="60"/>
      <w:ind w:left="360" w:right="115" w:firstLine="0"/>
    </w:pPr>
    <w:rPr>
      <w:lang w:eastAsia="en-AU"/>
    </w:rPr>
  </w:style>
  <w:style w:type="paragraph" w:customStyle="1" w:styleId="OGNotesIndent">
    <w:name w:val="OGNotesIndent"/>
    <w:basedOn w:val="OGNotes"/>
    <w:semiHidden/>
    <w:rsid w:val="00901E03"/>
    <w:pPr>
      <w:ind w:left="720" w:hanging="360"/>
    </w:pPr>
  </w:style>
  <w:style w:type="paragraph" w:customStyle="1" w:styleId="OGUoM">
    <w:name w:val="OGUoM"/>
    <w:basedOn w:val="TableTextCentred"/>
    <w:semiHidden/>
    <w:rsid w:val="00901E03"/>
    <w:pPr>
      <w:spacing w:before="30" w:after="30"/>
    </w:pPr>
  </w:style>
  <w:style w:type="paragraph" w:customStyle="1" w:styleId="OGTabColCentred">
    <w:name w:val="OGTabColCentred"/>
    <w:basedOn w:val="OGUoM"/>
    <w:semiHidden/>
    <w:rsid w:val="00901E03"/>
    <w:rPr>
      <w:b/>
      <w:lang w:eastAsia="en-AU"/>
    </w:rPr>
  </w:style>
  <w:style w:type="paragraph" w:customStyle="1" w:styleId="OGTableofFigures">
    <w:name w:val="OGTable of Figures"/>
    <w:basedOn w:val="TableofFigures"/>
    <w:semiHidden/>
    <w:rsid w:val="00901E03"/>
    <w:pPr>
      <w:spacing w:before="30" w:after="30"/>
    </w:pPr>
  </w:style>
  <w:style w:type="paragraph" w:customStyle="1" w:styleId="OGTabColRight">
    <w:name w:val="OGTabColRight"/>
    <w:basedOn w:val="OGTableofFigures"/>
    <w:semiHidden/>
    <w:rsid w:val="00901E03"/>
    <w:rPr>
      <w:b/>
    </w:rPr>
  </w:style>
  <w:style w:type="paragraph" w:customStyle="1" w:styleId="OGTabColLeft">
    <w:name w:val="OGTabColLeft"/>
    <w:basedOn w:val="OGTabColRight"/>
    <w:semiHidden/>
    <w:rsid w:val="00901E03"/>
    <w:pPr>
      <w:jc w:val="left"/>
    </w:pPr>
    <w:rPr>
      <w:lang w:eastAsia="en-AU"/>
    </w:rPr>
  </w:style>
  <w:style w:type="character" w:customStyle="1" w:styleId="OGTabTextChar">
    <w:name w:val="OGTabText Char"/>
    <w:link w:val="OGTabText"/>
    <w:rsid w:val="00BB71EC"/>
    <w:rPr>
      <w:rFonts w:ascii="Calibri" w:hAnsi="Calibri"/>
      <w:sz w:val="22"/>
      <w:szCs w:val="18"/>
      <w:lang w:val="en-AU" w:eastAsia="en-US" w:bidi="ar-SA"/>
    </w:rPr>
  </w:style>
  <w:style w:type="character" w:customStyle="1" w:styleId="OGTextChar">
    <w:name w:val="OGText Char"/>
    <w:link w:val="OGText"/>
    <w:rsid w:val="00BB71EC"/>
    <w:rPr>
      <w:rFonts w:ascii="Calibri" w:hAnsi="Calibri"/>
      <w:sz w:val="22"/>
      <w:szCs w:val="18"/>
      <w:lang w:val="en-AU" w:eastAsia="en-US" w:bidi="ar-SA"/>
    </w:rPr>
  </w:style>
  <w:style w:type="paragraph" w:customStyle="1" w:styleId="TableofContentscontinued">
    <w:name w:val="Table of Contents continued"/>
    <w:basedOn w:val="Normal"/>
    <w:rsid w:val="00BB71EC"/>
    <w:pPr>
      <w:keepNext/>
      <w:tabs>
        <w:tab w:val="left" w:pos="1152"/>
      </w:tabs>
      <w:spacing w:before="240"/>
      <w:ind w:left="1152" w:hanging="1152"/>
      <w:outlineLvl w:val="1"/>
    </w:pPr>
    <w:rPr>
      <w:rFonts w:ascii="Calibri" w:hAnsi="Calibri"/>
      <w:b/>
      <w:kern w:val="28"/>
      <w:sz w:val="28"/>
      <w:szCs w:val="22"/>
    </w:rPr>
  </w:style>
  <w:style w:type="character" w:customStyle="1" w:styleId="TableofFiguresChar">
    <w:name w:val="Table of Figures Char"/>
    <w:link w:val="TableofFigures"/>
    <w:rsid w:val="0093166C"/>
    <w:rPr>
      <w:rFonts w:ascii="Calibri" w:hAnsi="Calibri"/>
      <w:sz w:val="22"/>
      <w:szCs w:val="18"/>
      <w:lang w:eastAsia="en-US"/>
    </w:rPr>
  </w:style>
  <w:style w:type="paragraph" w:customStyle="1" w:styleId="TableTextindent">
    <w:name w:val="Table Text indent"/>
    <w:basedOn w:val="Tabletext"/>
    <w:rsid w:val="00901E03"/>
    <w:pPr>
      <w:ind w:left="360" w:firstLine="0"/>
    </w:pPr>
  </w:style>
  <w:style w:type="paragraph" w:customStyle="1" w:styleId="TableTextindent2">
    <w:name w:val="Table Text indent 2"/>
    <w:basedOn w:val="TableTextindent"/>
    <w:rsid w:val="00160ABB"/>
    <w:pPr>
      <w:spacing w:after="40"/>
      <w:ind w:left="720" w:hanging="360"/>
    </w:pPr>
  </w:style>
  <w:style w:type="paragraph" w:customStyle="1" w:styleId="VAGOBullet">
    <w:name w:val="VAGOBullet"/>
    <w:basedOn w:val="VAGOText"/>
    <w:semiHidden/>
    <w:rsid w:val="00901E03"/>
    <w:pPr>
      <w:numPr>
        <w:numId w:val="6"/>
      </w:numPr>
      <w:ind w:right="-51"/>
    </w:pPr>
    <w:rPr>
      <w:iCs/>
    </w:rPr>
  </w:style>
  <w:style w:type="character" w:customStyle="1" w:styleId="TabletextChar">
    <w:name w:val="Table text Char"/>
    <w:link w:val="Tabletext"/>
    <w:rsid w:val="00630FB1"/>
    <w:rPr>
      <w:rFonts w:ascii="Calibri" w:hAnsi="Calibri"/>
      <w:sz w:val="22"/>
      <w:szCs w:val="18"/>
      <w:lang w:eastAsia="en-US"/>
    </w:rPr>
  </w:style>
  <w:style w:type="character" w:customStyle="1" w:styleId="millionChar">
    <w:name w:val="$million Char"/>
    <w:link w:val="million"/>
    <w:rsid w:val="00B208AA"/>
    <w:rPr>
      <w:rFonts w:ascii="Calibri" w:hAnsi="Calibri"/>
      <w:i/>
      <w:szCs w:val="18"/>
      <w:lang w:val="en-AU" w:eastAsia="en-US" w:bidi="ar-SA"/>
    </w:rPr>
  </w:style>
  <w:style w:type="character" w:customStyle="1" w:styleId="TabletextheadingChar">
    <w:name w:val="Table text heading Char"/>
    <w:link w:val="Tabletextheading"/>
    <w:locked/>
    <w:rsid w:val="00B208AA"/>
    <w:rPr>
      <w:rFonts w:ascii="Calibri" w:hAnsi="Calibri"/>
      <w:i/>
      <w:sz w:val="24"/>
      <w:szCs w:val="18"/>
      <w:lang w:val="en-AU" w:eastAsia="en-US" w:bidi="ar-SA"/>
    </w:rPr>
  </w:style>
  <w:style w:type="character" w:customStyle="1" w:styleId="SourceChar">
    <w:name w:val="Source Char"/>
    <w:link w:val="Source"/>
    <w:locked/>
    <w:rsid w:val="00B208AA"/>
    <w:rPr>
      <w:rFonts w:ascii="Calibri" w:hAnsi="Calibri"/>
      <w:i/>
      <w:sz w:val="16"/>
      <w:lang w:val="en-AU" w:eastAsia="en-US" w:bidi="ar-SA"/>
    </w:rPr>
  </w:style>
  <w:style w:type="character" w:customStyle="1" w:styleId="TabletextheadingCentredChar">
    <w:name w:val="Table text heading Centred Char"/>
    <w:link w:val="TabletextheadingCentred"/>
    <w:locked/>
    <w:rsid w:val="00C4543A"/>
    <w:rPr>
      <w:rFonts w:ascii="Calibri" w:hAnsi="Calibri"/>
      <w:i/>
      <w:sz w:val="24"/>
      <w:szCs w:val="18"/>
      <w:lang w:val="en-AU" w:eastAsia="en-US" w:bidi="ar-SA"/>
    </w:rPr>
  </w:style>
  <w:style w:type="paragraph" w:customStyle="1" w:styleId="Heading1Continued">
    <w:name w:val="Heading 1 Continued"/>
    <w:basedOn w:val="Heading1"/>
    <w:qFormat/>
    <w:rsid w:val="007A44BF"/>
    <w:rPr>
      <w:caps w:val="0"/>
    </w:rPr>
  </w:style>
  <w:style w:type="character" w:styleId="Hyperlink">
    <w:name w:val="Hyperlink"/>
    <w:basedOn w:val="DefaultParagraphFont"/>
    <w:uiPriority w:val="99"/>
    <w:locked/>
    <w:rsid w:val="00027A43"/>
    <w:rPr>
      <w:color w:val="0000FF" w:themeColor="hyperlink"/>
      <w:u w:val="single"/>
    </w:rPr>
  </w:style>
  <w:style w:type="paragraph" w:styleId="BalloonText">
    <w:name w:val="Balloon Text"/>
    <w:basedOn w:val="Normal"/>
    <w:link w:val="BalloonTextChar"/>
    <w:locked/>
    <w:rsid w:val="00160ABB"/>
    <w:pPr>
      <w:spacing w:after="0"/>
    </w:pPr>
    <w:rPr>
      <w:rFonts w:ascii="Tahoma" w:hAnsi="Tahoma" w:cs="Tahoma"/>
      <w:sz w:val="16"/>
      <w:szCs w:val="16"/>
    </w:rPr>
  </w:style>
  <w:style w:type="character" w:customStyle="1" w:styleId="BalloonTextChar">
    <w:name w:val="Balloon Text Char"/>
    <w:basedOn w:val="DefaultParagraphFont"/>
    <w:link w:val="BalloonText"/>
    <w:rsid w:val="00160ABB"/>
    <w:rPr>
      <w:rFonts w:ascii="Tahoma" w:hAnsi="Tahoma" w:cs="Tahoma"/>
      <w:sz w:val="16"/>
      <w:szCs w:val="16"/>
      <w:lang w:eastAsia="en-US"/>
    </w:rPr>
  </w:style>
  <w:style w:type="paragraph" w:customStyle="1" w:styleId="TabletextIndent1">
    <w:name w:val="Table text Indent 1"/>
    <w:basedOn w:val="Tabletext"/>
    <w:rsid w:val="00160ABB"/>
    <w:pPr>
      <w:spacing w:after="40"/>
      <w:ind w:left="362" w:hanging="362"/>
    </w:pPr>
    <w:rPr>
      <w:szCs w:val="20"/>
    </w:rPr>
  </w:style>
  <w:style w:type="paragraph" w:styleId="FootnoteText">
    <w:name w:val="footnote text"/>
    <w:basedOn w:val="Normal"/>
    <w:link w:val="FootnoteTextChar"/>
    <w:locked/>
    <w:rsid w:val="005A7787"/>
    <w:pPr>
      <w:spacing w:after="0"/>
    </w:pPr>
    <w:rPr>
      <w:sz w:val="20"/>
    </w:rPr>
  </w:style>
  <w:style w:type="character" w:customStyle="1" w:styleId="FootnoteTextChar">
    <w:name w:val="Footnote Text Char"/>
    <w:basedOn w:val="DefaultParagraphFont"/>
    <w:link w:val="FootnoteText"/>
    <w:rsid w:val="005A7787"/>
    <w:rPr>
      <w:rFonts w:ascii="Garamond" w:hAnsi="Garamond"/>
      <w:lang w:eastAsia="en-US"/>
    </w:rPr>
  </w:style>
  <w:style w:type="character" w:styleId="FootnoteReference">
    <w:name w:val="footnote reference"/>
    <w:basedOn w:val="DefaultParagraphFont"/>
    <w:locked/>
    <w:rsid w:val="005A7787"/>
    <w:rPr>
      <w:vertAlign w:val="superscript"/>
    </w:rPr>
  </w:style>
  <w:style w:type="character" w:customStyle="1" w:styleId="Heading1Char">
    <w:name w:val="Heading 1 Char"/>
    <w:link w:val="Heading1"/>
    <w:rsid w:val="005A7787"/>
    <w:rPr>
      <w:rFonts w:ascii="Calibri" w:hAnsi="Calibri"/>
      <w:b/>
      <w:caps/>
      <w:sz w:val="28"/>
      <w:szCs w:val="22"/>
      <w:lang w:eastAsia="en-US"/>
    </w:rPr>
  </w:style>
  <w:style w:type="character" w:customStyle="1" w:styleId="BulletTextChar">
    <w:name w:val="Bullet Text Char"/>
    <w:link w:val="BulletText"/>
    <w:locked/>
    <w:rsid w:val="005A7787"/>
    <w:rPr>
      <w:rFonts w:ascii="Garamond" w:hAnsi="Garamond"/>
      <w:sz w:val="24"/>
      <w:lang w:eastAsia="en-US"/>
    </w:rPr>
  </w:style>
  <w:style w:type="character" w:customStyle="1" w:styleId="NotesChar">
    <w:name w:val="Notes Char"/>
    <w:link w:val="Notes"/>
    <w:locked/>
    <w:rsid w:val="005A7787"/>
    <w:rPr>
      <w:rFonts w:ascii="Calibri" w:hAnsi="Calibri"/>
      <w:i/>
      <w:sz w:val="16"/>
      <w:lang w:eastAsia="en-US"/>
    </w:rPr>
  </w:style>
  <w:style w:type="character" w:customStyle="1" w:styleId="DashTextChar">
    <w:name w:val="Dash Text Char"/>
    <w:link w:val="DashText"/>
    <w:rsid w:val="005A7787"/>
    <w:rPr>
      <w:rFonts w:ascii="Garamond" w:hAnsi="Garamond"/>
      <w:sz w:val="24"/>
      <w:lang w:eastAsia="en-US"/>
    </w:rPr>
  </w:style>
  <w:style w:type="character" w:customStyle="1" w:styleId="Heading2Char">
    <w:name w:val="Heading 2 Char"/>
    <w:link w:val="Heading2"/>
    <w:locked/>
    <w:rsid w:val="005A7787"/>
    <w:rPr>
      <w:rFonts w:ascii="Calibri" w:hAnsi="Calibri"/>
      <w:b/>
      <w:kern w:val="28"/>
      <w:sz w:val="28"/>
      <w:szCs w:val="22"/>
      <w:lang w:eastAsia="en-US"/>
    </w:rPr>
  </w:style>
  <w:style w:type="character" w:customStyle="1" w:styleId="Heading3Char">
    <w:name w:val="Heading 3 Char"/>
    <w:link w:val="Heading3"/>
    <w:rsid w:val="005A7787"/>
    <w:rPr>
      <w:rFonts w:ascii="Calibri" w:hAnsi="Calibri"/>
      <w:b/>
      <w:i/>
      <w:kern w:val="28"/>
      <w:sz w:val="26"/>
      <w:szCs w:val="22"/>
      <w:lang w:eastAsia="en-US"/>
    </w:rPr>
  </w:style>
  <w:style w:type="character" w:customStyle="1" w:styleId="Heading6Char">
    <w:name w:val="Heading 6 Char"/>
    <w:basedOn w:val="DefaultParagraphFont"/>
    <w:link w:val="Heading6"/>
    <w:semiHidden/>
    <w:rsid w:val="005A7787"/>
    <w:rPr>
      <w:rFonts w:asciiTheme="majorHAnsi" w:eastAsiaTheme="majorEastAsia" w:hAnsiTheme="majorHAnsi" w:cstheme="majorBidi"/>
      <w:i/>
      <w:iCs/>
      <w:color w:val="243F60" w:themeColor="accent1" w:themeShade="7F"/>
      <w:sz w:val="24"/>
      <w:lang w:eastAsia="en-US"/>
    </w:rPr>
  </w:style>
  <w:style w:type="character" w:customStyle="1" w:styleId="Heading7Char">
    <w:name w:val="Heading 7 Char"/>
    <w:basedOn w:val="DefaultParagraphFont"/>
    <w:link w:val="Heading7"/>
    <w:semiHidden/>
    <w:rsid w:val="005A7787"/>
    <w:rPr>
      <w:rFonts w:asciiTheme="majorHAnsi" w:eastAsiaTheme="majorEastAsia" w:hAnsiTheme="majorHAnsi" w:cstheme="majorBidi"/>
      <w:i/>
      <w:iCs/>
      <w:color w:val="404040" w:themeColor="text1" w:themeTint="BF"/>
      <w:sz w:val="24"/>
      <w:lang w:eastAsia="en-US"/>
    </w:rPr>
  </w:style>
  <w:style w:type="character" w:customStyle="1" w:styleId="Heading8Char">
    <w:name w:val="Heading 8 Char"/>
    <w:basedOn w:val="DefaultParagraphFont"/>
    <w:link w:val="Heading8"/>
    <w:semiHidden/>
    <w:rsid w:val="005A778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5A7787"/>
    <w:rPr>
      <w:rFonts w:asciiTheme="majorHAnsi" w:eastAsiaTheme="majorEastAsia" w:hAnsiTheme="majorHAnsi" w:cstheme="majorBidi"/>
      <w:i/>
      <w:iCs/>
      <w:color w:val="404040" w:themeColor="text1" w:themeTint="BF"/>
      <w:lang w:eastAsia="en-US"/>
    </w:rPr>
  </w:style>
  <w:style w:type="character" w:customStyle="1" w:styleId="Heading2NotesChar">
    <w:name w:val="Heading 2 Notes Char"/>
    <w:link w:val="Heading2Notes"/>
    <w:locked/>
    <w:rsid w:val="005A7787"/>
    <w:rPr>
      <w:rFonts w:ascii="Calibri" w:hAnsi="Calibri"/>
      <w:b/>
      <w:kern w:val="28"/>
      <w:sz w:val="28"/>
      <w:szCs w:val="22"/>
      <w:lang w:eastAsia="en-US"/>
    </w:rPr>
  </w:style>
  <w:style w:type="character" w:customStyle="1" w:styleId="Heading5Char">
    <w:name w:val="Heading 5 Char"/>
    <w:link w:val="Heading5"/>
    <w:rsid w:val="0067336F"/>
    <w:rPr>
      <w:rFonts w:ascii="Calibri" w:hAnsi="Calibri"/>
      <w:b/>
      <w:sz w:val="24"/>
      <w:lang w:eastAsia="en-US"/>
    </w:rPr>
  </w:style>
  <w:style w:type="paragraph" w:styleId="ListParagraph">
    <w:name w:val="List Paragraph"/>
    <w:basedOn w:val="Normal"/>
    <w:uiPriority w:val="34"/>
    <w:qFormat/>
    <w:rsid w:val="005A7787"/>
    <w:pPr>
      <w:ind w:left="720"/>
      <w:contextualSpacing/>
    </w:pPr>
  </w:style>
  <w:style w:type="character" w:customStyle="1" w:styleId="Heading2NotesContdChar">
    <w:name w:val="Heading 2 Notes Cont'd Char"/>
    <w:link w:val="Heading2NotesContd"/>
    <w:locked/>
    <w:rsid w:val="005A7787"/>
    <w:rPr>
      <w:rFonts w:ascii="Calibri" w:hAnsi="Calibri"/>
      <w:b/>
      <w:kern w:val="28"/>
      <w:sz w:val="28"/>
      <w:szCs w:val="22"/>
      <w:lang w:eastAsia="en-US"/>
    </w:rPr>
  </w:style>
  <w:style w:type="character" w:customStyle="1" w:styleId="Heading4Char">
    <w:name w:val="Heading 4 Char"/>
    <w:basedOn w:val="DefaultParagraphFont"/>
    <w:link w:val="Heading4"/>
    <w:rsid w:val="005A7787"/>
    <w:rPr>
      <w:rFonts w:ascii="Calibri" w:hAnsi="Calibri"/>
      <w:i/>
      <w:sz w:val="26"/>
      <w:szCs w:val="22"/>
      <w:lang w:eastAsia="en-US"/>
    </w:rPr>
  </w:style>
  <w:style w:type="numbering" w:customStyle="1" w:styleId="NoList1">
    <w:name w:val="No List1"/>
    <w:next w:val="NoList"/>
    <w:uiPriority w:val="99"/>
    <w:semiHidden/>
    <w:unhideWhenUsed/>
    <w:rsid w:val="005A7787"/>
  </w:style>
  <w:style w:type="character" w:customStyle="1" w:styleId="FooterChar">
    <w:name w:val="Footer Char"/>
    <w:basedOn w:val="DefaultParagraphFont"/>
    <w:link w:val="Footer"/>
    <w:rsid w:val="005A7787"/>
    <w:rPr>
      <w:rFonts w:ascii="Calibri" w:hAnsi="Calibri"/>
      <w:sz w:val="22"/>
      <w:szCs w:val="18"/>
      <w:lang w:eastAsia="en-US"/>
    </w:rPr>
  </w:style>
  <w:style w:type="character" w:customStyle="1" w:styleId="HeaderChar">
    <w:name w:val="Header Char"/>
    <w:basedOn w:val="DefaultParagraphFont"/>
    <w:link w:val="Header"/>
    <w:rsid w:val="005A7787"/>
    <w:rPr>
      <w:rFonts w:ascii="Calibri" w:hAnsi="Calibri"/>
      <w:sz w:val="22"/>
      <w:szCs w:val="18"/>
      <w:lang w:eastAsia="en-US"/>
    </w:rPr>
  </w:style>
  <w:style w:type="paragraph" w:customStyle="1" w:styleId="TableTextnoindent">
    <w:name w:val="Table Text no indent"/>
    <w:basedOn w:val="Tabletext"/>
    <w:qFormat/>
    <w:rsid w:val="005A7787"/>
    <w:pPr>
      <w:ind w:left="0" w:firstLine="0"/>
    </w:pPr>
    <w:rPr>
      <w:color w:val="000000"/>
      <w:lang w:eastAsia="en-AU"/>
    </w:rPr>
  </w:style>
  <w:style w:type="paragraph" w:customStyle="1" w:styleId="Char">
    <w:name w:val="Char"/>
    <w:basedOn w:val="Normal"/>
    <w:semiHidden/>
    <w:rsid w:val="005A7787"/>
    <w:pPr>
      <w:spacing w:after="0"/>
    </w:pPr>
    <w:rPr>
      <w:rFonts w:ascii="Arial" w:hAnsi="Arial"/>
      <w:sz w:val="22"/>
    </w:rPr>
  </w:style>
  <w:style w:type="character" w:customStyle="1" w:styleId="BIP1headinglChar">
    <w:name w:val="BIP1 heading l Char"/>
    <w:link w:val="BIP1headingl"/>
    <w:semiHidden/>
    <w:locked/>
    <w:rsid w:val="005A7787"/>
    <w:rPr>
      <w:rFonts w:ascii="Calibri" w:hAnsi="Calibri"/>
      <w:i/>
      <w:sz w:val="22"/>
      <w:szCs w:val="18"/>
      <w:lang w:eastAsia="en-US"/>
    </w:rPr>
  </w:style>
  <w:style w:type="paragraph" w:customStyle="1" w:styleId="TableTextbullet">
    <w:name w:val="Table Text bullet"/>
    <w:basedOn w:val="Tabletext"/>
    <w:qFormat/>
    <w:rsid w:val="005A7787"/>
    <w:pPr>
      <w:numPr>
        <w:numId w:val="10"/>
      </w:numPr>
      <w:ind w:left="284" w:hanging="284"/>
    </w:pPr>
  </w:style>
  <w:style w:type="paragraph" w:customStyle="1" w:styleId="Default">
    <w:name w:val="Default"/>
    <w:rsid w:val="005A7787"/>
    <w:pPr>
      <w:autoSpaceDE w:val="0"/>
      <w:autoSpaceDN w:val="0"/>
      <w:adjustRightInd w:val="0"/>
    </w:pPr>
    <w:rPr>
      <w:rFonts w:ascii="Arial" w:hAnsi="Arial" w:cs="Arial"/>
      <w:color w:val="000000"/>
      <w:sz w:val="24"/>
      <w:szCs w:val="24"/>
    </w:rPr>
  </w:style>
  <w:style w:type="paragraph" w:customStyle="1" w:styleId="TableTextdash">
    <w:name w:val="Table Text dash"/>
    <w:basedOn w:val="TableTextbullet"/>
    <w:qFormat/>
    <w:rsid w:val="005A7787"/>
    <w:pPr>
      <w:numPr>
        <w:numId w:val="8"/>
      </w:numPr>
      <w:tabs>
        <w:tab w:val="num" w:pos="360"/>
      </w:tabs>
      <w:spacing w:before="20" w:after="20"/>
      <w:ind w:left="421"/>
    </w:pPr>
  </w:style>
  <w:style w:type="character" w:styleId="CommentReference">
    <w:name w:val="annotation reference"/>
    <w:basedOn w:val="DefaultParagraphFont"/>
    <w:locked/>
    <w:rsid w:val="005A7787"/>
    <w:rPr>
      <w:sz w:val="16"/>
      <w:szCs w:val="16"/>
    </w:rPr>
  </w:style>
  <w:style w:type="paragraph" w:styleId="CommentText">
    <w:name w:val="annotation text"/>
    <w:basedOn w:val="Normal"/>
    <w:link w:val="CommentTextChar"/>
    <w:locked/>
    <w:rsid w:val="005A7787"/>
    <w:rPr>
      <w:sz w:val="20"/>
    </w:rPr>
  </w:style>
  <w:style w:type="character" w:customStyle="1" w:styleId="CommentTextChar">
    <w:name w:val="Comment Text Char"/>
    <w:basedOn w:val="DefaultParagraphFont"/>
    <w:link w:val="CommentText"/>
    <w:rsid w:val="005A7787"/>
    <w:rPr>
      <w:rFonts w:ascii="Garamond" w:hAnsi="Garamond"/>
      <w:lang w:eastAsia="en-US"/>
    </w:rPr>
  </w:style>
  <w:style w:type="paragraph" w:styleId="CommentSubject">
    <w:name w:val="annotation subject"/>
    <w:basedOn w:val="CommentText"/>
    <w:next w:val="CommentText"/>
    <w:link w:val="CommentSubjectChar"/>
    <w:locked/>
    <w:rsid w:val="005A7787"/>
    <w:rPr>
      <w:b/>
      <w:bCs/>
    </w:rPr>
  </w:style>
  <w:style w:type="character" w:customStyle="1" w:styleId="CommentSubjectChar">
    <w:name w:val="Comment Subject Char"/>
    <w:basedOn w:val="CommentTextChar"/>
    <w:link w:val="CommentSubject"/>
    <w:rsid w:val="005A7787"/>
    <w:rPr>
      <w:rFonts w:ascii="Garamond" w:hAnsi="Garamond"/>
      <w:b/>
      <w:bCs/>
      <w:lang w:eastAsia="en-US"/>
    </w:rPr>
  </w:style>
  <w:style w:type="paragraph" w:styleId="Revision">
    <w:name w:val="Revision"/>
    <w:hidden/>
    <w:uiPriority w:val="99"/>
    <w:semiHidden/>
    <w:rsid w:val="005A7787"/>
    <w:rPr>
      <w:rFonts w:ascii="Garamond" w:hAnsi="Garamond"/>
      <w:sz w:val="24"/>
      <w:lang w:eastAsia="en-US"/>
    </w:rPr>
  </w:style>
  <w:style w:type="paragraph" w:customStyle="1" w:styleId="Heading1cont">
    <w:name w:val="Heading 1 cont"/>
    <w:basedOn w:val="Heading1"/>
    <w:qFormat/>
    <w:rsid w:val="005A7787"/>
    <w:rPr>
      <w:caps w:val="0"/>
    </w:rPr>
  </w:style>
  <w:style w:type="character" w:styleId="PlaceholderText">
    <w:name w:val="Placeholder Text"/>
    <w:basedOn w:val="DefaultParagraphFont"/>
    <w:uiPriority w:val="99"/>
    <w:semiHidden/>
    <w:rsid w:val="005A7787"/>
    <w:rPr>
      <w:color w:val="808080"/>
    </w:rPr>
  </w:style>
  <w:style w:type="paragraph" w:customStyle="1" w:styleId="Bullet">
    <w:name w:val="Bullet"/>
    <w:basedOn w:val="Normal"/>
    <w:link w:val="BulletCharChar"/>
    <w:qFormat/>
    <w:rsid w:val="005A7787"/>
    <w:pPr>
      <w:numPr>
        <w:numId w:val="9"/>
      </w:numPr>
      <w:spacing w:before="120" w:after="0"/>
    </w:pPr>
    <w:rPr>
      <w:rFonts w:eastAsia="Tahoma" w:cs="Tahoma"/>
      <w:sz w:val="22"/>
      <w:szCs w:val="22"/>
      <w:lang w:eastAsia="en-AU"/>
    </w:rPr>
  </w:style>
  <w:style w:type="character" w:customStyle="1" w:styleId="BulletCharChar">
    <w:name w:val="Bullet Char Char"/>
    <w:link w:val="Bullet"/>
    <w:locked/>
    <w:rsid w:val="005A7787"/>
    <w:rPr>
      <w:rFonts w:ascii="Garamond" w:eastAsia="Tahoma" w:hAnsi="Garamond" w:cs="Tahoma"/>
      <w:sz w:val="22"/>
      <w:szCs w:val="22"/>
    </w:rPr>
  </w:style>
  <w:style w:type="character" w:customStyle="1" w:styleId="NormalBlueChar">
    <w:name w:val="Normal Blue Char"/>
    <w:link w:val="NormalBlue"/>
    <w:locked/>
    <w:rsid w:val="005A7787"/>
    <w:rPr>
      <w:color w:val="0000FF"/>
    </w:rPr>
  </w:style>
  <w:style w:type="paragraph" w:customStyle="1" w:styleId="NormalBlue">
    <w:name w:val="Normal Blue"/>
    <w:basedOn w:val="Normal"/>
    <w:link w:val="NormalBlueChar"/>
    <w:qFormat/>
    <w:rsid w:val="005A7787"/>
    <w:pPr>
      <w:spacing w:before="120" w:after="0"/>
    </w:pPr>
    <w:rPr>
      <w:rFonts w:ascii="Times New Roman" w:hAnsi="Times New Roman"/>
      <w:color w:val="0000FF"/>
      <w:sz w:val="20"/>
      <w:lang w:eastAsia="en-AU"/>
    </w:rPr>
  </w:style>
  <w:style w:type="table" w:customStyle="1" w:styleId="CVtable1">
    <w:name w:val="CV table1"/>
    <w:basedOn w:val="TableNormal"/>
    <w:next w:val="TableGrid"/>
    <w:rsid w:val="005A7787"/>
    <w:pPr>
      <w:spacing w:before="120"/>
      <w:jc w:val="both"/>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5A7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ndent">
    <w:name w:val="Bullet Indent"/>
    <w:basedOn w:val="Bullet"/>
    <w:rsid w:val="005A7787"/>
    <w:pPr>
      <w:numPr>
        <w:numId w:val="0"/>
      </w:numPr>
      <w:tabs>
        <w:tab w:val="num" w:pos="720"/>
      </w:tabs>
      <w:ind w:left="810" w:hanging="720"/>
    </w:pPr>
    <w:rPr>
      <w:rFonts w:eastAsia="Times New Roman" w:cs="Times New Roman"/>
      <w:lang w:eastAsia="en-US"/>
    </w:rPr>
  </w:style>
  <w:style w:type="character" w:styleId="FollowedHyperlink">
    <w:name w:val="FollowedHyperlink"/>
    <w:basedOn w:val="DefaultParagraphFont"/>
    <w:uiPriority w:val="99"/>
    <w:unhideWhenUsed/>
    <w:locked/>
    <w:rsid w:val="005A7787"/>
    <w:rPr>
      <w:color w:val="800080" w:themeColor="followedHyperlink"/>
      <w:u w:val="single"/>
    </w:rPr>
  </w:style>
  <w:style w:type="character" w:styleId="Emphasis">
    <w:name w:val="Emphasis"/>
    <w:basedOn w:val="DefaultParagraphFont"/>
    <w:uiPriority w:val="20"/>
    <w:qFormat/>
    <w:locked/>
    <w:rsid w:val="005A7787"/>
    <w:rPr>
      <w:i/>
      <w:iCs/>
    </w:rPr>
  </w:style>
  <w:style w:type="paragraph" w:styleId="Bibliography">
    <w:name w:val="Bibliography"/>
    <w:basedOn w:val="Normal"/>
    <w:next w:val="Normal"/>
    <w:uiPriority w:val="37"/>
    <w:semiHidden/>
    <w:unhideWhenUsed/>
    <w:rsid w:val="005A7787"/>
  </w:style>
  <w:style w:type="paragraph" w:styleId="BlockText">
    <w:name w:val="Block Text"/>
    <w:basedOn w:val="Normal"/>
    <w:locked/>
    <w:rsid w:val="005A7787"/>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5A7787"/>
  </w:style>
  <w:style w:type="character" w:customStyle="1" w:styleId="BodyTextChar">
    <w:name w:val="Body Text Char"/>
    <w:basedOn w:val="DefaultParagraphFont"/>
    <w:link w:val="BodyText"/>
    <w:rsid w:val="005A7787"/>
    <w:rPr>
      <w:rFonts w:ascii="Garamond" w:hAnsi="Garamond"/>
      <w:sz w:val="24"/>
      <w:lang w:eastAsia="en-US"/>
    </w:rPr>
  </w:style>
  <w:style w:type="paragraph" w:styleId="BodyText2">
    <w:name w:val="Body Text 2"/>
    <w:basedOn w:val="Normal"/>
    <w:link w:val="BodyText2Char"/>
    <w:locked/>
    <w:rsid w:val="005A7787"/>
    <w:pPr>
      <w:spacing w:line="480" w:lineRule="auto"/>
    </w:pPr>
  </w:style>
  <w:style w:type="character" w:customStyle="1" w:styleId="BodyText2Char">
    <w:name w:val="Body Text 2 Char"/>
    <w:basedOn w:val="DefaultParagraphFont"/>
    <w:link w:val="BodyText2"/>
    <w:rsid w:val="005A7787"/>
    <w:rPr>
      <w:rFonts w:ascii="Garamond" w:hAnsi="Garamond"/>
      <w:sz w:val="24"/>
      <w:lang w:eastAsia="en-US"/>
    </w:rPr>
  </w:style>
  <w:style w:type="paragraph" w:styleId="BodyText3">
    <w:name w:val="Body Text 3"/>
    <w:basedOn w:val="Normal"/>
    <w:link w:val="BodyText3Char"/>
    <w:locked/>
    <w:rsid w:val="005A7787"/>
    <w:rPr>
      <w:sz w:val="16"/>
      <w:szCs w:val="16"/>
    </w:rPr>
  </w:style>
  <w:style w:type="character" w:customStyle="1" w:styleId="BodyText3Char">
    <w:name w:val="Body Text 3 Char"/>
    <w:basedOn w:val="DefaultParagraphFont"/>
    <w:link w:val="BodyText3"/>
    <w:rsid w:val="005A7787"/>
    <w:rPr>
      <w:rFonts w:ascii="Garamond" w:hAnsi="Garamond"/>
      <w:sz w:val="16"/>
      <w:szCs w:val="16"/>
      <w:lang w:eastAsia="en-US"/>
    </w:rPr>
  </w:style>
  <w:style w:type="paragraph" w:styleId="BodyTextFirstIndent">
    <w:name w:val="Body Text First Indent"/>
    <w:basedOn w:val="BodyText"/>
    <w:link w:val="BodyTextFirstIndentChar"/>
    <w:locked/>
    <w:rsid w:val="005A7787"/>
    <w:pPr>
      <w:ind w:firstLine="360"/>
    </w:pPr>
  </w:style>
  <w:style w:type="character" w:customStyle="1" w:styleId="BodyTextFirstIndentChar">
    <w:name w:val="Body Text First Indent Char"/>
    <w:basedOn w:val="BodyTextChar"/>
    <w:link w:val="BodyTextFirstIndent"/>
    <w:rsid w:val="005A7787"/>
    <w:rPr>
      <w:rFonts w:ascii="Garamond" w:hAnsi="Garamond"/>
      <w:sz w:val="24"/>
      <w:lang w:eastAsia="en-US"/>
    </w:rPr>
  </w:style>
  <w:style w:type="paragraph" w:styleId="BodyTextIndent">
    <w:name w:val="Body Text Indent"/>
    <w:basedOn w:val="Normal"/>
    <w:link w:val="BodyTextIndentChar"/>
    <w:locked/>
    <w:rsid w:val="005A7787"/>
    <w:pPr>
      <w:ind w:left="283"/>
    </w:pPr>
  </w:style>
  <w:style w:type="character" w:customStyle="1" w:styleId="BodyTextIndentChar">
    <w:name w:val="Body Text Indent Char"/>
    <w:basedOn w:val="DefaultParagraphFont"/>
    <w:link w:val="BodyTextIndent"/>
    <w:rsid w:val="005A7787"/>
    <w:rPr>
      <w:rFonts w:ascii="Garamond" w:hAnsi="Garamond"/>
      <w:sz w:val="24"/>
      <w:lang w:eastAsia="en-US"/>
    </w:rPr>
  </w:style>
  <w:style w:type="paragraph" w:styleId="BodyTextFirstIndent2">
    <w:name w:val="Body Text First Indent 2"/>
    <w:basedOn w:val="BodyTextIndent"/>
    <w:link w:val="BodyTextFirstIndent2Char"/>
    <w:locked/>
    <w:rsid w:val="005A7787"/>
    <w:pPr>
      <w:ind w:left="360" w:firstLine="360"/>
    </w:pPr>
  </w:style>
  <w:style w:type="character" w:customStyle="1" w:styleId="BodyTextFirstIndent2Char">
    <w:name w:val="Body Text First Indent 2 Char"/>
    <w:basedOn w:val="BodyTextIndentChar"/>
    <w:link w:val="BodyTextFirstIndent2"/>
    <w:rsid w:val="005A7787"/>
    <w:rPr>
      <w:rFonts w:ascii="Garamond" w:hAnsi="Garamond"/>
      <w:sz w:val="24"/>
      <w:lang w:eastAsia="en-US"/>
    </w:rPr>
  </w:style>
  <w:style w:type="paragraph" w:styleId="BodyTextIndent2">
    <w:name w:val="Body Text Indent 2"/>
    <w:basedOn w:val="Normal"/>
    <w:link w:val="BodyTextIndent2Char"/>
    <w:locked/>
    <w:rsid w:val="005A7787"/>
    <w:pPr>
      <w:spacing w:line="480" w:lineRule="auto"/>
      <w:ind w:left="283"/>
    </w:pPr>
  </w:style>
  <w:style w:type="character" w:customStyle="1" w:styleId="BodyTextIndent2Char">
    <w:name w:val="Body Text Indent 2 Char"/>
    <w:basedOn w:val="DefaultParagraphFont"/>
    <w:link w:val="BodyTextIndent2"/>
    <w:rsid w:val="005A7787"/>
    <w:rPr>
      <w:rFonts w:ascii="Garamond" w:hAnsi="Garamond"/>
      <w:sz w:val="24"/>
      <w:lang w:eastAsia="en-US"/>
    </w:rPr>
  </w:style>
  <w:style w:type="paragraph" w:styleId="BodyTextIndent3">
    <w:name w:val="Body Text Indent 3"/>
    <w:basedOn w:val="Normal"/>
    <w:link w:val="BodyTextIndent3Char"/>
    <w:locked/>
    <w:rsid w:val="005A7787"/>
    <w:pPr>
      <w:ind w:left="283"/>
    </w:pPr>
    <w:rPr>
      <w:sz w:val="16"/>
      <w:szCs w:val="16"/>
    </w:rPr>
  </w:style>
  <w:style w:type="character" w:customStyle="1" w:styleId="BodyTextIndent3Char">
    <w:name w:val="Body Text Indent 3 Char"/>
    <w:basedOn w:val="DefaultParagraphFont"/>
    <w:link w:val="BodyTextIndent3"/>
    <w:rsid w:val="005A7787"/>
    <w:rPr>
      <w:rFonts w:ascii="Garamond" w:hAnsi="Garamond"/>
      <w:sz w:val="16"/>
      <w:szCs w:val="16"/>
      <w:lang w:eastAsia="en-US"/>
    </w:rPr>
  </w:style>
  <w:style w:type="paragraph" w:styleId="Caption">
    <w:name w:val="caption"/>
    <w:basedOn w:val="Normal"/>
    <w:next w:val="Normal"/>
    <w:semiHidden/>
    <w:unhideWhenUsed/>
    <w:qFormat/>
    <w:locked/>
    <w:rsid w:val="005A7787"/>
    <w:pPr>
      <w:spacing w:after="200"/>
    </w:pPr>
    <w:rPr>
      <w:b/>
      <w:bCs/>
      <w:color w:val="4F81BD" w:themeColor="accent1"/>
      <w:sz w:val="18"/>
      <w:szCs w:val="18"/>
    </w:rPr>
  </w:style>
  <w:style w:type="paragraph" w:styleId="Closing">
    <w:name w:val="Closing"/>
    <w:basedOn w:val="Normal"/>
    <w:link w:val="ClosingChar"/>
    <w:locked/>
    <w:rsid w:val="005A7787"/>
    <w:pPr>
      <w:spacing w:after="0"/>
      <w:ind w:left="4252"/>
    </w:pPr>
  </w:style>
  <w:style w:type="character" w:customStyle="1" w:styleId="ClosingChar">
    <w:name w:val="Closing Char"/>
    <w:basedOn w:val="DefaultParagraphFont"/>
    <w:link w:val="Closing"/>
    <w:rsid w:val="005A7787"/>
    <w:rPr>
      <w:rFonts w:ascii="Garamond" w:hAnsi="Garamond"/>
      <w:sz w:val="24"/>
      <w:lang w:eastAsia="en-US"/>
    </w:rPr>
  </w:style>
  <w:style w:type="paragraph" w:styleId="Date">
    <w:name w:val="Date"/>
    <w:basedOn w:val="Normal"/>
    <w:next w:val="Normal"/>
    <w:link w:val="DateChar"/>
    <w:locked/>
    <w:rsid w:val="005A7787"/>
  </w:style>
  <w:style w:type="character" w:customStyle="1" w:styleId="DateChar">
    <w:name w:val="Date Char"/>
    <w:basedOn w:val="DefaultParagraphFont"/>
    <w:link w:val="Date"/>
    <w:rsid w:val="005A7787"/>
    <w:rPr>
      <w:rFonts w:ascii="Garamond" w:hAnsi="Garamond"/>
      <w:sz w:val="24"/>
      <w:lang w:eastAsia="en-US"/>
    </w:rPr>
  </w:style>
  <w:style w:type="paragraph" w:styleId="DocumentMap">
    <w:name w:val="Document Map"/>
    <w:basedOn w:val="Normal"/>
    <w:link w:val="DocumentMapChar"/>
    <w:locked/>
    <w:rsid w:val="005A7787"/>
    <w:pPr>
      <w:spacing w:after="0"/>
    </w:pPr>
    <w:rPr>
      <w:rFonts w:ascii="Tahoma" w:hAnsi="Tahoma" w:cs="Tahoma"/>
      <w:sz w:val="16"/>
      <w:szCs w:val="16"/>
    </w:rPr>
  </w:style>
  <w:style w:type="character" w:customStyle="1" w:styleId="DocumentMapChar">
    <w:name w:val="Document Map Char"/>
    <w:basedOn w:val="DefaultParagraphFont"/>
    <w:link w:val="DocumentMap"/>
    <w:rsid w:val="005A7787"/>
    <w:rPr>
      <w:rFonts w:ascii="Tahoma" w:hAnsi="Tahoma" w:cs="Tahoma"/>
      <w:sz w:val="16"/>
      <w:szCs w:val="16"/>
      <w:lang w:eastAsia="en-US"/>
    </w:rPr>
  </w:style>
  <w:style w:type="paragraph" w:styleId="E-mailSignature">
    <w:name w:val="E-mail Signature"/>
    <w:basedOn w:val="Normal"/>
    <w:link w:val="E-mailSignatureChar"/>
    <w:locked/>
    <w:rsid w:val="005A7787"/>
    <w:pPr>
      <w:spacing w:after="0"/>
    </w:pPr>
  </w:style>
  <w:style w:type="character" w:customStyle="1" w:styleId="E-mailSignatureChar">
    <w:name w:val="E-mail Signature Char"/>
    <w:basedOn w:val="DefaultParagraphFont"/>
    <w:link w:val="E-mailSignature"/>
    <w:rsid w:val="005A7787"/>
    <w:rPr>
      <w:rFonts w:ascii="Garamond" w:hAnsi="Garamond"/>
      <w:sz w:val="24"/>
      <w:lang w:eastAsia="en-US"/>
    </w:rPr>
  </w:style>
  <w:style w:type="paragraph" w:styleId="EndnoteText">
    <w:name w:val="endnote text"/>
    <w:basedOn w:val="Normal"/>
    <w:link w:val="EndnoteTextChar"/>
    <w:locked/>
    <w:rsid w:val="005A7787"/>
    <w:pPr>
      <w:spacing w:after="0"/>
    </w:pPr>
    <w:rPr>
      <w:sz w:val="20"/>
    </w:rPr>
  </w:style>
  <w:style w:type="character" w:customStyle="1" w:styleId="EndnoteTextChar">
    <w:name w:val="Endnote Text Char"/>
    <w:basedOn w:val="DefaultParagraphFont"/>
    <w:link w:val="EndnoteText"/>
    <w:rsid w:val="005A7787"/>
    <w:rPr>
      <w:rFonts w:ascii="Garamond" w:hAnsi="Garamond"/>
      <w:lang w:eastAsia="en-US"/>
    </w:rPr>
  </w:style>
  <w:style w:type="paragraph" w:styleId="EnvelopeAddress">
    <w:name w:val="envelope address"/>
    <w:basedOn w:val="Normal"/>
    <w:locked/>
    <w:rsid w:val="005A7787"/>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locked/>
    <w:rsid w:val="005A7787"/>
    <w:pPr>
      <w:spacing w:after="0"/>
    </w:pPr>
    <w:rPr>
      <w:rFonts w:asciiTheme="majorHAnsi" w:eastAsiaTheme="majorEastAsia" w:hAnsiTheme="majorHAnsi" w:cstheme="majorBidi"/>
      <w:sz w:val="20"/>
    </w:rPr>
  </w:style>
  <w:style w:type="paragraph" w:styleId="HTMLAddress">
    <w:name w:val="HTML Address"/>
    <w:basedOn w:val="Normal"/>
    <w:link w:val="HTMLAddressChar"/>
    <w:locked/>
    <w:rsid w:val="005A7787"/>
    <w:pPr>
      <w:spacing w:after="0"/>
    </w:pPr>
    <w:rPr>
      <w:i/>
      <w:iCs/>
    </w:rPr>
  </w:style>
  <w:style w:type="character" w:customStyle="1" w:styleId="HTMLAddressChar">
    <w:name w:val="HTML Address Char"/>
    <w:basedOn w:val="DefaultParagraphFont"/>
    <w:link w:val="HTMLAddress"/>
    <w:rsid w:val="005A7787"/>
    <w:rPr>
      <w:rFonts w:ascii="Garamond" w:hAnsi="Garamond"/>
      <w:i/>
      <w:iCs/>
      <w:sz w:val="24"/>
      <w:lang w:eastAsia="en-US"/>
    </w:rPr>
  </w:style>
  <w:style w:type="paragraph" w:styleId="HTMLPreformatted">
    <w:name w:val="HTML Preformatted"/>
    <w:basedOn w:val="Normal"/>
    <w:link w:val="HTMLPreformattedChar"/>
    <w:locked/>
    <w:rsid w:val="005A7787"/>
    <w:pPr>
      <w:spacing w:after="0"/>
    </w:pPr>
    <w:rPr>
      <w:rFonts w:ascii="Consolas" w:hAnsi="Consolas" w:cs="Consolas"/>
      <w:sz w:val="20"/>
    </w:rPr>
  </w:style>
  <w:style w:type="character" w:customStyle="1" w:styleId="HTMLPreformattedChar">
    <w:name w:val="HTML Preformatted Char"/>
    <w:basedOn w:val="DefaultParagraphFont"/>
    <w:link w:val="HTMLPreformatted"/>
    <w:rsid w:val="005A7787"/>
    <w:rPr>
      <w:rFonts w:ascii="Consolas" w:hAnsi="Consolas" w:cs="Consolas"/>
      <w:lang w:eastAsia="en-US"/>
    </w:rPr>
  </w:style>
  <w:style w:type="paragraph" w:styleId="Index3">
    <w:name w:val="index 3"/>
    <w:basedOn w:val="Normal"/>
    <w:next w:val="Normal"/>
    <w:autoRedefine/>
    <w:rsid w:val="005A7787"/>
    <w:pPr>
      <w:spacing w:after="0"/>
      <w:ind w:left="720" w:hanging="240"/>
    </w:pPr>
  </w:style>
  <w:style w:type="paragraph" w:styleId="Index4">
    <w:name w:val="index 4"/>
    <w:basedOn w:val="Normal"/>
    <w:next w:val="Normal"/>
    <w:autoRedefine/>
    <w:rsid w:val="005A7787"/>
    <w:pPr>
      <w:spacing w:after="0"/>
      <w:ind w:left="960" w:hanging="240"/>
    </w:pPr>
  </w:style>
  <w:style w:type="paragraph" w:styleId="Index5">
    <w:name w:val="index 5"/>
    <w:basedOn w:val="Normal"/>
    <w:next w:val="Normal"/>
    <w:autoRedefine/>
    <w:rsid w:val="005A7787"/>
    <w:pPr>
      <w:spacing w:after="0"/>
      <w:ind w:left="1200" w:hanging="240"/>
    </w:pPr>
  </w:style>
  <w:style w:type="paragraph" w:styleId="Index6">
    <w:name w:val="index 6"/>
    <w:basedOn w:val="Normal"/>
    <w:next w:val="Normal"/>
    <w:autoRedefine/>
    <w:locked/>
    <w:rsid w:val="005A7787"/>
    <w:pPr>
      <w:spacing w:after="0"/>
      <w:ind w:left="1440" w:hanging="240"/>
    </w:pPr>
  </w:style>
  <w:style w:type="paragraph" w:styleId="Index7">
    <w:name w:val="index 7"/>
    <w:basedOn w:val="Normal"/>
    <w:next w:val="Normal"/>
    <w:autoRedefine/>
    <w:locked/>
    <w:rsid w:val="005A7787"/>
    <w:pPr>
      <w:spacing w:after="0"/>
      <w:ind w:left="1680" w:hanging="240"/>
    </w:pPr>
  </w:style>
  <w:style w:type="paragraph" w:styleId="Index8">
    <w:name w:val="index 8"/>
    <w:basedOn w:val="Normal"/>
    <w:next w:val="Normal"/>
    <w:autoRedefine/>
    <w:locked/>
    <w:rsid w:val="005A7787"/>
    <w:pPr>
      <w:spacing w:after="0"/>
      <w:ind w:left="1920" w:hanging="240"/>
    </w:pPr>
  </w:style>
  <w:style w:type="paragraph" w:styleId="Index9">
    <w:name w:val="index 9"/>
    <w:basedOn w:val="Normal"/>
    <w:next w:val="Normal"/>
    <w:autoRedefine/>
    <w:locked/>
    <w:rsid w:val="005A7787"/>
    <w:pPr>
      <w:spacing w:after="0"/>
      <w:ind w:left="2160" w:hanging="240"/>
    </w:pPr>
  </w:style>
  <w:style w:type="paragraph" w:styleId="IntenseQuote">
    <w:name w:val="Intense Quote"/>
    <w:basedOn w:val="Normal"/>
    <w:next w:val="Normal"/>
    <w:link w:val="IntenseQuoteChar"/>
    <w:uiPriority w:val="30"/>
    <w:rsid w:val="005A778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A7787"/>
    <w:rPr>
      <w:rFonts w:ascii="Garamond" w:hAnsi="Garamond"/>
      <w:b/>
      <w:bCs/>
      <w:i/>
      <w:iCs/>
      <w:color w:val="4F81BD" w:themeColor="accent1"/>
      <w:sz w:val="24"/>
      <w:lang w:eastAsia="en-US"/>
    </w:rPr>
  </w:style>
  <w:style w:type="paragraph" w:styleId="List">
    <w:name w:val="List"/>
    <w:basedOn w:val="Normal"/>
    <w:locked/>
    <w:rsid w:val="005A7787"/>
    <w:pPr>
      <w:ind w:left="283" w:hanging="283"/>
      <w:contextualSpacing/>
    </w:pPr>
  </w:style>
  <w:style w:type="paragraph" w:styleId="List2">
    <w:name w:val="List 2"/>
    <w:basedOn w:val="Normal"/>
    <w:locked/>
    <w:rsid w:val="005A7787"/>
    <w:pPr>
      <w:ind w:left="566" w:hanging="283"/>
      <w:contextualSpacing/>
    </w:pPr>
  </w:style>
  <w:style w:type="paragraph" w:styleId="List3">
    <w:name w:val="List 3"/>
    <w:basedOn w:val="Normal"/>
    <w:locked/>
    <w:rsid w:val="005A7787"/>
    <w:pPr>
      <w:ind w:left="849" w:hanging="283"/>
      <w:contextualSpacing/>
    </w:pPr>
  </w:style>
  <w:style w:type="paragraph" w:styleId="List4">
    <w:name w:val="List 4"/>
    <w:basedOn w:val="Normal"/>
    <w:locked/>
    <w:rsid w:val="005A7787"/>
    <w:pPr>
      <w:ind w:left="1132" w:hanging="283"/>
      <w:contextualSpacing/>
    </w:pPr>
  </w:style>
  <w:style w:type="paragraph" w:styleId="List5">
    <w:name w:val="List 5"/>
    <w:basedOn w:val="Normal"/>
    <w:locked/>
    <w:rsid w:val="005A7787"/>
    <w:pPr>
      <w:ind w:left="1415" w:hanging="283"/>
      <w:contextualSpacing/>
    </w:pPr>
  </w:style>
  <w:style w:type="paragraph" w:styleId="ListBullet">
    <w:name w:val="List Bullet"/>
    <w:basedOn w:val="Normal"/>
    <w:locked/>
    <w:rsid w:val="005A7787"/>
    <w:pPr>
      <w:tabs>
        <w:tab w:val="num" w:pos="360"/>
      </w:tabs>
      <w:ind w:left="360" w:hanging="360"/>
      <w:contextualSpacing/>
    </w:pPr>
  </w:style>
  <w:style w:type="paragraph" w:styleId="ListBullet2">
    <w:name w:val="List Bullet 2"/>
    <w:basedOn w:val="Normal"/>
    <w:locked/>
    <w:rsid w:val="005A7787"/>
    <w:pPr>
      <w:tabs>
        <w:tab w:val="num" w:pos="643"/>
      </w:tabs>
      <w:ind w:left="643" w:hanging="360"/>
      <w:contextualSpacing/>
    </w:pPr>
  </w:style>
  <w:style w:type="paragraph" w:styleId="ListBullet3">
    <w:name w:val="List Bullet 3"/>
    <w:basedOn w:val="Normal"/>
    <w:locked/>
    <w:rsid w:val="005A7787"/>
    <w:pPr>
      <w:tabs>
        <w:tab w:val="num" w:pos="926"/>
      </w:tabs>
      <w:ind w:left="926" w:hanging="360"/>
      <w:contextualSpacing/>
    </w:pPr>
  </w:style>
  <w:style w:type="paragraph" w:styleId="ListBullet4">
    <w:name w:val="List Bullet 4"/>
    <w:basedOn w:val="Normal"/>
    <w:locked/>
    <w:rsid w:val="005A7787"/>
    <w:pPr>
      <w:tabs>
        <w:tab w:val="num" w:pos="1209"/>
      </w:tabs>
      <w:ind w:left="1209" w:hanging="360"/>
      <w:contextualSpacing/>
    </w:pPr>
  </w:style>
  <w:style w:type="paragraph" w:styleId="ListBullet5">
    <w:name w:val="List Bullet 5"/>
    <w:basedOn w:val="Normal"/>
    <w:locked/>
    <w:rsid w:val="005A7787"/>
    <w:pPr>
      <w:tabs>
        <w:tab w:val="num" w:pos="1492"/>
      </w:tabs>
      <w:ind w:left="1492" w:hanging="360"/>
      <w:contextualSpacing/>
    </w:pPr>
  </w:style>
  <w:style w:type="paragraph" w:styleId="ListContinue">
    <w:name w:val="List Continue"/>
    <w:basedOn w:val="Normal"/>
    <w:locked/>
    <w:rsid w:val="005A7787"/>
    <w:pPr>
      <w:ind w:left="283"/>
      <w:contextualSpacing/>
    </w:pPr>
  </w:style>
  <w:style w:type="paragraph" w:styleId="ListContinue2">
    <w:name w:val="List Continue 2"/>
    <w:basedOn w:val="Normal"/>
    <w:locked/>
    <w:rsid w:val="005A7787"/>
    <w:pPr>
      <w:ind w:left="566"/>
      <w:contextualSpacing/>
    </w:pPr>
  </w:style>
  <w:style w:type="paragraph" w:styleId="ListContinue3">
    <w:name w:val="List Continue 3"/>
    <w:basedOn w:val="Normal"/>
    <w:locked/>
    <w:rsid w:val="005A7787"/>
    <w:pPr>
      <w:ind w:left="849"/>
      <w:contextualSpacing/>
    </w:pPr>
  </w:style>
  <w:style w:type="paragraph" w:styleId="ListContinue4">
    <w:name w:val="List Continue 4"/>
    <w:basedOn w:val="Normal"/>
    <w:locked/>
    <w:rsid w:val="005A7787"/>
    <w:pPr>
      <w:ind w:left="1132"/>
      <w:contextualSpacing/>
    </w:pPr>
  </w:style>
  <w:style w:type="paragraph" w:styleId="ListContinue5">
    <w:name w:val="List Continue 5"/>
    <w:basedOn w:val="Normal"/>
    <w:locked/>
    <w:rsid w:val="005A7787"/>
    <w:pPr>
      <w:ind w:left="1415"/>
      <w:contextualSpacing/>
    </w:pPr>
  </w:style>
  <w:style w:type="paragraph" w:styleId="ListNumber">
    <w:name w:val="List Number"/>
    <w:basedOn w:val="Normal"/>
    <w:locked/>
    <w:rsid w:val="005A7787"/>
    <w:pPr>
      <w:tabs>
        <w:tab w:val="num" w:pos="360"/>
      </w:tabs>
      <w:ind w:left="360" w:hanging="360"/>
      <w:contextualSpacing/>
    </w:pPr>
  </w:style>
  <w:style w:type="paragraph" w:styleId="ListNumber2">
    <w:name w:val="List Number 2"/>
    <w:basedOn w:val="Normal"/>
    <w:locked/>
    <w:rsid w:val="005A7787"/>
    <w:pPr>
      <w:tabs>
        <w:tab w:val="num" w:pos="643"/>
      </w:tabs>
      <w:ind w:left="643" w:hanging="360"/>
      <w:contextualSpacing/>
    </w:pPr>
  </w:style>
  <w:style w:type="paragraph" w:styleId="ListNumber3">
    <w:name w:val="List Number 3"/>
    <w:basedOn w:val="Normal"/>
    <w:locked/>
    <w:rsid w:val="005A7787"/>
    <w:pPr>
      <w:tabs>
        <w:tab w:val="num" w:pos="926"/>
      </w:tabs>
      <w:ind w:left="926" w:hanging="360"/>
      <w:contextualSpacing/>
    </w:pPr>
  </w:style>
  <w:style w:type="paragraph" w:styleId="ListNumber4">
    <w:name w:val="List Number 4"/>
    <w:basedOn w:val="Normal"/>
    <w:locked/>
    <w:rsid w:val="005A7787"/>
    <w:pPr>
      <w:tabs>
        <w:tab w:val="num" w:pos="1209"/>
      </w:tabs>
      <w:ind w:left="1209" w:hanging="360"/>
      <w:contextualSpacing/>
    </w:pPr>
  </w:style>
  <w:style w:type="paragraph" w:styleId="ListNumber5">
    <w:name w:val="List Number 5"/>
    <w:basedOn w:val="Normal"/>
    <w:locked/>
    <w:rsid w:val="005A7787"/>
    <w:pPr>
      <w:tabs>
        <w:tab w:val="num" w:pos="1492"/>
      </w:tabs>
      <w:ind w:left="1492" w:hanging="360"/>
      <w:contextualSpacing/>
    </w:pPr>
  </w:style>
  <w:style w:type="paragraph" w:styleId="MacroText">
    <w:name w:val="macro"/>
    <w:link w:val="MacroTextChar"/>
    <w:locked/>
    <w:rsid w:val="005A7787"/>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rsid w:val="005A7787"/>
    <w:rPr>
      <w:rFonts w:ascii="Consolas" w:hAnsi="Consolas" w:cs="Consolas"/>
      <w:lang w:eastAsia="en-US"/>
    </w:rPr>
  </w:style>
  <w:style w:type="paragraph" w:styleId="MessageHeader">
    <w:name w:val="Message Header"/>
    <w:basedOn w:val="Normal"/>
    <w:link w:val="MessageHeaderChar"/>
    <w:locked/>
    <w:rsid w:val="005A778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5A7787"/>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5A7787"/>
    <w:rPr>
      <w:rFonts w:ascii="Garamond" w:hAnsi="Garamond"/>
      <w:sz w:val="24"/>
      <w:lang w:eastAsia="en-US"/>
    </w:rPr>
  </w:style>
  <w:style w:type="paragraph" w:styleId="NormalWeb">
    <w:name w:val="Normal (Web)"/>
    <w:basedOn w:val="Normal"/>
    <w:locked/>
    <w:rsid w:val="005A7787"/>
    <w:rPr>
      <w:rFonts w:ascii="Times New Roman" w:hAnsi="Times New Roman"/>
      <w:szCs w:val="24"/>
    </w:rPr>
  </w:style>
  <w:style w:type="paragraph" w:styleId="NoteHeading">
    <w:name w:val="Note Heading"/>
    <w:basedOn w:val="Normal"/>
    <w:next w:val="Normal"/>
    <w:link w:val="NoteHeadingChar"/>
    <w:rsid w:val="005A7787"/>
    <w:pPr>
      <w:spacing w:after="0"/>
    </w:pPr>
  </w:style>
  <w:style w:type="character" w:customStyle="1" w:styleId="NoteHeadingChar">
    <w:name w:val="Note Heading Char"/>
    <w:basedOn w:val="DefaultParagraphFont"/>
    <w:link w:val="NoteHeading"/>
    <w:rsid w:val="005A7787"/>
    <w:rPr>
      <w:rFonts w:ascii="Garamond" w:hAnsi="Garamond"/>
      <w:sz w:val="24"/>
      <w:lang w:eastAsia="en-US"/>
    </w:rPr>
  </w:style>
  <w:style w:type="paragraph" w:styleId="PlainText">
    <w:name w:val="Plain Text"/>
    <w:basedOn w:val="Normal"/>
    <w:link w:val="PlainTextChar"/>
    <w:locked/>
    <w:rsid w:val="005A7787"/>
    <w:pPr>
      <w:spacing w:after="0"/>
    </w:pPr>
    <w:rPr>
      <w:rFonts w:ascii="Consolas" w:hAnsi="Consolas" w:cs="Consolas"/>
      <w:sz w:val="21"/>
      <w:szCs w:val="21"/>
    </w:rPr>
  </w:style>
  <w:style w:type="character" w:customStyle="1" w:styleId="PlainTextChar">
    <w:name w:val="Plain Text Char"/>
    <w:basedOn w:val="DefaultParagraphFont"/>
    <w:link w:val="PlainText"/>
    <w:rsid w:val="005A7787"/>
    <w:rPr>
      <w:rFonts w:ascii="Consolas" w:hAnsi="Consolas" w:cs="Consolas"/>
      <w:sz w:val="21"/>
      <w:szCs w:val="21"/>
      <w:lang w:eastAsia="en-US"/>
    </w:rPr>
  </w:style>
  <w:style w:type="paragraph" w:styleId="Quote">
    <w:name w:val="Quote"/>
    <w:basedOn w:val="Normal"/>
    <w:next w:val="Normal"/>
    <w:link w:val="QuoteChar"/>
    <w:uiPriority w:val="29"/>
    <w:rsid w:val="005A7787"/>
    <w:rPr>
      <w:i/>
      <w:iCs/>
      <w:color w:val="000000" w:themeColor="text1"/>
    </w:rPr>
  </w:style>
  <w:style w:type="character" w:customStyle="1" w:styleId="QuoteChar">
    <w:name w:val="Quote Char"/>
    <w:basedOn w:val="DefaultParagraphFont"/>
    <w:link w:val="Quote"/>
    <w:uiPriority w:val="29"/>
    <w:rsid w:val="005A7787"/>
    <w:rPr>
      <w:rFonts w:ascii="Garamond" w:hAnsi="Garamond"/>
      <w:i/>
      <w:iCs/>
      <w:color w:val="000000" w:themeColor="text1"/>
      <w:sz w:val="24"/>
      <w:lang w:eastAsia="en-US"/>
    </w:rPr>
  </w:style>
  <w:style w:type="paragraph" w:styleId="Salutation">
    <w:name w:val="Salutation"/>
    <w:basedOn w:val="Normal"/>
    <w:next w:val="Normal"/>
    <w:link w:val="SalutationChar"/>
    <w:locked/>
    <w:rsid w:val="005A7787"/>
  </w:style>
  <w:style w:type="character" w:customStyle="1" w:styleId="SalutationChar">
    <w:name w:val="Salutation Char"/>
    <w:basedOn w:val="DefaultParagraphFont"/>
    <w:link w:val="Salutation"/>
    <w:rsid w:val="005A7787"/>
    <w:rPr>
      <w:rFonts w:ascii="Garamond" w:hAnsi="Garamond"/>
      <w:sz w:val="24"/>
      <w:lang w:eastAsia="en-US"/>
    </w:rPr>
  </w:style>
  <w:style w:type="paragraph" w:styleId="Signature">
    <w:name w:val="Signature"/>
    <w:basedOn w:val="Normal"/>
    <w:link w:val="SignatureChar"/>
    <w:locked/>
    <w:rsid w:val="005A7787"/>
    <w:pPr>
      <w:spacing w:after="0"/>
      <w:ind w:left="4252"/>
    </w:pPr>
  </w:style>
  <w:style w:type="character" w:customStyle="1" w:styleId="SignatureChar">
    <w:name w:val="Signature Char"/>
    <w:basedOn w:val="DefaultParagraphFont"/>
    <w:link w:val="Signature"/>
    <w:rsid w:val="005A7787"/>
    <w:rPr>
      <w:rFonts w:ascii="Garamond" w:hAnsi="Garamond"/>
      <w:sz w:val="24"/>
      <w:lang w:eastAsia="en-US"/>
    </w:rPr>
  </w:style>
  <w:style w:type="paragraph" w:styleId="Subtitle">
    <w:name w:val="Subtitle"/>
    <w:basedOn w:val="Normal"/>
    <w:next w:val="Normal"/>
    <w:link w:val="SubtitleChar"/>
    <w:locked/>
    <w:rsid w:val="005A7787"/>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5A7787"/>
    <w:rPr>
      <w:rFonts w:asciiTheme="majorHAnsi" w:eastAsiaTheme="majorEastAsia" w:hAnsiTheme="majorHAnsi" w:cstheme="majorBidi"/>
      <w:i/>
      <w:iCs/>
      <w:color w:val="4F81BD" w:themeColor="accent1"/>
      <w:spacing w:val="15"/>
      <w:sz w:val="24"/>
      <w:szCs w:val="24"/>
      <w:lang w:eastAsia="en-US"/>
    </w:rPr>
  </w:style>
  <w:style w:type="paragraph" w:styleId="TableofAuthorities">
    <w:name w:val="table of authorities"/>
    <w:basedOn w:val="Normal"/>
    <w:next w:val="Normal"/>
    <w:locked/>
    <w:rsid w:val="005A7787"/>
    <w:pPr>
      <w:spacing w:after="0"/>
      <w:ind w:left="240" w:hanging="240"/>
    </w:pPr>
  </w:style>
  <w:style w:type="paragraph" w:styleId="Title">
    <w:name w:val="Title"/>
    <w:basedOn w:val="Normal"/>
    <w:next w:val="Normal"/>
    <w:link w:val="TitleChar"/>
    <w:locked/>
    <w:rsid w:val="005A77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A7787"/>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locked/>
    <w:rsid w:val="005A7787"/>
    <w:pPr>
      <w:spacing w:before="120"/>
    </w:pPr>
    <w:rPr>
      <w:rFonts w:asciiTheme="majorHAnsi" w:eastAsiaTheme="majorEastAsia" w:hAnsiTheme="majorHAnsi" w:cstheme="majorBidi"/>
      <w:b/>
      <w:bCs/>
      <w:szCs w:val="24"/>
    </w:rPr>
  </w:style>
  <w:style w:type="paragraph" w:styleId="TOC6">
    <w:name w:val="toc 6"/>
    <w:basedOn w:val="Normal"/>
    <w:next w:val="Normal"/>
    <w:autoRedefine/>
    <w:locked/>
    <w:rsid w:val="005A7787"/>
    <w:pPr>
      <w:spacing w:after="100"/>
      <w:ind w:left="1200"/>
    </w:pPr>
  </w:style>
  <w:style w:type="paragraph" w:styleId="TOC7">
    <w:name w:val="toc 7"/>
    <w:basedOn w:val="Normal"/>
    <w:next w:val="Normal"/>
    <w:autoRedefine/>
    <w:locked/>
    <w:rsid w:val="005A7787"/>
    <w:pPr>
      <w:spacing w:after="100"/>
      <w:ind w:left="1440"/>
    </w:pPr>
  </w:style>
  <w:style w:type="paragraph" w:styleId="TOC8">
    <w:name w:val="toc 8"/>
    <w:basedOn w:val="Normal"/>
    <w:next w:val="Normal"/>
    <w:autoRedefine/>
    <w:locked/>
    <w:rsid w:val="005A7787"/>
    <w:pPr>
      <w:spacing w:after="100"/>
      <w:ind w:left="1680"/>
    </w:pPr>
  </w:style>
  <w:style w:type="paragraph" w:styleId="TOC9">
    <w:name w:val="toc 9"/>
    <w:basedOn w:val="Normal"/>
    <w:next w:val="Normal"/>
    <w:autoRedefine/>
    <w:locked/>
    <w:rsid w:val="005A7787"/>
    <w:pPr>
      <w:spacing w:after="100"/>
      <w:ind w:left="1920"/>
    </w:pPr>
  </w:style>
  <w:style w:type="paragraph" w:styleId="TOCHeading">
    <w:name w:val="TOC Heading"/>
    <w:basedOn w:val="Heading1"/>
    <w:next w:val="Normal"/>
    <w:uiPriority w:val="39"/>
    <w:semiHidden/>
    <w:unhideWhenUsed/>
    <w:qFormat/>
    <w:rsid w:val="005A7787"/>
    <w:pPr>
      <w:keepLines/>
      <w:spacing w:before="480" w:after="0"/>
      <w:outlineLvl w:val="9"/>
    </w:pPr>
    <w:rPr>
      <w:rFonts w:asciiTheme="majorHAnsi" w:eastAsiaTheme="majorEastAsia" w:hAnsiTheme="majorHAnsi" w:cstheme="majorBidi"/>
      <w:bCs/>
      <w:caps w:val="0"/>
      <w:color w:val="365F91" w:themeColor="accent1" w:themeShade="BF"/>
      <w:szCs w:val="28"/>
    </w:rPr>
  </w:style>
  <w:style w:type="paragraph" w:customStyle="1" w:styleId="Tabn">
    <w:name w:val="Tabn"/>
    <w:basedOn w:val="Normal"/>
    <w:qFormat/>
    <w:rsid w:val="005A7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6" w:locked="1"/>
    <w:lsdException w:name="index 7" w:locked="1"/>
    <w:lsdException w:name="index 8" w:locked="1"/>
    <w:lsdException w:name="index 9" w:locked="1"/>
    <w:lsdException w:name="toc 1" w:uiPriority="39"/>
    <w:lsdException w:name="toc 2" w:uiPriority="39"/>
    <w:lsdException w:name="toc 4" w:uiPriority="39"/>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caption" w:locked="1" w:semiHidden="1" w:unhideWhenUsed="1" w:qFormat="1"/>
    <w:lsdException w:name="table of figures" w:qFormat="1"/>
    <w:lsdException w:name="envelope address" w:locked="1"/>
    <w:lsdException w:name="envelope return" w:locked="1"/>
    <w:lsdException w:name="footnote reference" w:locked="1"/>
    <w:lsdException w:name="annotation reference" w:locked="1"/>
    <w:lsdException w:name="lin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Date" w:locked="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locked="1"/>
    <w:lsdException w:name="Emphasis" w:locked="1" w:uiPriority="2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659BA"/>
    <w:pPr>
      <w:spacing w:after="120"/>
    </w:pPr>
    <w:rPr>
      <w:rFonts w:ascii="Garamond" w:hAnsi="Garamond"/>
      <w:sz w:val="24"/>
      <w:lang w:eastAsia="en-US"/>
    </w:rPr>
  </w:style>
  <w:style w:type="paragraph" w:styleId="Heading1">
    <w:name w:val="heading 1"/>
    <w:basedOn w:val="Normal"/>
    <w:next w:val="Normal"/>
    <w:link w:val="Heading1Char"/>
    <w:qFormat/>
    <w:rsid w:val="00BB71EC"/>
    <w:pPr>
      <w:keepNext/>
      <w:spacing w:before="360"/>
      <w:outlineLvl w:val="0"/>
    </w:pPr>
    <w:rPr>
      <w:rFonts w:ascii="Calibri" w:hAnsi="Calibri"/>
      <w:b/>
      <w:caps/>
      <w:sz w:val="28"/>
      <w:szCs w:val="22"/>
    </w:rPr>
  </w:style>
  <w:style w:type="paragraph" w:styleId="Heading2">
    <w:name w:val="heading 2"/>
    <w:basedOn w:val="Normal"/>
    <w:next w:val="Normal"/>
    <w:link w:val="Heading2Char"/>
    <w:qFormat/>
    <w:rsid w:val="00BB71EC"/>
    <w:pPr>
      <w:keepNext/>
      <w:spacing w:before="240"/>
      <w:outlineLvl w:val="1"/>
    </w:pPr>
    <w:rPr>
      <w:rFonts w:ascii="Calibri" w:hAnsi="Calibri"/>
      <w:b/>
      <w:kern w:val="28"/>
      <w:sz w:val="28"/>
      <w:szCs w:val="22"/>
    </w:rPr>
  </w:style>
  <w:style w:type="paragraph" w:styleId="Heading3">
    <w:name w:val="heading 3"/>
    <w:basedOn w:val="Normal"/>
    <w:next w:val="Normal"/>
    <w:link w:val="Heading3Char"/>
    <w:qFormat/>
    <w:rsid w:val="00BB71EC"/>
    <w:pPr>
      <w:keepNext/>
      <w:spacing w:before="240"/>
      <w:outlineLvl w:val="2"/>
    </w:pPr>
    <w:rPr>
      <w:rFonts w:ascii="Calibri" w:hAnsi="Calibri"/>
      <w:b/>
      <w:i/>
      <w:kern w:val="28"/>
      <w:sz w:val="26"/>
      <w:szCs w:val="22"/>
    </w:rPr>
  </w:style>
  <w:style w:type="paragraph" w:styleId="Heading4">
    <w:name w:val="heading 4"/>
    <w:basedOn w:val="Normal"/>
    <w:next w:val="Normal"/>
    <w:link w:val="Heading4Char"/>
    <w:qFormat/>
    <w:rsid w:val="00BB71EC"/>
    <w:pPr>
      <w:keepNext/>
      <w:spacing w:before="240"/>
      <w:outlineLvl w:val="3"/>
    </w:pPr>
    <w:rPr>
      <w:rFonts w:ascii="Calibri" w:hAnsi="Calibri"/>
      <w:i/>
      <w:sz w:val="26"/>
      <w:szCs w:val="22"/>
    </w:rPr>
  </w:style>
  <w:style w:type="paragraph" w:styleId="Heading5">
    <w:name w:val="heading 5"/>
    <w:basedOn w:val="Normal"/>
    <w:next w:val="Normal"/>
    <w:link w:val="Heading5Char"/>
    <w:qFormat/>
    <w:rsid w:val="0067336F"/>
    <w:pPr>
      <w:keepNext/>
      <w:tabs>
        <w:tab w:val="left" w:pos="504"/>
      </w:tabs>
      <w:spacing w:before="120" w:after="60"/>
      <w:ind w:left="505" w:hanging="505"/>
      <w:outlineLvl w:val="4"/>
    </w:pPr>
    <w:rPr>
      <w:rFonts w:ascii="Calibri" w:hAnsi="Calibri"/>
      <w:b/>
    </w:rPr>
  </w:style>
  <w:style w:type="paragraph" w:styleId="Heading6">
    <w:name w:val="heading 6"/>
    <w:basedOn w:val="Normal"/>
    <w:next w:val="Normal"/>
    <w:link w:val="Heading6Char"/>
    <w:semiHidden/>
    <w:unhideWhenUsed/>
    <w:qFormat/>
    <w:locked/>
    <w:rsid w:val="005A778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5A778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5A7787"/>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locked/>
    <w:rsid w:val="005A7787"/>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llion">
    <w:name w:val="$million"/>
    <w:basedOn w:val="Normal"/>
    <w:link w:val="millionChar"/>
    <w:qFormat/>
    <w:rsid w:val="00690C84"/>
    <w:pPr>
      <w:spacing w:after="0"/>
      <w:jc w:val="center"/>
    </w:pPr>
    <w:rPr>
      <w:rFonts w:ascii="Calibri" w:hAnsi="Calibri"/>
      <w:i/>
      <w:sz w:val="20"/>
      <w:szCs w:val="18"/>
    </w:rPr>
  </w:style>
  <w:style w:type="paragraph" w:styleId="TableofFigures">
    <w:name w:val="table of figures"/>
    <w:basedOn w:val="Normal"/>
    <w:next w:val="Normal"/>
    <w:link w:val="TableofFiguresChar"/>
    <w:qFormat/>
    <w:rsid w:val="0093166C"/>
    <w:pPr>
      <w:spacing w:after="0"/>
      <w:jc w:val="right"/>
    </w:pPr>
    <w:rPr>
      <w:rFonts w:ascii="Calibri" w:hAnsi="Calibri"/>
      <w:sz w:val="22"/>
      <w:szCs w:val="18"/>
    </w:rPr>
  </w:style>
  <w:style w:type="paragraph" w:customStyle="1" w:styleId="BIP1Figures">
    <w:name w:val="BIP1 Figures"/>
    <w:basedOn w:val="TableofFigures"/>
    <w:semiHidden/>
    <w:rsid w:val="00901E03"/>
    <w:pPr>
      <w:spacing w:after="20"/>
    </w:pPr>
  </w:style>
  <w:style w:type="paragraph" w:customStyle="1" w:styleId="Tabletextheading">
    <w:name w:val="Table text heading"/>
    <w:basedOn w:val="TableofFigures"/>
    <w:link w:val="TabletextheadingChar"/>
    <w:qFormat/>
    <w:rsid w:val="00901E03"/>
    <w:rPr>
      <w:i/>
    </w:rPr>
  </w:style>
  <w:style w:type="paragraph" w:customStyle="1" w:styleId="BIP1headingr">
    <w:name w:val="BIP1 heading r"/>
    <w:basedOn w:val="Tabletextheading"/>
    <w:semiHidden/>
    <w:rsid w:val="00901E03"/>
  </w:style>
  <w:style w:type="paragraph" w:customStyle="1" w:styleId="BIP1headingl">
    <w:name w:val="BIP1 heading l"/>
    <w:basedOn w:val="BIP1headingr"/>
    <w:link w:val="BIP1headinglChar"/>
    <w:semiHidden/>
    <w:rsid w:val="00901E03"/>
    <w:pPr>
      <w:jc w:val="left"/>
    </w:pPr>
  </w:style>
  <w:style w:type="paragraph" w:customStyle="1" w:styleId="Tabletext">
    <w:name w:val="Table text"/>
    <w:basedOn w:val="TableofFigures"/>
    <w:link w:val="TabletextChar"/>
    <w:qFormat/>
    <w:rsid w:val="00901E03"/>
    <w:pPr>
      <w:ind w:left="180" w:hanging="180"/>
      <w:jc w:val="left"/>
    </w:pPr>
  </w:style>
  <w:style w:type="paragraph" w:customStyle="1" w:styleId="BIP1tabletext">
    <w:name w:val="BIP1 table text"/>
    <w:basedOn w:val="Tabletext"/>
    <w:semiHidden/>
    <w:rsid w:val="00901E03"/>
    <w:pPr>
      <w:spacing w:after="20"/>
      <w:ind w:left="72" w:hanging="72"/>
    </w:pPr>
  </w:style>
  <w:style w:type="paragraph" w:customStyle="1" w:styleId="Tableheading">
    <w:name w:val="Table heading"/>
    <w:basedOn w:val="Normal"/>
    <w:link w:val="TableheadingChar"/>
    <w:qFormat/>
    <w:rsid w:val="00BB71EC"/>
    <w:pPr>
      <w:keepNext/>
      <w:spacing w:before="240"/>
      <w:ind w:left="1152" w:hanging="1152"/>
    </w:pPr>
    <w:rPr>
      <w:rFonts w:ascii="Calibri" w:hAnsi="Calibri"/>
      <w:b/>
      <w:sz w:val="25"/>
    </w:rPr>
  </w:style>
  <w:style w:type="table" w:styleId="TableGrid">
    <w:name w:val="Table Grid"/>
    <w:basedOn w:val="TableNormal"/>
    <w:locked/>
    <w:rsid w:val="00901E03"/>
    <w:pPr>
      <w:spacing w:after="120"/>
      <w:jc w:val="both"/>
    </w:pPr>
    <w:rPr>
      <w:rFonts w:ascii="Calibri" w:hAnsi="Calibri"/>
    </w:rPr>
    <w:tblPr>
      <w:tblInd w:w="0" w:type="dxa"/>
      <w:tblCellMar>
        <w:top w:w="0" w:type="dxa"/>
        <w:left w:w="108" w:type="dxa"/>
        <w:bottom w:w="0" w:type="dxa"/>
        <w:right w:w="108" w:type="dxa"/>
      </w:tblCellMar>
    </w:tblPr>
  </w:style>
  <w:style w:type="paragraph" w:customStyle="1" w:styleId="BulletText">
    <w:name w:val="Bullet Text"/>
    <w:basedOn w:val="Normal"/>
    <w:link w:val="BulletTextChar"/>
    <w:qFormat/>
    <w:rsid w:val="00901E03"/>
    <w:pPr>
      <w:numPr>
        <w:numId w:val="1"/>
      </w:numPr>
    </w:pPr>
  </w:style>
  <w:style w:type="paragraph" w:customStyle="1" w:styleId="ChapterHeading">
    <w:name w:val="Chapter Heading"/>
    <w:basedOn w:val="Normal"/>
    <w:next w:val="Heading1"/>
    <w:qFormat/>
    <w:rsid w:val="0013022C"/>
    <w:pPr>
      <w:keepNext/>
      <w:pBdr>
        <w:bottom w:val="single" w:sz="12" w:space="7" w:color="auto"/>
      </w:pBdr>
      <w:spacing w:before="1440" w:after="360"/>
    </w:pPr>
    <w:rPr>
      <w:rFonts w:ascii="Calibri" w:hAnsi="Calibri"/>
      <w:b/>
      <w:caps/>
      <w:sz w:val="38"/>
      <w:szCs w:val="28"/>
    </w:rPr>
  </w:style>
  <w:style w:type="paragraph" w:customStyle="1" w:styleId="Chartheading">
    <w:name w:val="Chart heading"/>
    <w:basedOn w:val="Tableheading"/>
    <w:next w:val="Normal"/>
    <w:qFormat/>
    <w:rsid w:val="00901E03"/>
  </w:style>
  <w:style w:type="paragraph" w:styleId="Footer">
    <w:name w:val="footer"/>
    <w:basedOn w:val="Normal"/>
    <w:link w:val="FooterChar"/>
    <w:rsid w:val="002D4015"/>
    <w:pPr>
      <w:pBdr>
        <w:top w:val="single" w:sz="6" w:space="1" w:color="auto"/>
      </w:pBdr>
      <w:tabs>
        <w:tab w:val="right" w:pos="7085"/>
      </w:tabs>
    </w:pPr>
    <w:rPr>
      <w:rFonts w:ascii="Calibri" w:hAnsi="Calibri"/>
      <w:sz w:val="22"/>
      <w:szCs w:val="18"/>
    </w:rPr>
  </w:style>
  <w:style w:type="paragraph" w:styleId="Header">
    <w:name w:val="header"/>
    <w:basedOn w:val="Footer"/>
    <w:link w:val="HeaderChar"/>
    <w:rsid w:val="00901E03"/>
    <w:pPr>
      <w:pBdr>
        <w:top w:val="none" w:sz="0" w:space="0" w:color="auto"/>
      </w:pBdr>
      <w:tabs>
        <w:tab w:val="clear" w:pos="7085"/>
      </w:tabs>
    </w:pPr>
  </w:style>
  <w:style w:type="paragraph" w:customStyle="1" w:styleId="Heading2Notes">
    <w:name w:val="Heading 2 Notes"/>
    <w:basedOn w:val="Heading2"/>
    <w:link w:val="Heading2NotesChar"/>
    <w:rsid w:val="00901E03"/>
    <w:pPr>
      <w:tabs>
        <w:tab w:val="left" w:pos="1152"/>
      </w:tabs>
      <w:ind w:left="1152" w:hanging="1152"/>
    </w:pPr>
  </w:style>
  <w:style w:type="paragraph" w:customStyle="1" w:styleId="Notes">
    <w:name w:val="Notes"/>
    <w:basedOn w:val="Normal"/>
    <w:link w:val="NotesChar"/>
    <w:qFormat/>
    <w:rsid w:val="00BB71EC"/>
    <w:pPr>
      <w:tabs>
        <w:tab w:val="left" w:pos="454"/>
      </w:tabs>
      <w:spacing w:after="0"/>
      <w:ind w:left="461" w:hanging="461"/>
    </w:pPr>
    <w:rPr>
      <w:rFonts w:ascii="Calibri" w:hAnsi="Calibri"/>
      <w:i/>
      <w:sz w:val="16"/>
    </w:rPr>
  </w:style>
  <w:style w:type="paragraph" w:customStyle="1" w:styleId="OGBullet">
    <w:name w:val="OGBullet"/>
    <w:basedOn w:val="Normal"/>
    <w:semiHidden/>
    <w:rsid w:val="00BB71EC"/>
    <w:pPr>
      <w:numPr>
        <w:numId w:val="5"/>
      </w:numPr>
    </w:pPr>
    <w:rPr>
      <w:rFonts w:ascii="Calibri" w:hAnsi="Calibri"/>
      <w:sz w:val="22"/>
      <w:szCs w:val="18"/>
    </w:rPr>
  </w:style>
  <w:style w:type="paragraph" w:customStyle="1" w:styleId="OGHeading1">
    <w:name w:val="OGHeading1"/>
    <w:basedOn w:val="Normal"/>
    <w:semiHidden/>
    <w:rsid w:val="00BB71EC"/>
    <w:rPr>
      <w:rFonts w:ascii="Calibri" w:hAnsi="Calibri"/>
      <w:b/>
      <w:sz w:val="34"/>
      <w:szCs w:val="28"/>
    </w:rPr>
  </w:style>
  <w:style w:type="paragraph" w:customStyle="1" w:styleId="OGHeading2">
    <w:name w:val="OGHeading2"/>
    <w:basedOn w:val="Normal"/>
    <w:link w:val="OGHeading2Char"/>
    <w:semiHidden/>
    <w:rsid w:val="00BB71EC"/>
    <w:pPr>
      <w:keepNext/>
      <w:spacing w:before="60"/>
    </w:pPr>
    <w:rPr>
      <w:rFonts w:ascii="Calibri" w:hAnsi="Calibri"/>
      <w:b/>
      <w:sz w:val="30"/>
      <w:szCs w:val="24"/>
    </w:rPr>
  </w:style>
  <w:style w:type="paragraph" w:customStyle="1" w:styleId="OGTabHead">
    <w:name w:val="OGTabHead"/>
    <w:basedOn w:val="Normal"/>
    <w:semiHidden/>
    <w:rsid w:val="00BB71EC"/>
    <w:pPr>
      <w:keepNext/>
      <w:keepLines/>
      <w:spacing w:before="30" w:after="30"/>
    </w:pPr>
    <w:rPr>
      <w:rFonts w:ascii="Calibri" w:hAnsi="Calibri"/>
      <w:i/>
      <w:sz w:val="22"/>
      <w:szCs w:val="18"/>
    </w:rPr>
  </w:style>
  <w:style w:type="paragraph" w:customStyle="1" w:styleId="OGTabText">
    <w:name w:val="OGTabText"/>
    <w:basedOn w:val="Normal"/>
    <w:link w:val="OGTabTextChar"/>
    <w:semiHidden/>
    <w:rsid w:val="00BB71EC"/>
    <w:pPr>
      <w:spacing w:before="30" w:after="30"/>
      <w:ind w:left="144"/>
    </w:pPr>
    <w:rPr>
      <w:rFonts w:ascii="Calibri" w:hAnsi="Calibri"/>
      <w:sz w:val="22"/>
      <w:szCs w:val="18"/>
    </w:rPr>
  </w:style>
  <w:style w:type="paragraph" w:customStyle="1" w:styleId="OGText">
    <w:name w:val="OGText"/>
    <w:basedOn w:val="Normal"/>
    <w:link w:val="OGTextChar"/>
    <w:semiHidden/>
    <w:rsid w:val="00BB71EC"/>
    <w:pPr>
      <w:keepNext/>
      <w:spacing w:before="40"/>
    </w:pPr>
    <w:rPr>
      <w:rFonts w:ascii="Calibri" w:hAnsi="Calibri"/>
      <w:sz w:val="22"/>
      <w:szCs w:val="18"/>
    </w:rPr>
  </w:style>
  <w:style w:type="character" w:styleId="PageNumber">
    <w:name w:val="page number"/>
    <w:rsid w:val="00BB71EC"/>
    <w:rPr>
      <w:rFonts w:ascii="Calibri" w:hAnsi="Calibri"/>
      <w:sz w:val="22"/>
    </w:rPr>
  </w:style>
  <w:style w:type="paragraph" w:customStyle="1" w:styleId="Source">
    <w:name w:val="Source"/>
    <w:basedOn w:val="Normal"/>
    <w:next w:val="Normal"/>
    <w:link w:val="SourceChar"/>
    <w:qFormat/>
    <w:locked/>
    <w:rsid w:val="00BB71EC"/>
    <w:rPr>
      <w:rFonts w:ascii="Calibri" w:hAnsi="Calibri"/>
      <w:i/>
      <w:sz w:val="16"/>
    </w:rPr>
  </w:style>
  <w:style w:type="paragraph" w:customStyle="1" w:styleId="TableofContentsheading">
    <w:name w:val="Table of Contents heading"/>
    <w:basedOn w:val="ChapterHeading"/>
    <w:next w:val="Normal"/>
    <w:rsid w:val="00901E03"/>
  </w:style>
  <w:style w:type="paragraph" w:customStyle="1" w:styleId="Heading2NotesContd">
    <w:name w:val="Heading 2 Notes Cont'd"/>
    <w:basedOn w:val="Heading2Notes"/>
    <w:link w:val="Heading2NotesContdChar"/>
    <w:rsid w:val="00901E03"/>
  </w:style>
  <w:style w:type="paragraph" w:customStyle="1" w:styleId="HighlightBoxText">
    <w:name w:val="Highlight Box Text"/>
    <w:basedOn w:val="HighlightBoxBullet"/>
    <w:qFormat/>
    <w:rsid w:val="00901E03"/>
    <w:pPr>
      <w:numPr>
        <w:numId w:val="0"/>
      </w:numPr>
    </w:pPr>
  </w:style>
  <w:style w:type="paragraph" w:styleId="TOC1">
    <w:name w:val="toc 1"/>
    <w:basedOn w:val="Normal"/>
    <w:next w:val="Normal"/>
    <w:uiPriority w:val="39"/>
    <w:rsid w:val="00160ABB"/>
    <w:pPr>
      <w:tabs>
        <w:tab w:val="right" w:leader="dot" w:pos="9356"/>
      </w:tabs>
      <w:spacing w:before="40" w:after="40"/>
      <w:ind w:right="420"/>
    </w:pPr>
    <w:rPr>
      <w:rFonts w:ascii="Calibri" w:hAnsi="Calibri"/>
      <w:b/>
    </w:rPr>
  </w:style>
  <w:style w:type="paragraph" w:styleId="TOC2">
    <w:name w:val="toc 2"/>
    <w:basedOn w:val="Normal"/>
    <w:next w:val="Normal"/>
    <w:uiPriority w:val="39"/>
    <w:rsid w:val="00160ABB"/>
    <w:pPr>
      <w:tabs>
        <w:tab w:val="right" w:leader="dot" w:pos="9356"/>
      </w:tabs>
      <w:spacing w:after="0"/>
      <w:ind w:left="289" w:right="420"/>
    </w:pPr>
    <w:rPr>
      <w:rFonts w:ascii="Calibri" w:hAnsi="Calibri"/>
      <w:sz w:val="22"/>
    </w:rPr>
  </w:style>
  <w:style w:type="paragraph" w:styleId="TOC3">
    <w:name w:val="toc 3"/>
    <w:basedOn w:val="Normal"/>
    <w:next w:val="Normal"/>
    <w:rsid w:val="00BB71EC"/>
    <w:pPr>
      <w:tabs>
        <w:tab w:val="right" w:leader="dot" w:pos="7830"/>
      </w:tabs>
      <w:spacing w:after="0"/>
      <w:ind w:left="432" w:right="422"/>
    </w:pPr>
    <w:rPr>
      <w:rFonts w:ascii="Calibri" w:hAnsi="Calibri"/>
      <w:i/>
      <w:sz w:val="22"/>
    </w:rPr>
  </w:style>
  <w:style w:type="paragraph" w:styleId="TOC4">
    <w:name w:val="toc 4"/>
    <w:basedOn w:val="TOC1"/>
    <w:next w:val="Normal"/>
    <w:uiPriority w:val="39"/>
    <w:rsid w:val="00742218"/>
    <w:pPr>
      <w:tabs>
        <w:tab w:val="right" w:leader="dot" w:pos="9533"/>
      </w:tabs>
      <w:spacing w:after="0"/>
      <w:ind w:left="1152" w:hanging="1152"/>
    </w:pPr>
    <w:rPr>
      <w:b w:val="0"/>
      <w:sz w:val="22"/>
    </w:rPr>
  </w:style>
  <w:style w:type="paragraph" w:styleId="TOC5">
    <w:name w:val="toc 5"/>
    <w:basedOn w:val="TOC1"/>
    <w:next w:val="Normal"/>
    <w:rsid w:val="00742218"/>
    <w:rPr>
      <w:b w:val="0"/>
      <w:sz w:val="22"/>
    </w:rPr>
  </w:style>
  <w:style w:type="paragraph" w:customStyle="1" w:styleId="Tableheadingcontinued">
    <w:name w:val="Table heading continued"/>
    <w:basedOn w:val="Tableheading"/>
    <w:rsid w:val="00901E03"/>
  </w:style>
  <w:style w:type="paragraph" w:customStyle="1" w:styleId="TableTextCentred">
    <w:name w:val="Table Text Centred"/>
    <w:basedOn w:val="Tabletext"/>
    <w:rsid w:val="00901E03"/>
    <w:pPr>
      <w:ind w:left="0" w:firstLine="0"/>
      <w:jc w:val="center"/>
    </w:pPr>
  </w:style>
  <w:style w:type="paragraph" w:customStyle="1" w:styleId="Heading3Numbering">
    <w:name w:val="Heading 3 Numbering"/>
    <w:basedOn w:val="Heading3"/>
    <w:rsid w:val="00901E03"/>
    <w:pPr>
      <w:numPr>
        <w:numId w:val="2"/>
      </w:numPr>
      <w:tabs>
        <w:tab w:val="left" w:pos="504"/>
      </w:tabs>
    </w:pPr>
  </w:style>
  <w:style w:type="paragraph" w:customStyle="1" w:styleId="Heading5a">
    <w:name w:val="Heading 5a"/>
    <w:basedOn w:val="Heading5"/>
    <w:rsid w:val="00BB71EC"/>
    <w:pPr>
      <w:tabs>
        <w:tab w:val="clear" w:pos="504"/>
      </w:tabs>
    </w:pPr>
    <w:rPr>
      <w:b w:val="0"/>
      <w:i/>
      <w:sz w:val="23"/>
    </w:rPr>
  </w:style>
  <w:style w:type="character" w:customStyle="1" w:styleId="OGTabBulletChar">
    <w:name w:val="OGTabBullet Char"/>
    <w:link w:val="OGTabBullet"/>
    <w:semiHidden/>
    <w:rsid w:val="000F532A"/>
    <w:rPr>
      <w:rFonts w:ascii="Calibri" w:hAnsi="Calibri"/>
      <w:sz w:val="22"/>
      <w:szCs w:val="18"/>
    </w:rPr>
  </w:style>
  <w:style w:type="paragraph" w:customStyle="1" w:styleId="OGTabBullet">
    <w:name w:val="OGTabBullet"/>
    <w:basedOn w:val="OGBullet"/>
    <w:link w:val="OGTabBulletChar"/>
    <w:semiHidden/>
    <w:rsid w:val="000F532A"/>
    <w:pPr>
      <w:numPr>
        <w:numId w:val="7"/>
      </w:numPr>
      <w:spacing w:before="30" w:after="30"/>
    </w:pPr>
    <w:rPr>
      <w:lang w:eastAsia="en-AU"/>
    </w:rPr>
  </w:style>
  <w:style w:type="paragraph" w:customStyle="1" w:styleId="TabletextheadingCentred">
    <w:name w:val="Table text heading Centred"/>
    <w:basedOn w:val="Tabletextheading"/>
    <w:link w:val="TabletextheadingCentredChar"/>
    <w:rsid w:val="00901E03"/>
    <w:pPr>
      <w:jc w:val="center"/>
    </w:pPr>
  </w:style>
  <w:style w:type="paragraph" w:customStyle="1" w:styleId="DashText">
    <w:name w:val="Dash Text"/>
    <w:basedOn w:val="Normal"/>
    <w:link w:val="DashTextChar"/>
    <w:qFormat/>
    <w:rsid w:val="00901E03"/>
    <w:pPr>
      <w:numPr>
        <w:ilvl w:val="1"/>
        <w:numId w:val="1"/>
      </w:numPr>
    </w:pPr>
  </w:style>
  <w:style w:type="paragraph" w:customStyle="1" w:styleId="VersionTableText">
    <w:name w:val="VersionTableText"/>
    <w:basedOn w:val="Normal"/>
    <w:rsid w:val="00206EB5"/>
    <w:pPr>
      <w:spacing w:after="0"/>
      <w:jc w:val="center"/>
    </w:pPr>
    <w:rPr>
      <w:rFonts w:ascii="Calibri" w:hAnsi="Calibri"/>
      <w:sz w:val="22"/>
    </w:rPr>
  </w:style>
  <w:style w:type="paragraph" w:customStyle="1" w:styleId="VersionTableHeading">
    <w:name w:val="VersionTableHeading"/>
    <w:basedOn w:val="Normal"/>
    <w:rsid w:val="00206EB5"/>
    <w:pPr>
      <w:spacing w:after="0"/>
      <w:jc w:val="center"/>
    </w:pPr>
    <w:rPr>
      <w:rFonts w:ascii="Calibri" w:hAnsi="Calibri"/>
      <w:b/>
      <w:sz w:val="22"/>
    </w:rPr>
  </w:style>
  <w:style w:type="paragraph" w:customStyle="1" w:styleId="NotesIndent">
    <w:name w:val="NotesIndent"/>
    <w:basedOn w:val="Notes"/>
    <w:rsid w:val="00901E03"/>
    <w:pPr>
      <w:ind w:left="915"/>
    </w:pPr>
  </w:style>
  <w:style w:type="paragraph" w:customStyle="1" w:styleId="NotesDash">
    <w:name w:val="NotesDash"/>
    <w:basedOn w:val="NotesIndent"/>
    <w:rsid w:val="00901E03"/>
    <w:pPr>
      <w:numPr>
        <w:numId w:val="4"/>
      </w:numPr>
      <w:tabs>
        <w:tab w:val="clear" w:pos="454"/>
      </w:tabs>
    </w:pPr>
  </w:style>
  <w:style w:type="paragraph" w:customStyle="1" w:styleId="VAGOText">
    <w:name w:val="VAGOText"/>
    <w:basedOn w:val="Normal"/>
    <w:semiHidden/>
    <w:rsid w:val="00901E03"/>
    <w:pPr>
      <w:spacing w:before="120"/>
    </w:pPr>
    <w:rPr>
      <w:rFonts w:ascii="Arial" w:hAnsi="Arial" w:cs="Arial"/>
      <w:sz w:val="16"/>
      <w:szCs w:val="16"/>
    </w:rPr>
  </w:style>
  <w:style w:type="paragraph" w:customStyle="1" w:styleId="VAGOHeading2">
    <w:name w:val="VAGOHeading2"/>
    <w:basedOn w:val="Normal"/>
    <w:semiHidden/>
    <w:rsid w:val="00901E03"/>
    <w:rPr>
      <w:rFonts w:ascii="Arial" w:hAnsi="Arial" w:cs="Arial"/>
      <w:b/>
      <w:sz w:val="16"/>
      <w:szCs w:val="16"/>
    </w:rPr>
  </w:style>
  <w:style w:type="paragraph" w:customStyle="1" w:styleId="VAGOHeading1">
    <w:name w:val="VAGOHeading1"/>
    <w:basedOn w:val="Normal"/>
    <w:semiHidden/>
    <w:rsid w:val="00901E03"/>
    <w:pPr>
      <w:jc w:val="center"/>
    </w:pPr>
    <w:rPr>
      <w:rFonts w:ascii="Arial" w:hAnsi="Arial" w:cs="Arial"/>
      <w:b/>
      <w:sz w:val="17"/>
      <w:szCs w:val="17"/>
    </w:rPr>
  </w:style>
  <w:style w:type="paragraph" w:customStyle="1" w:styleId="VAGOHeading3">
    <w:name w:val="VAGOHeading3"/>
    <w:basedOn w:val="VAGOHeading2"/>
    <w:semiHidden/>
    <w:rsid w:val="00901E03"/>
    <w:rPr>
      <w:b w:val="0"/>
      <w:i/>
    </w:rPr>
  </w:style>
  <w:style w:type="character" w:customStyle="1" w:styleId="TableheadingChar">
    <w:name w:val="Table heading Char"/>
    <w:link w:val="Tableheading"/>
    <w:rsid w:val="00BB71EC"/>
    <w:rPr>
      <w:rFonts w:ascii="Calibri" w:hAnsi="Calibri"/>
      <w:b/>
      <w:sz w:val="25"/>
      <w:lang w:val="en-AU" w:eastAsia="en-US" w:bidi="ar-SA"/>
    </w:rPr>
  </w:style>
  <w:style w:type="paragraph" w:customStyle="1" w:styleId="TabletextheadingLeft">
    <w:name w:val="Table text heading Left"/>
    <w:basedOn w:val="Tabletextheading"/>
    <w:rsid w:val="00901E03"/>
    <w:pPr>
      <w:jc w:val="left"/>
    </w:pPr>
  </w:style>
  <w:style w:type="paragraph" w:customStyle="1" w:styleId="Chartpara">
    <w:name w:val="Chart para"/>
    <w:basedOn w:val="Normal"/>
    <w:semiHidden/>
    <w:rsid w:val="00901E03"/>
    <w:pPr>
      <w:spacing w:after="0"/>
    </w:pPr>
  </w:style>
  <w:style w:type="paragraph" w:customStyle="1" w:styleId="FrontPage">
    <w:name w:val="Front Page"/>
    <w:basedOn w:val="Normal"/>
    <w:semiHidden/>
    <w:rsid w:val="00C2380B"/>
    <w:pPr>
      <w:jc w:val="center"/>
    </w:pPr>
    <w:rPr>
      <w:rFonts w:ascii="Calibri" w:hAnsi="Calibri"/>
      <w:b/>
      <w:sz w:val="54"/>
      <w:szCs w:val="52"/>
    </w:rPr>
  </w:style>
  <w:style w:type="paragraph" w:customStyle="1" w:styleId="FrontPage2">
    <w:name w:val="Front Page 2"/>
    <w:basedOn w:val="FrontPage"/>
    <w:semiHidden/>
    <w:rsid w:val="00901E03"/>
    <w:pPr>
      <w:pBdr>
        <w:bottom w:val="single" w:sz="12" w:space="1" w:color="auto"/>
      </w:pBdr>
    </w:pPr>
  </w:style>
  <w:style w:type="paragraph" w:customStyle="1" w:styleId="FrontPage3">
    <w:name w:val="Front Page 3"/>
    <w:basedOn w:val="Normal"/>
    <w:semiHidden/>
    <w:rsid w:val="00C2380B"/>
    <w:pPr>
      <w:jc w:val="center"/>
    </w:pPr>
    <w:rPr>
      <w:rFonts w:ascii="Calibri" w:hAnsi="Calibri"/>
      <w:sz w:val="30"/>
      <w:szCs w:val="28"/>
    </w:rPr>
  </w:style>
  <w:style w:type="paragraph" w:customStyle="1" w:styleId="FrontPageBP">
    <w:name w:val="Front Page BP"/>
    <w:basedOn w:val="Normal"/>
    <w:semiHidden/>
    <w:rsid w:val="00C2380B"/>
    <w:pPr>
      <w:jc w:val="center"/>
    </w:pPr>
    <w:rPr>
      <w:rFonts w:ascii="Calibri" w:hAnsi="Calibri"/>
      <w:b/>
      <w:sz w:val="34"/>
      <w:szCs w:val="32"/>
    </w:rPr>
  </w:style>
  <w:style w:type="paragraph" w:customStyle="1" w:styleId="FrontPageHon">
    <w:name w:val="Front Page Hon"/>
    <w:basedOn w:val="Normal"/>
    <w:semiHidden/>
    <w:rsid w:val="00C2380B"/>
    <w:pPr>
      <w:jc w:val="center"/>
    </w:pPr>
    <w:rPr>
      <w:rFonts w:ascii="Calibri" w:hAnsi="Calibri"/>
      <w:sz w:val="32"/>
      <w:szCs w:val="30"/>
    </w:rPr>
  </w:style>
  <w:style w:type="paragraph" w:customStyle="1" w:styleId="FrontPageMin">
    <w:name w:val="Front Page Min"/>
    <w:basedOn w:val="Normal"/>
    <w:semiHidden/>
    <w:rsid w:val="00C2380B"/>
    <w:pPr>
      <w:jc w:val="center"/>
    </w:pPr>
    <w:rPr>
      <w:rFonts w:ascii="Calibri" w:hAnsi="Calibri"/>
      <w:sz w:val="36"/>
      <w:szCs w:val="36"/>
    </w:rPr>
  </w:style>
  <w:style w:type="paragraph" w:customStyle="1" w:styleId="Heading2NotesQtrly">
    <w:name w:val="Heading 2 Notes Qtrly"/>
    <w:basedOn w:val="Heading2Notes"/>
    <w:rsid w:val="00901E03"/>
  </w:style>
  <w:style w:type="paragraph" w:customStyle="1" w:styleId="Heading3NumberingBP4">
    <w:name w:val="Heading 3 Numbering BP4"/>
    <w:basedOn w:val="Heading3Numbering"/>
    <w:semiHidden/>
    <w:rsid w:val="00901E03"/>
    <w:pPr>
      <w:numPr>
        <w:numId w:val="0"/>
      </w:numPr>
    </w:pPr>
  </w:style>
  <w:style w:type="paragraph" w:customStyle="1" w:styleId="HighlightBoxBullet">
    <w:name w:val="Highlight Box Bullet"/>
    <w:basedOn w:val="Normal"/>
    <w:qFormat/>
    <w:rsid w:val="00477003"/>
    <w:pPr>
      <w:numPr>
        <w:numId w:val="3"/>
      </w:numPr>
      <w:shd w:val="pct10" w:color="auto" w:fill="FFFFFF"/>
      <w:ind w:left="360"/>
    </w:pPr>
  </w:style>
  <w:style w:type="paragraph" w:customStyle="1" w:styleId="HighlightBoxHeading">
    <w:name w:val="Highlight Box Heading"/>
    <w:basedOn w:val="Heading5a"/>
    <w:qFormat/>
    <w:rsid w:val="00901E03"/>
    <w:pPr>
      <w:shd w:val="clear" w:color="auto" w:fill="E6E6E6"/>
    </w:pPr>
  </w:style>
  <w:style w:type="paragraph" w:styleId="Index1">
    <w:name w:val="index 1"/>
    <w:basedOn w:val="Normal"/>
    <w:next w:val="Normal"/>
    <w:autoRedefine/>
    <w:semiHidden/>
    <w:rsid w:val="00901E03"/>
    <w:pPr>
      <w:spacing w:after="0"/>
      <w:ind w:left="220" w:hanging="220"/>
    </w:pPr>
    <w:rPr>
      <w:sz w:val="18"/>
      <w:szCs w:val="18"/>
    </w:rPr>
  </w:style>
  <w:style w:type="paragraph" w:styleId="Index2">
    <w:name w:val="index 2"/>
    <w:basedOn w:val="Normal"/>
    <w:next w:val="Normal"/>
    <w:autoRedefine/>
    <w:semiHidden/>
    <w:rsid w:val="00901E03"/>
    <w:pPr>
      <w:spacing w:after="0"/>
      <w:ind w:left="440" w:hanging="220"/>
    </w:pPr>
    <w:rPr>
      <w:sz w:val="18"/>
      <w:szCs w:val="18"/>
    </w:rPr>
  </w:style>
  <w:style w:type="paragraph" w:styleId="IndexHeading">
    <w:name w:val="index heading"/>
    <w:basedOn w:val="Normal"/>
    <w:next w:val="Index1"/>
    <w:semiHidden/>
    <w:rsid w:val="00901E03"/>
    <w:pPr>
      <w:spacing w:before="240"/>
      <w:jc w:val="center"/>
    </w:pPr>
    <w:rPr>
      <w:b/>
      <w:bCs/>
      <w:sz w:val="26"/>
      <w:szCs w:val="26"/>
    </w:rPr>
  </w:style>
  <w:style w:type="paragraph" w:styleId="NormalIndent">
    <w:name w:val="Normal Indent"/>
    <w:basedOn w:val="Normal"/>
    <w:locked/>
    <w:rsid w:val="00901E03"/>
    <w:pPr>
      <w:ind w:left="360"/>
    </w:pPr>
  </w:style>
  <w:style w:type="character" w:customStyle="1" w:styleId="OGHeading2Char">
    <w:name w:val="OGHeading2 Char"/>
    <w:link w:val="OGHeading2"/>
    <w:rsid w:val="00BB71EC"/>
    <w:rPr>
      <w:rFonts w:ascii="Calibri" w:hAnsi="Calibri"/>
      <w:b/>
      <w:sz w:val="30"/>
      <w:szCs w:val="24"/>
      <w:lang w:val="en-AU" w:eastAsia="en-US" w:bidi="ar-SA"/>
    </w:rPr>
  </w:style>
  <w:style w:type="paragraph" w:customStyle="1" w:styleId="OGNotes">
    <w:name w:val="OGNotes"/>
    <w:basedOn w:val="NotesIndent"/>
    <w:semiHidden/>
    <w:rsid w:val="00901E03"/>
    <w:pPr>
      <w:tabs>
        <w:tab w:val="clear" w:pos="454"/>
      </w:tabs>
      <w:spacing w:after="60"/>
      <w:ind w:left="360" w:right="115" w:firstLine="0"/>
    </w:pPr>
    <w:rPr>
      <w:lang w:eastAsia="en-AU"/>
    </w:rPr>
  </w:style>
  <w:style w:type="paragraph" w:customStyle="1" w:styleId="OGNotesIndent">
    <w:name w:val="OGNotesIndent"/>
    <w:basedOn w:val="OGNotes"/>
    <w:semiHidden/>
    <w:rsid w:val="00901E03"/>
    <w:pPr>
      <w:ind w:left="720" w:hanging="360"/>
    </w:pPr>
  </w:style>
  <w:style w:type="paragraph" w:customStyle="1" w:styleId="OGUoM">
    <w:name w:val="OGUoM"/>
    <w:basedOn w:val="TableTextCentred"/>
    <w:semiHidden/>
    <w:rsid w:val="00901E03"/>
    <w:pPr>
      <w:spacing w:before="30" w:after="30"/>
    </w:pPr>
  </w:style>
  <w:style w:type="paragraph" w:customStyle="1" w:styleId="OGTabColCentred">
    <w:name w:val="OGTabColCentred"/>
    <w:basedOn w:val="OGUoM"/>
    <w:semiHidden/>
    <w:rsid w:val="00901E03"/>
    <w:rPr>
      <w:b/>
      <w:lang w:eastAsia="en-AU"/>
    </w:rPr>
  </w:style>
  <w:style w:type="paragraph" w:customStyle="1" w:styleId="OGTableofFigures">
    <w:name w:val="OGTable of Figures"/>
    <w:basedOn w:val="TableofFigures"/>
    <w:semiHidden/>
    <w:rsid w:val="00901E03"/>
    <w:pPr>
      <w:spacing w:before="30" w:after="30"/>
    </w:pPr>
  </w:style>
  <w:style w:type="paragraph" w:customStyle="1" w:styleId="OGTabColRight">
    <w:name w:val="OGTabColRight"/>
    <w:basedOn w:val="OGTableofFigures"/>
    <w:semiHidden/>
    <w:rsid w:val="00901E03"/>
    <w:rPr>
      <w:b/>
    </w:rPr>
  </w:style>
  <w:style w:type="paragraph" w:customStyle="1" w:styleId="OGTabColLeft">
    <w:name w:val="OGTabColLeft"/>
    <w:basedOn w:val="OGTabColRight"/>
    <w:semiHidden/>
    <w:rsid w:val="00901E03"/>
    <w:pPr>
      <w:jc w:val="left"/>
    </w:pPr>
    <w:rPr>
      <w:lang w:eastAsia="en-AU"/>
    </w:rPr>
  </w:style>
  <w:style w:type="character" w:customStyle="1" w:styleId="OGTabTextChar">
    <w:name w:val="OGTabText Char"/>
    <w:link w:val="OGTabText"/>
    <w:rsid w:val="00BB71EC"/>
    <w:rPr>
      <w:rFonts w:ascii="Calibri" w:hAnsi="Calibri"/>
      <w:sz w:val="22"/>
      <w:szCs w:val="18"/>
      <w:lang w:val="en-AU" w:eastAsia="en-US" w:bidi="ar-SA"/>
    </w:rPr>
  </w:style>
  <w:style w:type="character" w:customStyle="1" w:styleId="OGTextChar">
    <w:name w:val="OGText Char"/>
    <w:link w:val="OGText"/>
    <w:rsid w:val="00BB71EC"/>
    <w:rPr>
      <w:rFonts w:ascii="Calibri" w:hAnsi="Calibri"/>
      <w:sz w:val="22"/>
      <w:szCs w:val="18"/>
      <w:lang w:val="en-AU" w:eastAsia="en-US" w:bidi="ar-SA"/>
    </w:rPr>
  </w:style>
  <w:style w:type="paragraph" w:customStyle="1" w:styleId="TableofContentscontinued">
    <w:name w:val="Table of Contents continued"/>
    <w:basedOn w:val="Normal"/>
    <w:rsid w:val="00BB71EC"/>
    <w:pPr>
      <w:keepNext/>
      <w:tabs>
        <w:tab w:val="left" w:pos="1152"/>
      </w:tabs>
      <w:spacing w:before="240"/>
      <w:ind w:left="1152" w:hanging="1152"/>
      <w:outlineLvl w:val="1"/>
    </w:pPr>
    <w:rPr>
      <w:rFonts w:ascii="Calibri" w:hAnsi="Calibri"/>
      <w:b/>
      <w:kern w:val="28"/>
      <w:sz w:val="28"/>
      <w:szCs w:val="22"/>
    </w:rPr>
  </w:style>
  <w:style w:type="character" w:customStyle="1" w:styleId="TableofFiguresChar">
    <w:name w:val="Table of Figures Char"/>
    <w:link w:val="TableofFigures"/>
    <w:rsid w:val="0093166C"/>
    <w:rPr>
      <w:rFonts w:ascii="Calibri" w:hAnsi="Calibri"/>
      <w:sz w:val="22"/>
      <w:szCs w:val="18"/>
      <w:lang w:eastAsia="en-US"/>
    </w:rPr>
  </w:style>
  <w:style w:type="paragraph" w:customStyle="1" w:styleId="TableTextindent">
    <w:name w:val="Table Text indent"/>
    <w:basedOn w:val="Tabletext"/>
    <w:rsid w:val="00901E03"/>
    <w:pPr>
      <w:ind w:left="360" w:firstLine="0"/>
    </w:pPr>
  </w:style>
  <w:style w:type="paragraph" w:customStyle="1" w:styleId="TableTextindent2">
    <w:name w:val="Table Text indent 2"/>
    <w:basedOn w:val="TableTextindent"/>
    <w:rsid w:val="00160ABB"/>
    <w:pPr>
      <w:spacing w:after="40"/>
      <w:ind w:left="720" w:hanging="360"/>
    </w:pPr>
  </w:style>
  <w:style w:type="paragraph" w:customStyle="1" w:styleId="VAGOBullet">
    <w:name w:val="VAGOBullet"/>
    <w:basedOn w:val="VAGOText"/>
    <w:semiHidden/>
    <w:rsid w:val="00901E03"/>
    <w:pPr>
      <w:numPr>
        <w:numId w:val="6"/>
      </w:numPr>
      <w:ind w:right="-51"/>
    </w:pPr>
    <w:rPr>
      <w:iCs/>
    </w:rPr>
  </w:style>
  <w:style w:type="character" w:customStyle="1" w:styleId="TabletextChar">
    <w:name w:val="Table text Char"/>
    <w:link w:val="Tabletext"/>
    <w:rsid w:val="00630FB1"/>
    <w:rPr>
      <w:rFonts w:ascii="Calibri" w:hAnsi="Calibri"/>
      <w:sz w:val="22"/>
      <w:szCs w:val="18"/>
      <w:lang w:eastAsia="en-US"/>
    </w:rPr>
  </w:style>
  <w:style w:type="character" w:customStyle="1" w:styleId="millionChar">
    <w:name w:val="$million Char"/>
    <w:link w:val="million"/>
    <w:rsid w:val="00B208AA"/>
    <w:rPr>
      <w:rFonts w:ascii="Calibri" w:hAnsi="Calibri"/>
      <w:i/>
      <w:szCs w:val="18"/>
      <w:lang w:val="en-AU" w:eastAsia="en-US" w:bidi="ar-SA"/>
    </w:rPr>
  </w:style>
  <w:style w:type="character" w:customStyle="1" w:styleId="TabletextheadingChar">
    <w:name w:val="Table text heading Char"/>
    <w:link w:val="Tabletextheading"/>
    <w:locked/>
    <w:rsid w:val="00B208AA"/>
    <w:rPr>
      <w:rFonts w:ascii="Calibri" w:hAnsi="Calibri"/>
      <w:i/>
      <w:sz w:val="24"/>
      <w:szCs w:val="18"/>
      <w:lang w:val="en-AU" w:eastAsia="en-US" w:bidi="ar-SA"/>
    </w:rPr>
  </w:style>
  <w:style w:type="character" w:customStyle="1" w:styleId="SourceChar">
    <w:name w:val="Source Char"/>
    <w:link w:val="Source"/>
    <w:locked/>
    <w:rsid w:val="00B208AA"/>
    <w:rPr>
      <w:rFonts w:ascii="Calibri" w:hAnsi="Calibri"/>
      <w:i/>
      <w:sz w:val="16"/>
      <w:lang w:val="en-AU" w:eastAsia="en-US" w:bidi="ar-SA"/>
    </w:rPr>
  </w:style>
  <w:style w:type="character" w:customStyle="1" w:styleId="TabletextheadingCentredChar">
    <w:name w:val="Table text heading Centred Char"/>
    <w:link w:val="TabletextheadingCentred"/>
    <w:locked/>
    <w:rsid w:val="00C4543A"/>
    <w:rPr>
      <w:rFonts w:ascii="Calibri" w:hAnsi="Calibri"/>
      <w:i/>
      <w:sz w:val="24"/>
      <w:szCs w:val="18"/>
      <w:lang w:val="en-AU" w:eastAsia="en-US" w:bidi="ar-SA"/>
    </w:rPr>
  </w:style>
  <w:style w:type="paragraph" w:customStyle="1" w:styleId="Heading1Continued">
    <w:name w:val="Heading 1 Continued"/>
    <w:basedOn w:val="Heading1"/>
    <w:qFormat/>
    <w:rsid w:val="007A44BF"/>
    <w:rPr>
      <w:caps w:val="0"/>
    </w:rPr>
  </w:style>
  <w:style w:type="character" w:styleId="Hyperlink">
    <w:name w:val="Hyperlink"/>
    <w:basedOn w:val="DefaultParagraphFont"/>
    <w:uiPriority w:val="99"/>
    <w:locked/>
    <w:rsid w:val="00027A43"/>
    <w:rPr>
      <w:color w:val="0000FF" w:themeColor="hyperlink"/>
      <w:u w:val="single"/>
    </w:rPr>
  </w:style>
  <w:style w:type="paragraph" w:styleId="BalloonText">
    <w:name w:val="Balloon Text"/>
    <w:basedOn w:val="Normal"/>
    <w:link w:val="BalloonTextChar"/>
    <w:locked/>
    <w:rsid w:val="00160ABB"/>
    <w:pPr>
      <w:spacing w:after="0"/>
    </w:pPr>
    <w:rPr>
      <w:rFonts w:ascii="Tahoma" w:hAnsi="Tahoma" w:cs="Tahoma"/>
      <w:sz w:val="16"/>
      <w:szCs w:val="16"/>
    </w:rPr>
  </w:style>
  <w:style w:type="character" w:customStyle="1" w:styleId="BalloonTextChar">
    <w:name w:val="Balloon Text Char"/>
    <w:basedOn w:val="DefaultParagraphFont"/>
    <w:link w:val="BalloonText"/>
    <w:rsid w:val="00160ABB"/>
    <w:rPr>
      <w:rFonts w:ascii="Tahoma" w:hAnsi="Tahoma" w:cs="Tahoma"/>
      <w:sz w:val="16"/>
      <w:szCs w:val="16"/>
      <w:lang w:eastAsia="en-US"/>
    </w:rPr>
  </w:style>
  <w:style w:type="paragraph" w:customStyle="1" w:styleId="TabletextIndent1">
    <w:name w:val="Table text Indent 1"/>
    <w:basedOn w:val="Tabletext"/>
    <w:rsid w:val="00160ABB"/>
    <w:pPr>
      <w:spacing w:after="40"/>
      <w:ind w:left="362" w:hanging="362"/>
    </w:pPr>
    <w:rPr>
      <w:szCs w:val="20"/>
    </w:rPr>
  </w:style>
  <w:style w:type="paragraph" w:styleId="FootnoteText">
    <w:name w:val="footnote text"/>
    <w:basedOn w:val="Normal"/>
    <w:link w:val="FootnoteTextChar"/>
    <w:locked/>
    <w:rsid w:val="005A7787"/>
    <w:pPr>
      <w:spacing w:after="0"/>
    </w:pPr>
    <w:rPr>
      <w:sz w:val="20"/>
    </w:rPr>
  </w:style>
  <w:style w:type="character" w:customStyle="1" w:styleId="FootnoteTextChar">
    <w:name w:val="Footnote Text Char"/>
    <w:basedOn w:val="DefaultParagraphFont"/>
    <w:link w:val="FootnoteText"/>
    <w:rsid w:val="005A7787"/>
    <w:rPr>
      <w:rFonts w:ascii="Garamond" w:hAnsi="Garamond"/>
      <w:lang w:eastAsia="en-US"/>
    </w:rPr>
  </w:style>
  <w:style w:type="character" w:styleId="FootnoteReference">
    <w:name w:val="footnote reference"/>
    <w:basedOn w:val="DefaultParagraphFont"/>
    <w:locked/>
    <w:rsid w:val="005A7787"/>
    <w:rPr>
      <w:vertAlign w:val="superscript"/>
    </w:rPr>
  </w:style>
  <w:style w:type="character" w:customStyle="1" w:styleId="Heading1Char">
    <w:name w:val="Heading 1 Char"/>
    <w:link w:val="Heading1"/>
    <w:rsid w:val="005A7787"/>
    <w:rPr>
      <w:rFonts w:ascii="Calibri" w:hAnsi="Calibri"/>
      <w:b/>
      <w:caps/>
      <w:sz w:val="28"/>
      <w:szCs w:val="22"/>
      <w:lang w:eastAsia="en-US"/>
    </w:rPr>
  </w:style>
  <w:style w:type="character" w:customStyle="1" w:styleId="BulletTextChar">
    <w:name w:val="Bullet Text Char"/>
    <w:link w:val="BulletText"/>
    <w:locked/>
    <w:rsid w:val="005A7787"/>
    <w:rPr>
      <w:rFonts w:ascii="Garamond" w:hAnsi="Garamond"/>
      <w:sz w:val="24"/>
      <w:lang w:eastAsia="en-US"/>
    </w:rPr>
  </w:style>
  <w:style w:type="character" w:customStyle="1" w:styleId="NotesChar">
    <w:name w:val="Notes Char"/>
    <w:link w:val="Notes"/>
    <w:locked/>
    <w:rsid w:val="005A7787"/>
    <w:rPr>
      <w:rFonts w:ascii="Calibri" w:hAnsi="Calibri"/>
      <w:i/>
      <w:sz w:val="16"/>
      <w:lang w:eastAsia="en-US"/>
    </w:rPr>
  </w:style>
  <w:style w:type="character" w:customStyle="1" w:styleId="DashTextChar">
    <w:name w:val="Dash Text Char"/>
    <w:link w:val="DashText"/>
    <w:rsid w:val="005A7787"/>
    <w:rPr>
      <w:rFonts w:ascii="Garamond" w:hAnsi="Garamond"/>
      <w:sz w:val="24"/>
      <w:lang w:eastAsia="en-US"/>
    </w:rPr>
  </w:style>
  <w:style w:type="character" w:customStyle="1" w:styleId="Heading2Char">
    <w:name w:val="Heading 2 Char"/>
    <w:link w:val="Heading2"/>
    <w:locked/>
    <w:rsid w:val="005A7787"/>
    <w:rPr>
      <w:rFonts w:ascii="Calibri" w:hAnsi="Calibri"/>
      <w:b/>
      <w:kern w:val="28"/>
      <w:sz w:val="28"/>
      <w:szCs w:val="22"/>
      <w:lang w:eastAsia="en-US"/>
    </w:rPr>
  </w:style>
  <w:style w:type="character" w:customStyle="1" w:styleId="Heading3Char">
    <w:name w:val="Heading 3 Char"/>
    <w:link w:val="Heading3"/>
    <w:rsid w:val="005A7787"/>
    <w:rPr>
      <w:rFonts w:ascii="Calibri" w:hAnsi="Calibri"/>
      <w:b/>
      <w:i/>
      <w:kern w:val="28"/>
      <w:sz w:val="26"/>
      <w:szCs w:val="22"/>
      <w:lang w:eastAsia="en-US"/>
    </w:rPr>
  </w:style>
  <w:style w:type="character" w:customStyle="1" w:styleId="Heading6Char">
    <w:name w:val="Heading 6 Char"/>
    <w:basedOn w:val="DefaultParagraphFont"/>
    <w:link w:val="Heading6"/>
    <w:semiHidden/>
    <w:rsid w:val="005A7787"/>
    <w:rPr>
      <w:rFonts w:asciiTheme="majorHAnsi" w:eastAsiaTheme="majorEastAsia" w:hAnsiTheme="majorHAnsi" w:cstheme="majorBidi"/>
      <w:i/>
      <w:iCs/>
      <w:color w:val="243F60" w:themeColor="accent1" w:themeShade="7F"/>
      <w:sz w:val="24"/>
      <w:lang w:eastAsia="en-US"/>
    </w:rPr>
  </w:style>
  <w:style w:type="character" w:customStyle="1" w:styleId="Heading7Char">
    <w:name w:val="Heading 7 Char"/>
    <w:basedOn w:val="DefaultParagraphFont"/>
    <w:link w:val="Heading7"/>
    <w:semiHidden/>
    <w:rsid w:val="005A7787"/>
    <w:rPr>
      <w:rFonts w:asciiTheme="majorHAnsi" w:eastAsiaTheme="majorEastAsia" w:hAnsiTheme="majorHAnsi" w:cstheme="majorBidi"/>
      <w:i/>
      <w:iCs/>
      <w:color w:val="404040" w:themeColor="text1" w:themeTint="BF"/>
      <w:sz w:val="24"/>
      <w:lang w:eastAsia="en-US"/>
    </w:rPr>
  </w:style>
  <w:style w:type="character" w:customStyle="1" w:styleId="Heading8Char">
    <w:name w:val="Heading 8 Char"/>
    <w:basedOn w:val="DefaultParagraphFont"/>
    <w:link w:val="Heading8"/>
    <w:semiHidden/>
    <w:rsid w:val="005A778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5A7787"/>
    <w:rPr>
      <w:rFonts w:asciiTheme="majorHAnsi" w:eastAsiaTheme="majorEastAsia" w:hAnsiTheme="majorHAnsi" w:cstheme="majorBidi"/>
      <w:i/>
      <w:iCs/>
      <w:color w:val="404040" w:themeColor="text1" w:themeTint="BF"/>
      <w:lang w:eastAsia="en-US"/>
    </w:rPr>
  </w:style>
  <w:style w:type="character" w:customStyle="1" w:styleId="Heading2NotesChar">
    <w:name w:val="Heading 2 Notes Char"/>
    <w:link w:val="Heading2Notes"/>
    <w:locked/>
    <w:rsid w:val="005A7787"/>
    <w:rPr>
      <w:rFonts w:ascii="Calibri" w:hAnsi="Calibri"/>
      <w:b/>
      <w:kern w:val="28"/>
      <w:sz w:val="28"/>
      <w:szCs w:val="22"/>
      <w:lang w:eastAsia="en-US"/>
    </w:rPr>
  </w:style>
  <w:style w:type="character" w:customStyle="1" w:styleId="Heading5Char">
    <w:name w:val="Heading 5 Char"/>
    <w:link w:val="Heading5"/>
    <w:rsid w:val="0067336F"/>
    <w:rPr>
      <w:rFonts w:ascii="Calibri" w:hAnsi="Calibri"/>
      <w:b/>
      <w:sz w:val="24"/>
      <w:lang w:eastAsia="en-US"/>
    </w:rPr>
  </w:style>
  <w:style w:type="paragraph" w:styleId="ListParagraph">
    <w:name w:val="List Paragraph"/>
    <w:basedOn w:val="Normal"/>
    <w:uiPriority w:val="34"/>
    <w:qFormat/>
    <w:rsid w:val="005A7787"/>
    <w:pPr>
      <w:ind w:left="720"/>
      <w:contextualSpacing/>
    </w:pPr>
  </w:style>
  <w:style w:type="character" w:customStyle="1" w:styleId="Heading2NotesContdChar">
    <w:name w:val="Heading 2 Notes Cont'd Char"/>
    <w:link w:val="Heading2NotesContd"/>
    <w:locked/>
    <w:rsid w:val="005A7787"/>
    <w:rPr>
      <w:rFonts w:ascii="Calibri" w:hAnsi="Calibri"/>
      <w:b/>
      <w:kern w:val="28"/>
      <w:sz w:val="28"/>
      <w:szCs w:val="22"/>
      <w:lang w:eastAsia="en-US"/>
    </w:rPr>
  </w:style>
  <w:style w:type="character" w:customStyle="1" w:styleId="Heading4Char">
    <w:name w:val="Heading 4 Char"/>
    <w:basedOn w:val="DefaultParagraphFont"/>
    <w:link w:val="Heading4"/>
    <w:rsid w:val="005A7787"/>
    <w:rPr>
      <w:rFonts w:ascii="Calibri" w:hAnsi="Calibri"/>
      <w:i/>
      <w:sz w:val="26"/>
      <w:szCs w:val="22"/>
      <w:lang w:eastAsia="en-US"/>
    </w:rPr>
  </w:style>
  <w:style w:type="numbering" w:customStyle="1" w:styleId="NoList1">
    <w:name w:val="No List1"/>
    <w:next w:val="NoList"/>
    <w:uiPriority w:val="99"/>
    <w:semiHidden/>
    <w:unhideWhenUsed/>
    <w:rsid w:val="005A7787"/>
  </w:style>
  <w:style w:type="character" w:customStyle="1" w:styleId="FooterChar">
    <w:name w:val="Footer Char"/>
    <w:basedOn w:val="DefaultParagraphFont"/>
    <w:link w:val="Footer"/>
    <w:rsid w:val="005A7787"/>
    <w:rPr>
      <w:rFonts w:ascii="Calibri" w:hAnsi="Calibri"/>
      <w:sz w:val="22"/>
      <w:szCs w:val="18"/>
      <w:lang w:eastAsia="en-US"/>
    </w:rPr>
  </w:style>
  <w:style w:type="character" w:customStyle="1" w:styleId="HeaderChar">
    <w:name w:val="Header Char"/>
    <w:basedOn w:val="DefaultParagraphFont"/>
    <w:link w:val="Header"/>
    <w:rsid w:val="005A7787"/>
    <w:rPr>
      <w:rFonts w:ascii="Calibri" w:hAnsi="Calibri"/>
      <w:sz w:val="22"/>
      <w:szCs w:val="18"/>
      <w:lang w:eastAsia="en-US"/>
    </w:rPr>
  </w:style>
  <w:style w:type="paragraph" w:customStyle="1" w:styleId="TableTextnoindent">
    <w:name w:val="Table Text no indent"/>
    <w:basedOn w:val="Tabletext"/>
    <w:qFormat/>
    <w:rsid w:val="005A7787"/>
    <w:pPr>
      <w:ind w:left="0" w:firstLine="0"/>
    </w:pPr>
    <w:rPr>
      <w:color w:val="000000"/>
      <w:lang w:eastAsia="en-AU"/>
    </w:rPr>
  </w:style>
  <w:style w:type="paragraph" w:customStyle="1" w:styleId="Char">
    <w:name w:val="Char"/>
    <w:basedOn w:val="Normal"/>
    <w:semiHidden/>
    <w:rsid w:val="005A7787"/>
    <w:pPr>
      <w:spacing w:after="0"/>
    </w:pPr>
    <w:rPr>
      <w:rFonts w:ascii="Arial" w:hAnsi="Arial"/>
      <w:sz w:val="22"/>
    </w:rPr>
  </w:style>
  <w:style w:type="character" w:customStyle="1" w:styleId="BIP1headinglChar">
    <w:name w:val="BIP1 heading l Char"/>
    <w:link w:val="BIP1headingl"/>
    <w:semiHidden/>
    <w:locked/>
    <w:rsid w:val="005A7787"/>
    <w:rPr>
      <w:rFonts w:ascii="Calibri" w:hAnsi="Calibri"/>
      <w:i/>
      <w:sz w:val="22"/>
      <w:szCs w:val="18"/>
      <w:lang w:eastAsia="en-US"/>
    </w:rPr>
  </w:style>
  <w:style w:type="paragraph" w:customStyle="1" w:styleId="TableTextbullet">
    <w:name w:val="Table Text bullet"/>
    <w:basedOn w:val="Tabletext"/>
    <w:qFormat/>
    <w:rsid w:val="005A7787"/>
    <w:pPr>
      <w:numPr>
        <w:numId w:val="10"/>
      </w:numPr>
      <w:ind w:left="284" w:hanging="284"/>
    </w:pPr>
  </w:style>
  <w:style w:type="paragraph" w:customStyle="1" w:styleId="Default">
    <w:name w:val="Default"/>
    <w:rsid w:val="005A7787"/>
    <w:pPr>
      <w:autoSpaceDE w:val="0"/>
      <w:autoSpaceDN w:val="0"/>
      <w:adjustRightInd w:val="0"/>
    </w:pPr>
    <w:rPr>
      <w:rFonts w:ascii="Arial" w:hAnsi="Arial" w:cs="Arial"/>
      <w:color w:val="000000"/>
      <w:sz w:val="24"/>
      <w:szCs w:val="24"/>
    </w:rPr>
  </w:style>
  <w:style w:type="paragraph" w:customStyle="1" w:styleId="TableTextdash">
    <w:name w:val="Table Text dash"/>
    <w:basedOn w:val="TableTextbullet"/>
    <w:qFormat/>
    <w:rsid w:val="005A7787"/>
    <w:pPr>
      <w:numPr>
        <w:numId w:val="8"/>
      </w:numPr>
      <w:tabs>
        <w:tab w:val="num" w:pos="360"/>
      </w:tabs>
      <w:spacing w:before="20" w:after="20"/>
      <w:ind w:left="421"/>
    </w:pPr>
  </w:style>
  <w:style w:type="character" w:styleId="CommentReference">
    <w:name w:val="annotation reference"/>
    <w:basedOn w:val="DefaultParagraphFont"/>
    <w:locked/>
    <w:rsid w:val="005A7787"/>
    <w:rPr>
      <w:sz w:val="16"/>
      <w:szCs w:val="16"/>
    </w:rPr>
  </w:style>
  <w:style w:type="paragraph" w:styleId="CommentText">
    <w:name w:val="annotation text"/>
    <w:basedOn w:val="Normal"/>
    <w:link w:val="CommentTextChar"/>
    <w:locked/>
    <w:rsid w:val="005A7787"/>
    <w:rPr>
      <w:sz w:val="20"/>
    </w:rPr>
  </w:style>
  <w:style w:type="character" w:customStyle="1" w:styleId="CommentTextChar">
    <w:name w:val="Comment Text Char"/>
    <w:basedOn w:val="DefaultParagraphFont"/>
    <w:link w:val="CommentText"/>
    <w:rsid w:val="005A7787"/>
    <w:rPr>
      <w:rFonts w:ascii="Garamond" w:hAnsi="Garamond"/>
      <w:lang w:eastAsia="en-US"/>
    </w:rPr>
  </w:style>
  <w:style w:type="paragraph" w:styleId="CommentSubject">
    <w:name w:val="annotation subject"/>
    <w:basedOn w:val="CommentText"/>
    <w:next w:val="CommentText"/>
    <w:link w:val="CommentSubjectChar"/>
    <w:locked/>
    <w:rsid w:val="005A7787"/>
    <w:rPr>
      <w:b/>
      <w:bCs/>
    </w:rPr>
  </w:style>
  <w:style w:type="character" w:customStyle="1" w:styleId="CommentSubjectChar">
    <w:name w:val="Comment Subject Char"/>
    <w:basedOn w:val="CommentTextChar"/>
    <w:link w:val="CommentSubject"/>
    <w:rsid w:val="005A7787"/>
    <w:rPr>
      <w:rFonts w:ascii="Garamond" w:hAnsi="Garamond"/>
      <w:b/>
      <w:bCs/>
      <w:lang w:eastAsia="en-US"/>
    </w:rPr>
  </w:style>
  <w:style w:type="paragraph" w:styleId="Revision">
    <w:name w:val="Revision"/>
    <w:hidden/>
    <w:uiPriority w:val="99"/>
    <w:semiHidden/>
    <w:rsid w:val="005A7787"/>
    <w:rPr>
      <w:rFonts w:ascii="Garamond" w:hAnsi="Garamond"/>
      <w:sz w:val="24"/>
      <w:lang w:eastAsia="en-US"/>
    </w:rPr>
  </w:style>
  <w:style w:type="paragraph" w:customStyle="1" w:styleId="Heading1cont">
    <w:name w:val="Heading 1 cont"/>
    <w:basedOn w:val="Heading1"/>
    <w:qFormat/>
    <w:rsid w:val="005A7787"/>
    <w:rPr>
      <w:caps w:val="0"/>
    </w:rPr>
  </w:style>
  <w:style w:type="character" w:styleId="PlaceholderText">
    <w:name w:val="Placeholder Text"/>
    <w:basedOn w:val="DefaultParagraphFont"/>
    <w:uiPriority w:val="99"/>
    <w:semiHidden/>
    <w:rsid w:val="005A7787"/>
    <w:rPr>
      <w:color w:val="808080"/>
    </w:rPr>
  </w:style>
  <w:style w:type="paragraph" w:customStyle="1" w:styleId="Bullet">
    <w:name w:val="Bullet"/>
    <w:basedOn w:val="Normal"/>
    <w:link w:val="BulletCharChar"/>
    <w:qFormat/>
    <w:rsid w:val="005A7787"/>
    <w:pPr>
      <w:numPr>
        <w:numId w:val="9"/>
      </w:numPr>
      <w:spacing w:before="120" w:after="0"/>
    </w:pPr>
    <w:rPr>
      <w:rFonts w:eastAsia="Tahoma" w:cs="Tahoma"/>
      <w:sz w:val="22"/>
      <w:szCs w:val="22"/>
      <w:lang w:eastAsia="en-AU"/>
    </w:rPr>
  </w:style>
  <w:style w:type="character" w:customStyle="1" w:styleId="BulletCharChar">
    <w:name w:val="Bullet Char Char"/>
    <w:link w:val="Bullet"/>
    <w:locked/>
    <w:rsid w:val="005A7787"/>
    <w:rPr>
      <w:rFonts w:ascii="Garamond" w:eastAsia="Tahoma" w:hAnsi="Garamond" w:cs="Tahoma"/>
      <w:sz w:val="22"/>
      <w:szCs w:val="22"/>
    </w:rPr>
  </w:style>
  <w:style w:type="character" w:customStyle="1" w:styleId="NormalBlueChar">
    <w:name w:val="Normal Blue Char"/>
    <w:link w:val="NormalBlue"/>
    <w:locked/>
    <w:rsid w:val="005A7787"/>
    <w:rPr>
      <w:color w:val="0000FF"/>
    </w:rPr>
  </w:style>
  <w:style w:type="paragraph" w:customStyle="1" w:styleId="NormalBlue">
    <w:name w:val="Normal Blue"/>
    <w:basedOn w:val="Normal"/>
    <w:link w:val="NormalBlueChar"/>
    <w:qFormat/>
    <w:rsid w:val="005A7787"/>
    <w:pPr>
      <w:spacing w:before="120" w:after="0"/>
    </w:pPr>
    <w:rPr>
      <w:rFonts w:ascii="Times New Roman" w:hAnsi="Times New Roman"/>
      <w:color w:val="0000FF"/>
      <w:sz w:val="20"/>
      <w:lang w:eastAsia="en-AU"/>
    </w:rPr>
  </w:style>
  <w:style w:type="table" w:customStyle="1" w:styleId="CVtable1">
    <w:name w:val="CV table1"/>
    <w:basedOn w:val="TableNormal"/>
    <w:next w:val="TableGrid"/>
    <w:rsid w:val="005A7787"/>
    <w:pPr>
      <w:spacing w:before="120"/>
      <w:jc w:val="both"/>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5A77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Indent">
    <w:name w:val="Bullet Indent"/>
    <w:basedOn w:val="Bullet"/>
    <w:rsid w:val="005A7787"/>
    <w:pPr>
      <w:numPr>
        <w:numId w:val="0"/>
      </w:numPr>
      <w:tabs>
        <w:tab w:val="num" w:pos="720"/>
      </w:tabs>
      <w:ind w:left="810" w:hanging="720"/>
    </w:pPr>
    <w:rPr>
      <w:rFonts w:eastAsia="Times New Roman" w:cs="Times New Roman"/>
      <w:lang w:eastAsia="en-US"/>
    </w:rPr>
  </w:style>
  <w:style w:type="character" w:styleId="FollowedHyperlink">
    <w:name w:val="FollowedHyperlink"/>
    <w:basedOn w:val="DefaultParagraphFont"/>
    <w:uiPriority w:val="99"/>
    <w:unhideWhenUsed/>
    <w:locked/>
    <w:rsid w:val="005A7787"/>
    <w:rPr>
      <w:color w:val="800080" w:themeColor="followedHyperlink"/>
      <w:u w:val="single"/>
    </w:rPr>
  </w:style>
  <w:style w:type="character" w:styleId="Emphasis">
    <w:name w:val="Emphasis"/>
    <w:basedOn w:val="DefaultParagraphFont"/>
    <w:uiPriority w:val="20"/>
    <w:qFormat/>
    <w:locked/>
    <w:rsid w:val="005A7787"/>
    <w:rPr>
      <w:i/>
      <w:iCs/>
    </w:rPr>
  </w:style>
  <w:style w:type="paragraph" w:styleId="Bibliography">
    <w:name w:val="Bibliography"/>
    <w:basedOn w:val="Normal"/>
    <w:next w:val="Normal"/>
    <w:uiPriority w:val="37"/>
    <w:semiHidden/>
    <w:unhideWhenUsed/>
    <w:rsid w:val="005A7787"/>
  </w:style>
  <w:style w:type="paragraph" w:styleId="BlockText">
    <w:name w:val="Block Text"/>
    <w:basedOn w:val="Normal"/>
    <w:locked/>
    <w:rsid w:val="005A7787"/>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5A7787"/>
  </w:style>
  <w:style w:type="character" w:customStyle="1" w:styleId="BodyTextChar">
    <w:name w:val="Body Text Char"/>
    <w:basedOn w:val="DefaultParagraphFont"/>
    <w:link w:val="BodyText"/>
    <w:rsid w:val="005A7787"/>
    <w:rPr>
      <w:rFonts w:ascii="Garamond" w:hAnsi="Garamond"/>
      <w:sz w:val="24"/>
      <w:lang w:eastAsia="en-US"/>
    </w:rPr>
  </w:style>
  <w:style w:type="paragraph" w:styleId="BodyText2">
    <w:name w:val="Body Text 2"/>
    <w:basedOn w:val="Normal"/>
    <w:link w:val="BodyText2Char"/>
    <w:locked/>
    <w:rsid w:val="005A7787"/>
    <w:pPr>
      <w:spacing w:line="480" w:lineRule="auto"/>
    </w:pPr>
  </w:style>
  <w:style w:type="character" w:customStyle="1" w:styleId="BodyText2Char">
    <w:name w:val="Body Text 2 Char"/>
    <w:basedOn w:val="DefaultParagraphFont"/>
    <w:link w:val="BodyText2"/>
    <w:rsid w:val="005A7787"/>
    <w:rPr>
      <w:rFonts w:ascii="Garamond" w:hAnsi="Garamond"/>
      <w:sz w:val="24"/>
      <w:lang w:eastAsia="en-US"/>
    </w:rPr>
  </w:style>
  <w:style w:type="paragraph" w:styleId="BodyText3">
    <w:name w:val="Body Text 3"/>
    <w:basedOn w:val="Normal"/>
    <w:link w:val="BodyText3Char"/>
    <w:locked/>
    <w:rsid w:val="005A7787"/>
    <w:rPr>
      <w:sz w:val="16"/>
      <w:szCs w:val="16"/>
    </w:rPr>
  </w:style>
  <w:style w:type="character" w:customStyle="1" w:styleId="BodyText3Char">
    <w:name w:val="Body Text 3 Char"/>
    <w:basedOn w:val="DefaultParagraphFont"/>
    <w:link w:val="BodyText3"/>
    <w:rsid w:val="005A7787"/>
    <w:rPr>
      <w:rFonts w:ascii="Garamond" w:hAnsi="Garamond"/>
      <w:sz w:val="16"/>
      <w:szCs w:val="16"/>
      <w:lang w:eastAsia="en-US"/>
    </w:rPr>
  </w:style>
  <w:style w:type="paragraph" w:styleId="BodyTextFirstIndent">
    <w:name w:val="Body Text First Indent"/>
    <w:basedOn w:val="BodyText"/>
    <w:link w:val="BodyTextFirstIndentChar"/>
    <w:locked/>
    <w:rsid w:val="005A7787"/>
    <w:pPr>
      <w:ind w:firstLine="360"/>
    </w:pPr>
  </w:style>
  <w:style w:type="character" w:customStyle="1" w:styleId="BodyTextFirstIndentChar">
    <w:name w:val="Body Text First Indent Char"/>
    <w:basedOn w:val="BodyTextChar"/>
    <w:link w:val="BodyTextFirstIndent"/>
    <w:rsid w:val="005A7787"/>
    <w:rPr>
      <w:rFonts w:ascii="Garamond" w:hAnsi="Garamond"/>
      <w:sz w:val="24"/>
      <w:lang w:eastAsia="en-US"/>
    </w:rPr>
  </w:style>
  <w:style w:type="paragraph" w:styleId="BodyTextIndent">
    <w:name w:val="Body Text Indent"/>
    <w:basedOn w:val="Normal"/>
    <w:link w:val="BodyTextIndentChar"/>
    <w:locked/>
    <w:rsid w:val="005A7787"/>
    <w:pPr>
      <w:ind w:left="283"/>
    </w:pPr>
  </w:style>
  <w:style w:type="character" w:customStyle="1" w:styleId="BodyTextIndentChar">
    <w:name w:val="Body Text Indent Char"/>
    <w:basedOn w:val="DefaultParagraphFont"/>
    <w:link w:val="BodyTextIndent"/>
    <w:rsid w:val="005A7787"/>
    <w:rPr>
      <w:rFonts w:ascii="Garamond" w:hAnsi="Garamond"/>
      <w:sz w:val="24"/>
      <w:lang w:eastAsia="en-US"/>
    </w:rPr>
  </w:style>
  <w:style w:type="paragraph" w:styleId="BodyTextFirstIndent2">
    <w:name w:val="Body Text First Indent 2"/>
    <w:basedOn w:val="BodyTextIndent"/>
    <w:link w:val="BodyTextFirstIndent2Char"/>
    <w:locked/>
    <w:rsid w:val="005A7787"/>
    <w:pPr>
      <w:ind w:left="360" w:firstLine="360"/>
    </w:pPr>
  </w:style>
  <w:style w:type="character" w:customStyle="1" w:styleId="BodyTextFirstIndent2Char">
    <w:name w:val="Body Text First Indent 2 Char"/>
    <w:basedOn w:val="BodyTextIndentChar"/>
    <w:link w:val="BodyTextFirstIndent2"/>
    <w:rsid w:val="005A7787"/>
    <w:rPr>
      <w:rFonts w:ascii="Garamond" w:hAnsi="Garamond"/>
      <w:sz w:val="24"/>
      <w:lang w:eastAsia="en-US"/>
    </w:rPr>
  </w:style>
  <w:style w:type="paragraph" w:styleId="BodyTextIndent2">
    <w:name w:val="Body Text Indent 2"/>
    <w:basedOn w:val="Normal"/>
    <w:link w:val="BodyTextIndent2Char"/>
    <w:locked/>
    <w:rsid w:val="005A7787"/>
    <w:pPr>
      <w:spacing w:line="480" w:lineRule="auto"/>
      <w:ind w:left="283"/>
    </w:pPr>
  </w:style>
  <w:style w:type="character" w:customStyle="1" w:styleId="BodyTextIndent2Char">
    <w:name w:val="Body Text Indent 2 Char"/>
    <w:basedOn w:val="DefaultParagraphFont"/>
    <w:link w:val="BodyTextIndent2"/>
    <w:rsid w:val="005A7787"/>
    <w:rPr>
      <w:rFonts w:ascii="Garamond" w:hAnsi="Garamond"/>
      <w:sz w:val="24"/>
      <w:lang w:eastAsia="en-US"/>
    </w:rPr>
  </w:style>
  <w:style w:type="paragraph" w:styleId="BodyTextIndent3">
    <w:name w:val="Body Text Indent 3"/>
    <w:basedOn w:val="Normal"/>
    <w:link w:val="BodyTextIndent3Char"/>
    <w:locked/>
    <w:rsid w:val="005A7787"/>
    <w:pPr>
      <w:ind w:left="283"/>
    </w:pPr>
    <w:rPr>
      <w:sz w:val="16"/>
      <w:szCs w:val="16"/>
    </w:rPr>
  </w:style>
  <w:style w:type="character" w:customStyle="1" w:styleId="BodyTextIndent3Char">
    <w:name w:val="Body Text Indent 3 Char"/>
    <w:basedOn w:val="DefaultParagraphFont"/>
    <w:link w:val="BodyTextIndent3"/>
    <w:rsid w:val="005A7787"/>
    <w:rPr>
      <w:rFonts w:ascii="Garamond" w:hAnsi="Garamond"/>
      <w:sz w:val="16"/>
      <w:szCs w:val="16"/>
      <w:lang w:eastAsia="en-US"/>
    </w:rPr>
  </w:style>
  <w:style w:type="paragraph" w:styleId="Caption">
    <w:name w:val="caption"/>
    <w:basedOn w:val="Normal"/>
    <w:next w:val="Normal"/>
    <w:semiHidden/>
    <w:unhideWhenUsed/>
    <w:qFormat/>
    <w:locked/>
    <w:rsid w:val="005A7787"/>
    <w:pPr>
      <w:spacing w:after="200"/>
    </w:pPr>
    <w:rPr>
      <w:b/>
      <w:bCs/>
      <w:color w:val="4F81BD" w:themeColor="accent1"/>
      <w:sz w:val="18"/>
      <w:szCs w:val="18"/>
    </w:rPr>
  </w:style>
  <w:style w:type="paragraph" w:styleId="Closing">
    <w:name w:val="Closing"/>
    <w:basedOn w:val="Normal"/>
    <w:link w:val="ClosingChar"/>
    <w:locked/>
    <w:rsid w:val="005A7787"/>
    <w:pPr>
      <w:spacing w:after="0"/>
      <w:ind w:left="4252"/>
    </w:pPr>
  </w:style>
  <w:style w:type="character" w:customStyle="1" w:styleId="ClosingChar">
    <w:name w:val="Closing Char"/>
    <w:basedOn w:val="DefaultParagraphFont"/>
    <w:link w:val="Closing"/>
    <w:rsid w:val="005A7787"/>
    <w:rPr>
      <w:rFonts w:ascii="Garamond" w:hAnsi="Garamond"/>
      <w:sz w:val="24"/>
      <w:lang w:eastAsia="en-US"/>
    </w:rPr>
  </w:style>
  <w:style w:type="paragraph" w:styleId="Date">
    <w:name w:val="Date"/>
    <w:basedOn w:val="Normal"/>
    <w:next w:val="Normal"/>
    <w:link w:val="DateChar"/>
    <w:locked/>
    <w:rsid w:val="005A7787"/>
  </w:style>
  <w:style w:type="character" w:customStyle="1" w:styleId="DateChar">
    <w:name w:val="Date Char"/>
    <w:basedOn w:val="DefaultParagraphFont"/>
    <w:link w:val="Date"/>
    <w:rsid w:val="005A7787"/>
    <w:rPr>
      <w:rFonts w:ascii="Garamond" w:hAnsi="Garamond"/>
      <w:sz w:val="24"/>
      <w:lang w:eastAsia="en-US"/>
    </w:rPr>
  </w:style>
  <w:style w:type="paragraph" w:styleId="DocumentMap">
    <w:name w:val="Document Map"/>
    <w:basedOn w:val="Normal"/>
    <w:link w:val="DocumentMapChar"/>
    <w:locked/>
    <w:rsid w:val="005A7787"/>
    <w:pPr>
      <w:spacing w:after="0"/>
    </w:pPr>
    <w:rPr>
      <w:rFonts w:ascii="Tahoma" w:hAnsi="Tahoma" w:cs="Tahoma"/>
      <w:sz w:val="16"/>
      <w:szCs w:val="16"/>
    </w:rPr>
  </w:style>
  <w:style w:type="character" w:customStyle="1" w:styleId="DocumentMapChar">
    <w:name w:val="Document Map Char"/>
    <w:basedOn w:val="DefaultParagraphFont"/>
    <w:link w:val="DocumentMap"/>
    <w:rsid w:val="005A7787"/>
    <w:rPr>
      <w:rFonts w:ascii="Tahoma" w:hAnsi="Tahoma" w:cs="Tahoma"/>
      <w:sz w:val="16"/>
      <w:szCs w:val="16"/>
      <w:lang w:eastAsia="en-US"/>
    </w:rPr>
  </w:style>
  <w:style w:type="paragraph" w:styleId="E-mailSignature">
    <w:name w:val="E-mail Signature"/>
    <w:basedOn w:val="Normal"/>
    <w:link w:val="E-mailSignatureChar"/>
    <w:locked/>
    <w:rsid w:val="005A7787"/>
    <w:pPr>
      <w:spacing w:after="0"/>
    </w:pPr>
  </w:style>
  <w:style w:type="character" w:customStyle="1" w:styleId="E-mailSignatureChar">
    <w:name w:val="E-mail Signature Char"/>
    <w:basedOn w:val="DefaultParagraphFont"/>
    <w:link w:val="E-mailSignature"/>
    <w:rsid w:val="005A7787"/>
    <w:rPr>
      <w:rFonts w:ascii="Garamond" w:hAnsi="Garamond"/>
      <w:sz w:val="24"/>
      <w:lang w:eastAsia="en-US"/>
    </w:rPr>
  </w:style>
  <w:style w:type="paragraph" w:styleId="EndnoteText">
    <w:name w:val="endnote text"/>
    <w:basedOn w:val="Normal"/>
    <w:link w:val="EndnoteTextChar"/>
    <w:locked/>
    <w:rsid w:val="005A7787"/>
    <w:pPr>
      <w:spacing w:after="0"/>
    </w:pPr>
    <w:rPr>
      <w:sz w:val="20"/>
    </w:rPr>
  </w:style>
  <w:style w:type="character" w:customStyle="1" w:styleId="EndnoteTextChar">
    <w:name w:val="Endnote Text Char"/>
    <w:basedOn w:val="DefaultParagraphFont"/>
    <w:link w:val="EndnoteText"/>
    <w:rsid w:val="005A7787"/>
    <w:rPr>
      <w:rFonts w:ascii="Garamond" w:hAnsi="Garamond"/>
      <w:lang w:eastAsia="en-US"/>
    </w:rPr>
  </w:style>
  <w:style w:type="paragraph" w:styleId="EnvelopeAddress">
    <w:name w:val="envelope address"/>
    <w:basedOn w:val="Normal"/>
    <w:locked/>
    <w:rsid w:val="005A7787"/>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locked/>
    <w:rsid w:val="005A7787"/>
    <w:pPr>
      <w:spacing w:after="0"/>
    </w:pPr>
    <w:rPr>
      <w:rFonts w:asciiTheme="majorHAnsi" w:eastAsiaTheme="majorEastAsia" w:hAnsiTheme="majorHAnsi" w:cstheme="majorBidi"/>
      <w:sz w:val="20"/>
    </w:rPr>
  </w:style>
  <w:style w:type="paragraph" w:styleId="HTMLAddress">
    <w:name w:val="HTML Address"/>
    <w:basedOn w:val="Normal"/>
    <w:link w:val="HTMLAddressChar"/>
    <w:locked/>
    <w:rsid w:val="005A7787"/>
    <w:pPr>
      <w:spacing w:after="0"/>
    </w:pPr>
    <w:rPr>
      <w:i/>
      <w:iCs/>
    </w:rPr>
  </w:style>
  <w:style w:type="character" w:customStyle="1" w:styleId="HTMLAddressChar">
    <w:name w:val="HTML Address Char"/>
    <w:basedOn w:val="DefaultParagraphFont"/>
    <w:link w:val="HTMLAddress"/>
    <w:rsid w:val="005A7787"/>
    <w:rPr>
      <w:rFonts w:ascii="Garamond" w:hAnsi="Garamond"/>
      <w:i/>
      <w:iCs/>
      <w:sz w:val="24"/>
      <w:lang w:eastAsia="en-US"/>
    </w:rPr>
  </w:style>
  <w:style w:type="paragraph" w:styleId="HTMLPreformatted">
    <w:name w:val="HTML Preformatted"/>
    <w:basedOn w:val="Normal"/>
    <w:link w:val="HTMLPreformattedChar"/>
    <w:locked/>
    <w:rsid w:val="005A7787"/>
    <w:pPr>
      <w:spacing w:after="0"/>
    </w:pPr>
    <w:rPr>
      <w:rFonts w:ascii="Consolas" w:hAnsi="Consolas" w:cs="Consolas"/>
      <w:sz w:val="20"/>
    </w:rPr>
  </w:style>
  <w:style w:type="character" w:customStyle="1" w:styleId="HTMLPreformattedChar">
    <w:name w:val="HTML Preformatted Char"/>
    <w:basedOn w:val="DefaultParagraphFont"/>
    <w:link w:val="HTMLPreformatted"/>
    <w:rsid w:val="005A7787"/>
    <w:rPr>
      <w:rFonts w:ascii="Consolas" w:hAnsi="Consolas" w:cs="Consolas"/>
      <w:lang w:eastAsia="en-US"/>
    </w:rPr>
  </w:style>
  <w:style w:type="paragraph" w:styleId="Index3">
    <w:name w:val="index 3"/>
    <w:basedOn w:val="Normal"/>
    <w:next w:val="Normal"/>
    <w:autoRedefine/>
    <w:rsid w:val="005A7787"/>
    <w:pPr>
      <w:spacing w:after="0"/>
      <w:ind w:left="720" w:hanging="240"/>
    </w:pPr>
  </w:style>
  <w:style w:type="paragraph" w:styleId="Index4">
    <w:name w:val="index 4"/>
    <w:basedOn w:val="Normal"/>
    <w:next w:val="Normal"/>
    <w:autoRedefine/>
    <w:rsid w:val="005A7787"/>
    <w:pPr>
      <w:spacing w:after="0"/>
      <w:ind w:left="960" w:hanging="240"/>
    </w:pPr>
  </w:style>
  <w:style w:type="paragraph" w:styleId="Index5">
    <w:name w:val="index 5"/>
    <w:basedOn w:val="Normal"/>
    <w:next w:val="Normal"/>
    <w:autoRedefine/>
    <w:rsid w:val="005A7787"/>
    <w:pPr>
      <w:spacing w:after="0"/>
      <w:ind w:left="1200" w:hanging="240"/>
    </w:pPr>
  </w:style>
  <w:style w:type="paragraph" w:styleId="Index6">
    <w:name w:val="index 6"/>
    <w:basedOn w:val="Normal"/>
    <w:next w:val="Normal"/>
    <w:autoRedefine/>
    <w:locked/>
    <w:rsid w:val="005A7787"/>
    <w:pPr>
      <w:spacing w:after="0"/>
      <w:ind w:left="1440" w:hanging="240"/>
    </w:pPr>
  </w:style>
  <w:style w:type="paragraph" w:styleId="Index7">
    <w:name w:val="index 7"/>
    <w:basedOn w:val="Normal"/>
    <w:next w:val="Normal"/>
    <w:autoRedefine/>
    <w:locked/>
    <w:rsid w:val="005A7787"/>
    <w:pPr>
      <w:spacing w:after="0"/>
      <w:ind w:left="1680" w:hanging="240"/>
    </w:pPr>
  </w:style>
  <w:style w:type="paragraph" w:styleId="Index8">
    <w:name w:val="index 8"/>
    <w:basedOn w:val="Normal"/>
    <w:next w:val="Normal"/>
    <w:autoRedefine/>
    <w:locked/>
    <w:rsid w:val="005A7787"/>
    <w:pPr>
      <w:spacing w:after="0"/>
      <w:ind w:left="1920" w:hanging="240"/>
    </w:pPr>
  </w:style>
  <w:style w:type="paragraph" w:styleId="Index9">
    <w:name w:val="index 9"/>
    <w:basedOn w:val="Normal"/>
    <w:next w:val="Normal"/>
    <w:autoRedefine/>
    <w:locked/>
    <w:rsid w:val="005A7787"/>
    <w:pPr>
      <w:spacing w:after="0"/>
      <w:ind w:left="2160" w:hanging="240"/>
    </w:pPr>
  </w:style>
  <w:style w:type="paragraph" w:styleId="IntenseQuote">
    <w:name w:val="Intense Quote"/>
    <w:basedOn w:val="Normal"/>
    <w:next w:val="Normal"/>
    <w:link w:val="IntenseQuoteChar"/>
    <w:uiPriority w:val="30"/>
    <w:rsid w:val="005A778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A7787"/>
    <w:rPr>
      <w:rFonts w:ascii="Garamond" w:hAnsi="Garamond"/>
      <w:b/>
      <w:bCs/>
      <w:i/>
      <w:iCs/>
      <w:color w:val="4F81BD" w:themeColor="accent1"/>
      <w:sz w:val="24"/>
      <w:lang w:eastAsia="en-US"/>
    </w:rPr>
  </w:style>
  <w:style w:type="paragraph" w:styleId="List">
    <w:name w:val="List"/>
    <w:basedOn w:val="Normal"/>
    <w:locked/>
    <w:rsid w:val="005A7787"/>
    <w:pPr>
      <w:ind w:left="283" w:hanging="283"/>
      <w:contextualSpacing/>
    </w:pPr>
  </w:style>
  <w:style w:type="paragraph" w:styleId="List2">
    <w:name w:val="List 2"/>
    <w:basedOn w:val="Normal"/>
    <w:locked/>
    <w:rsid w:val="005A7787"/>
    <w:pPr>
      <w:ind w:left="566" w:hanging="283"/>
      <w:contextualSpacing/>
    </w:pPr>
  </w:style>
  <w:style w:type="paragraph" w:styleId="List3">
    <w:name w:val="List 3"/>
    <w:basedOn w:val="Normal"/>
    <w:locked/>
    <w:rsid w:val="005A7787"/>
    <w:pPr>
      <w:ind w:left="849" w:hanging="283"/>
      <w:contextualSpacing/>
    </w:pPr>
  </w:style>
  <w:style w:type="paragraph" w:styleId="List4">
    <w:name w:val="List 4"/>
    <w:basedOn w:val="Normal"/>
    <w:locked/>
    <w:rsid w:val="005A7787"/>
    <w:pPr>
      <w:ind w:left="1132" w:hanging="283"/>
      <w:contextualSpacing/>
    </w:pPr>
  </w:style>
  <w:style w:type="paragraph" w:styleId="List5">
    <w:name w:val="List 5"/>
    <w:basedOn w:val="Normal"/>
    <w:locked/>
    <w:rsid w:val="005A7787"/>
    <w:pPr>
      <w:ind w:left="1415" w:hanging="283"/>
      <w:contextualSpacing/>
    </w:pPr>
  </w:style>
  <w:style w:type="paragraph" w:styleId="ListBullet">
    <w:name w:val="List Bullet"/>
    <w:basedOn w:val="Normal"/>
    <w:locked/>
    <w:rsid w:val="005A7787"/>
    <w:pPr>
      <w:tabs>
        <w:tab w:val="num" w:pos="360"/>
      </w:tabs>
      <w:ind w:left="360" w:hanging="360"/>
      <w:contextualSpacing/>
    </w:pPr>
  </w:style>
  <w:style w:type="paragraph" w:styleId="ListBullet2">
    <w:name w:val="List Bullet 2"/>
    <w:basedOn w:val="Normal"/>
    <w:locked/>
    <w:rsid w:val="005A7787"/>
    <w:pPr>
      <w:tabs>
        <w:tab w:val="num" w:pos="643"/>
      </w:tabs>
      <w:ind w:left="643" w:hanging="360"/>
      <w:contextualSpacing/>
    </w:pPr>
  </w:style>
  <w:style w:type="paragraph" w:styleId="ListBullet3">
    <w:name w:val="List Bullet 3"/>
    <w:basedOn w:val="Normal"/>
    <w:locked/>
    <w:rsid w:val="005A7787"/>
    <w:pPr>
      <w:tabs>
        <w:tab w:val="num" w:pos="926"/>
      </w:tabs>
      <w:ind w:left="926" w:hanging="360"/>
      <w:contextualSpacing/>
    </w:pPr>
  </w:style>
  <w:style w:type="paragraph" w:styleId="ListBullet4">
    <w:name w:val="List Bullet 4"/>
    <w:basedOn w:val="Normal"/>
    <w:locked/>
    <w:rsid w:val="005A7787"/>
    <w:pPr>
      <w:tabs>
        <w:tab w:val="num" w:pos="1209"/>
      </w:tabs>
      <w:ind w:left="1209" w:hanging="360"/>
      <w:contextualSpacing/>
    </w:pPr>
  </w:style>
  <w:style w:type="paragraph" w:styleId="ListBullet5">
    <w:name w:val="List Bullet 5"/>
    <w:basedOn w:val="Normal"/>
    <w:locked/>
    <w:rsid w:val="005A7787"/>
    <w:pPr>
      <w:tabs>
        <w:tab w:val="num" w:pos="1492"/>
      </w:tabs>
      <w:ind w:left="1492" w:hanging="360"/>
      <w:contextualSpacing/>
    </w:pPr>
  </w:style>
  <w:style w:type="paragraph" w:styleId="ListContinue">
    <w:name w:val="List Continue"/>
    <w:basedOn w:val="Normal"/>
    <w:locked/>
    <w:rsid w:val="005A7787"/>
    <w:pPr>
      <w:ind w:left="283"/>
      <w:contextualSpacing/>
    </w:pPr>
  </w:style>
  <w:style w:type="paragraph" w:styleId="ListContinue2">
    <w:name w:val="List Continue 2"/>
    <w:basedOn w:val="Normal"/>
    <w:locked/>
    <w:rsid w:val="005A7787"/>
    <w:pPr>
      <w:ind w:left="566"/>
      <w:contextualSpacing/>
    </w:pPr>
  </w:style>
  <w:style w:type="paragraph" w:styleId="ListContinue3">
    <w:name w:val="List Continue 3"/>
    <w:basedOn w:val="Normal"/>
    <w:locked/>
    <w:rsid w:val="005A7787"/>
    <w:pPr>
      <w:ind w:left="849"/>
      <w:contextualSpacing/>
    </w:pPr>
  </w:style>
  <w:style w:type="paragraph" w:styleId="ListContinue4">
    <w:name w:val="List Continue 4"/>
    <w:basedOn w:val="Normal"/>
    <w:locked/>
    <w:rsid w:val="005A7787"/>
    <w:pPr>
      <w:ind w:left="1132"/>
      <w:contextualSpacing/>
    </w:pPr>
  </w:style>
  <w:style w:type="paragraph" w:styleId="ListContinue5">
    <w:name w:val="List Continue 5"/>
    <w:basedOn w:val="Normal"/>
    <w:locked/>
    <w:rsid w:val="005A7787"/>
    <w:pPr>
      <w:ind w:left="1415"/>
      <w:contextualSpacing/>
    </w:pPr>
  </w:style>
  <w:style w:type="paragraph" w:styleId="ListNumber">
    <w:name w:val="List Number"/>
    <w:basedOn w:val="Normal"/>
    <w:locked/>
    <w:rsid w:val="005A7787"/>
    <w:pPr>
      <w:tabs>
        <w:tab w:val="num" w:pos="360"/>
      </w:tabs>
      <w:ind w:left="360" w:hanging="360"/>
      <w:contextualSpacing/>
    </w:pPr>
  </w:style>
  <w:style w:type="paragraph" w:styleId="ListNumber2">
    <w:name w:val="List Number 2"/>
    <w:basedOn w:val="Normal"/>
    <w:locked/>
    <w:rsid w:val="005A7787"/>
    <w:pPr>
      <w:tabs>
        <w:tab w:val="num" w:pos="643"/>
      </w:tabs>
      <w:ind w:left="643" w:hanging="360"/>
      <w:contextualSpacing/>
    </w:pPr>
  </w:style>
  <w:style w:type="paragraph" w:styleId="ListNumber3">
    <w:name w:val="List Number 3"/>
    <w:basedOn w:val="Normal"/>
    <w:locked/>
    <w:rsid w:val="005A7787"/>
    <w:pPr>
      <w:tabs>
        <w:tab w:val="num" w:pos="926"/>
      </w:tabs>
      <w:ind w:left="926" w:hanging="360"/>
      <w:contextualSpacing/>
    </w:pPr>
  </w:style>
  <w:style w:type="paragraph" w:styleId="ListNumber4">
    <w:name w:val="List Number 4"/>
    <w:basedOn w:val="Normal"/>
    <w:locked/>
    <w:rsid w:val="005A7787"/>
    <w:pPr>
      <w:tabs>
        <w:tab w:val="num" w:pos="1209"/>
      </w:tabs>
      <w:ind w:left="1209" w:hanging="360"/>
      <w:contextualSpacing/>
    </w:pPr>
  </w:style>
  <w:style w:type="paragraph" w:styleId="ListNumber5">
    <w:name w:val="List Number 5"/>
    <w:basedOn w:val="Normal"/>
    <w:locked/>
    <w:rsid w:val="005A7787"/>
    <w:pPr>
      <w:tabs>
        <w:tab w:val="num" w:pos="1492"/>
      </w:tabs>
      <w:ind w:left="1492" w:hanging="360"/>
      <w:contextualSpacing/>
    </w:pPr>
  </w:style>
  <w:style w:type="paragraph" w:styleId="MacroText">
    <w:name w:val="macro"/>
    <w:link w:val="MacroTextChar"/>
    <w:locked/>
    <w:rsid w:val="005A7787"/>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rsid w:val="005A7787"/>
    <w:rPr>
      <w:rFonts w:ascii="Consolas" w:hAnsi="Consolas" w:cs="Consolas"/>
      <w:lang w:eastAsia="en-US"/>
    </w:rPr>
  </w:style>
  <w:style w:type="paragraph" w:styleId="MessageHeader">
    <w:name w:val="Message Header"/>
    <w:basedOn w:val="Normal"/>
    <w:link w:val="MessageHeaderChar"/>
    <w:locked/>
    <w:rsid w:val="005A778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5A7787"/>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5A7787"/>
    <w:rPr>
      <w:rFonts w:ascii="Garamond" w:hAnsi="Garamond"/>
      <w:sz w:val="24"/>
      <w:lang w:eastAsia="en-US"/>
    </w:rPr>
  </w:style>
  <w:style w:type="paragraph" w:styleId="NormalWeb">
    <w:name w:val="Normal (Web)"/>
    <w:basedOn w:val="Normal"/>
    <w:locked/>
    <w:rsid w:val="005A7787"/>
    <w:rPr>
      <w:rFonts w:ascii="Times New Roman" w:hAnsi="Times New Roman"/>
      <w:szCs w:val="24"/>
    </w:rPr>
  </w:style>
  <w:style w:type="paragraph" w:styleId="NoteHeading">
    <w:name w:val="Note Heading"/>
    <w:basedOn w:val="Normal"/>
    <w:next w:val="Normal"/>
    <w:link w:val="NoteHeadingChar"/>
    <w:rsid w:val="005A7787"/>
    <w:pPr>
      <w:spacing w:after="0"/>
    </w:pPr>
  </w:style>
  <w:style w:type="character" w:customStyle="1" w:styleId="NoteHeadingChar">
    <w:name w:val="Note Heading Char"/>
    <w:basedOn w:val="DefaultParagraphFont"/>
    <w:link w:val="NoteHeading"/>
    <w:rsid w:val="005A7787"/>
    <w:rPr>
      <w:rFonts w:ascii="Garamond" w:hAnsi="Garamond"/>
      <w:sz w:val="24"/>
      <w:lang w:eastAsia="en-US"/>
    </w:rPr>
  </w:style>
  <w:style w:type="paragraph" w:styleId="PlainText">
    <w:name w:val="Plain Text"/>
    <w:basedOn w:val="Normal"/>
    <w:link w:val="PlainTextChar"/>
    <w:locked/>
    <w:rsid w:val="005A7787"/>
    <w:pPr>
      <w:spacing w:after="0"/>
    </w:pPr>
    <w:rPr>
      <w:rFonts w:ascii="Consolas" w:hAnsi="Consolas" w:cs="Consolas"/>
      <w:sz w:val="21"/>
      <w:szCs w:val="21"/>
    </w:rPr>
  </w:style>
  <w:style w:type="character" w:customStyle="1" w:styleId="PlainTextChar">
    <w:name w:val="Plain Text Char"/>
    <w:basedOn w:val="DefaultParagraphFont"/>
    <w:link w:val="PlainText"/>
    <w:rsid w:val="005A7787"/>
    <w:rPr>
      <w:rFonts w:ascii="Consolas" w:hAnsi="Consolas" w:cs="Consolas"/>
      <w:sz w:val="21"/>
      <w:szCs w:val="21"/>
      <w:lang w:eastAsia="en-US"/>
    </w:rPr>
  </w:style>
  <w:style w:type="paragraph" w:styleId="Quote">
    <w:name w:val="Quote"/>
    <w:basedOn w:val="Normal"/>
    <w:next w:val="Normal"/>
    <w:link w:val="QuoteChar"/>
    <w:uiPriority w:val="29"/>
    <w:rsid w:val="005A7787"/>
    <w:rPr>
      <w:i/>
      <w:iCs/>
      <w:color w:val="000000" w:themeColor="text1"/>
    </w:rPr>
  </w:style>
  <w:style w:type="character" w:customStyle="1" w:styleId="QuoteChar">
    <w:name w:val="Quote Char"/>
    <w:basedOn w:val="DefaultParagraphFont"/>
    <w:link w:val="Quote"/>
    <w:uiPriority w:val="29"/>
    <w:rsid w:val="005A7787"/>
    <w:rPr>
      <w:rFonts w:ascii="Garamond" w:hAnsi="Garamond"/>
      <w:i/>
      <w:iCs/>
      <w:color w:val="000000" w:themeColor="text1"/>
      <w:sz w:val="24"/>
      <w:lang w:eastAsia="en-US"/>
    </w:rPr>
  </w:style>
  <w:style w:type="paragraph" w:styleId="Salutation">
    <w:name w:val="Salutation"/>
    <w:basedOn w:val="Normal"/>
    <w:next w:val="Normal"/>
    <w:link w:val="SalutationChar"/>
    <w:locked/>
    <w:rsid w:val="005A7787"/>
  </w:style>
  <w:style w:type="character" w:customStyle="1" w:styleId="SalutationChar">
    <w:name w:val="Salutation Char"/>
    <w:basedOn w:val="DefaultParagraphFont"/>
    <w:link w:val="Salutation"/>
    <w:rsid w:val="005A7787"/>
    <w:rPr>
      <w:rFonts w:ascii="Garamond" w:hAnsi="Garamond"/>
      <w:sz w:val="24"/>
      <w:lang w:eastAsia="en-US"/>
    </w:rPr>
  </w:style>
  <w:style w:type="paragraph" w:styleId="Signature">
    <w:name w:val="Signature"/>
    <w:basedOn w:val="Normal"/>
    <w:link w:val="SignatureChar"/>
    <w:locked/>
    <w:rsid w:val="005A7787"/>
    <w:pPr>
      <w:spacing w:after="0"/>
      <w:ind w:left="4252"/>
    </w:pPr>
  </w:style>
  <w:style w:type="character" w:customStyle="1" w:styleId="SignatureChar">
    <w:name w:val="Signature Char"/>
    <w:basedOn w:val="DefaultParagraphFont"/>
    <w:link w:val="Signature"/>
    <w:rsid w:val="005A7787"/>
    <w:rPr>
      <w:rFonts w:ascii="Garamond" w:hAnsi="Garamond"/>
      <w:sz w:val="24"/>
      <w:lang w:eastAsia="en-US"/>
    </w:rPr>
  </w:style>
  <w:style w:type="paragraph" w:styleId="Subtitle">
    <w:name w:val="Subtitle"/>
    <w:basedOn w:val="Normal"/>
    <w:next w:val="Normal"/>
    <w:link w:val="SubtitleChar"/>
    <w:locked/>
    <w:rsid w:val="005A7787"/>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5A7787"/>
    <w:rPr>
      <w:rFonts w:asciiTheme="majorHAnsi" w:eastAsiaTheme="majorEastAsia" w:hAnsiTheme="majorHAnsi" w:cstheme="majorBidi"/>
      <w:i/>
      <w:iCs/>
      <w:color w:val="4F81BD" w:themeColor="accent1"/>
      <w:spacing w:val="15"/>
      <w:sz w:val="24"/>
      <w:szCs w:val="24"/>
      <w:lang w:eastAsia="en-US"/>
    </w:rPr>
  </w:style>
  <w:style w:type="paragraph" w:styleId="TableofAuthorities">
    <w:name w:val="table of authorities"/>
    <w:basedOn w:val="Normal"/>
    <w:next w:val="Normal"/>
    <w:locked/>
    <w:rsid w:val="005A7787"/>
    <w:pPr>
      <w:spacing w:after="0"/>
      <w:ind w:left="240" w:hanging="240"/>
    </w:pPr>
  </w:style>
  <w:style w:type="paragraph" w:styleId="Title">
    <w:name w:val="Title"/>
    <w:basedOn w:val="Normal"/>
    <w:next w:val="Normal"/>
    <w:link w:val="TitleChar"/>
    <w:locked/>
    <w:rsid w:val="005A778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A7787"/>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locked/>
    <w:rsid w:val="005A7787"/>
    <w:pPr>
      <w:spacing w:before="120"/>
    </w:pPr>
    <w:rPr>
      <w:rFonts w:asciiTheme="majorHAnsi" w:eastAsiaTheme="majorEastAsia" w:hAnsiTheme="majorHAnsi" w:cstheme="majorBidi"/>
      <w:b/>
      <w:bCs/>
      <w:szCs w:val="24"/>
    </w:rPr>
  </w:style>
  <w:style w:type="paragraph" w:styleId="TOC6">
    <w:name w:val="toc 6"/>
    <w:basedOn w:val="Normal"/>
    <w:next w:val="Normal"/>
    <w:autoRedefine/>
    <w:locked/>
    <w:rsid w:val="005A7787"/>
    <w:pPr>
      <w:spacing w:after="100"/>
      <w:ind w:left="1200"/>
    </w:pPr>
  </w:style>
  <w:style w:type="paragraph" w:styleId="TOC7">
    <w:name w:val="toc 7"/>
    <w:basedOn w:val="Normal"/>
    <w:next w:val="Normal"/>
    <w:autoRedefine/>
    <w:locked/>
    <w:rsid w:val="005A7787"/>
    <w:pPr>
      <w:spacing w:after="100"/>
      <w:ind w:left="1440"/>
    </w:pPr>
  </w:style>
  <w:style w:type="paragraph" w:styleId="TOC8">
    <w:name w:val="toc 8"/>
    <w:basedOn w:val="Normal"/>
    <w:next w:val="Normal"/>
    <w:autoRedefine/>
    <w:locked/>
    <w:rsid w:val="005A7787"/>
    <w:pPr>
      <w:spacing w:after="100"/>
      <w:ind w:left="1680"/>
    </w:pPr>
  </w:style>
  <w:style w:type="paragraph" w:styleId="TOC9">
    <w:name w:val="toc 9"/>
    <w:basedOn w:val="Normal"/>
    <w:next w:val="Normal"/>
    <w:autoRedefine/>
    <w:locked/>
    <w:rsid w:val="005A7787"/>
    <w:pPr>
      <w:spacing w:after="100"/>
      <w:ind w:left="1920"/>
    </w:pPr>
  </w:style>
  <w:style w:type="paragraph" w:styleId="TOCHeading">
    <w:name w:val="TOC Heading"/>
    <w:basedOn w:val="Heading1"/>
    <w:next w:val="Normal"/>
    <w:uiPriority w:val="39"/>
    <w:semiHidden/>
    <w:unhideWhenUsed/>
    <w:qFormat/>
    <w:rsid w:val="005A7787"/>
    <w:pPr>
      <w:keepLines/>
      <w:spacing w:before="480" w:after="0"/>
      <w:outlineLvl w:val="9"/>
    </w:pPr>
    <w:rPr>
      <w:rFonts w:asciiTheme="majorHAnsi" w:eastAsiaTheme="majorEastAsia" w:hAnsiTheme="majorHAnsi" w:cstheme="majorBidi"/>
      <w:bCs/>
      <w:caps w:val="0"/>
      <w:color w:val="365F91" w:themeColor="accent1" w:themeShade="BF"/>
      <w:szCs w:val="28"/>
    </w:rPr>
  </w:style>
  <w:style w:type="paragraph" w:customStyle="1" w:styleId="Tabn">
    <w:name w:val="Tabn"/>
    <w:basedOn w:val="Normal"/>
    <w:qFormat/>
    <w:rsid w:val="005A7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image" Target="media/image4.emf"/><Relationship Id="rId26" Type="http://schemas.openxmlformats.org/officeDocument/2006/relationships/footer" Target="footer10.xm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footer" Target="footer9.xml"/><Relationship Id="rId33"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footer" Target="footer8.xml"/><Relationship Id="rId29"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footer" Target="footer1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footer" Target="footer12.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6.png"/><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8.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87638463351397E-2"/>
          <c:y val="4.1993821484830045E-2"/>
          <c:w val="0.89720454604970279"/>
          <c:h val="0.72325505976141258"/>
        </c:manualLayout>
      </c:layout>
      <c:barChart>
        <c:barDir val="col"/>
        <c:grouping val="stacked"/>
        <c:varyColors val="0"/>
        <c:ser>
          <c:idx val="0"/>
          <c:order val="0"/>
          <c:tx>
            <c:strRef>
              <c:f>'Chart 2.1 data'!$B$11</c:f>
              <c:strCache>
                <c:ptCount val="1"/>
                <c:pt idx="0">
                  <c:v>General government excluding fiscal stimulus</c:v>
                </c:pt>
              </c:strCache>
            </c:strRef>
          </c:tx>
          <c:spPr>
            <a:solidFill>
              <a:schemeClr val="bg1">
                <a:lumMod val="65000"/>
              </a:schemeClr>
            </a:solidFill>
            <a:ln>
              <a:noFill/>
            </a:ln>
          </c:spPr>
          <c:invertIfNegative val="0"/>
          <c:dPt>
            <c:idx val="0"/>
            <c:invertIfNegative val="0"/>
            <c:bubble3D val="0"/>
          </c:dPt>
          <c:cat>
            <c:strRef>
              <c:f>'Chart 2.1 data'!$C$5:$V$5</c:f>
              <c:strCache>
                <c:ptCount val="20"/>
                <c:pt idx="0">
                  <c:v>1994-95</c:v>
                </c:pt>
                <c:pt idx="1">
                  <c:v>1995-96</c:v>
                </c:pt>
                <c:pt idx="2">
                  <c:v>1996-97</c:v>
                </c:pt>
                <c:pt idx="3">
                  <c:v>1997-98</c:v>
                </c:pt>
                <c:pt idx="4">
                  <c:v>1998-99 </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strCache>
            </c:strRef>
          </c:cat>
          <c:val>
            <c:numRef>
              <c:f>'Chart 2.1 data'!$C$11:$V$11</c:f>
              <c:numCache>
                <c:formatCode>_-* #,##0_-;\-* #,##0_-;_-* "-"??_-;_-@_-</c:formatCode>
                <c:ptCount val="20"/>
                <c:pt idx="0">
                  <c:v>1099079549</c:v>
                </c:pt>
                <c:pt idx="1">
                  <c:v>1129479490</c:v>
                </c:pt>
                <c:pt idx="2">
                  <c:v>1124930474</c:v>
                </c:pt>
                <c:pt idx="3">
                  <c:v>846268594.79000056</c:v>
                </c:pt>
                <c:pt idx="4">
                  <c:v>1116045214.700001</c:v>
                </c:pt>
                <c:pt idx="5">
                  <c:v>1021590119.76</c:v>
                </c:pt>
                <c:pt idx="6">
                  <c:v>1479256540.6199999</c:v>
                </c:pt>
                <c:pt idx="7">
                  <c:v>1830774181.0799999</c:v>
                </c:pt>
                <c:pt idx="8">
                  <c:v>2109557184.6400003</c:v>
                </c:pt>
                <c:pt idx="9">
                  <c:v>2378386161.25</c:v>
                </c:pt>
                <c:pt idx="10">
                  <c:v>2401026052.829999</c:v>
                </c:pt>
                <c:pt idx="11">
                  <c:v>2225535487.0499978</c:v>
                </c:pt>
                <c:pt idx="12">
                  <c:v>3187062807.098999</c:v>
                </c:pt>
                <c:pt idx="13">
                  <c:v>3899355851.5100036</c:v>
                </c:pt>
                <c:pt idx="14">
                  <c:v>4014888746.5199594</c:v>
                </c:pt>
                <c:pt idx="15">
                  <c:v>4652883912.8500309</c:v>
                </c:pt>
                <c:pt idx="16">
                  <c:v>5036686297.7399998</c:v>
                </c:pt>
                <c:pt idx="17">
                  <c:v>4884612610.8599997</c:v>
                </c:pt>
                <c:pt idx="18">
                  <c:v>5184996402.9792728</c:v>
                </c:pt>
                <c:pt idx="19">
                  <c:v>5204653211.3799896</c:v>
                </c:pt>
              </c:numCache>
            </c:numRef>
          </c:val>
        </c:ser>
        <c:ser>
          <c:idx val="2"/>
          <c:order val="1"/>
          <c:tx>
            <c:strRef>
              <c:f>'Chart 2.1 data'!$B$12</c:f>
              <c:strCache>
                <c:ptCount val="1"/>
                <c:pt idx="0">
                  <c:v>General government fiscal stimulus</c:v>
                </c:pt>
              </c:strCache>
            </c:strRef>
          </c:tx>
          <c:spPr>
            <a:solidFill>
              <a:schemeClr val="tx1">
                <a:lumMod val="75000"/>
                <a:lumOff val="25000"/>
              </a:schemeClr>
            </a:solidFill>
            <a:ln>
              <a:noFill/>
            </a:ln>
          </c:spPr>
          <c:invertIfNegative val="0"/>
          <c:cat>
            <c:strRef>
              <c:f>'Chart 2.1 data'!$C$5:$V$5</c:f>
              <c:strCache>
                <c:ptCount val="20"/>
                <c:pt idx="0">
                  <c:v>1994-95</c:v>
                </c:pt>
                <c:pt idx="1">
                  <c:v>1995-96</c:v>
                </c:pt>
                <c:pt idx="2">
                  <c:v>1996-97</c:v>
                </c:pt>
                <c:pt idx="3">
                  <c:v>1997-98</c:v>
                </c:pt>
                <c:pt idx="4">
                  <c:v>1998-99 </c:v>
                </c:pt>
                <c:pt idx="5">
                  <c:v>1999-00</c:v>
                </c:pt>
                <c:pt idx="6">
                  <c:v>2000-01</c:v>
                </c:pt>
                <c:pt idx="7">
                  <c:v>2001-02</c:v>
                </c:pt>
                <c:pt idx="8">
                  <c:v>2002-03</c:v>
                </c:pt>
                <c:pt idx="9">
                  <c:v>2003-04</c:v>
                </c:pt>
                <c:pt idx="10">
                  <c:v>2004-05</c:v>
                </c:pt>
                <c:pt idx="11">
                  <c:v>2005-06</c:v>
                </c:pt>
                <c:pt idx="12">
                  <c:v>2006-07</c:v>
                </c:pt>
                <c:pt idx="13">
                  <c:v>2007-08</c:v>
                </c:pt>
                <c:pt idx="14">
                  <c:v>2008-09</c:v>
                </c:pt>
                <c:pt idx="15">
                  <c:v>2009-10</c:v>
                </c:pt>
                <c:pt idx="16">
                  <c:v>2010-11</c:v>
                </c:pt>
                <c:pt idx="17">
                  <c:v>2011-12</c:v>
                </c:pt>
                <c:pt idx="18">
                  <c:v>2012-13</c:v>
                </c:pt>
                <c:pt idx="19">
                  <c:v>2013-14</c:v>
                </c:pt>
              </c:strCache>
            </c:strRef>
          </c:cat>
          <c:val>
            <c:numRef>
              <c:f>'Chart 2.1 data'!$C$12:$V$12</c:f>
              <c:numCache>
                <c:formatCode>General</c:formatCode>
                <c:ptCount val="20"/>
                <c:pt idx="14" formatCode="_-* #,##0_-;\-* #,##0_-;_-* &quot;-&quot;??_-;_-@_-">
                  <c:v>32177000</c:v>
                </c:pt>
                <c:pt idx="15" formatCode="_-* #,##0_-;\-* #,##0_-;_-* &quot;-&quot;??_-;_-@_-">
                  <c:v>1057570000</c:v>
                </c:pt>
                <c:pt idx="16" formatCode="_-* #,##0_-;\-* #,##0_-;_-* &quot;-&quot;??_-;_-@_-">
                  <c:v>1602879000</c:v>
                </c:pt>
                <c:pt idx="17" formatCode="_-* #,##0_-;\-* #,##0_-;_-* &quot;-&quot;??_-;_-@_-">
                  <c:v>344314000</c:v>
                </c:pt>
                <c:pt idx="18" formatCode="_-* #,##0_-;\-* #,##0_-;_-* &quot;-&quot;??_-;_-@_-">
                  <c:v>17000000</c:v>
                </c:pt>
                <c:pt idx="19">
                  <c:v>0</c:v>
                </c:pt>
              </c:numCache>
            </c:numRef>
          </c:val>
        </c:ser>
        <c:dLbls>
          <c:showLegendKey val="0"/>
          <c:showVal val="0"/>
          <c:showCatName val="0"/>
          <c:showSerName val="0"/>
          <c:showPercent val="0"/>
          <c:showBubbleSize val="0"/>
        </c:dLbls>
        <c:gapWidth val="120"/>
        <c:overlap val="100"/>
        <c:axId val="124942976"/>
        <c:axId val="125733504"/>
      </c:barChart>
      <c:catAx>
        <c:axId val="12494297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400000" vert="horz" anchor="ctr" anchorCtr="1"/>
          <a:lstStyle/>
          <a:p>
            <a:pPr>
              <a:defRPr sz="1000">
                <a:latin typeface="Calibri" pitchFamily="34" charset="0"/>
                <a:cs typeface="Calibri" pitchFamily="34" charset="0"/>
              </a:defRPr>
            </a:pPr>
            <a:endParaRPr lang="en-US"/>
          </a:p>
        </c:txPr>
        <c:crossAx val="125733504"/>
        <c:crosses val="autoZero"/>
        <c:auto val="0"/>
        <c:lblAlgn val="ctr"/>
        <c:lblOffset val="100"/>
        <c:tickLblSkip val="1"/>
        <c:tickMarkSkip val="1"/>
        <c:noMultiLvlLbl val="0"/>
      </c:catAx>
      <c:valAx>
        <c:axId val="125733504"/>
        <c:scaling>
          <c:orientation val="minMax"/>
          <c:max val="8000000000"/>
        </c:scaling>
        <c:delete val="0"/>
        <c:axPos val="l"/>
        <c:majorGridlines>
          <c:spPr>
            <a:ln w="3175">
              <a:solidFill>
                <a:schemeClr val="bg1">
                  <a:lumMod val="50000"/>
                </a:schemeClr>
              </a:solidFill>
              <a:prstDash val="dash"/>
            </a:ln>
          </c:spPr>
        </c:majorGridlines>
        <c:numFmt formatCode="_-* #,##0_-;\-* #,##0_-;_-* &quot;-&quot;??_-;_-@_-" sourceLinked="1"/>
        <c:majorTickMark val="cross"/>
        <c:minorTickMark val="none"/>
        <c:tickLblPos val="nextTo"/>
        <c:spPr>
          <a:ln w="3175">
            <a:solidFill>
              <a:srgbClr val="000000"/>
            </a:solidFill>
            <a:prstDash val="solid"/>
          </a:ln>
        </c:spPr>
        <c:txPr>
          <a:bodyPr rot="0" vert="horz"/>
          <a:lstStyle/>
          <a:p>
            <a:pPr>
              <a:defRPr/>
            </a:pPr>
            <a:endParaRPr lang="en-US"/>
          </a:p>
        </c:txPr>
        <c:crossAx val="124942976"/>
        <c:crosses val="autoZero"/>
        <c:crossBetween val="between"/>
        <c:dispUnits>
          <c:builtInUnit val="billions"/>
          <c:dispUnitsLbl>
            <c:layout>
              <c:manualLayout>
                <c:xMode val="edge"/>
                <c:yMode val="edge"/>
                <c:x val="5.7602373650804109E-3"/>
                <c:y val="0.36997364361717711"/>
              </c:manualLayout>
            </c:layout>
            <c:tx>
              <c:rich>
                <a:bodyPr rot="-5400000" vert="horz"/>
                <a:lstStyle/>
                <a:p>
                  <a:pPr algn="ctr">
                    <a:defRPr i="1"/>
                  </a:pPr>
                  <a:r>
                    <a:rPr lang="en-AU" i="1"/>
                    <a:t>$ billion</a:t>
                  </a:r>
                </a:p>
              </c:rich>
            </c:tx>
            <c:spPr>
              <a:noFill/>
              <a:ln w="25400">
                <a:noFill/>
              </a:ln>
            </c:spPr>
          </c:dispUnitsLbl>
        </c:dispUnits>
      </c:valAx>
      <c:spPr>
        <a:solidFill>
          <a:srgbClr val="FFFFFF"/>
        </a:solidFill>
        <a:ln w="3175">
          <a:noFill/>
          <a:prstDash val="solid"/>
        </a:ln>
      </c:spPr>
    </c:plotArea>
    <c:legend>
      <c:legendPos val="b"/>
      <c:layout>
        <c:manualLayout>
          <c:xMode val="edge"/>
          <c:yMode val="edge"/>
          <c:x val="9.3054164344372504E-3"/>
          <c:y val="0.91950067765331478"/>
          <c:w val="0.96683426471783995"/>
          <c:h val="6.6072587615309861E-2"/>
        </c:manualLayout>
      </c:layout>
      <c:overlay val="0"/>
      <c:txPr>
        <a:bodyPr/>
        <a:lstStyle/>
        <a:p>
          <a:pPr>
            <a:defRPr sz="900"/>
          </a:pPr>
          <a:endParaRPr lang="en-US"/>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0.84713</cdr:x>
      <cdr:y>0.24665</cdr:y>
    </cdr:from>
    <cdr:to>
      <cdr:x>1</cdr:x>
      <cdr:y>0.50402</cdr:y>
    </cdr:to>
    <cdr:sp macro="" textlink="">
      <cdr:nvSpPr>
        <cdr:cNvPr id="2" name="TextBox 1"/>
        <cdr:cNvSpPr txBox="1"/>
      </cdr:nvSpPr>
      <cdr:spPr>
        <a:xfrm xmlns:a="http://schemas.openxmlformats.org/drawingml/2006/main">
          <a:off x="5962650" y="876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EA090DA2.dotm</Template>
  <TotalTime>0</TotalTime>
  <Pages>250</Pages>
  <Words>81766</Words>
  <Characters>457331</Characters>
  <Application>Microsoft Office Word</Application>
  <DocSecurity>0</DocSecurity>
  <Lines>3811</Lines>
  <Paragraphs>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2014-10-14T05:30:00Z</dcterms:created>
  <dcterms:modified xsi:type="dcterms:W3CDTF">2014-10-14T05:32:00Z</dcterms:modified>
</cp:coreProperties>
</file>