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90" w:rsidRPr="0077512D" w:rsidRDefault="00A65132" w:rsidP="00880C11">
      <w:pPr>
        <w:pStyle w:val="Title"/>
        <w:ind w:right="1884"/>
      </w:pPr>
      <w:bookmarkStart w:id="0" w:name="_GoBack"/>
      <w:bookmarkEnd w:id="0"/>
      <w:r>
        <w:t xml:space="preserve">Annual </w:t>
      </w:r>
      <w:r w:rsidR="00880C11">
        <w:t>financial management compliance and assurance report</w:t>
      </w:r>
    </w:p>
    <w:p w:rsidR="00A73490" w:rsidRPr="00A65132" w:rsidRDefault="00A73490" w:rsidP="00A73490">
      <w:pPr>
        <w:pStyle w:val="Subtitle"/>
        <w:rPr>
          <w:b/>
        </w:rPr>
      </w:pPr>
      <w:r w:rsidRPr="00A65132">
        <w:rPr>
          <w:b/>
        </w:rPr>
        <w:t>For the year 2013</w:t>
      </w:r>
      <w:r w:rsidR="00880C11">
        <w:rPr>
          <w:b/>
        </w:rPr>
        <w:noBreakHyphen/>
      </w:r>
      <w:r w:rsidRPr="00A65132">
        <w:rPr>
          <w:b/>
        </w:rPr>
        <w:t>14</w:t>
      </w:r>
    </w:p>
    <w:p w:rsidR="00A73490" w:rsidRDefault="00A73490" w:rsidP="00A73490">
      <w:pPr>
        <w:pStyle w:val="TertiaryTitle"/>
      </w:pPr>
      <w:r>
        <w:t>February 2015</w:t>
      </w:r>
    </w:p>
    <w:p w:rsidR="00A73490" w:rsidRDefault="00630D71" w:rsidP="00A73490">
      <w:pPr>
        <w:spacing w:after="0"/>
        <w:rPr>
          <w:noProof/>
        </w:rPr>
      </w:pPr>
      <w:r>
        <w:rPr>
          <w:noProof/>
        </w:rPr>
        <w:drawing>
          <wp:anchor distT="0" distB="0" distL="114300" distR="114300" simplePos="0" relativeHeight="251673600" behindDoc="0" locked="0" layoutInCell="1" allowOverlap="1" wp14:anchorId="0D8522CB" wp14:editId="47948C67">
            <wp:simplePos x="0" y="0"/>
            <wp:positionH relativeFrom="column">
              <wp:posOffset>5533390</wp:posOffset>
            </wp:positionH>
            <wp:positionV relativeFrom="page">
              <wp:posOffset>9923753</wp:posOffset>
            </wp:positionV>
            <wp:extent cx="817323" cy="468000"/>
            <wp:effectExtent l="0" t="0" r="1905" b="8255"/>
            <wp:wrapNone/>
            <wp:docPr id="33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45" descr="SGV_black_reversed_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7323"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490">
        <w:rPr>
          <w:noProof/>
        </w:rPr>
        <w:drawing>
          <wp:anchor distT="0" distB="0" distL="114300" distR="114300" simplePos="0" relativeHeight="251670528" behindDoc="0" locked="0" layoutInCell="1" allowOverlap="1" wp14:anchorId="5C766167" wp14:editId="44838249">
            <wp:simplePos x="0" y="0"/>
            <wp:positionH relativeFrom="column">
              <wp:posOffset>-894824</wp:posOffset>
            </wp:positionH>
            <wp:positionV relativeFrom="page">
              <wp:posOffset>3027045</wp:posOffset>
            </wp:positionV>
            <wp:extent cx="7639050" cy="2133600"/>
            <wp:effectExtent l="0" t="0" r="0" b="0"/>
            <wp:wrapNone/>
            <wp:docPr id="335" name="Picture 239" title="Cove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239" descr="CoverArt"/>
                    <pic:cNvPicPr>
                      <a:picLocks noChangeAspect="1" noChangeArrowheads="1"/>
                    </pic:cNvPicPr>
                  </pic:nvPicPr>
                  <pic:blipFill>
                    <a:blip r:embed="rId10">
                      <a:extLst>
                        <a:ext uri="{28A0092B-C50C-407E-A947-70E740481C1C}">
                          <a14:useLocalDpi xmlns:a14="http://schemas.microsoft.com/office/drawing/2010/main" val="0"/>
                        </a:ext>
                      </a:extLst>
                    </a:blip>
                    <a:srcRect l="143" t="850" r="-333" b="-850"/>
                    <a:stretch>
                      <a:fillRect/>
                    </a:stretch>
                  </pic:blipFill>
                  <pic:spPr bwMode="auto">
                    <a:xfrm>
                      <a:off x="0" y="0"/>
                      <a:ext cx="7639050" cy="2133600"/>
                    </a:xfrm>
                    <a:prstGeom prst="rect">
                      <a:avLst/>
                    </a:prstGeom>
                    <a:noFill/>
                    <a:ln>
                      <a:noFill/>
                    </a:ln>
                  </pic:spPr>
                </pic:pic>
              </a:graphicData>
            </a:graphic>
          </wp:anchor>
        </w:drawing>
      </w:r>
      <w:r w:rsidR="00A73490">
        <w:rPr>
          <w:noProof/>
        </w:rPr>
        <mc:AlternateContent>
          <mc:Choice Requires="wps">
            <w:drawing>
              <wp:anchor distT="0" distB="0" distL="114300" distR="114300" simplePos="0" relativeHeight="251659264" behindDoc="0" locked="0" layoutInCell="1" allowOverlap="1" wp14:anchorId="042A0A82" wp14:editId="5BE1C47D">
                <wp:simplePos x="0" y="0"/>
                <wp:positionH relativeFrom="column">
                  <wp:posOffset>-971550</wp:posOffset>
                </wp:positionH>
                <wp:positionV relativeFrom="page">
                  <wp:posOffset>5123815</wp:posOffset>
                </wp:positionV>
                <wp:extent cx="7639050" cy="4610100"/>
                <wp:effectExtent l="0" t="0" r="0" b="0"/>
                <wp:wrapNone/>
                <wp:docPr id="309" name="Rectangle 12"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4610100"/>
                        </a:xfrm>
                        <a:prstGeom prst="rect">
                          <a:avLst/>
                        </a:prstGeom>
                        <a:solidFill>
                          <a:srgbClr val="1665A1"/>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2" o:spid="_x0000_s1026" alt="Description: Cover Coloured Body Section" style="position:absolute;margin-left:-76.5pt;margin-top:403.45pt;width:601.5pt;height:363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" fillcolor="#1665a1" stroked="f" strokeweight="2pt">
                <w10:wrap anchory="page"/>
              </v:rect>
            </w:pict>
          </mc:Fallback>
        </mc:AlternateContent>
      </w:r>
      <w:r w:rsidR="00A73490">
        <w:rPr>
          <w:noProof/>
        </w:rPr>
        <mc:AlternateContent>
          <mc:Choice Requires="wpg">
            <w:drawing>
              <wp:anchor distT="0" distB="0" distL="114300" distR="114300" simplePos="0" relativeHeight="251661312" behindDoc="0" locked="0" layoutInCell="1" allowOverlap="1" wp14:anchorId="7F3BD024" wp14:editId="34ACE206">
                <wp:simplePos x="0" y="0"/>
                <wp:positionH relativeFrom="column">
                  <wp:posOffset>-4038600</wp:posOffset>
                </wp:positionH>
                <wp:positionV relativeFrom="page">
                  <wp:posOffset>9152890</wp:posOffset>
                </wp:positionV>
                <wp:extent cx="5543550" cy="1581150"/>
                <wp:effectExtent l="0" t="0" r="19050" b="19050"/>
                <wp:wrapNone/>
                <wp:docPr id="31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581150"/>
                          <a:chOff x="0" y="0"/>
                          <a:chExt cx="5543550" cy="1581150"/>
                        </a:xfrm>
                      </wpg:grpSpPr>
                      <wps:wsp>
                        <wps:cNvPr id="312" name="Straight Connector 3"/>
                        <wps:cNvCnPr>
                          <a:cxnSpLocks noChangeShapeType="1"/>
                        </wps:cNvCnPr>
                        <wps:spPr bwMode="auto">
                          <a:xfrm flipV="1">
                            <a:off x="3619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3" name="Straight Connector 4"/>
                        <wps:cNvCnPr>
                          <a:cxnSpLocks noChangeShapeType="1"/>
                        </wps:cNvCnPr>
                        <wps:spPr bwMode="auto">
                          <a:xfrm flipV="1">
                            <a:off x="5429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4" name="Straight Connector 5"/>
                        <wps:cNvCnPr>
                          <a:cxnSpLocks noChangeShapeType="1"/>
                        </wps:cNvCnPr>
                        <wps:spPr bwMode="auto">
                          <a:xfrm flipV="1">
                            <a:off x="7239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5" name="Straight Connector 6"/>
                        <wps:cNvCnPr>
                          <a:cxnSpLocks noChangeShapeType="1"/>
                        </wps:cNvCnPr>
                        <wps:spPr bwMode="auto">
                          <a:xfrm flipV="1">
                            <a:off x="9048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6" name="Straight Connector 7"/>
                        <wps:cNvCnPr>
                          <a:cxnSpLocks noChangeShapeType="1"/>
                        </wps:cNvCnPr>
                        <wps:spPr bwMode="auto">
                          <a:xfrm flipV="1">
                            <a:off x="10763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7" name="Straight Connector 8"/>
                        <wps:cNvCnPr>
                          <a:cxnSpLocks noChangeShapeType="1"/>
                        </wps:cNvCnPr>
                        <wps:spPr bwMode="auto">
                          <a:xfrm flipV="1">
                            <a:off x="12573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8" name="Straight Connector 9"/>
                        <wps:cNvCnPr>
                          <a:cxnSpLocks noChangeShapeType="1"/>
                        </wps:cNvCnPr>
                        <wps:spPr bwMode="auto">
                          <a:xfrm flipV="1">
                            <a:off x="14382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9" name="Straight Connector 10"/>
                        <wps:cNvCnPr>
                          <a:cxnSpLocks noChangeShapeType="1"/>
                        </wps:cNvCnPr>
                        <wps:spPr bwMode="auto">
                          <a:xfrm flipV="1">
                            <a:off x="16192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0" name="Straight Connector 11"/>
                        <wps:cNvCnPr>
                          <a:cxnSpLocks noChangeShapeType="1"/>
                        </wps:cNvCnPr>
                        <wps:spPr bwMode="auto">
                          <a:xfrm flipV="1">
                            <a:off x="18002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1" name="Straight Connector 12"/>
                        <wps:cNvCnPr>
                          <a:cxnSpLocks noChangeShapeType="1"/>
                        </wps:cNvCnPr>
                        <wps:spPr bwMode="auto">
                          <a:xfrm flipV="1">
                            <a:off x="19812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2" name="Straight Connector 13"/>
                        <wps:cNvCnPr>
                          <a:cxnSpLocks noChangeShapeType="1"/>
                        </wps:cNvCnPr>
                        <wps:spPr bwMode="auto">
                          <a:xfrm flipV="1">
                            <a:off x="21621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3" name="Straight Connector 14"/>
                        <wps:cNvCnPr>
                          <a:cxnSpLocks noChangeShapeType="1"/>
                        </wps:cNvCnPr>
                        <wps:spPr bwMode="auto">
                          <a:xfrm flipV="1">
                            <a:off x="23431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4" name="Straight Connector 15"/>
                        <wps:cNvCnPr>
                          <a:cxnSpLocks noChangeShapeType="1"/>
                        </wps:cNvCnPr>
                        <wps:spPr bwMode="auto">
                          <a:xfrm flipV="1">
                            <a:off x="25241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5" name="Straight Connector 16"/>
                        <wps:cNvCnPr>
                          <a:cxnSpLocks noChangeShapeType="1"/>
                        </wps:cNvCnPr>
                        <wps:spPr bwMode="auto">
                          <a:xfrm flipV="1">
                            <a:off x="27051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6" name="Straight Connector 17"/>
                        <wps:cNvCnPr>
                          <a:cxnSpLocks noChangeShapeType="1"/>
                        </wps:cNvCnPr>
                        <wps:spPr bwMode="auto">
                          <a:xfrm flipV="1">
                            <a:off x="28860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7" name="Straight Connector 18"/>
                        <wps:cNvCnPr>
                          <a:cxnSpLocks noChangeShapeType="1"/>
                        </wps:cNvCnPr>
                        <wps:spPr bwMode="auto">
                          <a:xfrm flipV="1">
                            <a:off x="30670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8" name="Straight Connector 19"/>
                        <wps:cNvCnPr>
                          <a:cxnSpLocks noChangeShapeType="1"/>
                        </wps:cNvCnPr>
                        <wps:spPr bwMode="auto">
                          <a:xfrm flipV="1">
                            <a:off x="32385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9" name="Straight Connector 20"/>
                        <wps:cNvCnPr>
                          <a:cxnSpLocks noChangeShapeType="1"/>
                        </wps:cNvCnPr>
                        <wps:spPr bwMode="auto">
                          <a:xfrm flipV="1">
                            <a:off x="34194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0" name="Straight Connector 21"/>
                        <wps:cNvCnPr>
                          <a:cxnSpLocks noChangeShapeType="1"/>
                        </wps:cNvCnPr>
                        <wps:spPr bwMode="auto">
                          <a:xfrm flipV="1">
                            <a:off x="36004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1" name="Straight Connector 22"/>
                        <wps:cNvCnPr>
                          <a:cxnSpLocks noChangeShapeType="1"/>
                        </wps:cNvCnPr>
                        <wps:spPr bwMode="auto">
                          <a:xfrm flipV="1">
                            <a:off x="37814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2" name="Straight Connector 23"/>
                        <wps:cNvCnPr>
                          <a:cxnSpLocks noChangeShapeType="1"/>
                        </wps:cNvCnPr>
                        <wps:spPr bwMode="auto">
                          <a:xfrm flipV="1">
                            <a:off x="39624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3" name="Straight Connector 24"/>
                        <wps:cNvCnPr>
                          <a:cxnSpLocks noChangeShapeType="1"/>
                        </wps:cNvCnPr>
                        <wps:spPr bwMode="auto">
                          <a:xfrm flipV="1">
                            <a:off x="1809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4" name="Straight Connector 25"/>
                        <wps:cNvCnPr>
                          <a:cxnSpLocks noChangeShapeType="1"/>
                        </wps:cNvCnPr>
                        <wps:spPr bwMode="auto">
                          <a:xfrm flipV="1">
                            <a:off x="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44" o:spid="_x0000_s1026" style="position:absolute;margin-left:-318pt;margin-top:720.7pt;width:436.5pt;height:124.5pt;z-index:251661312;mso-position-vertical-relative:page"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7bsYAAADcAAAADwAAAGRycy9kb3ducmV2LnhtbESPQWvCQBSE7wX/w/IEb3WTCFJS11CE&#10;gC1SqI2gt0f2NRuafRuyq8b+erdQ6HGYmW+YVTHaTlxo8K1jBek8AUFcO91yo6D6LB+fQPiArLFz&#10;TApu5KFYTx5WmGt35Q+67EMjIoR9jgpMCH0upa8NWfRz1xNH78sNFkOUQyP1gNcIt53MkmQpLbYc&#10;Fwz2tDFUf+/PVoF1VXk4V/VYVubt/fgjT+nu9aTUbDq+PIMINIb/8F97qxUs0gx+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bO27GAAAA3AAAAA8AAAAAAAAA&#10;AAAAAAAAoQIAAGRycy9kb3ducmV2LnhtbFBLBQYAAAAABAAEAPkAAACUAwAAAAA=&#10;" strokecolor="white"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e9cUAAADcAAAADwAAAGRycy9kb3ducmV2LnhtbESPQWvCQBSE7wX/w/IEb3UTBSmpqxQh&#10;oCIFbQS9PbKv2dDs25BdNfbXu0Khx2FmvmHmy9424kqdrx0rSMcJCOLS6ZorBcVX/voGwgdkjY1j&#10;UnAnD8vF4GWOmXY33tP1ECoRIewzVGBCaDMpfWnIoh+7ljh6366zGKLsKqk7vEW4beQkSWbSYs1x&#10;wWBLK0Plz+FiFVhX5MdLUfZ5Ybafp195Tnebs1KjYf/xDiJQH/7Df+21VjBNp/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e9cUAAADcAAAADwAAAAAAAAAA&#10;AAAAAAChAgAAZHJzL2Rvd25yZXYueG1sUEsFBgAAAAAEAAQA+QAAAJMDAAAAAA==&#10;" strokecolor="white"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4GgcYAAADcAAAADwAAAGRycy9kb3ducmV2LnhtbESPQWvCQBSE7wX/w/KE3ppNWhGJriJC&#10;oC2lUBtBb4/sMxvMvg3ZVVN/fbcg9DjMzDfMYjXYVlyo941jBVmSgiCunG64VlB+F08zED4ga2wd&#10;k4If8rBajh4WmGt35S+6bEMtIoR9jgpMCF0upa8MWfSJ64ijd3S9xRBlX0vd4zXCbSuf03QqLTYc&#10;Fwx2tDFUnbZnq8C6stidy2ooSvP+ub/JQ/bxdlDqcTys5yACDeE/fG+/agUv2Q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BoHGAAAA3AAAAA8AAAAAAAAA&#10;AAAAAAAAoQIAAGRycy9kb3ducmV2LnhtbFBLBQYAAAAABAAEAPkAAACUAwAAAAA=&#10;" strokecolor="white"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KjGsYAAADcAAAADwAAAGRycy9kb3ducmV2LnhtbESPQWvCQBSE7wX/w/KE3ppNWhSJriJC&#10;oC2lUBtBb4/sMxvMvg3ZVVN/fbcg9DjMzDfMYjXYVlyo941jBVmSgiCunG64VlB+F08zED4ga2wd&#10;k4If8rBajh4WmGt35S+6bEMtIoR9jgpMCF0upa8MWfSJ64ijd3S9xRBlX0vd4zXCbSuf03QqLTYc&#10;Fwx2tDFUnbZnq8C6stidy2ooSvP+ub/JQ/bxdlDqcTys5yACDeE/fG+/agUv2Q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yoxrGAAAA3AAAAA8AAAAAAAAA&#10;AAAAAAAAoQIAAGRycy9kb3ducmV2LnhtbFBLBQYAAAAABAAEAPkAAACUAwAAAAA=&#10;" strokecolor="white"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9bcYAAADcAAAADwAAAGRycy9kb3ducmV2LnhtbESPQWvCQBSE74L/YXmCN92kBZHUNRQh&#10;YIsUaiPo7ZF9zYZm34bsRtP++m5B6HGYmW+YTT7aVlyp941jBekyAUFcOd1wraD8KBZrED4ga2wd&#10;k4Jv8pBvp5MNZtrd+J2ux1CLCGGfoQITQpdJ6StDFv3SdcTR+3S9xRBlX0vd4y3CbSsfkmQlLTYc&#10;Fwx2tDNUfR0Hq8C6sjgNZTUWpXl9O//IS3p4uSg1n43PTyACjeE/fG/vtYLHdAV/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gPW3GAAAA3AAAAA8AAAAAAAAA&#10;AAAAAAAAoQIAAGRycy9kb3ducmV2LnhtbFBLBQYAAAAABAAEAPkAAACUAwAAAAA=&#10;" strokecolor="white"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yY9sYAAADcAAAADwAAAGRycy9kb3ducmV2LnhtbESPQWvCQBSE7wX/w/KE3ppNWlCJriJC&#10;oC2lUBtBb4/sMxvMvg3ZVVN/fbcg9DjMzDfMYjXYVlyo941jBVmSgiCunG64VlB+F08zED4ga2wd&#10;k4If8rBajh4WmGt35S+6bEMtIoR9jgpMCF0upa8MWfSJ64ijd3S9xRBlX0vd4zXCbSuf03QiLTYc&#10;Fwx2tDFUnbZnq8C6stidy2ooSvP+ub/JQ/bxdlDqcTys5yACDeE/fG+/agUv2R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smPbGAAAA3AAAAA8AAAAAAAAA&#10;AAAAAAAAoQIAAGRycy9kb3ducmV2LnhtbFBLBQYAAAAABAAEAPkAAACUAwAAAAA=&#10;" strokecolor="white"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MhMIAAADcAAAADwAAAGRycy9kb3ducmV2LnhtbERPXWvCMBR9F/wP4Qq+aVqFIZ1RxqDg&#10;hgi6Dubbpbk2xeamNFGrv355EHw8nO/lureNuFLna8cK0mkCgrh0uuZKQfGTTxYgfEDW2DgmBXfy&#10;sF4NB0vMtLvxnq6HUIkYwj5DBSaENpPSl4Ys+qlriSN3cp3FEGFXSd3hLYbbRs6S5E1arDk2GGzp&#10;01B5PlysAuuK/PdSlH1emO/d30Me0+3XUanxqP94BxGoDy/x073RCuZpXBvPxCM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MMhMIAAADcAAAADwAAAAAAAAAAAAAA&#10;AAChAgAAZHJzL2Rvd25yZXYueG1sUEsFBgAAAAAEAAQA+QAAAJADAAAAAA==&#10;" strokecolor="white"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pH8YAAADcAAAADwAAAGRycy9kb3ducmV2LnhtbESPQWvCQBSE7wX/w/KE3ppNWhCNriJC&#10;oC2lUBtBb4/sMxvMvg3ZVVN/fbcg9DjMzDfMYjXYVlyo941jBVmSgiCunG64VlB+F09TED4ga2wd&#10;k4If8rBajh4WmGt35S+6bEMtIoR9jgpMCF0upa8MWfSJ64ijd3S9xRBlX0vd4zXCbSuf03QiLTYc&#10;Fwx2tDFUnbZnq8C6stidy2ooSvP+ub/JQ/bxdlDqcTys5yACDeE/fG+/agUv2Qz+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qR/GAAAA3AAAAA8AAAAAAAAA&#10;AAAAAAAAoQIAAGRycy9kb3ducmV2LnhtbFBLBQYAAAAABAAEAPkAAACUAwAAAAA=&#10;" strokecolor="white"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P8EAAADcAAAADwAAAGRycy9kb3ducmV2LnhtbERPTYvCMBC9C/sfwizsTVNdEKlGkYXC&#10;KougVtDb0IxNsZmUJmrXX28OgsfH+54tOluLG7W+cqxgOEhAEBdOV1wqyPdZfwLCB2SNtWNS8E8e&#10;FvOP3gxT7e68pdsulCKGsE9RgQmhSaX0hSGLfuAa4sidXWsxRNiWUrd4j+G2lqMkGUuLFccGgw39&#10;GCouu6tVYF2eHa550WW5WW+OD3ka/q1OSn19dsspiEBdeItf7l+t4HsU58c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co/wQAAANwAAAAPAAAAAAAAAAAAAAAA&#10;AKECAABkcnMvZG93bnJldi54bWxQSwUGAAAAAAQABAD5AAAAjwMAAAAA&#10;" strokecolor="white"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vpMYAAADcAAAADwAAAGRycy9kb3ducmV2LnhtbESPQWvCQBSE7wX/w/IEb3WTCFJS11CE&#10;gC1SqI2gt0f2NRuafRuyq8b+erdQ6HGYmW+YVTHaTlxo8K1jBek8AUFcO91yo6D6LB+fQPiArLFz&#10;TApu5KFYTx5WmGt35Q+67EMjIoR9jgpMCH0upa8NWfRz1xNH78sNFkOUQyP1gNcIt53MkmQpLbYc&#10;Fwz2tDFUf+/PVoF1VXk4V/VYVubt/fgjT+nu9aTUbDq+PIMINIb/8F97qxUsshR+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lb6TGAAAA3AAAAA8AAAAAAAAA&#10;AAAAAAAAoQIAAGRycy9kb3ducmV2LnhtbFBLBQYAAAAABAAEAPkAAACUAwAAAAA=&#10;" strokecolor="white"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x08YAAADcAAAADwAAAGRycy9kb3ducmV2LnhtbESPQWvCQBSE7wX/w/IEb3WTCFJS11CE&#10;gC1SqI2gt0f2NRuafRuyq8b+erdQ6HGYmW+YVTHaTlxo8K1jBek8AUFcO91yo6D6LB+fQPiArLFz&#10;TApu5KFYTx5WmGt35Q+67EMjIoR9jgpMCH0upa8NWfRz1xNH78sNFkOUQyP1gNcIt53MkmQpLbYc&#10;Fwz2tDFUf+/PVoF1VXk4V/VYVubt/fgjT+nu9aTUbDq+PIMINIb/8F97qxUssgx+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38dPGAAAA3AAAAA8AAAAAAAAA&#10;AAAAAAAAoQIAAGRycy9kb3ducmV2LnhtbFBLBQYAAAAABAAEAPkAAACUAwAAAAA=&#10;" strokecolor="white"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tUSMUAAADcAAAADwAAAGRycy9kb3ducmV2LnhtbESPQWvCQBSE74X+h+UVvDUbFUqJrlIK&#10;ARURqhH09sg+s8Hs25BdNfrru4WCx2FmvmGm89424kqdrx0rGCYpCOLS6ZorBcUuf/8E4QOyxsYx&#10;KbiTh/ns9WWKmXY3/qHrNlQiQthnqMCE0GZS+tKQRZ+4ljh6J9dZDFF2ldQd3iLcNnKUph/SYs1x&#10;wWBL34bK8/ZiFVhX5PtLUfZ5YVabw0Meh+vlUanBW/81ARGoD8/wf3uhFYxHY/g7E4+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tUSMUAAADcAAAADwAAAAAAAAAA&#10;AAAAAAChAgAAZHJzL2Rvd25yZXYueG1sUEsFBgAAAAAEAAQA+QAAAJMDAAAAAA==&#10;" strokecolor="white"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MPMUAAADcAAAADwAAAGRycy9kb3ducmV2LnhtbESPQWvCQBSE7wX/w/KE3upGW6REVxEh&#10;YIsUtBH09sg+s8Hs25BdNfbXdwXB4zAz3zDTeWdrcaHWV44VDAcJCOLC6YpLBflv9vYJwgdkjbVj&#10;UnAjD/NZ72WKqXZX3tBlG0oRIexTVGBCaFIpfWHIoh+4hjh6R9daDFG2pdQtXiPc1nKUJGNpseK4&#10;YLChpaHitD1bBdbl2e6cF12Wm++f/Z88DNdfB6Ve+91iAiJQF57hR3ulFbyPPuB+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LMPMUAAADcAAAADwAAAAAAAAAA&#10;AAAAAAChAgAAZHJzL2Rvd25yZXYueG1sUEsFBgAAAAAEAAQA+QAAAJMDAAAAAA==&#10;" strokecolor="white"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5pp8UAAADcAAAADwAAAGRycy9kb3ducmV2LnhtbESPQWvCQBSE7wX/w/KE3upGS6VEVxEh&#10;YIsUtBH09sg+s8Hs25BdNfbXdwXB4zAz3zDTeWdrcaHWV44VDAcJCOLC6YpLBflv9vYJwgdkjbVj&#10;UnAjD/NZ72WKqXZX3tBlG0oRIexTVGBCaFIpfWHIoh+4hjh6R9daDFG2pdQtXiPc1nKUJGNpseK4&#10;YLChpaHitD1bBdbl2e6cF12Wm++f/Z88DNdfB6Ve+91iAiJQF57hR3ulFbyPPuB+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5pp8UAAADcAAAADwAAAAAAAAAA&#10;AAAAAAChAgAAZHJzL2Rvd25yZXYueG1sUEsFBgAAAAAEAAQA+QAAAJMDAAAAAA==&#10;" strokecolor="white"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z30MUAAADcAAAADwAAAGRycy9kb3ducmV2LnhtbESPQWvCQBSE74L/YXmCN92oICV1FREC&#10;rYigTaHeHtlnNph9G7Krpv31rlDwOMzMN8xi1dla3Kj1lWMFk3ECgrhwuuJSQf6Vjd5A+ICssXZM&#10;Cn7Jw2rZ7y0w1e7OB7odQykihH2KCkwITSqlLwxZ9GPXEEfv7FqLIcq2lLrFe4TbWk6TZC4tVhwX&#10;DDa0MVRcjlerwLo8+77mRZflZrv/+ZOnye7zpNRw0K3fQQTqwiv83/7QCmbTOTz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z30MUAAADcAAAADwAAAAAAAAAA&#10;AAAAAAChAgAAZHJzL2Rvd25yZXYueG1sUEsFBgAAAAAEAAQA+QAAAJMDAAAAAA==&#10;" strokecolor="white"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SS8UAAADcAAAADwAAAGRycy9kb3ducmV2LnhtbESPQWvCQBSE7wX/w/KE3upGC7VEVxEh&#10;YIsUtBH09sg+s8Hs25BdNfbXdwXB4zAz3zDTeWdrcaHWV44VDAcJCOLC6YpLBflv9vYJwgdkjbVj&#10;UnAjD/NZ72WKqXZX3tBlG0oRIexTVGBCaFIpfWHIoh+4hjh6R9daDFG2pdQtXiPc1nKUJB/SYsVx&#10;wWBDS0PFaXu2CqzLs905L7osN98/+z95GK6/Dkq99rvFBESgLjzDj/ZKK3gfjeF+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BSS8UAAADcAAAADwAAAAAAAAAA&#10;AAAAAAChAgAAZHJzL2Rvd25yZXYueG1sUEsFBgAAAAAEAAQA+QAAAJMDAAAAAA==&#10;" strokecolor="white"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OcEAAADcAAAADwAAAGRycy9kb3ducmV2LnhtbERPTYvCMBC9C/sfwizsTVNdEKlGkYXC&#10;KougVtDb0IxNsZmUJmrXX28OgsfH+54tOluLG7W+cqxgOEhAEBdOV1wqyPdZfwLCB2SNtWNS8E8e&#10;FvOP3gxT7e68pdsulCKGsE9RgQmhSaX0hSGLfuAa4sidXWsxRNiWUrd4j+G2lqMkGUuLFccGgw39&#10;GCouu6tVYF2eHa550WW5WW+OD3ka/q1OSn19dsspiEBdeItf7l+t4HsU18Y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X8Y5wQAAANwAAAAPAAAAAAAAAAAAAAAA&#10;AKECAABkcnMvZG93bnJldi54bWxQSwUGAAAAAAQABAD5AAAAjwMAAAAA&#10;" strokecolor="white"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josUAAADcAAAADwAAAGRycy9kb3ducmV2LnhtbESPQWvCQBSE7wX/w/KE3upGC8VGVxEh&#10;YIsUtBH09sg+s8Hs25BdNfbXdwXB4zAz3zDTeWdrcaHWV44VDAcJCOLC6YpLBflv9jYG4QOyxtox&#10;KbiRh/ms9zLFVLsrb+iyDaWIEPYpKjAhNKmUvjBk0Q9cQxy9o2sthijbUuoWrxFuazlKkg9pseK4&#10;YLChpaHitD1bBdbl2e6cF12Wm++f/Z88DNdfB6Ve+91iAiJQF57hR3ulFbyPPuF+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NjosUAAADcAAAADwAAAAAAAAAA&#10;AAAAAAChAgAAZHJzL2Rvd25yZXYueG1sUEsFBgAAAAAEAAQA+QAAAJMDAAAAAA==&#10;" strokecolor="white"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c4sMAAADcAAAADwAAAGRycy9kb3ducmV2LnhtbERPW2vCMBR+F/YfwhnsTVMtDOmMIoPC&#10;HEOYdjDfDs1ZU2xOSpNe5q9fHgY+fnz3zW6yjRio87VjBctFAoK4dLrmSkFxzudrED4ga2wck4Jf&#10;8rDbPsw2mGk38icNp1CJGMI+QwUmhDaT0peGLPqFa4kj9+M6iyHCrpK6wzGG20aukuRZWqw5Nhhs&#10;6dVQeT31VoF1Rf7VF+WUF+b9+H2Tl+XH4aLU0+O0fwERaAp38b/7TStI0zg/no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wXOLDAAAA3AAAAA8AAAAAAAAAAAAA&#10;AAAAoQIAAGRycy9kb3ducmV2LnhtbFBLBQYAAAAABAAEAPkAAACRAwAAAAA=&#10;" strokecolor="white"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5ecUAAADcAAAADwAAAGRycy9kb3ducmV2LnhtbESPQWvCQBSE7wX/w/IEb3UTBSmpqxQh&#10;oCIFbQS9PbKv2dDs25BdNfbXu0Khx2FmvmHmy9424kqdrx0rSMcJCOLS6ZorBcVX/voGwgdkjY1j&#10;UnAnD8vF4GWOmXY33tP1ECoRIewzVGBCaDMpfWnIoh+7ljh6366zGKLsKqk7vEW4beQkSWbSYs1x&#10;wWBLK0Plz+FiFVhX5MdLUfZ5Ybafp195Tnebs1KjYf/xDiJQH/7Df+21VjCdpv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z5ecUAAADcAAAADwAAAAAAAAAA&#10;AAAAAAChAgAAZHJzL2Rvd25yZXYueG1sUEsFBgAAAAAEAAQA+QAAAJMDAAAAAA==&#10;" strokecolor="white"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5nDsUAAADcAAAADwAAAGRycy9kb3ducmV2LnhtbESPQWvCQBSE74X+h+UVvDUbFUqJrlIK&#10;ARURqhH09sg+s8Hs25BdNfrru4WCx2FmvmGm89424kqdrx0rGCYpCOLS6ZorBcUuf/8E4QOyxsYx&#10;KbiTh/ns9WWKmXY3/qHrNlQiQthnqMCE0GZS+tKQRZ+4ljh6J9dZDFF2ldQd3iLcNnKUph/SYs1x&#10;wWBL34bK8/ZiFVhX5PtLUfZ5YVabw0Meh+vlUanBW/81ARGoD8/wf3uhFYzHI/g7E4+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5nDsUAAADcAAAADwAAAAAAAAAA&#10;AAAAAAChAgAAZHJzL2Rvd25yZXYueG1sUEsFBgAAAAAEAAQA+QAAAJMDAAAAAA==&#10;" strokecolor="white"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ClcYAAADcAAAADwAAAGRycy9kb3ducmV2LnhtbESPQWvCQBSE7wX/w/IEb3WTBqSkrqEI&#10;AStSqI2gt0f2NRuafRuyq8b+erdQ6HGYmW+YZTHaTlxo8K1jBek8AUFcO91yo6D6LB+fQfiArLFz&#10;TApu5KFYTR6WmGt35Q+67EMjIoR9jgpMCH0upa8NWfRz1xNH78sNFkOUQyP1gNcIt518SpKFtNhy&#10;XDDY09pQ/b0/WwXWVeXhXNVjWZnt+/FHntLd20mp2XR8fQERaAz/4b/2RivIsgx+z8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iwpXGAAAA3AAAAA8AAAAAAAAA&#10;AAAAAAAAoQIAAGRycy9kb3ducmV2LnhtbFBLBQYAAAAABAAEAPkAAACUAwAAAAA=&#10;" strokecolor="white"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a4cUAAADcAAAADwAAAGRycy9kb3ducmV2LnhtbESPQWvCQBSE74L/YXlCb7pRi0jqKiIE&#10;2lIENYV6e2Rfs8Hs25BdNe2vdwXB4zAz3zCLVWdrcaHWV44VjEcJCOLC6YpLBfkhG85B+ICssXZM&#10;Cv7Iw2rZ7y0w1e7KO7rsQykihH2KCkwITSqlLwxZ9CPXEEfv17UWQ5RtKXWL1wi3tZwkyUxarDgu&#10;GGxoY6g47c9WgXV59n3Oiy7Lzef2518ex18fR6VeBt36DUSgLjzDj/a7VjCdv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ta4cUAAADcAAAADwAAAAAAAAAA&#10;AAAAAAChAgAAZHJzL2Rvd25yZXYueG1sUEsFBgAAAAAEAAQA+QAAAJMDAAAAAA==&#10;" strokecolor="white" strokeweight=".5pt"/>
                <w10:wrap anchory="page"/>
              </v:group>
            </w:pict>
          </mc:Fallback>
        </mc:AlternateContent>
      </w:r>
      <w:r w:rsidR="00A73490">
        <w:rPr>
          <w:noProof/>
        </w:rPr>
        <mc:AlternateContent>
          <mc:Choice Requires="wps">
            <w:drawing>
              <wp:anchor distT="0" distB="0" distL="114300" distR="114300" simplePos="0" relativeHeight="251660288" behindDoc="0" locked="0" layoutInCell="1" allowOverlap="1" wp14:anchorId="6767DE10" wp14:editId="16BEFC82">
                <wp:simplePos x="0" y="0"/>
                <wp:positionH relativeFrom="column">
                  <wp:posOffset>-952500</wp:posOffset>
                </wp:positionH>
                <wp:positionV relativeFrom="page">
                  <wp:posOffset>9657715</wp:posOffset>
                </wp:positionV>
                <wp:extent cx="7639050" cy="1085850"/>
                <wp:effectExtent l="0" t="0" r="0" b="0"/>
                <wp:wrapNone/>
                <wp:docPr id="310" name="Rectangle 14"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085850"/>
                        </a:xfrm>
                        <a:prstGeom prst="rect">
                          <a:avLst/>
                        </a:prstGeom>
                        <a:solidFill>
                          <a:srgbClr val="00557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4" o:spid="_x0000_s1026" alt="Description: Cover Coloured Footer Section" style="position:absolute;margin-left:-75pt;margin-top:760.45pt;width:601.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" fillcolor="#00557e" stroked="f" strokeweight="2pt">
                <w10:wrap anchory="page"/>
              </v:rect>
            </w:pict>
          </mc:Fallback>
        </mc:AlternateContent>
      </w:r>
      <w:r w:rsidR="00A73490">
        <w:rPr>
          <w:noProof/>
        </w:rPr>
        <w:br w:type="page"/>
      </w:r>
    </w:p>
    <w:p w:rsidR="00A73490" w:rsidRDefault="00A73490" w:rsidP="00A73490"/>
    <w:p w:rsidR="00630D71" w:rsidRDefault="00630D71" w:rsidP="00630D71">
      <w:pPr>
        <w:spacing w:before="4400"/>
        <w:ind w:left="792"/>
      </w:pPr>
    </w:p>
    <w:p w:rsidR="00630D71" w:rsidRPr="00E46801" w:rsidRDefault="00630D71" w:rsidP="00630D71">
      <w:pPr>
        <w:pStyle w:val="NormalTight"/>
      </w:pPr>
      <w:r w:rsidRPr="00E46801">
        <w:t>The Secretary</w:t>
      </w:r>
    </w:p>
    <w:p w:rsidR="00630D71" w:rsidRPr="00E46801" w:rsidRDefault="00630D71" w:rsidP="00630D71">
      <w:pPr>
        <w:pStyle w:val="NormalTight"/>
      </w:pPr>
      <w:r w:rsidRPr="00E46801">
        <w:t>Department of Treasury and Finance</w:t>
      </w:r>
    </w:p>
    <w:p w:rsidR="00630D71" w:rsidRPr="00E46801" w:rsidRDefault="00630D71" w:rsidP="00630D71">
      <w:pPr>
        <w:pStyle w:val="NormalTight"/>
      </w:pPr>
      <w:r w:rsidRPr="00E46801">
        <w:t>1 Treasury Place</w:t>
      </w:r>
    </w:p>
    <w:p w:rsidR="00630D71" w:rsidRPr="00E46801" w:rsidRDefault="00630D71" w:rsidP="00630D71">
      <w:pPr>
        <w:pStyle w:val="NormalTight"/>
      </w:pPr>
      <w:r w:rsidRPr="00E46801">
        <w:t>Melbourne Victoria 3002</w:t>
      </w:r>
    </w:p>
    <w:p w:rsidR="00630D71" w:rsidRPr="00E46801" w:rsidRDefault="00630D71" w:rsidP="00630D71">
      <w:pPr>
        <w:pStyle w:val="NormalTight"/>
      </w:pPr>
      <w:r w:rsidRPr="00E46801">
        <w:t>Australia</w:t>
      </w:r>
    </w:p>
    <w:p w:rsidR="00630D71" w:rsidRPr="00E46801" w:rsidRDefault="00630D71" w:rsidP="00630D71">
      <w:pPr>
        <w:pStyle w:val="NormalTight"/>
      </w:pPr>
      <w:r w:rsidRPr="00E46801">
        <w:t>Telephone: +61 3 9651 5111</w:t>
      </w:r>
    </w:p>
    <w:p w:rsidR="00630D71" w:rsidRPr="00E46801" w:rsidRDefault="00630D71" w:rsidP="00630D71">
      <w:pPr>
        <w:pStyle w:val="NormalTight"/>
      </w:pPr>
      <w:r w:rsidRPr="00E46801">
        <w:t xml:space="preserve">Facsimile: +61 3 9651 </w:t>
      </w:r>
      <w:r>
        <w:t>2062</w:t>
      </w:r>
    </w:p>
    <w:p w:rsidR="00630D71" w:rsidRPr="00E46801" w:rsidRDefault="00630D71" w:rsidP="00630D71">
      <w:pPr>
        <w:pStyle w:val="NormalTight"/>
      </w:pPr>
      <w:r w:rsidRPr="00E46801">
        <w:t>dtf.vic.gov.au</w:t>
      </w:r>
    </w:p>
    <w:p w:rsidR="00630D71" w:rsidRPr="00E46801" w:rsidRDefault="00630D71" w:rsidP="00630D71">
      <w:pPr>
        <w:pStyle w:val="NormalTight"/>
      </w:pPr>
    </w:p>
    <w:p w:rsidR="00630D71" w:rsidRPr="00E46801" w:rsidRDefault="00630D71" w:rsidP="00630D71">
      <w:pPr>
        <w:pStyle w:val="NormalTight"/>
      </w:pPr>
      <w:r w:rsidRPr="00E46801">
        <w:t>Authorised by the Victorian Government</w:t>
      </w:r>
    </w:p>
    <w:p w:rsidR="00630D71" w:rsidRPr="00E46801" w:rsidRDefault="00630D71" w:rsidP="00630D71">
      <w:pPr>
        <w:pStyle w:val="NormalTight"/>
      </w:pPr>
      <w:r w:rsidRPr="00E46801">
        <w:t>1 Treasury Place, Melbourne, 3002</w:t>
      </w:r>
    </w:p>
    <w:p w:rsidR="00630D71" w:rsidRDefault="00630D71" w:rsidP="00630D71">
      <w:pPr>
        <w:pStyle w:val="NormalTight"/>
      </w:pPr>
    </w:p>
    <w:p w:rsidR="00630D71" w:rsidRPr="00891D32" w:rsidRDefault="00630D71" w:rsidP="00630D71">
      <w:pPr>
        <w:rPr>
          <w:rFonts w:asciiTheme="minorHAnsi" w:hAnsiTheme="minorHAnsi" w:cstheme="minorHAnsi"/>
        </w:rPr>
      </w:pPr>
      <w:r>
        <w:rPr>
          <w:rFonts w:asciiTheme="minorHAnsi" w:hAnsiTheme="minorHAnsi" w:cstheme="minorHAnsi"/>
        </w:rPr>
        <w:t>© State of Victoria 2015</w:t>
      </w:r>
    </w:p>
    <w:p w:rsidR="00630D71" w:rsidRPr="00891D32" w:rsidRDefault="00630D71" w:rsidP="00630D71">
      <w:pPr>
        <w:rPr>
          <w:rFonts w:asciiTheme="minorHAnsi" w:hAnsiTheme="minorHAnsi" w:cstheme="minorHAnsi"/>
        </w:rPr>
      </w:pPr>
      <w:r>
        <w:rPr>
          <w:rFonts w:asciiTheme="minorHAnsi" w:hAnsiTheme="minorHAnsi" w:cstheme="minorHAnsi"/>
          <w:noProof/>
        </w:rPr>
        <w:drawing>
          <wp:inline distT="0" distB="0" distL="0" distR="0" wp14:anchorId="4656E5EC" wp14:editId="0EBF6295">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91D32">
        <w:rPr>
          <w:rFonts w:asciiTheme="minorHAnsi" w:hAnsiTheme="minorHAnsi" w:cstheme="minorHAnsi"/>
        </w:rPr>
        <w:t xml:space="preserve"> </w:t>
      </w:r>
    </w:p>
    <w:p w:rsidR="00630D71" w:rsidRPr="0075605B" w:rsidRDefault="00630D71" w:rsidP="00630D71">
      <w:pPr>
        <w:pStyle w:val="BodyText"/>
      </w:pPr>
      <w:r w:rsidRPr="0075605B">
        <w:t xml:space="preserve">You are free to re-use this work under a </w:t>
      </w:r>
      <w:hyperlink r:id="rId13" w:history="1">
        <w:r w:rsidRPr="0075605B">
          <w:rPr>
            <w:rStyle w:val="Hyperlink"/>
          </w:rPr>
          <w:t>Creative Commons Attribution 4.0 licence</w:t>
        </w:r>
      </w:hyperlink>
      <w:r w:rsidRPr="0075605B">
        <w:rPr>
          <w:rStyle w:val="Hyperlink"/>
        </w:rPr>
        <w:t>,</w:t>
      </w:r>
      <w:r w:rsidRPr="0075605B">
        <w:t xml:space="preserve"> provided you credit the State of Victoria (Department of Treasury and Finance) as author, </w:t>
      </w:r>
      <w:r w:rsidRPr="0075605B">
        <w:rPr>
          <w:lang w:eastAsia="en-US"/>
        </w:rPr>
        <w:t>indicate if changes were made and comply with the other licence terms</w:t>
      </w:r>
      <w:r w:rsidRPr="0075605B">
        <w:t>. The licence does not apply to any branding, including Government logos.</w:t>
      </w:r>
    </w:p>
    <w:p w:rsidR="00630D71" w:rsidRPr="00891D32" w:rsidRDefault="00630D71" w:rsidP="00630D71">
      <w:pPr>
        <w:rPr>
          <w:rFonts w:asciiTheme="minorHAnsi" w:hAnsiTheme="minorHAnsi" w:cstheme="minorHAnsi"/>
        </w:rPr>
      </w:pPr>
      <w:r w:rsidRPr="00891D32">
        <w:rPr>
          <w:rFonts w:asciiTheme="minorHAnsi" w:hAnsiTheme="minorHAnsi" w:cstheme="minorHAnsi"/>
        </w:rPr>
        <w:t xml:space="preserve">Copyright queries may be directed to </w:t>
      </w:r>
      <w:hyperlink r:id="rId14" w:history="1">
        <w:r w:rsidRPr="00217B24">
          <w:rPr>
            <w:rStyle w:val="Hyperlink"/>
            <w:rFonts w:asciiTheme="minorHAnsi" w:hAnsiTheme="minorHAnsi" w:cstheme="minorHAnsi"/>
          </w:rPr>
          <w:t>IPpolicy@dtf.vic.gov.au</w:t>
        </w:r>
      </w:hyperlink>
    </w:p>
    <w:p w:rsidR="00630D71" w:rsidRDefault="00630D71" w:rsidP="00630D71">
      <w:pPr>
        <w:pStyle w:val="NormalTight"/>
      </w:pPr>
    </w:p>
    <w:p w:rsidR="00D1078D" w:rsidRPr="00D1078D" w:rsidRDefault="00D1078D" w:rsidP="00630D71">
      <w:pPr>
        <w:pStyle w:val="NormalTight"/>
      </w:pPr>
      <w:r w:rsidRPr="00D1078D">
        <w:t>ISSN 2204-9266 (Online)</w:t>
      </w:r>
    </w:p>
    <w:p w:rsidR="00630D71" w:rsidRPr="00E46801" w:rsidRDefault="00630D71" w:rsidP="00630D71">
      <w:pPr>
        <w:pStyle w:val="NormalTight"/>
      </w:pPr>
      <w:r w:rsidRPr="00D1078D">
        <w:t xml:space="preserve">Published </w:t>
      </w:r>
      <w:r w:rsidR="00D1078D" w:rsidRPr="00D1078D">
        <w:t>April</w:t>
      </w:r>
      <w:r w:rsidR="00AE0F80" w:rsidRPr="00D1078D">
        <w:t xml:space="preserve"> </w:t>
      </w:r>
      <w:r w:rsidRPr="00D1078D">
        <w:t>2015</w:t>
      </w:r>
    </w:p>
    <w:p w:rsidR="00630D71" w:rsidRDefault="00630D71" w:rsidP="00630D71">
      <w:pPr>
        <w:pStyle w:val="NormalTight"/>
      </w:pPr>
    </w:p>
    <w:p w:rsidR="00630D71" w:rsidRPr="00B8202F" w:rsidRDefault="00630D71" w:rsidP="00630D71">
      <w:pPr>
        <w:pStyle w:val="NormalTight"/>
      </w:pPr>
      <w:r>
        <w:t xml:space="preserve">If you would like to receive this publication in an accessible format please  </w:t>
      </w:r>
      <w:r w:rsidRPr="00B8202F">
        <w:t xml:space="preserve">email </w:t>
      </w:r>
      <w:hyperlink r:id="rId15" w:history="1">
        <w:r w:rsidRPr="00B8202F">
          <w:t>information@dtf.vic.gov.au</w:t>
        </w:r>
      </w:hyperlink>
      <w:r>
        <w:t xml:space="preserve"> </w:t>
      </w:r>
    </w:p>
    <w:p w:rsidR="00630D71" w:rsidRPr="00B8202F" w:rsidRDefault="00630D71" w:rsidP="00630D71">
      <w:pPr>
        <w:pStyle w:val="NormalTight"/>
      </w:pPr>
      <w:r w:rsidRPr="00B8202F">
        <w:t xml:space="preserve">This document is also available in </w:t>
      </w:r>
      <w:r>
        <w:t xml:space="preserve">Word and </w:t>
      </w:r>
      <w:r w:rsidRPr="00B8202F">
        <w:t xml:space="preserve">PDF format at </w:t>
      </w:r>
      <w:hyperlink r:id="rId16" w:history="1">
        <w:r w:rsidRPr="00844722">
          <w:rPr>
            <w:rStyle w:val="Hyperlink"/>
          </w:rPr>
          <w:t>dtf.vic.gov.au</w:t>
        </w:r>
      </w:hyperlink>
    </w:p>
    <w:p w:rsidR="00A73490" w:rsidRDefault="00A73490" w:rsidP="00A73490">
      <w:pPr>
        <w:sectPr w:rsidR="00A73490" w:rsidSect="00E56F08">
          <w:headerReference w:type="default" r:id="rId17"/>
          <w:type w:val="oddPage"/>
          <w:pgSz w:w="11906" w:h="16838" w:code="9"/>
          <w:pgMar w:top="1584" w:right="1411" w:bottom="1138" w:left="1411" w:header="706" w:footer="706" w:gutter="0"/>
          <w:cols w:space="708"/>
          <w:docGrid w:linePitch="360"/>
        </w:sectPr>
      </w:pPr>
    </w:p>
    <w:p w:rsidR="00A73490" w:rsidRDefault="00A73490" w:rsidP="00A73490">
      <w:pPr>
        <w:pStyle w:val="TOCHeading"/>
        <w:rPr>
          <w:lang w:eastAsia="en-US"/>
        </w:rPr>
      </w:pPr>
      <w:r>
        <w:rPr>
          <w:lang w:eastAsia="en-US"/>
        </w:rPr>
        <w:lastRenderedPageBreak/>
        <w:t>Contents</w:t>
      </w:r>
    </w:p>
    <w:p w:rsidR="006256CF" w:rsidRDefault="00A73490">
      <w:pPr>
        <w:pStyle w:val="TOC1"/>
        <w:rPr>
          <w:rFonts w:asciiTheme="minorHAnsi" w:eastAsiaTheme="minorEastAsia" w:hAnsiTheme="minorHAnsi" w:cstheme="minorBidi"/>
          <w:color w:val="auto"/>
          <w:sz w:val="22"/>
          <w:szCs w:val="22"/>
        </w:rPr>
      </w:pPr>
      <w:r>
        <w:rPr>
          <w:color w:val="404040"/>
          <w:lang w:eastAsia="en-US"/>
        </w:rPr>
        <w:fldChar w:fldCharType="begin"/>
      </w:r>
      <w:r>
        <w:rPr>
          <w:lang w:eastAsia="en-US"/>
        </w:rPr>
        <w:instrText xml:space="preserve"> TOC \o "1-3" \t "Attachment 1,1" </w:instrText>
      </w:r>
      <w:r>
        <w:rPr>
          <w:color w:val="404040"/>
          <w:lang w:eastAsia="en-US"/>
        </w:rPr>
        <w:fldChar w:fldCharType="separate"/>
      </w:r>
      <w:r w:rsidR="006256CF">
        <w:t>1.</w:t>
      </w:r>
      <w:r w:rsidR="006256CF">
        <w:rPr>
          <w:rFonts w:asciiTheme="minorHAnsi" w:eastAsiaTheme="minorEastAsia" w:hAnsiTheme="minorHAnsi" w:cstheme="minorBidi"/>
          <w:color w:val="auto"/>
          <w:sz w:val="22"/>
          <w:szCs w:val="22"/>
        </w:rPr>
        <w:tab/>
      </w:r>
      <w:r w:rsidR="006256CF">
        <w:t>Introduction</w:t>
      </w:r>
      <w:r w:rsidR="006256CF">
        <w:tab/>
      </w:r>
      <w:r w:rsidR="006256CF">
        <w:fldChar w:fldCharType="begin"/>
      </w:r>
      <w:r w:rsidR="006256CF">
        <w:instrText xml:space="preserve"> PAGEREF _Toc415057779 \h </w:instrText>
      </w:r>
      <w:r w:rsidR="006256CF">
        <w:fldChar w:fldCharType="separate"/>
      </w:r>
      <w:r w:rsidR="00944FC3">
        <w:t>1</w:t>
      </w:r>
      <w:r w:rsidR="006256CF">
        <w:fldChar w:fldCharType="end"/>
      </w:r>
    </w:p>
    <w:p w:rsidR="006256CF" w:rsidRDefault="006256CF">
      <w:pPr>
        <w:pStyle w:val="TOC1"/>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Certification</w:t>
      </w:r>
      <w:r>
        <w:tab/>
      </w:r>
      <w:r>
        <w:fldChar w:fldCharType="begin"/>
      </w:r>
      <w:r>
        <w:instrText xml:space="preserve"> PAGEREF _Toc415057780 \h </w:instrText>
      </w:r>
      <w:r>
        <w:fldChar w:fldCharType="separate"/>
      </w:r>
      <w:r w:rsidR="00944FC3">
        <w:t>2</w:t>
      </w:r>
      <w:r>
        <w:fldChar w:fldCharType="end"/>
      </w:r>
    </w:p>
    <w:p w:rsidR="006256CF" w:rsidRDefault="006256CF">
      <w:pPr>
        <w:pStyle w:val="TOC2"/>
        <w:rPr>
          <w:rFonts w:asciiTheme="minorHAnsi" w:eastAsiaTheme="minorEastAsia" w:hAnsiTheme="minorHAnsi" w:cstheme="minorBidi"/>
          <w:color w:val="auto"/>
        </w:rPr>
      </w:pPr>
      <w:r>
        <w:t>2.1</w:t>
      </w:r>
      <w:r>
        <w:rPr>
          <w:rFonts w:asciiTheme="minorHAnsi" w:eastAsiaTheme="minorEastAsia" w:hAnsiTheme="minorHAnsi" w:cstheme="minorBidi"/>
          <w:color w:val="auto"/>
        </w:rPr>
        <w:tab/>
      </w:r>
      <w:r>
        <w:t>Annual certification process</w:t>
      </w:r>
      <w:r>
        <w:tab/>
      </w:r>
      <w:r>
        <w:fldChar w:fldCharType="begin"/>
      </w:r>
      <w:r>
        <w:instrText xml:space="preserve"> PAGEREF _Toc415057781 \h </w:instrText>
      </w:r>
      <w:r>
        <w:fldChar w:fldCharType="separate"/>
      </w:r>
      <w:r w:rsidR="00944FC3">
        <w:t>2</w:t>
      </w:r>
      <w:r>
        <w:fldChar w:fldCharType="end"/>
      </w:r>
    </w:p>
    <w:p w:rsidR="006256CF" w:rsidRDefault="006256CF">
      <w:pPr>
        <w:pStyle w:val="TOC3"/>
        <w:rPr>
          <w:rFonts w:asciiTheme="minorHAnsi" w:eastAsiaTheme="minorEastAsia" w:hAnsiTheme="minorHAnsi" w:cstheme="minorBidi"/>
        </w:rPr>
      </w:pPr>
      <w:r>
        <w:t>2.1.1</w:t>
      </w:r>
      <w:r>
        <w:rPr>
          <w:rFonts w:asciiTheme="minorHAnsi" w:eastAsiaTheme="minorEastAsia" w:hAnsiTheme="minorHAnsi" w:cstheme="minorBidi"/>
        </w:rPr>
        <w:tab/>
      </w:r>
      <w:r>
        <w:t>Certification descriptors</w:t>
      </w:r>
      <w:r>
        <w:tab/>
      </w:r>
      <w:r>
        <w:fldChar w:fldCharType="begin"/>
      </w:r>
      <w:r>
        <w:instrText xml:space="preserve"> PAGEREF _Toc415057782 \h </w:instrText>
      </w:r>
      <w:r>
        <w:fldChar w:fldCharType="separate"/>
      </w:r>
      <w:r w:rsidR="00944FC3">
        <w:t>2</w:t>
      </w:r>
      <w:r>
        <w:fldChar w:fldCharType="end"/>
      </w:r>
    </w:p>
    <w:p w:rsidR="006256CF" w:rsidRDefault="006256CF">
      <w:pPr>
        <w:pStyle w:val="TOC1"/>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Summary of certification results</w:t>
      </w:r>
      <w:r>
        <w:tab/>
      </w:r>
      <w:r>
        <w:fldChar w:fldCharType="begin"/>
      </w:r>
      <w:r>
        <w:instrText xml:space="preserve"> PAGEREF _Toc415057783 \h </w:instrText>
      </w:r>
      <w:r>
        <w:fldChar w:fldCharType="separate"/>
      </w:r>
      <w:r w:rsidR="00944FC3">
        <w:t>3</w:t>
      </w:r>
      <w:r>
        <w:fldChar w:fldCharType="end"/>
      </w:r>
    </w:p>
    <w:p w:rsidR="006256CF" w:rsidRDefault="006256CF">
      <w:pPr>
        <w:pStyle w:val="TOC2"/>
        <w:rPr>
          <w:rFonts w:asciiTheme="minorHAnsi" w:eastAsiaTheme="minorEastAsia" w:hAnsiTheme="minorHAnsi" w:cstheme="minorBidi"/>
          <w:color w:val="auto"/>
        </w:rPr>
      </w:pPr>
      <w:r>
        <w:t>3.1</w:t>
      </w:r>
      <w:r>
        <w:rPr>
          <w:rFonts w:asciiTheme="minorHAnsi" w:eastAsiaTheme="minorEastAsia" w:hAnsiTheme="minorHAnsi" w:cstheme="minorBidi"/>
          <w:color w:val="auto"/>
        </w:rPr>
        <w:tab/>
      </w:r>
      <w:r>
        <w:t>Compliance by portfolio</w:t>
      </w:r>
      <w:r>
        <w:tab/>
      </w:r>
      <w:r>
        <w:fldChar w:fldCharType="begin"/>
      </w:r>
      <w:r>
        <w:instrText xml:space="preserve"> PAGEREF _Toc415057784 \h </w:instrText>
      </w:r>
      <w:r>
        <w:fldChar w:fldCharType="separate"/>
      </w:r>
      <w:r w:rsidR="00944FC3">
        <w:t>3</w:t>
      </w:r>
      <w:r>
        <w:fldChar w:fldCharType="end"/>
      </w:r>
    </w:p>
    <w:p w:rsidR="006256CF" w:rsidRDefault="006256CF">
      <w:pPr>
        <w:pStyle w:val="TOC2"/>
        <w:rPr>
          <w:rFonts w:asciiTheme="minorHAnsi" w:eastAsiaTheme="minorEastAsia" w:hAnsiTheme="minorHAnsi" w:cstheme="minorBidi"/>
          <w:color w:val="auto"/>
        </w:rPr>
      </w:pPr>
      <w:r>
        <w:t>3.2</w:t>
      </w:r>
      <w:r>
        <w:rPr>
          <w:rFonts w:asciiTheme="minorHAnsi" w:eastAsiaTheme="minorEastAsia" w:hAnsiTheme="minorHAnsi" w:cstheme="minorBidi"/>
          <w:color w:val="auto"/>
        </w:rPr>
        <w:tab/>
      </w:r>
      <w:r>
        <w:t>Historical compliance</w:t>
      </w:r>
      <w:r>
        <w:tab/>
      </w:r>
      <w:r>
        <w:fldChar w:fldCharType="begin"/>
      </w:r>
      <w:r>
        <w:instrText xml:space="preserve"> PAGEREF _Toc415057785 \h </w:instrText>
      </w:r>
      <w:r>
        <w:fldChar w:fldCharType="separate"/>
      </w:r>
      <w:r w:rsidR="00944FC3">
        <w:t>4</w:t>
      </w:r>
      <w:r>
        <w:fldChar w:fldCharType="end"/>
      </w:r>
    </w:p>
    <w:p w:rsidR="006256CF" w:rsidRDefault="006256CF">
      <w:pPr>
        <w:pStyle w:val="TOC1"/>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Areas for further assessment</w:t>
      </w:r>
      <w:r>
        <w:tab/>
      </w:r>
      <w:r>
        <w:fldChar w:fldCharType="begin"/>
      </w:r>
      <w:r>
        <w:instrText xml:space="preserve"> PAGEREF _Toc415057786 \h </w:instrText>
      </w:r>
      <w:r>
        <w:fldChar w:fldCharType="separate"/>
      </w:r>
      <w:r w:rsidR="00944FC3">
        <w:t>5</w:t>
      </w:r>
      <w:r>
        <w:fldChar w:fldCharType="end"/>
      </w:r>
    </w:p>
    <w:p w:rsidR="006256CF" w:rsidRDefault="006256CF">
      <w:pPr>
        <w:pStyle w:val="TOC2"/>
        <w:rPr>
          <w:rFonts w:asciiTheme="minorHAnsi" w:eastAsiaTheme="minorEastAsia" w:hAnsiTheme="minorHAnsi" w:cstheme="minorBidi"/>
          <w:color w:val="auto"/>
        </w:rPr>
      </w:pPr>
      <w:r>
        <w:t>4.1</w:t>
      </w:r>
      <w:r>
        <w:rPr>
          <w:rFonts w:asciiTheme="minorHAnsi" w:eastAsiaTheme="minorEastAsia" w:hAnsiTheme="minorHAnsi" w:cstheme="minorBidi"/>
          <w:color w:val="auto"/>
        </w:rPr>
        <w:tab/>
      </w:r>
      <w:r>
        <w:t>Assurance reviews</w:t>
      </w:r>
      <w:r>
        <w:tab/>
      </w:r>
      <w:r>
        <w:fldChar w:fldCharType="begin"/>
      </w:r>
      <w:r>
        <w:instrText xml:space="preserve"> PAGEREF _Toc415057787 \h </w:instrText>
      </w:r>
      <w:r>
        <w:fldChar w:fldCharType="separate"/>
      </w:r>
      <w:r w:rsidR="00944FC3">
        <w:t>5</w:t>
      </w:r>
      <w:r>
        <w:fldChar w:fldCharType="end"/>
      </w:r>
    </w:p>
    <w:p w:rsidR="006256CF" w:rsidRDefault="006256CF">
      <w:pPr>
        <w:pStyle w:val="TOC2"/>
        <w:rPr>
          <w:rFonts w:asciiTheme="minorHAnsi" w:eastAsiaTheme="minorEastAsia" w:hAnsiTheme="minorHAnsi" w:cstheme="minorBidi"/>
          <w:color w:val="auto"/>
        </w:rPr>
      </w:pPr>
      <w:r>
        <w:t>4.2</w:t>
      </w:r>
      <w:r>
        <w:rPr>
          <w:rFonts w:asciiTheme="minorHAnsi" w:eastAsiaTheme="minorEastAsia" w:hAnsiTheme="minorHAnsi" w:cstheme="minorBidi"/>
          <w:color w:val="auto"/>
        </w:rPr>
        <w:tab/>
      </w:r>
      <w:r>
        <w:t>Areas highlighted through certification</w:t>
      </w:r>
      <w:r>
        <w:tab/>
      </w:r>
      <w:r>
        <w:fldChar w:fldCharType="begin"/>
      </w:r>
      <w:r>
        <w:instrText xml:space="preserve"> PAGEREF _Toc415057788 \h </w:instrText>
      </w:r>
      <w:r>
        <w:fldChar w:fldCharType="separate"/>
      </w:r>
      <w:r w:rsidR="00944FC3">
        <w:t>5</w:t>
      </w:r>
      <w:r>
        <w:fldChar w:fldCharType="end"/>
      </w:r>
    </w:p>
    <w:p w:rsidR="006256CF" w:rsidRDefault="006256CF">
      <w:pPr>
        <w:pStyle w:val="TOC3"/>
        <w:rPr>
          <w:rFonts w:asciiTheme="minorHAnsi" w:eastAsiaTheme="minorEastAsia" w:hAnsiTheme="minorHAnsi" w:cstheme="minorBidi"/>
        </w:rPr>
      </w:pPr>
      <w:r>
        <w:t>4.2.1</w:t>
      </w:r>
      <w:r>
        <w:rPr>
          <w:rFonts w:asciiTheme="minorHAnsi" w:eastAsiaTheme="minorEastAsia" w:hAnsiTheme="minorHAnsi" w:cstheme="minorBidi"/>
        </w:rPr>
        <w:tab/>
      </w:r>
      <w:r>
        <w:t>Business continuity and disaster recovery (Direction Requirement 17)</w:t>
      </w:r>
      <w:r>
        <w:tab/>
      </w:r>
      <w:r>
        <w:fldChar w:fldCharType="begin"/>
      </w:r>
      <w:r>
        <w:instrText xml:space="preserve"> PAGEREF _Toc415057789 \h </w:instrText>
      </w:r>
      <w:r>
        <w:fldChar w:fldCharType="separate"/>
      </w:r>
      <w:r w:rsidR="00944FC3">
        <w:t>5</w:t>
      </w:r>
      <w:r>
        <w:fldChar w:fldCharType="end"/>
      </w:r>
    </w:p>
    <w:p w:rsidR="006256CF" w:rsidRDefault="006256CF">
      <w:pPr>
        <w:pStyle w:val="TOC3"/>
        <w:rPr>
          <w:rFonts w:asciiTheme="minorHAnsi" w:eastAsiaTheme="minorEastAsia" w:hAnsiTheme="minorHAnsi" w:cstheme="minorBidi"/>
        </w:rPr>
      </w:pPr>
      <w:r>
        <w:t>4.2.2</w:t>
      </w:r>
      <w:r>
        <w:rPr>
          <w:rFonts w:asciiTheme="minorHAnsi" w:eastAsiaTheme="minorEastAsia" w:hAnsiTheme="minorHAnsi" w:cstheme="minorBidi"/>
        </w:rPr>
        <w:tab/>
      </w:r>
      <w:r>
        <w:t>Policies and procedures (Direction Requirement 12)</w:t>
      </w:r>
      <w:r>
        <w:tab/>
      </w:r>
      <w:r>
        <w:fldChar w:fldCharType="begin"/>
      </w:r>
      <w:r>
        <w:instrText xml:space="preserve"> PAGEREF _Toc415057790 \h </w:instrText>
      </w:r>
      <w:r>
        <w:fldChar w:fldCharType="separate"/>
      </w:r>
      <w:r w:rsidR="00944FC3">
        <w:t>5</w:t>
      </w:r>
      <w:r>
        <w:fldChar w:fldCharType="end"/>
      </w:r>
    </w:p>
    <w:p w:rsidR="006256CF" w:rsidRDefault="006256CF">
      <w:pPr>
        <w:pStyle w:val="TOC3"/>
        <w:rPr>
          <w:rFonts w:asciiTheme="minorHAnsi" w:eastAsiaTheme="minorEastAsia" w:hAnsiTheme="minorHAnsi" w:cstheme="minorBidi"/>
        </w:rPr>
      </w:pPr>
      <w:r>
        <w:t>4.2.3</w:t>
      </w:r>
      <w:r>
        <w:rPr>
          <w:rFonts w:asciiTheme="minorHAnsi" w:eastAsiaTheme="minorEastAsia" w:hAnsiTheme="minorHAnsi" w:cstheme="minorBidi"/>
        </w:rPr>
        <w:tab/>
      </w:r>
      <w:r>
        <w:t>Audit Committee (Direction Requirement 4)</w:t>
      </w:r>
      <w:r>
        <w:tab/>
      </w:r>
      <w:r>
        <w:fldChar w:fldCharType="begin"/>
      </w:r>
      <w:r>
        <w:instrText xml:space="preserve"> PAGEREF _Toc415057791 \h </w:instrText>
      </w:r>
      <w:r>
        <w:fldChar w:fldCharType="separate"/>
      </w:r>
      <w:r w:rsidR="00944FC3">
        <w:t>5</w:t>
      </w:r>
      <w:r>
        <w:fldChar w:fldCharType="end"/>
      </w:r>
    </w:p>
    <w:p w:rsidR="006256CF" w:rsidRDefault="006256CF">
      <w:pPr>
        <w:pStyle w:val="TOC3"/>
        <w:rPr>
          <w:rFonts w:asciiTheme="minorHAnsi" w:eastAsiaTheme="minorEastAsia" w:hAnsiTheme="minorHAnsi" w:cstheme="minorBidi"/>
        </w:rPr>
      </w:pPr>
      <w:r>
        <w:t>4.2.4</w:t>
      </w:r>
      <w:r>
        <w:rPr>
          <w:rFonts w:asciiTheme="minorHAnsi" w:eastAsiaTheme="minorEastAsia" w:hAnsiTheme="minorHAnsi" w:cstheme="minorBidi"/>
        </w:rPr>
        <w:tab/>
      </w:r>
      <w:r>
        <w:t>Internal audit (Direction Requirement 7)</w:t>
      </w:r>
      <w:r>
        <w:tab/>
      </w:r>
      <w:r>
        <w:fldChar w:fldCharType="begin"/>
      </w:r>
      <w:r>
        <w:instrText xml:space="preserve"> PAGEREF _Toc415057792 \h </w:instrText>
      </w:r>
      <w:r>
        <w:fldChar w:fldCharType="separate"/>
      </w:r>
      <w:r w:rsidR="00944FC3">
        <w:t>5</w:t>
      </w:r>
      <w:r>
        <w:fldChar w:fldCharType="end"/>
      </w:r>
    </w:p>
    <w:p w:rsidR="006256CF" w:rsidRDefault="006256CF">
      <w:pPr>
        <w:pStyle w:val="TOC1"/>
        <w:rPr>
          <w:rFonts w:asciiTheme="minorHAnsi" w:eastAsiaTheme="minorEastAsia" w:hAnsiTheme="minorHAnsi" w:cstheme="minorBidi"/>
          <w:color w:val="auto"/>
          <w:sz w:val="22"/>
          <w:szCs w:val="22"/>
        </w:rPr>
      </w:pPr>
      <w:r>
        <w:t>5.</w:t>
      </w:r>
      <w:r>
        <w:rPr>
          <w:rFonts w:asciiTheme="minorHAnsi" w:eastAsiaTheme="minorEastAsia" w:hAnsiTheme="minorHAnsi" w:cstheme="minorBidi"/>
          <w:color w:val="auto"/>
          <w:sz w:val="22"/>
          <w:szCs w:val="22"/>
        </w:rPr>
        <w:tab/>
      </w:r>
      <w:r>
        <w:t>Conclusion</w:t>
      </w:r>
      <w:r>
        <w:tab/>
      </w:r>
      <w:r>
        <w:fldChar w:fldCharType="begin"/>
      </w:r>
      <w:r>
        <w:instrText xml:space="preserve"> PAGEREF _Toc415057793 \h </w:instrText>
      </w:r>
      <w:r>
        <w:fldChar w:fldCharType="separate"/>
      </w:r>
      <w:r w:rsidR="00944FC3">
        <w:t>6</w:t>
      </w:r>
      <w:r>
        <w:fldChar w:fldCharType="end"/>
      </w:r>
    </w:p>
    <w:p w:rsidR="006256CF" w:rsidRDefault="006256CF">
      <w:pPr>
        <w:pStyle w:val="TOC1"/>
        <w:rPr>
          <w:rFonts w:asciiTheme="minorHAnsi" w:eastAsiaTheme="minorEastAsia" w:hAnsiTheme="minorHAnsi" w:cstheme="minorBidi"/>
          <w:color w:val="auto"/>
          <w:sz w:val="22"/>
          <w:szCs w:val="22"/>
        </w:rPr>
      </w:pPr>
      <w:r>
        <w:t>6.</w:t>
      </w:r>
      <w:r>
        <w:rPr>
          <w:rFonts w:asciiTheme="minorHAnsi" w:eastAsiaTheme="minorEastAsia" w:hAnsiTheme="minorHAnsi" w:cstheme="minorBidi"/>
          <w:color w:val="auto"/>
          <w:sz w:val="22"/>
          <w:szCs w:val="22"/>
        </w:rPr>
        <w:tab/>
      </w:r>
      <w:r>
        <w:t>Appendix 1: Level of compliance with Direction Requirements</w:t>
      </w:r>
      <w:r>
        <w:tab/>
      </w:r>
      <w:r>
        <w:fldChar w:fldCharType="begin"/>
      </w:r>
      <w:r>
        <w:instrText xml:space="preserve"> PAGEREF _Toc415057794 \h </w:instrText>
      </w:r>
      <w:r>
        <w:fldChar w:fldCharType="separate"/>
      </w:r>
      <w:r w:rsidR="00944FC3">
        <w:t>7</w:t>
      </w:r>
      <w:r>
        <w:fldChar w:fldCharType="end"/>
      </w:r>
    </w:p>
    <w:p w:rsidR="00A73490" w:rsidRDefault="00A73490" w:rsidP="00A73490">
      <w:pPr>
        <w:rPr>
          <w:lang w:eastAsia="en-US"/>
        </w:rPr>
      </w:pPr>
      <w:r>
        <w:rPr>
          <w:lang w:eastAsia="en-US"/>
        </w:rPr>
        <w:fldChar w:fldCharType="end"/>
      </w:r>
    </w:p>
    <w:p w:rsidR="006256CF" w:rsidRDefault="006256CF" w:rsidP="00A73490">
      <w:pPr>
        <w:rPr>
          <w:lang w:eastAsia="en-US"/>
        </w:rPr>
      </w:pPr>
    </w:p>
    <w:p w:rsidR="00A73490" w:rsidRDefault="00A73490" w:rsidP="00A73490">
      <w:pPr>
        <w:spacing w:before="0" w:after="0"/>
        <w:ind w:left="0"/>
        <w:sectPr w:rsidR="00A73490" w:rsidSect="0085041F">
          <w:footerReference w:type="even" r:id="rId18"/>
          <w:footerReference w:type="default" r:id="rId19"/>
          <w:type w:val="oddPage"/>
          <w:pgSz w:w="11907" w:h="16840" w:code="9"/>
          <w:pgMar w:top="1584" w:right="1411" w:bottom="1138" w:left="1411" w:header="461" w:footer="288" w:gutter="0"/>
          <w:pgNumType w:fmt="lowerRoman" w:start="1"/>
          <w:cols w:space="708"/>
          <w:docGrid w:linePitch="360"/>
        </w:sectPr>
      </w:pPr>
    </w:p>
    <w:p w:rsidR="00A73490" w:rsidRPr="00CD2787" w:rsidRDefault="00A73490" w:rsidP="00A73490">
      <w:pPr>
        <w:pStyle w:val="Heading1"/>
      </w:pPr>
      <w:bookmarkStart w:id="1" w:name="_Toc407977519"/>
      <w:bookmarkStart w:id="2" w:name="_Toc415057779"/>
      <w:r w:rsidRPr="00CD2787">
        <w:lastRenderedPageBreak/>
        <w:t>Introduction</w:t>
      </w:r>
      <w:bookmarkEnd w:id="1"/>
      <w:bookmarkEnd w:id="2"/>
    </w:p>
    <w:p w:rsidR="004C0283" w:rsidRDefault="004C0283" w:rsidP="004C0283">
      <w:pPr>
        <w:rPr>
          <w:lang w:eastAsia="en-US"/>
        </w:rPr>
      </w:pPr>
      <w:r>
        <w:rPr>
          <w:lang w:eastAsia="en-US"/>
        </w:rPr>
        <w:t xml:space="preserve">The Standing Directions of the Minister for Finance (Directions) support the </w:t>
      </w:r>
      <w:r w:rsidRPr="004C0283">
        <w:rPr>
          <w:i/>
          <w:lang w:eastAsia="en-US"/>
        </w:rPr>
        <w:t>Financial Management Act 1994</w:t>
      </w:r>
      <w:r>
        <w:rPr>
          <w:lang w:eastAsia="en-US"/>
        </w:rPr>
        <w:t xml:space="preserve"> by prescribing requirements that Victorian Government departments and public bodies must follow.</w:t>
      </w:r>
      <w:r w:rsidR="00FB60F7">
        <w:rPr>
          <w:lang w:eastAsia="en-US"/>
        </w:rPr>
        <w:t xml:space="preserve"> </w:t>
      </w:r>
      <w:r>
        <w:rPr>
          <w:lang w:eastAsia="en-US"/>
        </w:rPr>
        <w:t xml:space="preserve">These requirements aim to encourage the achievement of organisational objectives, provide a basis for continuous improvement, and ensure a consistent and sound standard of financial management performance across the Victorian </w:t>
      </w:r>
      <w:r w:rsidR="00880C11">
        <w:rPr>
          <w:lang w:eastAsia="en-US"/>
        </w:rPr>
        <w:t xml:space="preserve">public sector </w:t>
      </w:r>
      <w:r>
        <w:rPr>
          <w:lang w:eastAsia="en-US"/>
        </w:rPr>
        <w:t xml:space="preserve">(VPS). </w:t>
      </w:r>
    </w:p>
    <w:p w:rsidR="00A73490" w:rsidRPr="00CD2787" w:rsidRDefault="004C0283" w:rsidP="004C0283">
      <w:pPr>
        <w:rPr>
          <w:lang w:eastAsia="en-US"/>
        </w:rPr>
      </w:pPr>
      <w:r>
        <w:rPr>
          <w:lang w:eastAsia="en-US"/>
        </w:rPr>
        <w:t>This report summarises the results of the 2013</w:t>
      </w:r>
      <w:r w:rsidR="00880C11">
        <w:rPr>
          <w:lang w:eastAsia="en-US"/>
        </w:rPr>
        <w:noBreakHyphen/>
      </w:r>
      <w:r>
        <w:rPr>
          <w:lang w:eastAsia="en-US"/>
        </w:rPr>
        <w:t>14 financial management compliance certification process, highlighting areas of non</w:t>
      </w:r>
      <w:r w:rsidR="00880C11">
        <w:rPr>
          <w:lang w:eastAsia="en-US"/>
        </w:rPr>
        <w:noBreakHyphen/>
      </w:r>
      <w:r>
        <w:rPr>
          <w:lang w:eastAsia="en-US"/>
        </w:rPr>
        <w:t>compliance or partial compliance. The report also highlights areas in which agencies found difficulty achieving full compliance.</w:t>
      </w:r>
    </w:p>
    <w:p w:rsidR="00A73490" w:rsidRPr="00606A6A" w:rsidRDefault="00A73490" w:rsidP="00A73490">
      <w:pPr>
        <w:pStyle w:val="Heading1"/>
      </w:pPr>
      <w:bookmarkStart w:id="3" w:name="_Toc415057780"/>
      <w:r w:rsidRPr="00606A6A">
        <w:lastRenderedPageBreak/>
        <w:t>Certification</w:t>
      </w:r>
      <w:bookmarkEnd w:id="3"/>
    </w:p>
    <w:p w:rsidR="00A73490" w:rsidRPr="00606A6A" w:rsidRDefault="00A73490" w:rsidP="00A73490">
      <w:pPr>
        <w:pStyle w:val="Heading2"/>
      </w:pPr>
      <w:bookmarkStart w:id="4" w:name="_Toc415057781"/>
      <w:r w:rsidRPr="00606A6A">
        <w:t>Annual certification process</w:t>
      </w:r>
      <w:bookmarkEnd w:id="4"/>
    </w:p>
    <w:p w:rsidR="00A73490" w:rsidRDefault="00A73490" w:rsidP="00A73490">
      <w:pPr>
        <w:spacing w:before="80" w:after="120"/>
      </w:pPr>
      <w:r>
        <w:t>The annual certification process monitors public sector compliance with the Directions and informs the preparation of reports to the Minister for Finance.</w:t>
      </w:r>
    </w:p>
    <w:p w:rsidR="00A73490" w:rsidRDefault="00A73490" w:rsidP="00A73490">
      <w:pPr>
        <w:spacing w:before="80" w:after="120"/>
      </w:pPr>
      <w:r>
        <w:t>The process involves agencies self</w:t>
      </w:r>
      <w:r w:rsidR="00880C11">
        <w:noBreakHyphen/>
      </w:r>
      <w:r>
        <w:t>assessing compliance with the Directions and certifying to their relevant minister. Compliance results are submitted to the Department of Treasury and Finance (DTF) through the Compliance Monitoring System and this report, written for the Minister for Finance, consolidates these results.</w:t>
      </w:r>
    </w:p>
    <w:p w:rsidR="00A73490" w:rsidRDefault="00A73490" w:rsidP="00A73490">
      <w:pPr>
        <w:spacing w:before="80" w:after="120"/>
      </w:pPr>
      <w:r>
        <w:t>All departments and public bodies are required to comply wit</w:t>
      </w:r>
      <w:r w:rsidR="004F2243">
        <w:t>h the Directions. Of these, 264 </w:t>
      </w:r>
      <w:r>
        <w:t>agencies are required to certify compliance for the 2013</w:t>
      </w:r>
      <w:r w:rsidR="00880C11">
        <w:noBreakHyphen/>
      </w:r>
      <w:r>
        <w:t xml:space="preserve">14 financial year. Certifying agencies are those that meet the definition of ‘public body’ in the </w:t>
      </w:r>
      <w:r w:rsidRPr="00A73490">
        <w:rPr>
          <w:i/>
        </w:rPr>
        <w:t>Financial Management Act 1994</w:t>
      </w:r>
      <w:r>
        <w:t xml:space="preserve"> as well as providing financial data to prepare the State’s consolidated Annual Financial Report.</w:t>
      </w:r>
    </w:p>
    <w:p w:rsidR="00A73490" w:rsidRDefault="00A73490" w:rsidP="00A73490">
      <w:pPr>
        <w:spacing w:before="80" w:after="120"/>
        <w:rPr>
          <w:highlight w:val="yellow"/>
        </w:rPr>
      </w:pPr>
      <w:r>
        <w:t>The list of certifying agencies is reviewed annually, and changes were made for the 2013</w:t>
      </w:r>
      <w:r w:rsidR="00880C11">
        <w:noBreakHyphen/>
      </w:r>
      <w:r>
        <w:t>14 certification period (see Table 1).</w:t>
      </w:r>
    </w:p>
    <w:p w:rsidR="00A73490" w:rsidRPr="00CD2787" w:rsidRDefault="00A73490" w:rsidP="00FB60F7">
      <w:pPr>
        <w:pStyle w:val="CaptionTable"/>
      </w:pPr>
      <w:r w:rsidRPr="00C24801">
        <w:rPr>
          <w:lang w:eastAsia="en-US"/>
        </w:rPr>
        <w:t>Table 1: Agency changes in 2013</w:t>
      </w:r>
      <w:r w:rsidR="00880C11">
        <w:rPr>
          <w:lang w:eastAsia="en-US"/>
        </w:rPr>
        <w:noBreakHyphen/>
      </w:r>
      <w:r w:rsidRPr="00C24801">
        <w:rPr>
          <w:lang w:eastAsia="en-US"/>
        </w:rPr>
        <w:t>14</w:t>
      </w:r>
    </w:p>
    <w:tbl>
      <w:tblPr>
        <w:tblW w:w="8535" w:type="dxa"/>
        <w:tblInd w:w="853" w:type="dxa"/>
        <w:tblBorders>
          <w:top w:val="single" w:sz="2" w:space="0" w:color="auto"/>
          <w:bottom w:val="single" w:sz="2" w:space="0" w:color="auto"/>
          <w:insideH w:val="single" w:sz="2" w:space="0" w:color="auto"/>
        </w:tblBorders>
        <w:tblCellMar>
          <w:left w:w="43" w:type="dxa"/>
          <w:right w:w="43" w:type="dxa"/>
        </w:tblCellMar>
        <w:tblLook w:val="04A0" w:firstRow="1" w:lastRow="0" w:firstColumn="1" w:lastColumn="0" w:noHBand="0" w:noVBand="1"/>
      </w:tblPr>
      <w:tblGrid>
        <w:gridCol w:w="2790"/>
        <w:gridCol w:w="5745"/>
      </w:tblGrid>
      <w:tr w:rsidR="00A73490" w:rsidRPr="00606A6A" w:rsidTr="004F2243">
        <w:trPr>
          <w:cantSplit/>
        </w:trPr>
        <w:tc>
          <w:tcPr>
            <w:tcW w:w="2790" w:type="dxa"/>
            <w:tcBorders>
              <w:top w:val="single" w:sz="2" w:space="0" w:color="auto"/>
              <w:left w:val="nil"/>
              <w:bottom w:val="single" w:sz="2" w:space="0" w:color="auto"/>
              <w:right w:val="nil"/>
              <w:tl2br w:val="nil"/>
              <w:tr2bl w:val="nil"/>
            </w:tcBorders>
            <w:shd w:val="clear" w:color="auto" w:fill="D9D9D9"/>
          </w:tcPr>
          <w:p w:rsidR="00A73490" w:rsidRPr="004F2243" w:rsidRDefault="00A73490" w:rsidP="004F2243">
            <w:pPr>
              <w:pStyle w:val="TableText"/>
              <w:rPr>
                <w:b/>
              </w:rPr>
            </w:pPr>
            <w:r w:rsidRPr="004F2243">
              <w:rPr>
                <w:b/>
              </w:rPr>
              <w:t>Additional agencies required to certify</w:t>
            </w:r>
          </w:p>
        </w:tc>
        <w:tc>
          <w:tcPr>
            <w:tcW w:w="5745" w:type="dxa"/>
            <w:tcBorders>
              <w:top w:val="single" w:sz="2" w:space="0" w:color="auto"/>
              <w:left w:val="nil"/>
              <w:bottom w:val="single" w:sz="2" w:space="0" w:color="auto"/>
              <w:right w:val="nil"/>
              <w:tl2br w:val="nil"/>
              <w:tr2bl w:val="nil"/>
            </w:tcBorders>
            <w:shd w:val="clear" w:color="auto" w:fill="D9D9D9"/>
          </w:tcPr>
          <w:p w:rsidR="00606A6A" w:rsidRPr="00606A6A" w:rsidRDefault="00A73490" w:rsidP="004F2243">
            <w:pPr>
              <w:pStyle w:val="TableText"/>
            </w:pPr>
            <w:r w:rsidRPr="00606A6A">
              <w:t xml:space="preserve">Advance TAFE </w:t>
            </w:r>
          </w:p>
          <w:p w:rsidR="00606A6A" w:rsidRPr="00606A6A" w:rsidRDefault="00A73490" w:rsidP="004F2243">
            <w:pPr>
              <w:pStyle w:val="TableText"/>
            </w:pPr>
            <w:r w:rsidRPr="00606A6A">
              <w:t xml:space="preserve">Commission for Children and Young People </w:t>
            </w:r>
          </w:p>
          <w:p w:rsidR="00A73490" w:rsidRPr="00606A6A" w:rsidRDefault="00A73490" w:rsidP="004F2243">
            <w:pPr>
              <w:pStyle w:val="TableText"/>
            </w:pPr>
            <w:r w:rsidRPr="00606A6A">
              <w:t xml:space="preserve">Department of Environment and Primary Industries </w:t>
            </w:r>
          </w:p>
          <w:p w:rsidR="00A73490" w:rsidRPr="00606A6A" w:rsidRDefault="00A73490" w:rsidP="004F2243">
            <w:pPr>
              <w:pStyle w:val="TableText"/>
            </w:pPr>
            <w:r w:rsidRPr="00606A6A">
              <w:t xml:space="preserve">Department of State Development and Business Innovation </w:t>
            </w:r>
          </w:p>
          <w:p w:rsidR="00A73490" w:rsidRPr="00606A6A" w:rsidRDefault="00A73490" w:rsidP="004F2243">
            <w:pPr>
              <w:pStyle w:val="TableText"/>
            </w:pPr>
            <w:r w:rsidRPr="00606A6A">
              <w:t xml:space="preserve">Department of Transport, Planning and Local Infrastructure </w:t>
            </w:r>
          </w:p>
          <w:p w:rsidR="00A73490" w:rsidRPr="00606A6A" w:rsidRDefault="00A73490" w:rsidP="004F2243">
            <w:pPr>
              <w:pStyle w:val="TableText"/>
            </w:pPr>
            <w:r w:rsidRPr="00606A6A">
              <w:t xml:space="preserve">Victorian Building Authority </w:t>
            </w:r>
          </w:p>
        </w:tc>
      </w:tr>
      <w:tr w:rsidR="00A73490" w:rsidRPr="00606A6A" w:rsidTr="004F2243">
        <w:trPr>
          <w:cantSplit/>
        </w:trPr>
        <w:tc>
          <w:tcPr>
            <w:tcW w:w="2790" w:type="dxa"/>
            <w:shd w:val="clear" w:color="auto" w:fill="auto"/>
          </w:tcPr>
          <w:p w:rsidR="00A73490" w:rsidRPr="004F2243" w:rsidRDefault="00A73490" w:rsidP="004F2243">
            <w:pPr>
              <w:pStyle w:val="TableText"/>
              <w:rPr>
                <w:b/>
              </w:rPr>
            </w:pPr>
            <w:r w:rsidRPr="004F2243">
              <w:rPr>
                <w:b/>
              </w:rPr>
              <w:t>Agencies not required to certify</w:t>
            </w:r>
          </w:p>
        </w:tc>
        <w:tc>
          <w:tcPr>
            <w:tcW w:w="5745" w:type="dxa"/>
            <w:shd w:val="clear" w:color="auto" w:fill="auto"/>
          </w:tcPr>
          <w:p w:rsidR="00606A6A" w:rsidRPr="00606A6A" w:rsidRDefault="00A73490" w:rsidP="004F2243">
            <w:pPr>
              <w:pStyle w:val="TableText"/>
            </w:pPr>
            <w:r w:rsidRPr="00606A6A">
              <w:t xml:space="preserve">Building Commission </w:t>
            </w:r>
          </w:p>
          <w:p w:rsidR="00606A6A" w:rsidRPr="00606A6A" w:rsidRDefault="00606A6A" w:rsidP="004F2243">
            <w:pPr>
              <w:pStyle w:val="TableText"/>
            </w:pPr>
            <w:r w:rsidRPr="00606A6A">
              <w:t xml:space="preserve">Centre for Adult Education </w:t>
            </w:r>
          </w:p>
          <w:p w:rsidR="00A73490" w:rsidRPr="00606A6A" w:rsidRDefault="00A73490" w:rsidP="004F2243">
            <w:pPr>
              <w:pStyle w:val="TableText"/>
            </w:pPr>
            <w:r w:rsidRPr="00606A6A">
              <w:t>Department of Planning and Community Development</w:t>
            </w:r>
          </w:p>
          <w:p w:rsidR="00A73490" w:rsidRPr="00606A6A" w:rsidRDefault="00A73490" w:rsidP="004F2243">
            <w:pPr>
              <w:pStyle w:val="TableText"/>
            </w:pPr>
            <w:r w:rsidRPr="00606A6A">
              <w:t>Department of Primary Industries</w:t>
            </w:r>
          </w:p>
          <w:p w:rsidR="00606A6A" w:rsidRPr="00606A6A" w:rsidRDefault="00A73490" w:rsidP="004F2243">
            <w:pPr>
              <w:pStyle w:val="TableText"/>
            </w:pPr>
            <w:r w:rsidRPr="00606A6A">
              <w:t>Department of Sustainability and Environment</w:t>
            </w:r>
          </w:p>
          <w:p w:rsidR="00A73490" w:rsidRPr="00606A6A" w:rsidRDefault="00A73490" w:rsidP="004F2243">
            <w:pPr>
              <w:pStyle w:val="TableText"/>
            </w:pPr>
            <w:r w:rsidRPr="00606A6A">
              <w:t>Department of Business and Innovation</w:t>
            </w:r>
          </w:p>
          <w:p w:rsidR="00A73490" w:rsidRPr="00606A6A" w:rsidRDefault="00A73490" w:rsidP="004F2243">
            <w:pPr>
              <w:pStyle w:val="TableText"/>
            </w:pPr>
            <w:r w:rsidRPr="00606A6A">
              <w:t>Department of Transport</w:t>
            </w:r>
          </w:p>
          <w:p w:rsidR="00606A6A" w:rsidRPr="00606A6A" w:rsidRDefault="00A73490" w:rsidP="004F2243">
            <w:pPr>
              <w:pStyle w:val="TableText"/>
            </w:pPr>
            <w:r w:rsidRPr="00606A6A">
              <w:t xml:space="preserve">Driver Education Centre of Australia Limited </w:t>
            </w:r>
          </w:p>
          <w:p w:rsidR="00606A6A" w:rsidRPr="00606A6A" w:rsidRDefault="00A73490" w:rsidP="004F2243">
            <w:pPr>
              <w:pStyle w:val="TableText"/>
            </w:pPr>
            <w:r w:rsidRPr="00606A6A">
              <w:t xml:space="preserve">Plumbing Commission </w:t>
            </w:r>
          </w:p>
          <w:p w:rsidR="00A73490" w:rsidRPr="00606A6A" w:rsidRDefault="00A73490" w:rsidP="004F2243">
            <w:pPr>
              <w:pStyle w:val="TableText"/>
            </w:pPr>
            <w:r w:rsidRPr="00606A6A">
              <w:t xml:space="preserve">Transport Ticketing Authority (Public Transport Ticketing Body) </w:t>
            </w:r>
          </w:p>
        </w:tc>
      </w:tr>
    </w:tbl>
    <w:p w:rsidR="00A73490" w:rsidRPr="00CD2787" w:rsidRDefault="00A73490" w:rsidP="00E56F08">
      <w:pPr>
        <w:pStyle w:val="Spacer"/>
      </w:pPr>
    </w:p>
    <w:p w:rsidR="00A73490" w:rsidRPr="00CD2787" w:rsidRDefault="00A73490" w:rsidP="00A73490">
      <w:pPr>
        <w:pStyle w:val="Heading3"/>
      </w:pPr>
      <w:bookmarkStart w:id="5" w:name="_Toc415057782"/>
      <w:r w:rsidRPr="00CD2787">
        <w:t xml:space="preserve">Certification </w:t>
      </w:r>
      <w:r w:rsidR="00880C11">
        <w:t>d</w:t>
      </w:r>
      <w:r w:rsidRPr="00CD2787">
        <w:t>escriptors</w:t>
      </w:r>
      <w:bookmarkEnd w:id="5"/>
    </w:p>
    <w:p w:rsidR="00A73490" w:rsidRDefault="00A73490" w:rsidP="00A73490">
      <w:pPr>
        <w:spacing w:before="120" w:after="240"/>
      </w:pPr>
      <w:r>
        <w:t>Certifying agencies use the following descriptors to self</w:t>
      </w:r>
      <w:r w:rsidR="00880C11">
        <w:noBreakHyphen/>
      </w:r>
      <w:r>
        <w:t>assess compliance against each of the 34 direction requirements listed in Appendix 1:</w:t>
      </w:r>
    </w:p>
    <w:p w:rsidR="00A73490" w:rsidRDefault="00A73490" w:rsidP="00F53B86">
      <w:pPr>
        <w:pStyle w:val="Bullet1"/>
      </w:pPr>
      <w:r>
        <w:t>Compliant</w:t>
      </w:r>
      <w:r w:rsidR="00880C11">
        <w:t xml:space="preserve"> – </w:t>
      </w:r>
      <w:r>
        <w:t>an agency certifies full compliance with all elements in the direction requirement;</w:t>
      </w:r>
    </w:p>
    <w:p w:rsidR="00A73490" w:rsidRDefault="00A73490" w:rsidP="00F53B86">
      <w:pPr>
        <w:pStyle w:val="Bullet1"/>
      </w:pPr>
      <w:r>
        <w:t>Partially compliant</w:t>
      </w:r>
      <w:r w:rsidR="00880C11">
        <w:t xml:space="preserve"> – </w:t>
      </w:r>
      <w:r>
        <w:t>an agency certifies full compliance with the majority of elements in the direction requirement; and</w:t>
      </w:r>
    </w:p>
    <w:p w:rsidR="00A73490" w:rsidRDefault="00A73490" w:rsidP="00F53B86">
      <w:pPr>
        <w:pStyle w:val="Bullet1"/>
      </w:pPr>
      <w:r>
        <w:t>Non</w:t>
      </w:r>
      <w:r w:rsidR="00880C11">
        <w:noBreakHyphen/>
      </w:r>
      <w:r>
        <w:t>compliant</w:t>
      </w:r>
      <w:r w:rsidR="00880C11">
        <w:t xml:space="preserve"> – </w:t>
      </w:r>
      <w:r>
        <w:t>an agency certifies non</w:t>
      </w:r>
      <w:r w:rsidR="00880C11">
        <w:noBreakHyphen/>
      </w:r>
      <w:r>
        <w:t>compliance with the majority of elements in the direction requirement.</w:t>
      </w:r>
    </w:p>
    <w:p w:rsidR="00A73490" w:rsidRPr="00CD2787" w:rsidRDefault="00A73490" w:rsidP="00A73490">
      <w:pPr>
        <w:pStyle w:val="Heading1"/>
      </w:pPr>
      <w:bookmarkStart w:id="6" w:name="_Toc303762049"/>
      <w:bookmarkStart w:id="7" w:name="_Toc407977526"/>
      <w:bookmarkStart w:id="8" w:name="_Toc415057783"/>
      <w:r w:rsidRPr="00CD2787">
        <w:lastRenderedPageBreak/>
        <w:t xml:space="preserve">Summary of </w:t>
      </w:r>
      <w:bookmarkEnd w:id="6"/>
      <w:bookmarkEnd w:id="7"/>
      <w:r>
        <w:t>certification results</w:t>
      </w:r>
      <w:bookmarkEnd w:id="8"/>
    </w:p>
    <w:p w:rsidR="00A73490" w:rsidRDefault="00A73490" w:rsidP="00A73490">
      <w:pPr>
        <w:rPr>
          <w:lang w:eastAsia="en-US"/>
        </w:rPr>
      </w:pPr>
      <w:r>
        <w:rPr>
          <w:lang w:eastAsia="en-US"/>
        </w:rPr>
        <w:t>In summary, for 2013</w:t>
      </w:r>
      <w:r w:rsidR="00880C11">
        <w:rPr>
          <w:lang w:eastAsia="en-US"/>
        </w:rPr>
        <w:noBreakHyphen/>
      </w:r>
      <w:r>
        <w:rPr>
          <w:lang w:eastAsia="en-US"/>
        </w:rPr>
        <w:t>14:</w:t>
      </w:r>
    </w:p>
    <w:p w:rsidR="00A73490" w:rsidRDefault="00A73490" w:rsidP="00880C11">
      <w:pPr>
        <w:pStyle w:val="Bullet1"/>
        <w:rPr>
          <w:lang w:eastAsia="en-US"/>
        </w:rPr>
      </w:pPr>
      <w:r>
        <w:rPr>
          <w:lang w:eastAsia="en-US"/>
        </w:rPr>
        <w:t>140 agencies (53 per cent) reported full compliance with all applicable direction requirements;</w:t>
      </w:r>
    </w:p>
    <w:p w:rsidR="00A73490" w:rsidRDefault="00A73490" w:rsidP="00880C11">
      <w:pPr>
        <w:pStyle w:val="Bullet1"/>
        <w:rPr>
          <w:lang w:eastAsia="en-US"/>
        </w:rPr>
      </w:pPr>
      <w:r>
        <w:rPr>
          <w:lang w:eastAsia="en-US"/>
        </w:rPr>
        <w:t>116 agencies (44 per cent) reported partial compliance with one or more applicable direction requirements; and</w:t>
      </w:r>
    </w:p>
    <w:p w:rsidR="00A73490" w:rsidRPr="00A73490" w:rsidRDefault="00880C11" w:rsidP="00880C11">
      <w:pPr>
        <w:pStyle w:val="Bullet1"/>
        <w:rPr>
          <w:lang w:eastAsia="en-US"/>
        </w:rPr>
      </w:pPr>
      <w:r>
        <w:rPr>
          <w:lang w:eastAsia="en-US"/>
        </w:rPr>
        <w:t xml:space="preserve">eight </w:t>
      </w:r>
      <w:r w:rsidR="00A73490" w:rsidRPr="00A73490">
        <w:rPr>
          <w:lang w:eastAsia="en-US"/>
        </w:rPr>
        <w:t>agencies (3 per cent) reported non</w:t>
      </w:r>
      <w:r>
        <w:rPr>
          <w:lang w:eastAsia="en-US"/>
        </w:rPr>
        <w:noBreakHyphen/>
      </w:r>
      <w:r w:rsidR="00A73490" w:rsidRPr="00A73490">
        <w:rPr>
          <w:lang w:eastAsia="en-US"/>
        </w:rPr>
        <w:t>compliance with one or more applicable direction requirements.</w:t>
      </w:r>
    </w:p>
    <w:p w:rsidR="00A73490" w:rsidRPr="00B03A69" w:rsidRDefault="00A73490" w:rsidP="00A73490">
      <w:pPr>
        <w:pStyle w:val="Heading2"/>
      </w:pPr>
      <w:bookmarkStart w:id="9" w:name="_Toc415057784"/>
      <w:bookmarkStart w:id="10" w:name="_Toc407977529"/>
      <w:r>
        <w:t>Compliance by p</w:t>
      </w:r>
      <w:r w:rsidRPr="00B03A69">
        <w:t>ortfolio</w:t>
      </w:r>
      <w:bookmarkEnd w:id="9"/>
      <w:r w:rsidRPr="00B03A69">
        <w:t xml:space="preserve"> </w:t>
      </w:r>
      <w:bookmarkEnd w:id="10"/>
    </w:p>
    <w:p w:rsidR="00A73490" w:rsidRPr="00A73490" w:rsidRDefault="00A73490" w:rsidP="00A73490">
      <w:pPr>
        <w:spacing w:after="0"/>
        <w:rPr>
          <w:lang w:eastAsia="en-US"/>
        </w:rPr>
      </w:pPr>
      <w:r w:rsidRPr="00A73490">
        <w:rPr>
          <w:lang w:eastAsia="en-US"/>
        </w:rPr>
        <w:t>Table 2 shows compliance results in the 201</w:t>
      </w:r>
      <w:r w:rsidR="004C0283">
        <w:rPr>
          <w:lang w:eastAsia="en-US"/>
        </w:rPr>
        <w:t>3</w:t>
      </w:r>
      <w:r w:rsidR="00880C11">
        <w:rPr>
          <w:lang w:eastAsia="en-US"/>
        </w:rPr>
        <w:noBreakHyphen/>
      </w:r>
      <w:r w:rsidRPr="00A73490">
        <w:rPr>
          <w:lang w:eastAsia="en-US"/>
        </w:rPr>
        <w:t>1</w:t>
      </w:r>
      <w:r w:rsidR="004C0283">
        <w:rPr>
          <w:lang w:eastAsia="en-US"/>
        </w:rPr>
        <w:t>4</w:t>
      </w:r>
      <w:r w:rsidRPr="00A73490">
        <w:rPr>
          <w:lang w:eastAsia="en-US"/>
        </w:rPr>
        <w:t xml:space="preserve"> financial year by portfolio. Portfolio refers to a group of legal entities, while a ‘department’ refers to a single legal entity.</w:t>
      </w:r>
    </w:p>
    <w:p w:rsidR="00A73490" w:rsidRPr="00BE4942" w:rsidRDefault="00A73490" w:rsidP="00FB60F7">
      <w:pPr>
        <w:pStyle w:val="CaptionTable"/>
        <w:rPr>
          <w:lang w:eastAsia="en-US"/>
        </w:rPr>
      </w:pPr>
      <w:r w:rsidRPr="00CD2787">
        <w:rPr>
          <w:lang w:eastAsia="en-US"/>
        </w:rPr>
        <w:t xml:space="preserve">Table </w:t>
      </w:r>
      <w:r>
        <w:rPr>
          <w:lang w:eastAsia="en-US"/>
        </w:rPr>
        <w:t>2</w:t>
      </w:r>
      <w:r w:rsidRPr="00CD2787">
        <w:rPr>
          <w:lang w:eastAsia="en-US"/>
        </w:rPr>
        <w:t>: VPS agency compliance by portfolio in 2013</w:t>
      </w:r>
      <w:r w:rsidR="00880C11">
        <w:rPr>
          <w:lang w:eastAsia="en-US"/>
        </w:rPr>
        <w:noBreakHyphen/>
      </w:r>
      <w:r w:rsidRPr="00CD2787">
        <w:rPr>
          <w:lang w:eastAsia="en-US"/>
        </w:rPr>
        <w:t>14</w:t>
      </w:r>
    </w:p>
    <w:tbl>
      <w:tblPr>
        <w:tblStyle w:val="TableGrid"/>
        <w:tblW w:w="8457" w:type="dxa"/>
        <w:tblInd w:w="853" w:type="dxa"/>
        <w:tblLayout w:type="fixed"/>
        <w:tblCellMar>
          <w:left w:w="43" w:type="dxa"/>
          <w:right w:w="43" w:type="dxa"/>
        </w:tblCellMar>
        <w:tblLook w:val="04A0" w:firstRow="1" w:lastRow="0" w:firstColumn="1" w:lastColumn="0" w:noHBand="0" w:noVBand="1"/>
      </w:tblPr>
      <w:tblGrid>
        <w:gridCol w:w="4723"/>
        <w:gridCol w:w="933"/>
        <w:gridCol w:w="934"/>
        <w:gridCol w:w="933"/>
        <w:gridCol w:w="934"/>
      </w:tblGrid>
      <w:tr w:rsidR="00A73490" w:rsidRPr="00880C11" w:rsidTr="00880C1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23" w:type="dxa"/>
            <w:vMerge w:val="restart"/>
            <w:noWrap/>
          </w:tcPr>
          <w:p w:rsidR="00A73490" w:rsidRPr="00CD2787" w:rsidRDefault="00A73490" w:rsidP="00880C11">
            <w:pPr>
              <w:pStyle w:val="TableHeader"/>
            </w:pPr>
            <w:r w:rsidRPr="00CD2787">
              <w:t>Portfolio</w:t>
            </w:r>
          </w:p>
        </w:tc>
        <w:tc>
          <w:tcPr>
            <w:tcW w:w="3734" w:type="dxa"/>
            <w:gridSpan w:val="4"/>
            <w:noWrap/>
          </w:tcPr>
          <w:p w:rsidR="00A73490" w:rsidRPr="00880C11" w:rsidRDefault="00A73490" w:rsidP="00880C11">
            <w:pPr>
              <w:pStyle w:val="TableHeader"/>
              <w:jc w:val="center"/>
              <w:cnfStyle w:val="100000000000" w:firstRow="1" w:lastRow="0" w:firstColumn="0" w:lastColumn="0" w:oddVBand="0" w:evenVBand="0" w:oddHBand="0" w:evenHBand="0" w:firstRowFirstColumn="0" w:firstRowLastColumn="0" w:lastRowFirstColumn="0" w:lastRowLastColumn="0"/>
            </w:pPr>
            <w:r w:rsidRPr="00880C11">
              <w:t>Compliance</w:t>
            </w:r>
          </w:p>
        </w:tc>
      </w:tr>
      <w:tr w:rsidR="00A73490" w:rsidRPr="00880C11"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vMerge/>
            <w:noWrap/>
            <w:hideMark/>
          </w:tcPr>
          <w:p w:rsidR="00A73490" w:rsidRPr="00CD2787" w:rsidRDefault="00A73490" w:rsidP="00A73490">
            <w:pPr>
              <w:spacing w:before="0" w:after="0"/>
              <w:ind w:left="0"/>
              <w:rPr>
                <w:b/>
                <w:bCs/>
                <w:color w:val="000000"/>
              </w:rPr>
            </w:pPr>
          </w:p>
        </w:tc>
        <w:tc>
          <w:tcPr>
            <w:tcW w:w="933" w:type="dxa"/>
            <w:shd w:val="clear" w:color="auto" w:fill="D9D9D9" w:themeFill="background1" w:themeFillShade="D9"/>
            <w:noWrap/>
            <w:hideMark/>
          </w:tcPr>
          <w:p w:rsidR="00A73490" w:rsidRPr="00880C11" w:rsidRDefault="00A73490" w:rsidP="00880C11">
            <w:pPr>
              <w:pStyle w:val="TableHeader"/>
              <w:jc w:val="right"/>
              <w:cnfStyle w:val="000000000000" w:firstRow="0" w:lastRow="0" w:firstColumn="0" w:lastColumn="0" w:oddVBand="0" w:evenVBand="0" w:oddHBand="0" w:evenHBand="0" w:firstRowFirstColumn="0" w:firstRowLastColumn="0" w:lastRowFirstColumn="0" w:lastRowLastColumn="0"/>
            </w:pPr>
            <w:r w:rsidRPr="00880C11">
              <w:t>Full</w:t>
            </w:r>
          </w:p>
        </w:tc>
        <w:tc>
          <w:tcPr>
            <w:tcW w:w="934" w:type="dxa"/>
            <w:shd w:val="clear" w:color="auto" w:fill="D9D9D9" w:themeFill="background1" w:themeFillShade="D9"/>
            <w:noWrap/>
            <w:hideMark/>
          </w:tcPr>
          <w:p w:rsidR="00A73490" w:rsidRPr="00880C11" w:rsidRDefault="00A73490" w:rsidP="00880C11">
            <w:pPr>
              <w:pStyle w:val="TableHeader"/>
              <w:jc w:val="right"/>
              <w:cnfStyle w:val="000000000000" w:firstRow="0" w:lastRow="0" w:firstColumn="0" w:lastColumn="0" w:oddVBand="0" w:evenVBand="0" w:oddHBand="0" w:evenHBand="0" w:firstRowFirstColumn="0" w:firstRowLastColumn="0" w:lastRowFirstColumn="0" w:lastRowLastColumn="0"/>
            </w:pPr>
            <w:r w:rsidRPr="00880C11">
              <w:t>Partial</w:t>
            </w:r>
          </w:p>
        </w:tc>
        <w:tc>
          <w:tcPr>
            <w:tcW w:w="933" w:type="dxa"/>
            <w:shd w:val="clear" w:color="auto" w:fill="D9D9D9" w:themeFill="background1" w:themeFillShade="D9"/>
            <w:noWrap/>
            <w:hideMark/>
          </w:tcPr>
          <w:p w:rsidR="00A73490" w:rsidRPr="00880C11" w:rsidRDefault="00A73490" w:rsidP="00880C11">
            <w:pPr>
              <w:pStyle w:val="TableHeader"/>
              <w:jc w:val="right"/>
              <w:cnfStyle w:val="000000000000" w:firstRow="0" w:lastRow="0" w:firstColumn="0" w:lastColumn="0" w:oddVBand="0" w:evenVBand="0" w:oddHBand="0" w:evenHBand="0" w:firstRowFirstColumn="0" w:firstRowLastColumn="0" w:lastRowFirstColumn="0" w:lastRowLastColumn="0"/>
            </w:pPr>
            <w:r w:rsidRPr="00880C11">
              <w:t>Non</w:t>
            </w:r>
          </w:p>
        </w:tc>
        <w:tc>
          <w:tcPr>
            <w:tcW w:w="934" w:type="dxa"/>
            <w:shd w:val="clear" w:color="auto" w:fill="D9D9D9" w:themeFill="background1" w:themeFillShade="D9"/>
            <w:noWrap/>
            <w:hideMark/>
          </w:tcPr>
          <w:p w:rsidR="00A73490" w:rsidRPr="00880C11" w:rsidRDefault="00A73490" w:rsidP="00880C11">
            <w:pPr>
              <w:pStyle w:val="TableHeader"/>
              <w:jc w:val="right"/>
              <w:cnfStyle w:val="000000000000" w:firstRow="0" w:lastRow="0" w:firstColumn="0" w:lastColumn="0" w:oddVBand="0" w:evenVBand="0" w:oddHBand="0" w:evenHBand="0" w:firstRowFirstColumn="0" w:firstRowLastColumn="0" w:lastRowFirstColumn="0" w:lastRowLastColumn="0"/>
            </w:pPr>
            <w:r w:rsidRPr="00880C11">
              <w:t>Total</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Education and Early Childhood Development (DEECD)</w:t>
            </w:r>
          </w:p>
        </w:tc>
        <w:tc>
          <w:tcPr>
            <w:tcW w:w="933" w:type="dxa"/>
            <w:noWrap/>
          </w:tcPr>
          <w:p w:rsidR="00A73490" w:rsidRPr="00CE4B8A" w:rsidRDefault="00AB10EC"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12</w:t>
            </w:r>
          </w:p>
        </w:tc>
        <w:tc>
          <w:tcPr>
            <w:tcW w:w="934" w:type="dxa"/>
            <w:noWrap/>
          </w:tcPr>
          <w:p w:rsidR="00A73490" w:rsidRPr="00CE4B8A" w:rsidRDefault="00AB10EC"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11</w:t>
            </w:r>
          </w:p>
        </w:tc>
        <w:tc>
          <w:tcPr>
            <w:tcW w:w="933" w:type="dxa"/>
            <w:noWrap/>
          </w:tcPr>
          <w:p w:rsidR="00A73490" w:rsidRPr="00CE4B8A" w:rsidRDefault="00AB10EC"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2</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25</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Environment and Primary Industries (DEPI)</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38</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22</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61</w:t>
            </w:r>
          </w:p>
        </w:tc>
      </w:tr>
      <w:tr w:rsidR="00A73490" w:rsidRPr="004C0283" w:rsidTr="00880C11">
        <w:trPr>
          <w:trHeight w:val="267"/>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Health (DH)</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49</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41</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3</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93</w:t>
            </w:r>
          </w:p>
        </w:tc>
      </w:tr>
      <w:tr w:rsidR="00A73490" w:rsidRPr="004C0283" w:rsidTr="00880C11">
        <w:trPr>
          <w:trHeight w:val="267"/>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Human Services (DHS)</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2</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2</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5</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Justice (DOJ)</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8</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14</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23</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 xml:space="preserve">Premier and Cabinet (DPC) </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3</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8</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12</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State Development, Business and Innovation (DSDBI)</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7</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4</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0</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11</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Transport, Planning and Local Infrastructure (DTPLI)</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11</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9</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0</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20</w:t>
            </w:r>
          </w:p>
        </w:tc>
      </w:tr>
      <w:tr w:rsidR="00A73490" w:rsidRPr="004C0283"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pPr>
            <w:r w:rsidRPr="00880C11">
              <w:t>Treasury and Finance (DTF)</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8</w:t>
            </w:r>
          </w:p>
        </w:tc>
        <w:tc>
          <w:tcPr>
            <w:tcW w:w="934"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4</w:t>
            </w:r>
          </w:p>
        </w:tc>
        <w:tc>
          <w:tcPr>
            <w:tcW w:w="933" w:type="dxa"/>
            <w:noWrap/>
          </w:tcPr>
          <w:p w:rsidR="00A73490" w:rsidRPr="00CE4B8A"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CE4B8A">
              <w:t>0</w:t>
            </w:r>
          </w:p>
        </w:tc>
        <w:tc>
          <w:tcPr>
            <w:tcW w:w="934" w:type="dxa"/>
            <w:noWrap/>
          </w:tcPr>
          <w:p w:rsidR="00A73490" w:rsidRPr="00056022"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pPr>
            <w:r w:rsidRPr="00056022">
              <w:t>12</w:t>
            </w:r>
          </w:p>
        </w:tc>
      </w:tr>
      <w:tr w:rsidR="00A73490" w:rsidRPr="00880C11" w:rsidTr="00880C11">
        <w:trPr>
          <w:trHeight w:val="255"/>
        </w:trPr>
        <w:tc>
          <w:tcPr>
            <w:cnfStyle w:val="001000000000" w:firstRow="0" w:lastRow="0" w:firstColumn="1" w:lastColumn="0" w:oddVBand="0" w:evenVBand="0" w:oddHBand="0" w:evenHBand="0" w:firstRowFirstColumn="0" w:firstRowLastColumn="0" w:lastRowFirstColumn="0" w:lastRowLastColumn="0"/>
            <w:tcW w:w="4723" w:type="dxa"/>
            <w:noWrap/>
            <w:hideMark/>
          </w:tcPr>
          <w:p w:rsidR="00A73490" w:rsidRPr="00880C11" w:rsidRDefault="00A73490" w:rsidP="00880C11">
            <w:pPr>
              <w:pStyle w:val="TableText"/>
              <w:spacing w:beforeLines="20" w:before="48" w:afterLines="20" w:after="48"/>
              <w:rPr>
                <w:b/>
              </w:rPr>
            </w:pPr>
            <w:r w:rsidRPr="00880C11">
              <w:rPr>
                <w:b/>
              </w:rPr>
              <w:t xml:space="preserve">Total </w:t>
            </w:r>
          </w:p>
        </w:tc>
        <w:tc>
          <w:tcPr>
            <w:tcW w:w="933" w:type="dxa"/>
            <w:noWrap/>
          </w:tcPr>
          <w:p w:rsidR="00A73490" w:rsidRPr="00880C11" w:rsidRDefault="00FF2544"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b/>
              </w:rPr>
            </w:pPr>
            <w:r w:rsidRPr="00880C11">
              <w:rPr>
                <w:b/>
              </w:rPr>
              <w:t>137</w:t>
            </w:r>
          </w:p>
        </w:tc>
        <w:tc>
          <w:tcPr>
            <w:tcW w:w="934" w:type="dxa"/>
            <w:noWrap/>
          </w:tcPr>
          <w:p w:rsidR="00A73490" w:rsidRPr="00880C11" w:rsidRDefault="00486A68"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b/>
              </w:rPr>
            </w:pPr>
            <w:r w:rsidRPr="00880C11">
              <w:rPr>
                <w:b/>
              </w:rPr>
              <w:t>115</w:t>
            </w:r>
          </w:p>
        </w:tc>
        <w:tc>
          <w:tcPr>
            <w:tcW w:w="933" w:type="dxa"/>
            <w:noWrap/>
          </w:tcPr>
          <w:p w:rsidR="00A73490" w:rsidRPr="00880C11" w:rsidRDefault="00056022"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b/>
              </w:rPr>
            </w:pPr>
            <w:r w:rsidRPr="00880C11">
              <w:rPr>
                <w:b/>
              </w:rPr>
              <w:t>10</w:t>
            </w:r>
          </w:p>
        </w:tc>
        <w:tc>
          <w:tcPr>
            <w:tcW w:w="934" w:type="dxa"/>
            <w:noWrap/>
          </w:tcPr>
          <w:p w:rsidR="00A73490" w:rsidRPr="00880C11" w:rsidRDefault="00FF2544" w:rsidP="00880C11">
            <w:pPr>
              <w:pStyle w:val="TableText"/>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b/>
              </w:rPr>
            </w:pPr>
            <w:r w:rsidRPr="00880C11">
              <w:rPr>
                <w:b/>
              </w:rPr>
              <w:t>262</w:t>
            </w:r>
            <w:r w:rsidR="00A73490" w:rsidRPr="00880C11">
              <w:rPr>
                <w:rStyle w:val="FootnoteReference"/>
                <w:b/>
                <w:szCs w:val="20"/>
              </w:rPr>
              <w:footnoteReference w:id="1"/>
            </w:r>
          </w:p>
        </w:tc>
      </w:tr>
    </w:tbl>
    <w:p w:rsidR="00880C11" w:rsidRDefault="00880C11" w:rsidP="00880C11">
      <w:pPr>
        <w:pStyle w:val="Spacer"/>
        <w:rPr>
          <w:lang w:eastAsia="en-US"/>
        </w:rPr>
      </w:pPr>
    </w:p>
    <w:p w:rsidR="00313FE4" w:rsidRPr="00CD2787" w:rsidRDefault="00313FE4" w:rsidP="00A73490">
      <w:pPr>
        <w:rPr>
          <w:lang w:eastAsia="en-US"/>
        </w:rPr>
      </w:pPr>
      <w:r w:rsidRPr="00313FE4">
        <w:rPr>
          <w:lang w:eastAsia="en-US"/>
        </w:rPr>
        <w:t>In the 201</w:t>
      </w:r>
      <w:r>
        <w:rPr>
          <w:lang w:eastAsia="en-US"/>
        </w:rPr>
        <w:t>3</w:t>
      </w:r>
      <w:r w:rsidR="00880C11">
        <w:rPr>
          <w:lang w:eastAsia="en-US"/>
        </w:rPr>
        <w:noBreakHyphen/>
      </w:r>
      <w:r w:rsidRPr="00313FE4">
        <w:rPr>
          <w:lang w:eastAsia="en-US"/>
        </w:rPr>
        <w:t>1</w:t>
      </w:r>
      <w:r>
        <w:rPr>
          <w:lang w:eastAsia="en-US"/>
        </w:rPr>
        <w:t>4</w:t>
      </w:r>
      <w:r w:rsidRPr="00313FE4">
        <w:rPr>
          <w:lang w:eastAsia="en-US"/>
        </w:rPr>
        <w:t xml:space="preserve"> financial year, 2</w:t>
      </w:r>
      <w:r w:rsidR="00FF2544">
        <w:rPr>
          <w:lang w:eastAsia="en-US"/>
        </w:rPr>
        <w:t>52</w:t>
      </w:r>
      <w:r w:rsidRPr="00313FE4">
        <w:rPr>
          <w:lang w:eastAsia="en-US"/>
        </w:rPr>
        <w:t xml:space="preserve"> agencies (9</w:t>
      </w:r>
      <w:r w:rsidR="00FF2544">
        <w:rPr>
          <w:lang w:eastAsia="en-US"/>
        </w:rPr>
        <w:t>6</w:t>
      </w:r>
      <w:r w:rsidRPr="00313FE4">
        <w:rPr>
          <w:lang w:eastAsia="en-US"/>
        </w:rPr>
        <w:t xml:space="preserve"> per cent) achieved either full or partial compliance.</w:t>
      </w:r>
    </w:p>
    <w:p w:rsidR="00880C11" w:rsidRDefault="00880C11">
      <w:pPr>
        <w:spacing w:before="0" w:after="0"/>
        <w:ind w:left="0"/>
        <w:rPr>
          <w:color w:val="4D4D4D"/>
          <w:sz w:val="30"/>
          <w:lang w:eastAsia="en-US"/>
        </w:rPr>
      </w:pPr>
      <w:bookmarkStart w:id="11" w:name="_Toc404760517"/>
      <w:bookmarkEnd w:id="11"/>
      <w:r>
        <w:br w:type="page"/>
      </w:r>
    </w:p>
    <w:p w:rsidR="00A73490" w:rsidRPr="00606A6A" w:rsidRDefault="00313FE4" w:rsidP="00A73490">
      <w:pPr>
        <w:pStyle w:val="Heading2"/>
      </w:pPr>
      <w:bookmarkStart w:id="12" w:name="_Toc415057785"/>
      <w:r w:rsidRPr="00606A6A">
        <w:lastRenderedPageBreak/>
        <w:t>Historical compliance</w:t>
      </w:r>
      <w:bookmarkEnd w:id="12"/>
    </w:p>
    <w:p w:rsidR="00A73490" w:rsidRDefault="00313FE4" w:rsidP="00A73490">
      <w:pPr>
        <w:rPr>
          <w:lang w:eastAsia="en-US"/>
        </w:rPr>
      </w:pPr>
      <w:r w:rsidRPr="00313FE4">
        <w:rPr>
          <w:lang w:eastAsia="en-US"/>
        </w:rPr>
        <w:t>The 201</w:t>
      </w:r>
      <w:r>
        <w:rPr>
          <w:lang w:eastAsia="en-US"/>
        </w:rPr>
        <w:t>3</w:t>
      </w:r>
      <w:r w:rsidR="00880C11">
        <w:rPr>
          <w:lang w:eastAsia="en-US"/>
        </w:rPr>
        <w:noBreakHyphen/>
      </w:r>
      <w:r w:rsidRPr="00313FE4">
        <w:rPr>
          <w:lang w:eastAsia="en-US"/>
        </w:rPr>
        <w:t>1</w:t>
      </w:r>
      <w:r>
        <w:rPr>
          <w:lang w:eastAsia="en-US"/>
        </w:rPr>
        <w:t>4</w:t>
      </w:r>
      <w:r w:rsidRPr="00313FE4">
        <w:rPr>
          <w:lang w:eastAsia="en-US"/>
        </w:rPr>
        <w:t xml:space="preserve"> results are similar to recent year’s compliance results, reflecting a trend of plateauing compliance levels over time (see Table 3).</w:t>
      </w:r>
    </w:p>
    <w:p w:rsidR="00FF2544" w:rsidRPr="00313FE4" w:rsidRDefault="00FF2544" w:rsidP="00FF2544">
      <w:pPr>
        <w:rPr>
          <w:lang w:eastAsia="en-US"/>
        </w:rPr>
      </w:pPr>
      <w:r w:rsidRPr="00313FE4">
        <w:rPr>
          <w:lang w:eastAsia="en-US"/>
        </w:rPr>
        <w:t>While the level of full and partial compliance continues to be high (</w:t>
      </w:r>
      <w:r w:rsidRPr="004F4362">
        <w:rPr>
          <w:lang w:eastAsia="en-US"/>
        </w:rPr>
        <w:t>averaging 96 per</w:t>
      </w:r>
      <w:r w:rsidRPr="00313FE4">
        <w:rPr>
          <w:lang w:eastAsia="en-US"/>
        </w:rPr>
        <w:t xml:space="preserve"> cent over </w:t>
      </w:r>
      <w:r w:rsidR="001E3CC1">
        <w:rPr>
          <w:lang w:eastAsia="en-US"/>
        </w:rPr>
        <w:t>five</w:t>
      </w:r>
      <w:r w:rsidRPr="00313FE4">
        <w:rPr>
          <w:lang w:eastAsia="en-US"/>
        </w:rPr>
        <w:t xml:space="preserve"> years), it is not necessarily expected that all agencies will achieve full compliance with all requirements and related procedures, as:</w:t>
      </w:r>
    </w:p>
    <w:p w:rsidR="00FF2544" w:rsidRPr="00880C11" w:rsidRDefault="00FF2544" w:rsidP="00880C11">
      <w:pPr>
        <w:pStyle w:val="Bullet1"/>
      </w:pPr>
      <w:r w:rsidRPr="00313FE4">
        <w:rPr>
          <w:lang w:eastAsia="en-US"/>
        </w:rPr>
        <w:t xml:space="preserve">the </w:t>
      </w:r>
      <w:r w:rsidRPr="00880C11">
        <w:t>direction requirements set a stretching standard of achievement to encourage high quality financial management practice; and</w:t>
      </w:r>
    </w:p>
    <w:p w:rsidR="00FF2544" w:rsidRPr="00313FE4" w:rsidRDefault="00FF2544" w:rsidP="00880C11">
      <w:pPr>
        <w:pStyle w:val="Bullet1"/>
        <w:rPr>
          <w:lang w:eastAsia="en-US"/>
        </w:rPr>
      </w:pPr>
      <w:r w:rsidRPr="00880C11">
        <w:t>full compliance</w:t>
      </w:r>
      <w:r w:rsidRPr="00313FE4">
        <w:rPr>
          <w:lang w:eastAsia="en-US"/>
        </w:rPr>
        <w:t xml:space="preserve"> with a direction requirement includes satisfying all elements under each direction requirement.</w:t>
      </w:r>
    </w:p>
    <w:p w:rsidR="00313FE4" w:rsidRDefault="00313FE4" w:rsidP="00FB60F7">
      <w:pPr>
        <w:pStyle w:val="CaptionTable"/>
      </w:pPr>
      <w:r>
        <w:t>Table 3: Historical compliance levels, by agency</w:t>
      </w:r>
    </w:p>
    <w:tbl>
      <w:tblPr>
        <w:tblW w:w="4542" w:type="pct"/>
        <w:tblInd w:w="853" w:type="dxa"/>
        <w:tblBorders>
          <w:top w:val="single" w:sz="2" w:space="0" w:color="auto"/>
          <w:bottom w:val="single" w:sz="2" w:space="0" w:color="auto"/>
          <w:insideH w:val="single" w:sz="2" w:space="0" w:color="auto"/>
        </w:tblBorders>
        <w:tblCellMar>
          <w:left w:w="43" w:type="dxa"/>
          <w:right w:w="43" w:type="dxa"/>
        </w:tblCellMar>
        <w:tblLook w:val="04A0" w:firstRow="1" w:lastRow="0" w:firstColumn="1" w:lastColumn="0" w:noHBand="0" w:noVBand="1"/>
      </w:tblPr>
      <w:tblGrid>
        <w:gridCol w:w="1805"/>
        <w:gridCol w:w="1207"/>
        <w:gridCol w:w="1329"/>
        <w:gridCol w:w="1329"/>
        <w:gridCol w:w="1329"/>
        <w:gridCol w:w="1331"/>
      </w:tblGrid>
      <w:tr w:rsidR="004C0283" w:rsidTr="00F53B86">
        <w:trPr>
          <w:cantSplit/>
        </w:trPr>
        <w:tc>
          <w:tcPr>
            <w:tcW w:w="1083" w:type="pct"/>
            <w:vMerge w:val="restart"/>
            <w:tcBorders>
              <w:top w:val="single" w:sz="2" w:space="0" w:color="auto"/>
              <w:left w:val="nil"/>
              <w:right w:val="nil"/>
            </w:tcBorders>
            <w:shd w:val="clear" w:color="auto" w:fill="D9D9D9"/>
          </w:tcPr>
          <w:p w:rsidR="004C0283" w:rsidRPr="00CE4B8A" w:rsidRDefault="004C0283" w:rsidP="00880C11">
            <w:pPr>
              <w:pStyle w:val="TableHeader"/>
              <w:rPr>
                <w:lang w:eastAsia="en-US"/>
              </w:rPr>
            </w:pPr>
            <w:r w:rsidRPr="00CE4B8A">
              <w:rPr>
                <w:lang w:eastAsia="en-US"/>
              </w:rPr>
              <w:t>Compliance level</w:t>
            </w:r>
          </w:p>
        </w:tc>
        <w:tc>
          <w:tcPr>
            <w:tcW w:w="724" w:type="pct"/>
            <w:tcBorders>
              <w:top w:val="single" w:sz="2" w:space="0" w:color="auto"/>
              <w:left w:val="nil"/>
              <w:bottom w:val="nil"/>
              <w:right w:val="nil"/>
            </w:tcBorders>
            <w:shd w:val="clear" w:color="auto" w:fill="D9D9D9"/>
            <w:hideMark/>
          </w:tcPr>
          <w:p w:rsidR="004C0283" w:rsidRPr="00CE4B8A" w:rsidRDefault="004C0283" w:rsidP="00880C11">
            <w:pPr>
              <w:pStyle w:val="TableHeader"/>
              <w:jc w:val="right"/>
              <w:rPr>
                <w:sz w:val="20"/>
                <w:szCs w:val="20"/>
                <w:lang w:eastAsia="en-US"/>
              </w:rPr>
            </w:pPr>
            <w:r w:rsidRPr="00CE4B8A">
              <w:rPr>
                <w:sz w:val="20"/>
                <w:szCs w:val="20"/>
                <w:lang w:eastAsia="en-US"/>
              </w:rPr>
              <w:t>2009</w:t>
            </w:r>
            <w:r w:rsidR="00880C11">
              <w:rPr>
                <w:sz w:val="20"/>
                <w:szCs w:val="20"/>
                <w:lang w:eastAsia="en-US"/>
              </w:rPr>
              <w:noBreakHyphen/>
            </w:r>
            <w:r w:rsidRPr="00CE4B8A">
              <w:rPr>
                <w:sz w:val="20"/>
                <w:szCs w:val="20"/>
                <w:lang w:eastAsia="en-US"/>
              </w:rPr>
              <w:t>10</w:t>
            </w:r>
          </w:p>
        </w:tc>
        <w:tc>
          <w:tcPr>
            <w:tcW w:w="798" w:type="pct"/>
            <w:tcBorders>
              <w:top w:val="single" w:sz="2" w:space="0" w:color="auto"/>
              <w:left w:val="nil"/>
              <w:bottom w:val="nil"/>
              <w:right w:val="nil"/>
            </w:tcBorders>
            <w:shd w:val="clear" w:color="auto" w:fill="D9D9D9"/>
            <w:hideMark/>
          </w:tcPr>
          <w:p w:rsidR="004C0283" w:rsidRPr="00CE4B8A" w:rsidRDefault="004C0283" w:rsidP="00880C11">
            <w:pPr>
              <w:pStyle w:val="TableHeader"/>
              <w:jc w:val="right"/>
              <w:rPr>
                <w:sz w:val="20"/>
                <w:szCs w:val="20"/>
                <w:lang w:eastAsia="en-US"/>
              </w:rPr>
            </w:pPr>
            <w:r w:rsidRPr="00CE4B8A">
              <w:rPr>
                <w:sz w:val="20"/>
                <w:szCs w:val="20"/>
                <w:lang w:eastAsia="en-US"/>
              </w:rPr>
              <w:t>2010</w:t>
            </w:r>
            <w:r w:rsidR="00880C11">
              <w:rPr>
                <w:sz w:val="20"/>
                <w:szCs w:val="20"/>
                <w:lang w:eastAsia="en-US"/>
              </w:rPr>
              <w:noBreakHyphen/>
            </w:r>
            <w:r w:rsidRPr="00CE4B8A">
              <w:rPr>
                <w:sz w:val="20"/>
                <w:szCs w:val="20"/>
                <w:lang w:eastAsia="en-US"/>
              </w:rPr>
              <w:t>11</w:t>
            </w:r>
          </w:p>
        </w:tc>
        <w:tc>
          <w:tcPr>
            <w:tcW w:w="798" w:type="pct"/>
            <w:tcBorders>
              <w:top w:val="single" w:sz="2" w:space="0" w:color="auto"/>
              <w:left w:val="nil"/>
              <w:bottom w:val="nil"/>
              <w:right w:val="nil"/>
            </w:tcBorders>
            <w:shd w:val="clear" w:color="auto" w:fill="D9D9D9"/>
            <w:hideMark/>
          </w:tcPr>
          <w:p w:rsidR="004C0283" w:rsidRPr="00CE4B8A" w:rsidRDefault="004C0283" w:rsidP="00880C11">
            <w:pPr>
              <w:pStyle w:val="TableHeader"/>
              <w:jc w:val="right"/>
              <w:rPr>
                <w:sz w:val="20"/>
                <w:szCs w:val="20"/>
                <w:lang w:eastAsia="en-US"/>
              </w:rPr>
            </w:pPr>
            <w:r w:rsidRPr="00CE4B8A">
              <w:rPr>
                <w:sz w:val="20"/>
                <w:szCs w:val="20"/>
                <w:lang w:eastAsia="en-US"/>
              </w:rPr>
              <w:t>2011</w:t>
            </w:r>
            <w:r w:rsidR="00880C11">
              <w:rPr>
                <w:sz w:val="20"/>
                <w:szCs w:val="20"/>
                <w:lang w:eastAsia="en-US"/>
              </w:rPr>
              <w:noBreakHyphen/>
            </w:r>
            <w:r w:rsidRPr="00CE4B8A">
              <w:rPr>
                <w:sz w:val="20"/>
                <w:szCs w:val="20"/>
                <w:lang w:eastAsia="en-US"/>
              </w:rPr>
              <w:t>12</w:t>
            </w:r>
          </w:p>
        </w:tc>
        <w:tc>
          <w:tcPr>
            <w:tcW w:w="798" w:type="pct"/>
            <w:tcBorders>
              <w:top w:val="single" w:sz="2" w:space="0" w:color="auto"/>
              <w:left w:val="nil"/>
              <w:bottom w:val="nil"/>
              <w:right w:val="nil"/>
            </w:tcBorders>
            <w:shd w:val="clear" w:color="auto" w:fill="D9D9D9"/>
            <w:hideMark/>
          </w:tcPr>
          <w:p w:rsidR="004C0283" w:rsidRPr="00CE4B8A" w:rsidRDefault="004C0283" w:rsidP="00880C11">
            <w:pPr>
              <w:pStyle w:val="TableHeader"/>
              <w:jc w:val="right"/>
              <w:rPr>
                <w:sz w:val="20"/>
                <w:szCs w:val="20"/>
                <w:lang w:eastAsia="en-US"/>
              </w:rPr>
            </w:pPr>
            <w:r w:rsidRPr="00CE4B8A">
              <w:rPr>
                <w:sz w:val="20"/>
                <w:szCs w:val="20"/>
                <w:lang w:eastAsia="en-US"/>
              </w:rPr>
              <w:t>2012</w:t>
            </w:r>
            <w:r w:rsidR="00880C11">
              <w:rPr>
                <w:sz w:val="20"/>
                <w:szCs w:val="20"/>
                <w:lang w:eastAsia="en-US"/>
              </w:rPr>
              <w:noBreakHyphen/>
            </w:r>
            <w:r w:rsidRPr="00CE4B8A">
              <w:rPr>
                <w:sz w:val="20"/>
                <w:szCs w:val="20"/>
                <w:lang w:eastAsia="en-US"/>
              </w:rPr>
              <w:t>13</w:t>
            </w:r>
          </w:p>
        </w:tc>
        <w:tc>
          <w:tcPr>
            <w:tcW w:w="798" w:type="pct"/>
            <w:tcBorders>
              <w:top w:val="single" w:sz="2" w:space="0" w:color="auto"/>
              <w:left w:val="nil"/>
              <w:bottom w:val="nil"/>
              <w:right w:val="nil"/>
            </w:tcBorders>
            <w:shd w:val="clear" w:color="auto" w:fill="D9D9D9"/>
            <w:hideMark/>
          </w:tcPr>
          <w:p w:rsidR="004C0283" w:rsidRPr="00CE4B8A" w:rsidRDefault="004C0283" w:rsidP="00880C11">
            <w:pPr>
              <w:pStyle w:val="TableHeader"/>
              <w:jc w:val="right"/>
              <w:rPr>
                <w:sz w:val="20"/>
                <w:szCs w:val="20"/>
                <w:lang w:eastAsia="en-US"/>
              </w:rPr>
            </w:pPr>
            <w:r w:rsidRPr="00CE4B8A">
              <w:rPr>
                <w:sz w:val="20"/>
                <w:szCs w:val="20"/>
                <w:lang w:eastAsia="en-US"/>
              </w:rPr>
              <w:t>2013</w:t>
            </w:r>
            <w:r w:rsidR="00880C11">
              <w:rPr>
                <w:sz w:val="20"/>
                <w:szCs w:val="20"/>
                <w:lang w:eastAsia="en-US"/>
              </w:rPr>
              <w:noBreakHyphen/>
            </w:r>
            <w:r w:rsidRPr="00CE4B8A">
              <w:rPr>
                <w:sz w:val="20"/>
                <w:szCs w:val="20"/>
                <w:lang w:eastAsia="en-US"/>
              </w:rPr>
              <w:t>14</w:t>
            </w:r>
          </w:p>
        </w:tc>
      </w:tr>
      <w:tr w:rsidR="004C0283" w:rsidTr="00F53B86">
        <w:trPr>
          <w:cantSplit/>
        </w:trPr>
        <w:tc>
          <w:tcPr>
            <w:tcW w:w="1083" w:type="pct"/>
            <w:vMerge/>
            <w:tcBorders>
              <w:left w:val="nil"/>
              <w:bottom w:val="single" w:sz="2" w:space="0" w:color="auto"/>
              <w:right w:val="nil"/>
            </w:tcBorders>
            <w:shd w:val="clear" w:color="auto" w:fill="D9D9D9"/>
          </w:tcPr>
          <w:p w:rsidR="004C0283" w:rsidRPr="00CE4B8A" w:rsidRDefault="004C0283" w:rsidP="00880C11">
            <w:pPr>
              <w:pStyle w:val="TableHeader"/>
              <w:rPr>
                <w:lang w:eastAsia="en-US"/>
              </w:rPr>
            </w:pPr>
          </w:p>
        </w:tc>
        <w:tc>
          <w:tcPr>
            <w:tcW w:w="3917" w:type="pct"/>
            <w:gridSpan w:val="5"/>
            <w:tcBorders>
              <w:top w:val="nil"/>
              <w:left w:val="nil"/>
              <w:bottom w:val="single" w:sz="2" w:space="0" w:color="auto"/>
              <w:right w:val="nil"/>
            </w:tcBorders>
            <w:shd w:val="clear" w:color="auto" w:fill="D9D9D9"/>
            <w:hideMark/>
          </w:tcPr>
          <w:p w:rsidR="004C0283" w:rsidRPr="00CE4B8A" w:rsidRDefault="004C0283" w:rsidP="00880C11">
            <w:pPr>
              <w:pStyle w:val="TableHeader"/>
              <w:jc w:val="center"/>
              <w:rPr>
                <w:sz w:val="20"/>
                <w:szCs w:val="20"/>
                <w:lang w:eastAsia="en-US"/>
              </w:rPr>
            </w:pPr>
            <w:r w:rsidRPr="00CE4B8A">
              <w:rPr>
                <w:sz w:val="20"/>
                <w:szCs w:val="20"/>
                <w:lang w:eastAsia="en-US"/>
              </w:rPr>
              <w:t>Agencies (% of certifying agencies)</w:t>
            </w:r>
          </w:p>
        </w:tc>
      </w:tr>
      <w:tr w:rsidR="00313FE4" w:rsidRPr="00880C11" w:rsidTr="00F53B86">
        <w:trPr>
          <w:cantSplit/>
        </w:trPr>
        <w:tc>
          <w:tcPr>
            <w:tcW w:w="1083" w:type="pct"/>
            <w:tcBorders>
              <w:top w:val="single" w:sz="2" w:space="0" w:color="auto"/>
              <w:left w:val="nil"/>
              <w:bottom w:val="single" w:sz="2" w:space="0" w:color="auto"/>
              <w:right w:val="nil"/>
            </w:tcBorders>
            <w:hideMark/>
          </w:tcPr>
          <w:p w:rsidR="00313FE4" w:rsidRPr="00CE4B8A" w:rsidRDefault="00313FE4" w:rsidP="00FB60F7">
            <w:pPr>
              <w:pStyle w:val="TableText"/>
              <w:rPr>
                <w:lang w:eastAsia="en-US"/>
              </w:rPr>
            </w:pPr>
            <w:r w:rsidRPr="00CE4B8A">
              <w:rPr>
                <w:lang w:eastAsia="en-US"/>
              </w:rPr>
              <w:t xml:space="preserve">Full </w:t>
            </w:r>
          </w:p>
        </w:tc>
        <w:tc>
          <w:tcPr>
            <w:tcW w:w="724"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155</w:t>
            </w:r>
            <w:r w:rsidR="00313FE4" w:rsidRPr="00880C11">
              <w:t xml:space="preserve"> (55%)</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147</w:t>
            </w:r>
            <w:r w:rsidR="00313FE4" w:rsidRPr="00880C11">
              <w:t xml:space="preserve"> </w:t>
            </w:r>
            <w:r w:rsidRPr="00880C11">
              <w:t>(54</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313FE4" w:rsidP="00FB60F7">
            <w:pPr>
              <w:pStyle w:val="TableText"/>
              <w:jc w:val="right"/>
            </w:pPr>
            <w:r w:rsidRPr="00880C11">
              <w:t>147 (54%)</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13</w:t>
            </w:r>
            <w:r w:rsidR="00313FE4" w:rsidRPr="00880C11">
              <w:t>7 (5</w:t>
            </w:r>
            <w:r w:rsidRPr="00880C11">
              <w:t>1</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313FE4" w:rsidP="00FB60F7">
            <w:pPr>
              <w:pStyle w:val="TableText"/>
              <w:jc w:val="right"/>
            </w:pPr>
            <w:r w:rsidRPr="00880C11">
              <w:t xml:space="preserve">137 </w:t>
            </w:r>
            <w:r w:rsidR="00FF2544" w:rsidRPr="00880C11">
              <w:t>(5</w:t>
            </w:r>
            <w:r w:rsidR="00A1285D" w:rsidRPr="00880C11">
              <w:t>2</w:t>
            </w:r>
            <w:r w:rsidRPr="00880C11">
              <w:t>%)</w:t>
            </w:r>
          </w:p>
        </w:tc>
      </w:tr>
      <w:tr w:rsidR="00313FE4" w:rsidRPr="00880C11" w:rsidTr="00F53B86">
        <w:trPr>
          <w:cantSplit/>
        </w:trPr>
        <w:tc>
          <w:tcPr>
            <w:tcW w:w="1083" w:type="pct"/>
            <w:tcBorders>
              <w:top w:val="single" w:sz="2" w:space="0" w:color="auto"/>
              <w:left w:val="nil"/>
              <w:bottom w:val="single" w:sz="2" w:space="0" w:color="auto"/>
              <w:right w:val="nil"/>
            </w:tcBorders>
            <w:hideMark/>
          </w:tcPr>
          <w:p w:rsidR="00313FE4" w:rsidRPr="00CE4B8A" w:rsidRDefault="00313FE4" w:rsidP="00FB60F7">
            <w:pPr>
              <w:pStyle w:val="TableText"/>
              <w:rPr>
                <w:lang w:eastAsia="en-US"/>
              </w:rPr>
            </w:pPr>
            <w:r w:rsidRPr="00CE4B8A">
              <w:rPr>
                <w:lang w:eastAsia="en-US"/>
              </w:rPr>
              <w:t xml:space="preserve">Partial </w:t>
            </w:r>
          </w:p>
        </w:tc>
        <w:tc>
          <w:tcPr>
            <w:tcW w:w="724"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115</w:t>
            </w:r>
            <w:r w:rsidR="00313FE4" w:rsidRPr="00880C11">
              <w:t xml:space="preserve"> (4</w:t>
            </w:r>
            <w:r w:rsidRPr="00880C11">
              <w:t>1</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108</w:t>
            </w:r>
            <w:r w:rsidR="00313FE4" w:rsidRPr="00880C11">
              <w:t xml:space="preserve"> </w:t>
            </w:r>
            <w:r w:rsidRPr="00880C11">
              <w:t>(40</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115</w:t>
            </w:r>
            <w:r w:rsidR="00313FE4" w:rsidRPr="00880C11">
              <w:t xml:space="preserve"> (4</w:t>
            </w:r>
            <w:r w:rsidRPr="00880C11">
              <w:t>2</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123</w:t>
            </w:r>
            <w:r w:rsidR="00313FE4" w:rsidRPr="00880C11">
              <w:t xml:space="preserve"> </w:t>
            </w:r>
            <w:r w:rsidRPr="00880C11">
              <w:t>(46</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FF2544" w:rsidP="00FB60F7">
            <w:pPr>
              <w:pStyle w:val="TableText"/>
              <w:jc w:val="right"/>
            </w:pPr>
            <w:r w:rsidRPr="00880C11">
              <w:t>115</w:t>
            </w:r>
            <w:r w:rsidR="00313FE4" w:rsidRPr="00880C11">
              <w:t xml:space="preserve"> </w:t>
            </w:r>
            <w:r w:rsidR="00A1285D" w:rsidRPr="00880C11">
              <w:t>(44</w:t>
            </w:r>
            <w:r w:rsidR="00313FE4" w:rsidRPr="00880C11">
              <w:t>%)</w:t>
            </w:r>
          </w:p>
        </w:tc>
      </w:tr>
      <w:tr w:rsidR="00313FE4" w:rsidRPr="00880C11" w:rsidTr="00F53B86">
        <w:trPr>
          <w:cantSplit/>
        </w:trPr>
        <w:tc>
          <w:tcPr>
            <w:tcW w:w="1083" w:type="pct"/>
            <w:tcBorders>
              <w:top w:val="single" w:sz="2" w:space="0" w:color="auto"/>
              <w:left w:val="nil"/>
              <w:bottom w:val="single" w:sz="2" w:space="0" w:color="auto"/>
              <w:right w:val="nil"/>
            </w:tcBorders>
            <w:hideMark/>
          </w:tcPr>
          <w:p w:rsidR="00313FE4" w:rsidRPr="00CE4B8A" w:rsidRDefault="00313FE4" w:rsidP="00FB60F7">
            <w:pPr>
              <w:pStyle w:val="TableText"/>
              <w:rPr>
                <w:lang w:eastAsia="en-US"/>
              </w:rPr>
            </w:pPr>
            <w:r w:rsidRPr="00CE4B8A">
              <w:rPr>
                <w:lang w:eastAsia="en-US"/>
              </w:rPr>
              <w:t>Non</w:t>
            </w:r>
          </w:p>
        </w:tc>
        <w:tc>
          <w:tcPr>
            <w:tcW w:w="724"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11</w:t>
            </w:r>
            <w:r w:rsidR="00313FE4" w:rsidRPr="00880C11">
              <w:t xml:space="preserve"> </w:t>
            </w:r>
            <w:r w:rsidRPr="00880C11">
              <w:t>(4</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B63E7E" w:rsidP="00FB60F7">
            <w:pPr>
              <w:pStyle w:val="TableText"/>
              <w:jc w:val="right"/>
            </w:pPr>
            <w:r w:rsidRPr="00880C11">
              <w:t>16 (</w:t>
            </w:r>
            <w:r w:rsidR="004F4362" w:rsidRPr="00880C11">
              <w:t>6</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4F4362" w:rsidP="00FB60F7">
            <w:pPr>
              <w:pStyle w:val="TableText"/>
              <w:jc w:val="right"/>
            </w:pPr>
            <w:r w:rsidRPr="00880C11">
              <w:t>9</w:t>
            </w:r>
            <w:r w:rsidR="00FB60F7">
              <w:t xml:space="preserve"> </w:t>
            </w:r>
            <w:r w:rsidRPr="00880C11">
              <w:t>(3</w:t>
            </w:r>
            <w:r w:rsidR="00313FE4" w:rsidRPr="00880C11">
              <w:t>%)</w:t>
            </w:r>
          </w:p>
        </w:tc>
        <w:tc>
          <w:tcPr>
            <w:tcW w:w="798" w:type="pct"/>
            <w:tcBorders>
              <w:top w:val="single" w:sz="2" w:space="0" w:color="auto"/>
              <w:left w:val="nil"/>
              <w:bottom w:val="single" w:sz="2" w:space="0" w:color="auto"/>
              <w:right w:val="nil"/>
            </w:tcBorders>
            <w:hideMark/>
          </w:tcPr>
          <w:p w:rsidR="00313FE4" w:rsidRPr="00880C11" w:rsidRDefault="00880C11" w:rsidP="00FB60F7">
            <w:pPr>
              <w:pStyle w:val="TableText"/>
              <w:jc w:val="right"/>
            </w:pPr>
            <w:r>
              <w:t xml:space="preserve">9 </w:t>
            </w:r>
            <w:r w:rsidR="00313FE4" w:rsidRPr="00880C11">
              <w:t>(3%)</w:t>
            </w:r>
          </w:p>
        </w:tc>
        <w:tc>
          <w:tcPr>
            <w:tcW w:w="798" w:type="pct"/>
            <w:tcBorders>
              <w:top w:val="single" w:sz="2" w:space="0" w:color="auto"/>
              <w:left w:val="nil"/>
              <w:bottom w:val="single" w:sz="2" w:space="0" w:color="auto"/>
              <w:right w:val="nil"/>
            </w:tcBorders>
            <w:hideMark/>
          </w:tcPr>
          <w:p w:rsidR="00313FE4" w:rsidRPr="00880C11" w:rsidRDefault="00FF2544" w:rsidP="00FB60F7">
            <w:pPr>
              <w:pStyle w:val="TableText"/>
              <w:jc w:val="right"/>
            </w:pPr>
            <w:r w:rsidRPr="00880C11">
              <w:t>10</w:t>
            </w:r>
            <w:r w:rsidR="00313FE4" w:rsidRPr="00880C11">
              <w:t xml:space="preserve"> (</w:t>
            </w:r>
            <w:r w:rsidRPr="00880C11">
              <w:t>4</w:t>
            </w:r>
            <w:r w:rsidR="00313FE4" w:rsidRPr="00880C11">
              <w:t>%)</w:t>
            </w:r>
          </w:p>
        </w:tc>
      </w:tr>
    </w:tbl>
    <w:p w:rsidR="00313FE4" w:rsidRPr="00E5566A" w:rsidRDefault="00313FE4" w:rsidP="00A73490">
      <w:pPr>
        <w:rPr>
          <w:highlight w:val="yellow"/>
          <w:lang w:eastAsia="en-US"/>
        </w:rPr>
      </w:pPr>
    </w:p>
    <w:p w:rsidR="00A73490" w:rsidRPr="00CD2787" w:rsidRDefault="00A73490" w:rsidP="00A73490">
      <w:pPr>
        <w:pStyle w:val="Heading1"/>
      </w:pPr>
      <w:bookmarkStart w:id="13" w:name="_Toc407977532"/>
      <w:bookmarkStart w:id="14" w:name="_Toc415057786"/>
      <w:r w:rsidRPr="00CD2787">
        <w:lastRenderedPageBreak/>
        <w:t xml:space="preserve">Areas for further </w:t>
      </w:r>
      <w:bookmarkEnd w:id="13"/>
      <w:r w:rsidR="00313FE4">
        <w:t>assessment</w:t>
      </w:r>
      <w:bookmarkEnd w:id="14"/>
    </w:p>
    <w:p w:rsidR="00313FE4" w:rsidRPr="00313FE4" w:rsidRDefault="00313FE4" w:rsidP="00313FE4">
      <w:pPr>
        <w:pStyle w:val="Heading2"/>
      </w:pPr>
      <w:bookmarkStart w:id="15" w:name="_Toc391995690"/>
      <w:bookmarkStart w:id="16" w:name="_Toc415057787"/>
      <w:bookmarkStart w:id="17" w:name="_Toc407977533"/>
      <w:r w:rsidRPr="00313FE4">
        <w:t>Assurance reviews</w:t>
      </w:r>
      <w:bookmarkEnd w:id="15"/>
      <w:bookmarkEnd w:id="16"/>
    </w:p>
    <w:p w:rsidR="00313FE4" w:rsidRPr="00313FE4" w:rsidRDefault="00313FE4" w:rsidP="00313FE4">
      <w:pPr>
        <w:rPr>
          <w:lang w:eastAsia="en-US"/>
        </w:rPr>
      </w:pPr>
      <w:r w:rsidRPr="00313FE4">
        <w:rPr>
          <w:lang w:eastAsia="en-US"/>
        </w:rPr>
        <w:t>As annual certification is a self</w:t>
      </w:r>
      <w:r w:rsidR="00880C11">
        <w:rPr>
          <w:lang w:eastAsia="en-US"/>
        </w:rPr>
        <w:noBreakHyphen/>
      </w:r>
      <w:r w:rsidRPr="00313FE4">
        <w:rPr>
          <w:lang w:eastAsia="en-US"/>
        </w:rPr>
        <w:t xml:space="preserve">assessment process, it is important the compliance results are validated. DTF conducts a number of assurance reviews of individual agencies from February to May in the year after the certification period to validate the certification results and inspect financial management practices. </w:t>
      </w:r>
    </w:p>
    <w:p w:rsidR="00313FE4" w:rsidRPr="00313FE4" w:rsidRDefault="00313FE4" w:rsidP="00313FE4">
      <w:pPr>
        <w:rPr>
          <w:lang w:eastAsia="en-US"/>
        </w:rPr>
      </w:pPr>
      <w:r w:rsidRPr="00313FE4">
        <w:rPr>
          <w:lang w:eastAsia="en-US"/>
        </w:rPr>
        <w:t>A report on compliance trends, observations and systemic issues is provided to the Minister for Finance at the conclusion of the assurance reviews.</w:t>
      </w:r>
    </w:p>
    <w:p w:rsidR="00A73490" w:rsidRPr="004022AD" w:rsidRDefault="00A73490" w:rsidP="00A73490">
      <w:pPr>
        <w:pStyle w:val="Heading2"/>
      </w:pPr>
      <w:bookmarkStart w:id="18" w:name="_Toc415057788"/>
      <w:r w:rsidRPr="004022AD">
        <w:t>Areas highlighted through certification</w:t>
      </w:r>
      <w:bookmarkEnd w:id="17"/>
      <w:bookmarkEnd w:id="18"/>
    </w:p>
    <w:p w:rsidR="00313FE4" w:rsidRDefault="00313FE4" w:rsidP="00313FE4">
      <w:pPr>
        <w:rPr>
          <w:lang w:eastAsia="en-US"/>
        </w:rPr>
      </w:pPr>
      <w:r>
        <w:rPr>
          <w:lang w:eastAsia="en-US"/>
        </w:rPr>
        <w:t xml:space="preserve">Appendix 1 shows a summary listing of the 34 </w:t>
      </w:r>
      <w:r w:rsidR="00F53B86">
        <w:rPr>
          <w:lang w:eastAsia="en-US"/>
        </w:rPr>
        <w:t xml:space="preserve">Direction Requirements </w:t>
      </w:r>
      <w:r>
        <w:rPr>
          <w:lang w:eastAsia="en-US"/>
        </w:rPr>
        <w:t>and the reported levels of partial or non</w:t>
      </w:r>
      <w:r w:rsidR="00880C11">
        <w:rPr>
          <w:lang w:eastAsia="en-US"/>
        </w:rPr>
        <w:noBreakHyphen/>
      </w:r>
      <w:r>
        <w:rPr>
          <w:lang w:eastAsia="en-US"/>
        </w:rPr>
        <w:t>compliance for all agencies.</w:t>
      </w:r>
    </w:p>
    <w:p w:rsidR="00A73490" w:rsidRDefault="00313FE4" w:rsidP="00313FE4">
      <w:pPr>
        <w:rPr>
          <w:lang w:eastAsia="en-US"/>
        </w:rPr>
      </w:pPr>
      <w:r>
        <w:rPr>
          <w:lang w:eastAsia="en-US"/>
        </w:rPr>
        <w:t>There are four key areas that require further attention to maintain sound financial management practices and consistent standards of performance across government.</w:t>
      </w:r>
    </w:p>
    <w:p w:rsidR="00A73490" w:rsidRPr="00CD2787" w:rsidRDefault="00A73490" w:rsidP="00A73490">
      <w:pPr>
        <w:pStyle w:val="Heading3"/>
      </w:pPr>
      <w:bookmarkStart w:id="19" w:name="_Toc407977534"/>
      <w:bookmarkStart w:id="20" w:name="_Toc415057789"/>
      <w:r w:rsidRPr="00CD2787">
        <w:t xml:space="preserve">Business </w:t>
      </w:r>
      <w:r w:rsidR="00FB60F7" w:rsidRPr="00CD2787">
        <w:t xml:space="preserve">continuity and disaster recovery </w:t>
      </w:r>
      <w:r w:rsidRPr="00CD2787">
        <w:t>(Direction Requirement 17)</w:t>
      </w:r>
      <w:bookmarkEnd w:id="19"/>
      <w:bookmarkEnd w:id="20"/>
    </w:p>
    <w:p w:rsidR="00A73490" w:rsidRDefault="00A73490" w:rsidP="00A73490">
      <w:pPr>
        <w:rPr>
          <w:lang w:eastAsia="en-US"/>
        </w:rPr>
      </w:pPr>
      <w:r w:rsidRPr="00CD2787">
        <w:rPr>
          <w:lang w:eastAsia="en-US"/>
        </w:rPr>
        <w:t>Non</w:t>
      </w:r>
      <w:r w:rsidR="00880C11">
        <w:rPr>
          <w:lang w:eastAsia="en-US"/>
        </w:rPr>
        <w:noBreakHyphen/>
      </w:r>
      <w:r w:rsidRPr="00CD2787">
        <w:rPr>
          <w:lang w:eastAsia="en-US"/>
        </w:rPr>
        <w:t xml:space="preserve">compliant and partially compliant agencies reported that disaster recovery and business continuity plans continue to be a work in progress. </w:t>
      </w:r>
      <w:r>
        <w:rPr>
          <w:lang w:eastAsia="en-US"/>
        </w:rPr>
        <w:t>Reasons provided by s</w:t>
      </w:r>
      <w:r w:rsidRPr="00CD2787">
        <w:rPr>
          <w:lang w:eastAsia="en-US"/>
        </w:rPr>
        <w:t xml:space="preserve">ome agencies </w:t>
      </w:r>
      <w:r>
        <w:rPr>
          <w:lang w:eastAsia="en-US"/>
        </w:rPr>
        <w:t xml:space="preserve">included that they </w:t>
      </w:r>
      <w:r w:rsidRPr="00CD2787">
        <w:rPr>
          <w:lang w:eastAsia="en-US"/>
        </w:rPr>
        <w:t>failed to formally document their plans</w:t>
      </w:r>
      <w:r>
        <w:rPr>
          <w:lang w:eastAsia="en-US"/>
        </w:rPr>
        <w:t>, or where they had an outsourced service, they were working with these providers to review and upgrade their internal systems</w:t>
      </w:r>
      <w:r w:rsidRPr="00CD2787">
        <w:rPr>
          <w:lang w:eastAsia="en-US"/>
        </w:rPr>
        <w:t xml:space="preserve">. </w:t>
      </w:r>
    </w:p>
    <w:p w:rsidR="00A73490" w:rsidRPr="00CD2787" w:rsidRDefault="00A73490" w:rsidP="00A73490">
      <w:pPr>
        <w:pStyle w:val="Heading3"/>
      </w:pPr>
      <w:bookmarkStart w:id="21" w:name="_Toc407977535"/>
      <w:bookmarkStart w:id="22" w:name="_Toc415057790"/>
      <w:r w:rsidRPr="00CD2787">
        <w:t xml:space="preserve">Policies and </w:t>
      </w:r>
      <w:r w:rsidR="00FB60F7">
        <w:t>p</w:t>
      </w:r>
      <w:r w:rsidRPr="00CD2787">
        <w:t>rocedures (Direction Requirement 12)</w:t>
      </w:r>
      <w:bookmarkEnd w:id="21"/>
      <w:bookmarkEnd w:id="22"/>
    </w:p>
    <w:p w:rsidR="00A73490" w:rsidRDefault="00A73490" w:rsidP="00A73490">
      <w:pPr>
        <w:rPr>
          <w:lang w:eastAsia="en-US"/>
        </w:rPr>
      </w:pPr>
      <w:r>
        <w:rPr>
          <w:lang w:eastAsia="en-US"/>
        </w:rPr>
        <w:t>The majority of p</w:t>
      </w:r>
      <w:r w:rsidRPr="00CD2787">
        <w:rPr>
          <w:lang w:eastAsia="en-US"/>
        </w:rPr>
        <w:t xml:space="preserve">artially compliant agencies reported difficulty developing and documenting detailed procedures for some parts of the Direction Requirement due to </w:t>
      </w:r>
      <w:r>
        <w:rPr>
          <w:lang w:eastAsia="en-US"/>
        </w:rPr>
        <w:t>lack of resources. Other agencies were not able to review and update information strategy policies and procedures as they were waiting for their portfolio departments to finalise portfolio information strategy policies, which affect their agency policies and procedures.</w:t>
      </w:r>
    </w:p>
    <w:p w:rsidR="00A73490" w:rsidRPr="00CD2787" w:rsidRDefault="00A73490" w:rsidP="00A73490">
      <w:pPr>
        <w:pStyle w:val="Heading3"/>
      </w:pPr>
      <w:bookmarkStart w:id="23" w:name="_Toc407977536"/>
      <w:bookmarkStart w:id="24" w:name="_Toc415057791"/>
      <w:r w:rsidRPr="00CD2787">
        <w:t>Audit Committee</w:t>
      </w:r>
      <w:bookmarkEnd w:id="23"/>
      <w:r>
        <w:t xml:space="preserve"> (Direction Requirement 4)</w:t>
      </w:r>
      <w:bookmarkEnd w:id="24"/>
    </w:p>
    <w:p w:rsidR="00A73490" w:rsidRPr="00CD2787" w:rsidRDefault="00A73490" w:rsidP="00A73490">
      <w:pPr>
        <w:rPr>
          <w:lang w:eastAsia="en-US"/>
        </w:rPr>
      </w:pPr>
      <w:r>
        <w:rPr>
          <w:lang w:eastAsia="en-US"/>
        </w:rPr>
        <w:t>The majority of p</w:t>
      </w:r>
      <w:r w:rsidRPr="00CD2787">
        <w:rPr>
          <w:lang w:eastAsia="en-US"/>
        </w:rPr>
        <w:t>artially and non</w:t>
      </w:r>
      <w:r w:rsidR="00880C11">
        <w:rPr>
          <w:lang w:eastAsia="en-US"/>
        </w:rPr>
        <w:noBreakHyphen/>
      </w:r>
      <w:r w:rsidRPr="00CD2787">
        <w:rPr>
          <w:lang w:eastAsia="en-US"/>
        </w:rPr>
        <w:t xml:space="preserve">compliant agencies reported a failure to recognise independent members of the committee in their annual reports. </w:t>
      </w:r>
      <w:r>
        <w:rPr>
          <w:lang w:eastAsia="en-US"/>
        </w:rPr>
        <w:t>Some regionally based agencies had difficulty</w:t>
      </w:r>
      <w:r w:rsidRPr="00CD2787">
        <w:rPr>
          <w:lang w:eastAsia="en-US"/>
        </w:rPr>
        <w:t xml:space="preserve"> recruiting appropriately qualified and skilled independent audit committee members. One agency reported itself as non</w:t>
      </w:r>
      <w:r w:rsidR="00880C11">
        <w:rPr>
          <w:lang w:eastAsia="en-US"/>
        </w:rPr>
        <w:noBreakHyphen/>
      </w:r>
      <w:r w:rsidRPr="00CD2787">
        <w:rPr>
          <w:lang w:eastAsia="en-US"/>
        </w:rPr>
        <w:t xml:space="preserve">compliant as it was </w:t>
      </w:r>
      <w:r>
        <w:rPr>
          <w:lang w:eastAsia="en-US"/>
        </w:rPr>
        <w:t>a newly established agency that</w:t>
      </w:r>
      <w:r w:rsidRPr="00CD2787">
        <w:rPr>
          <w:lang w:eastAsia="en-US"/>
        </w:rPr>
        <w:t xml:space="preserve"> was in the process of setting up an audit committee. </w:t>
      </w:r>
    </w:p>
    <w:p w:rsidR="00A73490" w:rsidRPr="00CD2787" w:rsidRDefault="00A73490" w:rsidP="00A73490">
      <w:pPr>
        <w:pStyle w:val="Heading3"/>
      </w:pPr>
      <w:bookmarkStart w:id="25" w:name="_Toc407977537"/>
      <w:bookmarkStart w:id="26" w:name="_Toc415057792"/>
      <w:r w:rsidRPr="00CD2787">
        <w:t xml:space="preserve">Internal </w:t>
      </w:r>
      <w:r w:rsidR="00470026">
        <w:t>a</w:t>
      </w:r>
      <w:r w:rsidRPr="00CD2787">
        <w:t>udit</w:t>
      </w:r>
      <w:bookmarkEnd w:id="25"/>
      <w:r>
        <w:t xml:space="preserve"> (Direction Requirement 7)</w:t>
      </w:r>
      <w:bookmarkEnd w:id="26"/>
    </w:p>
    <w:p w:rsidR="00A73490" w:rsidRPr="00CD2787" w:rsidRDefault="00A73490" w:rsidP="00A73490">
      <w:pPr>
        <w:rPr>
          <w:lang w:eastAsia="en-US"/>
        </w:rPr>
      </w:pPr>
      <w:r>
        <w:rPr>
          <w:lang w:eastAsia="en-US"/>
        </w:rPr>
        <w:t>Most of the a</w:t>
      </w:r>
      <w:r w:rsidRPr="00CD2787">
        <w:rPr>
          <w:lang w:eastAsia="en-US"/>
        </w:rPr>
        <w:t xml:space="preserve">gencies </w:t>
      </w:r>
      <w:r w:rsidRPr="00741413">
        <w:rPr>
          <w:lang w:eastAsia="en-US"/>
        </w:rPr>
        <w:t xml:space="preserve">reported that they were still in the process of developing their audit charter and awaiting endorsement by the audit committee. </w:t>
      </w:r>
      <w:r>
        <w:rPr>
          <w:lang w:eastAsia="en-US"/>
        </w:rPr>
        <w:t xml:space="preserve">Some agencies indicated </w:t>
      </w:r>
      <w:r w:rsidRPr="00CD2787">
        <w:rPr>
          <w:lang w:eastAsia="en-US"/>
        </w:rPr>
        <w:t>a lack of formal arrangements wi</w:t>
      </w:r>
      <w:r>
        <w:rPr>
          <w:lang w:eastAsia="en-US"/>
        </w:rPr>
        <w:t>th their internal auditor and incomplete</w:t>
      </w:r>
      <w:r w:rsidRPr="00CD2787">
        <w:rPr>
          <w:lang w:eastAsia="en-US"/>
        </w:rPr>
        <w:t xml:space="preserve"> internal audit plan as</w:t>
      </w:r>
      <w:r>
        <w:rPr>
          <w:lang w:eastAsia="en-US"/>
        </w:rPr>
        <w:t xml:space="preserve"> main</w:t>
      </w:r>
      <w:r w:rsidRPr="00CD2787">
        <w:rPr>
          <w:lang w:eastAsia="en-US"/>
        </w:rPr>
        <w:t xml:space="preserve"> reasons for non</w:t>
      </w:r>
      <w:r w:rsidR="00880C11">
        <w:rPr>
          <w:lang w:eastAsia="en-US"/>
        </w:rPr>
        <w:noBreakHyphen/>
      </w:r>
      <w:r w:rsidRPr="00CD2787">
        <w:rPr>
          <w:lang w:eastAsia="en-US"/>
        </w:rPr>
        <w:t>compliance.</w:t>
      </w:r>
      <w:r w:rsidR="00FB60F7">
        <w:rPr>
          <w:lang w:eastAsia="en-US"/>
        </w:rPr>
        <w:t xml:space="preserve"> </w:t>
      </w:r>
    </w:p>
    <w:p w:rsidR="00313FE4" w:rsidRDefault="00313FE4" w:rsidP="00313FE4">
      <w:pPr>
        <w:pStyle w:val="Heading1"/>
        <w:spacing w:after="960"/>
      </w:pPr>
      <w:bookmarkStart w:id="27" w:name="_Toc391995692"/>
      <w:bookmarkStart w:id="28" w:name="_Toc415057793"/>
      <w:r>
        <w:lastRenderedPageBreak/>
        <w:t>Conclusion</w:t>
      </w:r>
      <w:bookmarkEnd w:id="27"/>
      <w:bookmarkEnd w:id="28"/>
    </w:p>
    <w:p w:rsidR="00313FE4" w:rsidRPr="00313FE4" w:rsidRDefault="00313FE4" w:rsidP="00313FE4">
      <w:pPr>
        <w:rPr>
          <w:lang w:eastAsia="en-US"/>
        </w:rPr>
      </w:pPr>
      <w:r w:rsidRPr="00313FE4">
        <w:rPr>
          <w:lang w:eastAsia="en-US"/>
        </w:rPr>
        <w:t>Certification results for 2013</w:t>
      </w:r>
      <w:r w:rsidR="00880C11">
        <w:rPr>
          <w:lang w:eastAsia="en-US"/>
        </w:rPr>
        <w:noBreakHyphen/>
      </w:r>
      <w:r w:rsidRPr="00313FE4">
        <w:rPr>
          <w:lang w:eastAsia="en-US"/>
        </w:rPr>
        <w:t xml:space="preserve">14 show that levels of compliance among certifying agencies remain high. </w:t>
      </w:r>
    </w:p>
    <w:p w:rsidR="00313FE4" w:rsidRPr="00313FE4" w:rsidRDefault="00313FE4" w:rsidP="00313FE4">
      <w:pPr>
        <w:rPr>
          <w:lang w:eastAsia="en-US"/>
        </w:rPr>
      </w:pPr>
      <w:r w:rsidRPr="00313FE4">
        <w:rPr>
          <w:lang w:eastAsia="en-US"/>
        </w:rPr>
        <w:t>To ensure that the Standing Directions of the Minister for Finance are clear, relevant, and fit</w:t>
      </w:r>
      <w:r w:rsidR="00880C11">
        <w:rPr>
          <w:lang w:eastAsia="en-US"/>
        </w:rPr>
        <w:noBreakHyphen/>
      </w:r>
      <w:r w:rsidRPr="00313FE4">
        <w:rPr>
          <w:lang w:eastAsia="en-US"/>
        </w:rPr>
        <w:t>for</w:t>
      </w:r>
      <w:r w:rsidR="00880C11">
        <w:rPr>
          <w:lang w:eastAsia="en-US"/>
        </w:rPr>
        <w:noBreakHyphen/>
      </w:r>
      <w:r w:rsidRPr="00313FE4">
        <w:rPr>
          <w:lang w:eastAsia="en-US"/>
        </w:rPr>
        <w:t xml:space="preserve">purpose, DTF is reviewing the Directions and the associated rules and guidance to identify improvements that aim to increase effectiveness, minimise red tape and reduce barriers to full compliance. </w:t>
      </w:r>
    </w:p>
    <w:p w:rsidR="00313FE4" w:rsidRDefault="00313FE4" w:rsidP="00313FE4">
      <w:pPr>
        <w:rPr>
          <w:lang w:eastAsia="en-US"/>
        </w:rPr>
      </w:pPr>
      <w:r w:rsidRPr="00313FE4">
        <w:rPr>
          <w:lang w:eastAsia="en-US"/>
        </w:rPr>
        <w:t>In addition to reviewing and enhancing the Directions, DTF continues to focus on supporting agencies with their compliance requirements, especially by updating DTF guidance material and providing timely and accurate responses to compliance</w:t>
      </w:r>
      <w:r w:rsidR="00880C11">
        <w:rPr>
          <w:lang w:eastAsia="en-US"/>
        </w:rPr>
        <w:noBreakHyphen/>
      </w:r>
      <w:r w:rsidRPr="00313FE4">
        <w:rPr>
          <w:lang w:eastAsia="en-US"/>
        </w:rPr>
        <w:t xml:space="preserve">related queries. While DTF guidance is not binding on agencies for compliance purposes, it is important that agencies are able to clearly interpret their obligations under the Directions. </w:t>
      </w:r>
    </w:p>
    <w:p w:rsidR="00FB60F7" w:rsidRPr="00313FE4" w:rsidRDefault="00FB60F7" w:rsidP="00313FE4">
      <w:pPr>
        <w:rPr>
          <w:lang w:eastAsia="en-US"/>
        </w:rPr>
      </w:pPr>
    </w:p>
    <w:p w:rsidR="00A73490" w:rsidRDefault="00A73490" w:rsidP="00A73490">
      <w:pPr>
        <w:spacing w:before="80" w:after="80"/>
        <w:sectPr w:rsidR="00A73490" w:rsidSect="00E56F08">
          <w:footerReference w:type="default" r:id="rId20"/>
          <w:type w:val="oddPage"/>
          <w:pgSz w:w="11906" w:h="16838" w:code="9"/>
          <w:pgMar w:top="1555" w:right="1411" w:bottom="1138" w:left="1411" w:header="461" w:footer="288" w:gutter="0"/>
          <w:pgNumType w:start="1"/>
          <w:cols w:space="708"/>
          <w:docGrid w:linePitch="360"/>
        </w:sectPr>
      </w:pPr>
    </w:p>
    <w:p w:rsidR="00A73490" w:rsidRDefault="00A73490" w:rsidP="00A73490">
      <w:pPr>
        <w:pStyle w:val="Heading1"/>
      </w:pPr>
      <w:bookmarkStart w:id="29" w:name="_Toc407977549"/>
      <w:bookmarkStart w:id="30" w:name="_Toc415057794"/>
      <w:r w:rsidRPr="00DD41A9">
        <w:lastRenderedPageBreak/>
        <w:t>Appendi</w:t>
      </w:r>
      <w:bookmarkEnd w:id="29"/>
      <w:r w:rsidR="00606A6A">
        <w:t>x</w:t>
      </w:r>
      <w:r w:rsidR="00313FE4">
        <w:t xml:space="preserve"> 1: Level of </w:t>
      </w:r>
      <w:r w:rsidR="00FB60F7">
        <w:t xml:space="preserve">compliance </w:t>
      </w:r>
      <w:r w:rsidR="00313FE4">
        <w:t>with Direction Requirements</w:t>
      </w:r>
      <w:bookmarkEnd w:id="30"/>
    </w:p>
    <w:p w:rsidR="00A73490" w:rsidRPr="00DD41A9" w:rsidRDefault="00A73490" w:rsidP="00A73490">
      <w:pPr>
        <w:rPr>
          <w:lang w:eastAsia="en-US"/>
        </w:rPr>
      </w:pPr>
      <w:r w:rsidRPr="00DD41A9">
        <w:rPr>
          <w:lang w:eastAsia="en-US"/>
        </w:rPr>
        <w:t xml:space="preserve">This table details the number and percentage of compliance by agencies with each Direction Requirement. </w:t>
      </w:r>
    </w:p>
    <w:tbl>
      <w:tblPr>
        <w:tblStyle w:val="TableGrid10"/>
        <w:tblW w:w="14195" w:type="dxa"/>
        <w:tblCellMar>
          <w:left w:w="43" w:type="dxa"/>
          <w:right w:w="43" w:type="dxa"/>
        </w:tblCellMar>
        <w:tblLook w:val="04A0" w:firstRow="1" w:lastRow="0" w:firstColumn="1" w:lastColumn="0" w:noHBand="0" w:noVBand="1"/>
      </w:tblPr>
      <w:tblGrid>
        <w:gridCol w:w="1413"/>
        <w:gridCol w:w="2085"/>
        <w:gridCol w:w="5130"/>
        <w:gridCol w:w="1440"/>
        <w:gridCol w:w="1212"/>
        <w:gridCol w:w="1653"/>
        <w:gridCol w:w="1262"/>
      </w:tblGrid>
      <w:tr w:rsidR="00FB60F7" w:rsidRPr="00DD41A9" w:rsidTr="00E96F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rsidR="00A73490" w:rsidRPr="00DD41A9" w:rsidRDefault="00FB60F7" w:rsidP="00FB60F7">
            <w:pPr>
              <w:pStyle w:val="TableHeader"/>
            </w:pPr>
            <w:r>
              <w:t>Direction Requirement</w:t>
            </w:r>
          </w:p>
        </w:tc>
        <w:tc>
          <w:tcPr>
            <w:tcW w:w="2085" w:type="dxa"/>
            <w:vMerge w:val="restart"/>
            <w:hideMark/>
          </w:tcPr>
          <w:p w:rsidR="00A73490" w:rsidRPr="00DD41A9" w:rsidRDefault="00FB60F7" w:rsidP="00FB60F7">
            <w:pPr>
              <w:pStyle w:val="TableHeader"/>
              <w:cnfStyle w:val="100000000000" w:firstRow="1" w:lastRow="0" w:firstColumn="0" w:lastColumn="0" w:oddVBand="0" w:evenVBand="0" w:oddHBand="0" w:evenHBand="0" w:firstRowFirstColumn="0" w:firstRowLastColumn="0" w:lastRowFirstColumn="0" w:lastRowLastColumn="0"/>
            </w:pPr>
            <w:r>
              <w:t>Direction</w:t>
            </w:r>
          </w:p>
        </w:tc>
        <w:tc>
          <w:tcPr>
            <w:tcW w:w="5130" w:type="dxa"/>
            <w:vMerge w:val="restart"/>
            <w:hideMark/>
          </w:tcPr>
          <w:p w:rsidR="00A73490" w:rsidRPr="00DD41A9" w:rsidRDefault="00FB60F7" w:rsidP="00FB60F7">
            <w:pPr>
              <w:pStyle w:val="TableHeader"/>
              <w:cnfStyle w:val="100000000000" w:firstRow="1" w:lastRow="0" w:firstColumn="0" w:lastColumn="0" w:oddVBand="0" w:evenVBand="0" w:oddHBand="0" w:evenHBand="0" w:firstRowFirstColumn="0" w:firstRowLastColumn="0" w:lastRowFirstColumn="0" w:lastRowLastColumn="0"/>
            </w:pPr>
            <w:r>
              <w:t>Requirement</w:t>
            </w:r>
          </w:p>
        </w:tc>
        <w:tc>
          <w:tcPr>
            <w:tcW w:w="5567" w:type="dxa"/>
            <w:gridSpan w:val="4"/>
            <w:hideMark/>
          </w:tcPr>
          <w:p w:rsidR="00A73490" w:rsidRPr="00DD41A9" w:rsidRDefault="00A73490" w:rsidP="00FB60F7">
            <w:pPr>
              <w:pStyle w:val="TableHeader"/>
              <w:jc w:val="center"/>
              <w:cnfStyle w:val="100000000000" w:firstRow="1" w:lastRow="0" w:firstColumn="0" w:lastColumn="0" w:oddVBand="0" w:evenVBand="0" w:oddHBand="0" w:evenHBand="0" w:firstRowFirstColumn="0" w:firstRowLastColumn="0" w:lastRowFirstColumn="0" w:lastRowLastColumn="0"/>
              <w:rPr>
                <w:color w:val="4C4C4C"/>
              </w:rPr>
            </w:pPr>
            <w:r w:rsidRPr="00DD41A9">
              <w:rPr>
                <w:color w:val="4C4C4C"/>
                <w:lang w:eastAsia="en-US"/>
              </w:rPr>
              <w:t>Compliance</w:t>
            </w:r>
            <w:r w:rsidR="00FB60F7">
              <w:rPr>
                <w:color w:val="4C4C4C"/>
                <w:lang w:eastAsia="en-US"/>
              </w:rPr>
              <w:t xml:space="preserve"> </w:t>
            </w:r>
            <w:r w:rsidRPr="00DD41A9">
              <w:rPr>
                <w:color w:val="4C4C4C"/>
                <w:lang w:eastAsia="en-US"/>
              </w:rPr>
              <w:t>(percentage)</w:t>
            </w:r>
          </w:p>
        </w:tc>
      </w:tr>
      <w:tr w:rsidR="00FB60F7" w:rsidRPr="00DD41A9" w:rsidTr="00E96F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vMerge/>
            <w:hideMark/>
          </w:tcPr>
          <w:p w:rsidR="00A73490" w:rsidRPr="00DD41A9" w:rsidRDefault="00A73490" w:rsidP="00FB60F7">
            <w:pPr>
              <w:pStyle w:val="TableHeader"/>
            </w:pPr>
          </w:p>
        </w:tc>
        <w:tc>
          <w:tcPr>
            <w:tcW w:w="2085" w:type="dxa"/>
            <w:vMerge/>
            <w:hideMark/>
          </w:tcPr>
          <w:p w:rsidR="00A73490" w:rsidRPr="00DD41A9" w:rsidRDefault="00A73490" w:rsidP="00FB60F7">
            <w:pPr>
              <w:pStyle w:val="TableHeader"/>
              <w:cnfStyle w:val="100000000000" w:firstRow="1" w:lastRow="0" w:firstColumn="0" w:lastColumn="0" w:oddVBand="0" w:evenVBand="0" w:oddHBand="0" w:evenHBand="0" w:firstRowFirstColumn="0" w:firstRowLastColumn="0" w:lastRowFirstColumn="0" w:lastRowLastColumn="0"/>
            </w:pPr>
          </w:p>
        </w:tc>
        <w:tc>
          <w:tcPr>
            <w:tcW w:w="5130" w:type="dxa"/>
            <w:vMerge/>
            <w:hideMark/>
          </w:tcPr>
          <w:p w:rsidR="00A73490" w:rsidRPr="00DD41A9" w:rsidRDefault="00A73490" w:rsidP="00FB60F7">
            <w:pPr>
              <w:pStyle w:val="TableHeader"/>
              <w:cnfStyle w:val="100000000000" w:firstRow="1" w:lastRow="0" w:firstColumn="0" w:lastColumn="0" w:oddVBand="0" w:evenVBand="0" w:oddHBand="0" w:evenHBand="0" w:firstRowFirstColumn="0" w:firstRowLastColumn="0" w:lastRowFirstColumn="0" w:lastRowLastColumn="0"/>
            </w:pPr>
          </w:p>
        </w:tc>
        <w:tc>
          <w:tcPr>
            <w:tcW w:w="1440" w:type="dxa"/>
            <w:hideMark/>
          </w:tcPr>
          <w:p w:rsidR="00A73490" w:rsidRPr="00DD41A9" w:rsidRDefault="00A73490" w:rsidP="00FB60F7">
            <w:pPr>
              <w:pStyle w:val="TableHeader"/>
              <w:jc w:val="center"/>
              <w:cnfStyle w:val="100000000000" w:firstRow="1" w:lastRow="0" w:firstColumn="0" w:lastColumn="0" w:oddVBand="0" w:evenVBand="0" w:oddHBand="0" w:evenHBand="0" w:firstRowFirstColumn="0" w:firstRowLastColumn="0" w:lastRowFirstColumn="0" w:lastRowLastColumn="0"/>
              <w:rPr>
                <w:color w:val="4C4C4C"/>
              </w:rPr>
            </w:pPr>
            <w:r w:rsidRPr="00DD41A9">
              <w:rPr>
                <w:color w:val="4C4C4C"/>
              </w:rPr>
              <w:t>Compliant</w:t>
            </w:r>
          </w:p>
        </w:tc>
        <w:tc>
          <w:tcPr>
            <w:tcW w:w="1212" w:type="dxa"/>
            <w:hideMark/>
          </w:tcPr>
          <w:p w:rsidR="00A73490" w:rsidRPr="00DD41A9" w:rsidRDefault="00A73490" w:rsidP="00FB60F7">
            <w:pPr>
              <w:pStyle w:val="TableHeader"/>
              <w:jc w:val="center"/>
              <w:cnfStyle w:val="100000000000" w:firstRow="1" w:lastRow="0" w:firstColumn="0" w:lastColumn="0" w:oddVBand="0" w:evenVBand="0" w:oddHBand="0" w:evenHBand="0" w:firstRowFirstColumn="0" w:firstRowLastColumn="0" w:lastRowFirstColumn="0" w:lastRowLastColumn="0"/>
              <w:rPr>
                <w:color w:val="4C4C4C"/>
              </w:rPr>
            </w:pPr>
            <w:r w:rsidRPr="00DD41A9">
              <w:rPr>
                <w:color w:val="4C4C4C"/>
              </w:rPr>
              <w:t>Partial</w:t>
            </w:r>
          </w:p>
        </w:tc>
        <w:tc>
          <w:tcPr>
            <w:tcW w:w="1653" w:type="dxa"/>
            <w:hideMark/>
          </w:tcPr>
          <w:p w:rsidR="00A73490" w:rsidRPr="00DD41A9" w:rsidRDefault="00A73490" w:rsidP="00FB60F7">
            <w:pPr>
              <w:pStyle w:val="TableHeader"/>
              <w:jc w:val="center"/>
              <w:cnfStyle w:val="100000000000" w:firstRow="1" w:lastRow="0" w:firstColumn="0" w:lastColumn="0" w:oddVBand="0" w:evenVBand="0" w:oddHBand="0" w:evenHBand="0" w:firstRowFirstColumn="0" w:firstRowLastColumn="0" w:lastRowFirstColumn="0" w:lastRowLastColumn="0"/>
              <w:rPr>
                <w:color w:val="4C4C4C"/>
              </w:rPr>
            </w:pPr>
            <w:r w:rsidRPr="00DD41A9">
              <w:rPr>
                <w:color w:val="4C4C4C"/>
              </w:rPr>
              <w:t>Non</w:t>
            </w:r>
            <w:r w:rsidR="00880C11">
              <w:rPr>
                <w:color w:val="4C4C4C"/>
              </w:rPr>
              <w:noBreakHyphen/>
            </w:r>
            <w:r w:rsidRPr="00DD41A9">
              <w:rPr>
                <w:color w:val="4C4C4C"/>
              </w:rPr>
              <w:t>Compliant</w:t>
            </w:r>
          </w:p>
        </w:tc>
        <w:tc>
          <w:tcPr>
            <w:tcW w:w="1262" w:type="dxa"/>
            <w:hideMark/>
          </w:tcPr>
          <w:p w:rsidR="00A73490" w:rsidRPr="00DD41A9" w:rsidRDefault="00A73490" w:rsidP="00FB60F7">
            <w:pPr>
              <w:pStyle w:val="TableHeader"/>
              <w:jc w:val="center"/>
              <w:cnfStyle w:val="100000000000" w:firstRow="1" w:lastRow="0" w:firstColumn="0" w:lastColumn="0" w:oddVBand="0" w:evenVBand="0" w:oddHBand="0" w:evenHBand="0" w:firstRowFirstColumn="0" w:firstRowLastColumn="0" w:lastRowFirstColumn="0" w:lastRowLastColumn="0"/>
              <w:rPr>
                <w:color w:val="4C4C4C"/>
              </w:rPr>
            </w:pPr>
            <w:r w:rsidRPr="00DD41A9">
              <w:rPr>
                <w:color w:val="4C4C4C"/>
              </w:rPr>
              <w:t>Not Applicable</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313FE4" w:rsidRPr="00DD41A9" w:rsidRDefault="00313FE4" w:rsidP="00FB60F7">
            <w:pPr>
              <w:pStyle w:val="TableText"/>
            </w:pPr>
            <w:r w:rsidRPr="00DD41A9">
              <w:rPr>
                <w:lang w:eastAsia="en-US"/>
              </w:rPr>
              <w:t>1</w:t>
            </w:r>
          </w:p>
        </w:tc>
        <w:tc>
          <w:tcPr>
            <w:tcW w:w="2085" w:type="dxa"/>
            <w:hideMark/>
          </w:tcPr>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2.1</w:t>
            </w:r>
            <w:r w:rsidR="00880C11">
              <w:rPr>
                <w:rFonts w:cs="Arial"/>
              </w:rPr>
              <w:t xml:space="preserve"> – </w:t>
            </w:r>
            <w:r w:rsidRPr="00DD41A9">
              <w:rPr>
                <w:rFonts w:cs="Arial"/>
              </w:rPr>
              <w:t>Financial Code of Practice</w:t>
            </w:r>
          </w:p>
        </w:tc>
        <w:tc>
          <w:tcPr>
            <w:tcW w:w="5130" w:type="dxa"/>
            <w:hideMark/>
          </w:tcPr>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A ‘Financial Code of Practice’ exists covering areas required by the Directions, and is overseen by effective management with regards to its implementation, monitoring of compliance with its requirements, and dealing with breaches.</w:t>
            </w:r>
          </w:p>
        </w:tc>
        <w:tc>
          <w:tcPr>
            <w:tcW w:w="1440"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97.3</w:t>
            </w:r>
          </w:p>
        </w:tc>
        <w:tc>
          <w:tcPr>
            <w:tcW w:w="1212"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2.7</w:t>
            </w:r>
          </w:p>
        </w:tc>
        <w:tc>
          <w:tcPr>
            <w:tcW w:w="1653"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313FE4" w:rsidRPr="00DD41A9" w:rsidRDefault="00313FE4" w:rsidP="00FB60F7">
            <w:pPr>
              <w:pStyle w:val="TableText"/>
            </w:pPr>
            <w:r w:rsidRPr="00DD41A9">
              <w:rPr>
                <w:lang w:eastAsia="en-US"/>
              </w:rPr>
              <w:t>2</w:t>
            </w:r>
          </w:p>
        </w:tc>
        <w:tc>
          <w:tcPr>
            <w:tcW w:w="2085" w:type="dxa"/>
            <w:hideMark/>
          </w:tcPr>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2.2</w:t>
            </w:r>
            <w:r w:rsidR="00880C11">
              <w:rPr>
                <w:rFonts w:cs="Arial"/>
              </w:rPr>
              <w:t xml:space="preserve"> – </w:t>
            </w:r>
            <w:r w:rsidRPr="00DD41A9">
              <w:rPr>
                <w:rFonts w:cs="Arial"/>
              </w:rPr>
              <w:t>Financial Governance</w:t>
            </w:r>
          </w:p>
        </w:tc>
        <w:tc>
          <w:tcPr>
            <w:tcW w:w="5130" w:type="dxa"/>
            <w:hideMark/>
          </w:tcPr>
          <w:p w:rsidR="00313FE4" w:rsidRPr="00E96F54" w:rsidRDefault="00313FE4" w:rsidP="00FB60F7">
            <w:pPr>
              <w:pStyle w:val="TableText"/>
              <w:cnfStyle w:val="000000000000" w:firstRow="0" w:lastRow="0" w:firstColumn="0" w:lastColumn="0" w:oddVBand="0" w:evenVBand="0" w:oddHBand="0" w:evenHBand="0" w:firstRowFirstColumn="0" w:firstRowLastColumn="0" w:lastRowFirstColumn="0" w:lastRowLastColumn="0"/>
              <w:rPr>
                <w:b/>
              </w:rPr>
            </w:pPr>
            <w:r w:rsidRPr="00E96F54">
              <w:rPr>
                <w:b/>
                <w:iCs/>
              </w:rPr>
              <w:t xml:space="preserve">Responsible </w:t>
            </w:r>
            <w:r w:rsidR="00FB60F7" w:rsidRPr="00E96F54">
              <w:rPr>
                <w:b/>
                <w:iCs/>
              </w:rPr>
              <w:t xml:space="preserve">Body </w:t>
            </w:r>
          </w:p>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pPr>
            <w:r w:rsidRPr="00DD41A9">
              <w:t>The Responsible Body is responsible for the governance and oversight of financial management and undertakes the duties set out in the Directions. It meets often enough to undertake an effective financial governance role.</w:t>
            </w:r>
          </w:p>
        </w:tc>
        <w:tc>
          <w:tcPr>
            <w:tcW w:w="1440"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95.5</w:t>
            </w:r>
          </w:p>
        </w:tc>
        <w:tc>
          <w:tcPr>
            <w:tcW w:w="1212"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4.5</w:t>
            </w:r>
          </w:p>
        </w:tc>
        <w:tc>
          <w:tcPr>
            <w:tcW w:w="1653"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313FE4" w:rsidRPr="00DD41A9" w:rsidRDefault="00313FE4" w:rsidP="00FB60F7">
            <w:pPr>
              <w:pStyle w:val="TableText"/>
            </w:pPr>
            <w:r w:rsidRPr="00DD41A9">
              <w:rPr>
                <w:lang w:eastAsia="en-US"/>
              </w:rPr>
              <w:t>3</w:t>
            </w:r>
          </w:p>
        </w:tc>
        <w:tc>
          <w:tcPr>
            <w:tcW w:w="2085" w:type="dxa"/>
            <w:hideMark/>
          </w:tcPr>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2.2</w:t>
            </w:r>
            <w:r w:rsidR="00880C11">
              <w:rPr>
                <w:rFonts w:cs="Arial"/>
              </w:rPr>
              <w:t xml:space="preserve"> – </w:t>
            </w:r>
            <w:r w:rsidRPr="00DD41A9">
              <w:rPr>
                <w:rFonts w:cs="Arial"/>
              </w:rPr>
              <w:t>Financial Governance</w:t>
            </w:r>
          </w:p>
        </w:tc>
        <w:tc>
          <w:tcPr>
            <w:tcW w:w="5130" w:type="dxa"/>
            <w:hideMark/>
          </w:tcPr>
          <w:p w:rsidR="00313FE4" w:rsidRPr="00E96F54" w:rsidRDefault="00313FE4" w:rsidP="00FB60F7">
            <w:pPr>
              <w:pStyle w:val="TableText"/>
              <w:cnfStyle w:val="000000000000" w:firstRow="0" w:lastRow="0" w:firstColumn="0" w:lastColumn="0" w:oddVBand="0" w:evenVBand="0" w:oddHBand="0" w:evenHBand="0" w:firstRowFirstColumn="0" w:firstRowLastColumn="0" w:lastRowFirstColumn="0" w:lastRowLastColumn="0"/>
              <w:rPr>
                <w:b/>
                <w:iCs/>
              </w:rPr>
            </w:pPr>
            <w:r w:rsidRPr="00E96F54">
              <w:rPr>
                <w:b/>
                <w:iCs/>
              </w:rPr>
              <w:t xml:space="preserve">Formal </w:t>
            </w:r>
            <w:r w:rsidR="00FB60F7" w:rsidRPr="00E96F54">
              <w:rPr>
                <w:b/>
                <w:iCs/>
              </w:rPr>
              <w:t xml:space="preserve">statements </w:t>
            </w:r>
          </w:p>
          <w:p w:rsidR="00313FE4" w:rsidRPr="00DD41A9" w:rsidRDefault="00313FE4" w:rsidP="00FB60F7">
            <w:pPr>
              <w:pStyle w:val="TableText"/>
              <w:cnfStyle w:val="000000000000" w:firstRow="0" w:lastRow="0" w:firstColumn="0" w:lastColumn="0" w:oddVBand="0" w:evenVBand="0" w:oddHBand="0" w:evenHBand="0" w:firstRowFirstColumn="0" w:firstRowLastColumn="0" w:lastRowFirstColumn="0" w:lastRowLastColumn="0"/>
            </w:pPr>
            <w:r w:rsidRPr="00DD41A9">
              <w:t xml:space="preserve">For agencies: The Accountable Officer and the </w:t>
            </w:r>
            <w:r w:rsidR="00F53B86" w:rsidRPr="00DD41A9">
              <w:rPr>
                <w:rFonts w:cs="Arial"/>
              </w:rPr>
              <w:t>Chief Finance and Accounting Officer</w:t>
            </w:r>
            <w:r w:rsidR="00F53B86">
              <w:t xml:space="preserve"> (</w:t>
            </w:r>
            <w:r w:rsidRPr="00DD41A9">
              <w:t>CFAO</w:t>
            </w:r>
            <w:r w:rsidR="00F53B86">
              <w:t>)</w:t>
            </w:r>
            <w:r w:rsidRPr="00DD41A9">
              <w:t xml:space="preserve"> have, in the last 12 months, made formal statements to the Responsible Body (Board) that the Agency’s financial reports present fairly the results and financial condition of the Agency and is founded on sound risk management, internal compliance and control systems. </w:t>
            </w:r>
          </w:p>
          <w:p w:rsidR="00313FE4" w:rsidRPr="002A2C3B" w:rsidRDefault="00313FE4"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For departments: The CFAO has, in the last 12 months, made a formal statement to the Audit Committee and the Accountable Officer, that the Agency’s financial reports present fairly the results and financial condition of the Agency and is founded on sound risk management, internal compliance and control systems.</w:t>
            </w:r>
          </w:p>
        </w:tc>
        <w:tc>
          <w:tcPr>
            <w:tcW w:w="1440"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99.6</w:t>
            </w:r>
          </w:p>
        </w:tc>
        <w:tc>
          <w:tcPr>
            <w:tcW w:w="1212"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653" w:type="dxa"/>
          </w:tcPr>
          <w:p w:rsidR="00313FE4" w:rsidRPr="00DD41A9" w:rsidRDefault="00313FE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313FE4"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rPr>
                <w:lang w:eastAsia="en-US"/>
              </w:rPr>
              <w:lastRenderedPageBreak/>
              <w:t>4</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2.2</w:t>
            </w:r>
            <w:r w:rsidR="00880C11">
              <w:t xml:space="preserve"> – </w:t>
            </w:r>
            <w:r w:rsidRPr="00DD41A9">
              <w:t>Financial Governance</w:t>
            </w:r>
          </w:p>
        </w:tc>
        <w:tc>
          <w:tcPr>
            <w:tcW w:w="5130" w:type="dxa"/>
            <w:hideMark/>
          </w:tcPr>
          <w:p w:rsidR="002A2C3B" w:rsidRPr="00E96F54" w:rsidRDefault="002A2C3B" w:rsidP="00FB60F7">
            <w:pPr>
              <w:pStyle w:val="TableText"/>
              <w:cnfStyle w:val="000000000000" w:firstRow="0" w:lastRow="0" w:firstColumn="0" w:lastColumn="0" w:oddVBand="0" w:evenVBand="0" w:oddHBand="0" w:evenHBand="0" w:firstRowFirstColumn="0" w:firstRowLastColumn="0" w:lastRowFirstColumn="0" w:lastRowLastColumn="0"/>
              <w:rPr>
                <w:b/>
              </w:rPr>
            </w:pPr>
            <w:r w:rsidRPr="00E96F54">
              <w:rPr>
                <w:b/>
              </w:rPr>
              <w:t xml:space="preserve">Audit Committee </w:t>
            </w:r>
          </w:p>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An Audit Committee has been constituted and has a membership that is consistent with the criteria specified in Direction 2.2. The Audit Committee has functioned within the parameters of a Charter, which has been approved by the Responsible Body and provided to each member of the Audit Committee. It has had direct access to:</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internal and external auditors;</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the accountable officer;</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the CFAO; and</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the Public Sector Agency’s management (through the Accountable Officer).</w:t>
            </w:r>
          </w:p>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t>Where an Audit Committee does not exist, a written exemption must be obtained from the Minister for Finance and the Responsible Body undertakes the functions of an Audit Committee.</w:t>
            </w:r>
            <w:r w:rsidRPr="00DD41A9">
              <w:rPr>
                <w:rFonts w:cs="Arial"/>
              </w:rPr>
              <w:t xml:space="preserve"> </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89.8</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9.1</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rPr>
                <w:lang w:eastAsia="en-US"/>
              </w:rPr>
              <w:t>5</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2.3</w:t>
            </w:r>
            <w:r w:rsidR="00880C11">
              <w:rPr>
                <w:rFonts w:cs="Arial"/>
              </w:rPr>
              <w:t xml:space="preserve"> – </w:t>
            </w:r>
            <w:r w:rsidRPr="00DD41A9">
              <w:rPr>
                <w:rFonts w:cs="Arial"/>
              </w:rPr>
              <w:t>Financial Risk Management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 xml:space="preserve">The Public Sector Agency has a financial risk management policy and internal control system in place which addresses the risks associated with the financial management of the Public Sector Agency. The financial risk profile has been critically reviewed by the </w:t>
            </w:r>
            <w:r w:rsidR="00F53B86">
              <w:rPr>
                <w:rFonts w:cs="Arial"/>
              </w:rPr>
              <w:t>Responsible Body in the last 12 </w:t>
            </w:r>
            <w:r w:rsidRPr="00DD41A9">
              <w:rPr>
                <w:rFonts w:cs="Arial"/>
              </w:rPr>
              <w:t>months.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97.0</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2.7</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6</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2.4 Authorisations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The Responsible Body has adopted financial authorisations which conform to the requirements of the Directions and these authorisations have been reviewed by the Responsible Body in the last 12 months.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96.6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3.4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lastRenderedPageBreak/>
              <w:t>7</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2.5</w:t>
            </w:r>
            <w:r w:rsidR="00880C11">
              <w:rPr>
                <w:rFonts w:cs="Arial"/>
              </w:rPr>
              <w:t xml:space="preserve"> – </w:t>
            </w:r>
            <w:r w:rsidRPr="00DD41A9">
              <w:rPr>
                <w:rFonts w:cs="Arial"/>
              </w:rPr>
              <w:t>Internal Audit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An internal audit function exists and works within the parameters of a Charter and an internal audit plan, both of which has been approved by the Audit Committee or Responsible Body in the absence of an Audit Committee, and are consistent with the requirements of the Directions. A private meeting with the internal auditors has been held at least once in the last 12 months.</w:t>
            </w:r>
          </w:p>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Where an internal audit function does not exist, a written exemption must be obtained from the Minister for Finance.</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92.0</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5.7</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1.5</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8</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2.6</w:t>
            </w:r>
            <w:r w:rsidR="00880C11">
              <w:rPr>
                <w:rFonts w:cs="Arial"/>
              </w:rPr>
              <w:t xml:space="preserve"> – </w:t>
            </w:r>
            <w:r w:rsidRPr="00DD41A9">
              <w:rPr>
                <w:rFonts w:cs="Arial"/>
              </w:rPr>
              <w:t>External Audit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The Audit Committee, or Responsible Body in the absence of an Audit Committee, has taken the actions required by Direction 2.6 in respect of external audit for the financial year (or part thereof) just ended, including inviting the external auditor to all relevant meetings and making time available to meet privately to discuss audit related issues at least once in the last 12 months.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99.2</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9</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3.1.1</w:t>
            </w:r>
            <w:r w:rsidR="00880C11">
              <w:rPr>
                <w:rFonts w:cs="Arial"/>
              </w:rPr>
              <w:t xml:space="preserve"> – </w:t>
            </w:r>
            <w:r w:rsidRPr="00DD41A9">
              <w:rPr>
                <w:rFonts w:cs="Arial"/>
              </w:rPr>
              <w:t>Public Sector Agency Financial Management Team Structure</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Roles and responsibilities for positions in the financial management team structure, and the prerequisite skills, qualifications and experience have been defined and documented.</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98.9</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r>
      <w:tr w:rsidR="00E96F54" w:rsidRPr="00DD41A9" w:rsidTr="00E96F54">
        <w:trPr>
          <w:trHeight w:val="1062"/>
        </w:trPr>
        <w:tc>
          <w:tcPr>
            <w:cnfStyle w:val="001000000000" w:firstRow="0" w:lastRow="0" w:firstColumn="1" w:lastColumn="0" w:oddVBand="0" w:evenVBand="0" w:oddHBand="0" w:evenHBand="0" w:firstRowFirstColumn="0" w:firstRowLastColumn="0" w:lastRowFirstColumn="0" w:lastRowLastColumn="0"/>
            <w:tcW w:w="1413" w:type="dxa"/>
            <w:hideMark/>
          </w:tcPr>
          <w:p w:rsidR="00E96F54" w:rsidRPr="00DD41A9" w:rsidRDefault="00E96F54" w:rsidP="00FB60F7">
            <w:pPr>
              <w:pStyle w:val="TableText"/>
            </w:pPr>
            <w:r w:rsidRPr="00DD41A9">
              <w:t>10</w:t>
            </w:r>
          </w:p>
        </w:tc>
        <w:tc>
          <w:tcPr>
            <w:tcW w:w="2085" w:type="dxa"/>
            <w:hideMark/>
          </w:tcPr>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3.1.2</w:t>
            </w:r>
            <w:r>
              <w:rPr>
                <w:rFonts w:cs="Arial"/>
              </w:rPr>
              <w:t xml:space="preserve"> – </w:t>
            </w:r>
            <w:r w:rsidRPr="00DD41A9">
              <w:rPr>
                <w:rFonts w:cs="Arial"/>
              </w:rPr>
              <w:t>Chief Finance and Accounting Officer</w:t>
            </w:r>
          </w:p>
        </w:tc>
        <w:tc>
          <w:tcPr>
            <w:tcW w:w="5130" w:type="dxa"/>
            <w:hideMark/>
          </w:tcPr>
          <w:p w:rsidR="00E96F54" w:rsidRPr="00F53B86" w:rsidRDefault="00E96F54" w:rsidP="00F53B86">
            <w:pPr>
              <w:pStyle w:val="TableText"/>
              <w:cnfStyle w:val="000000000000" w:firstRow="0" w:lastRow="0" w:firstColumn="0" w:lastColumn="0" w:oddVBand="0" w:evenVBand="0" w:oddHBand="0" w:evenHBand="0" w:firstRowFirstColumn="0" w:firstRowLastColumn="0" w:lastRowFirstColumn="0" w:lastRowLastColumn="0"/>
              <w:rPr>
                <w:b/>
              </w:rPr>
            </w:pPr>
            <w:r w:rsidRPr="00F53B86">
              <w:rPr>
                <w:b/>
              </w:rPr>
              <w:t>CFAO credentials</w:t>
            </w:r>
          </w:p>
          <w:p w:rsidR="00E96F54" w:rsidRPr="00F53B86" w:rsidRDefault="00E96F54" w:rsidP="00F53B86">
            <w:pPr>
              <w:pStyle w:val="TableText"/>
              <w:cnfStyle w:val="000000000000" w:firstRow="0" w:lastRow="0" w:firstColumn="0" w:lastColumn="0" w:oddVBand="0" w:evenVBand="0" w:oddHBand="0" w:evenHBand="0" w:firstRowFirstColumn="0" w:firstRowLastColumn="0" w:lastRowFirstColumn="0" w:lastRowLastColumn="0"/>
            </w:pPr>
            <w:r w:rsidRPr="00F53B86">
              <w:t>The prerequisite skills, qualifications and experience for the CFAO are clearly defined and documented together with position description, role, duties, rights and responsibilities.</w:t>
            </w:r>
          </w:p>
        </w:tc>
        <w:tc>
          <w:tcPr>
            <w:tcW w:w="1440"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100</w:t>
            </w:r>
          </w:p>
        </w:tc>
        <w:tc>
          <w:tcPr>
            <w:tcW w:w="121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653"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E96F54" w:rsidRPr="00DD41A9" w:rsidTr="00E96F54">
        <w:trPr>
          <w:trHeight w:val="1062"/>
        </w:trPr>
        <w:tc>
          <w:tcPr>
            <w:cnfStyle w:val="001000000000" w:firstRow="0" w:lastRow="0" w:firstColumn="1" w:lastColumn="0" w:oddVBand="0" w:evenVBand="0" w:oddHBand="0" w:evenHBand="0" w:firstRowFirstColumn="0" w:firstRowLastColumn="0" w:lastRowFirstColumn="0" w:lastRowLastColumn="0"/>
            <w:tcW w:w="1413" w:type="dxa"/>
            <w:hideMark/>
          </w:tcPr>
          <w:p w:rsidR="00E96F54" w:rsidRPr="00DD41A9" w:rsidRDefault="00E96F54" w:rsidP="00FB60F7">
            <w:pPr>
              <w:pStyle w:val="TableText"/>
            </w:pPr>
            <w:r w:rsidRPr="00DD41A9">
              <w:t>11</w:t>
            </w:r>
          </w:p>
        </w:tc>
        <w:tc>
          <w:tcPr>
            <w:tcW w:w="2085" w:type="dxa"/>
            <w:hideMark/>
          </w:tcPr>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3.1.2</w:t>
            </w:r>
            <w:r>
              <w:rPr>
                <w:rFonts w:cs="Arial"/>
              </w:rPr>
              <w:t xml:space="preserve"> – </w:t>
            </w:r>
            <w:r w:rsidRPr="00DD41A9">
              <w:rPr>
                <w:rFonts w:cs="Arial"/>
              </w:rPr>
              <w:t>Chief Finance and Accounting Officer</w:t>
            </w:r>
          </w:p>
        </w:tc>
        <w:tc>
          <w:tcPr>
            <w:tcW w:w="5130" w:type="dxa"/>
            <w:hideMark/>
          </w:tcPr>
          <w:p w:rsidR="00E96F54" w:rsidRPr="00E96F54" w:rsidRDefault="00E96F54" w:rsidP="00FB60F7">
            <w:pPr>
              <w:pStyle w:val="TableText"/>
              <w:cnfStyle w:val="000000000000" w:firstRow="0" w:lastRow="0" w:firstColumn="0" w:lastColumn="0" w:oddVBand="0" w:evenVBand="0" w:oddHBand="0" w:evenHBand="0" w:firstRowFirstColumn="0" w:firstRowLastColumn="0" w:lastRowFirstColumn="0" w:lastRowLastColumn="0"/>
              <w:rPr>
                <w:b/>
                <w:iCs/>
              </w:rPr>
            </w:pPr>
            <w:r w:rsidRPr="00E96F54">
              <w:rPr>
                <w:rFonts w:cs="Arial"/>
                <w:b/>
                <w:iCs/>
              </w:rPr>
              <w:t xml:space="preserve">CFAO </w:t>
            </w:r>
            <w:r>
              <w:rPr>
                <w:rFonts w:cs="Arial"/>
                <w:b/>
                <w:iCs/>
              </w:rPr>
              <w:t>e</w:t>
            </w:r>
            <w:r w:rsidRPr="00E96F54">
              <w:rPr>
                <w:rFonts w:cs="Arial"/>
                <w:b/>
                <w:iCs/>
              </w:rPr>
              <w:t>ndorsement</w:t>
            </w:r>
          </w:p>
          <w:p w:rsidR="00E96F54" w:rsidRPr="00F53B86" w:rsidRDefault="00E96F54" w:rsidP="00F53B86">
            <w:pPr>
              <w:pStyle w:val="TableText"/>
              <w:cnfStyle w:val="000000000000" w:firstRow="0" w:lastRow="0" w:firstColumn="0" w:lastColumn="0" w:oddVBand="0" w:evenVBand="0" w:oddHBand="0" w:evenHBand="0" w:firstRowFirstColumn="0" w:firstRowLastColumn="0" w:lastRowFirstColumn="0" w:lastRowLastColumn="0"/>
            </w:pPr>
            <w:r w:rsidRPr="00DD41A9">
              <w:t>The CFAO has endorsed financial information submitted to the Accountable Officer, Responsible Body and/or other senior executive forums in the Public Sector Agency.</w:t>
            </w:r>
          </w:p>
        </w:tc>
        <w:tc>
          <w:tcPr>
            <w:tcW w:w="1440"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99.6</w:t>
            </w:r>
          </w:p>
        </w:tc>
        <w:tc>
          <w:tcPr>
            <w:tcW w:w="121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12</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3.1.3</w:t>
            </w:r>
            <w:r w:rsidR="00880C11">
              <w:rPr>
                <w:rFonts w:cs="Arial"/>
              </w:rPr>
              <w:t xml:space="preserve"> – </w:t>
            </w:r>
            <w:r w:rsidRPr="00DD41A9">
              <w:rPr>
                <w:rFonts w:cs="Arial"/>
              </w:rPr>
              <w:t>Policies and Procedures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There are documented and communicated policies and procedures covering the requirements of the Directions (including all relevant requirements in Section 3.4 of the Directions) in respect of financial administration and management.</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88.6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11.4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tcPr>
          <w:p w:rsidR="002A2C3B" w:rsidRPr="00DD41A9" w:rsidRDefault="002A2C3B" w:rsidP="00FB60F7">
            <w:pPr>
              <w:pStyle w:val="TableText"/>
            </w:pPr>
            <w:r w:rsidRPr="00DD41A9">
              <w:lastRenderedPageBreak/>
              <w:t>13</w:t>
            </w:r>
          </w:p>
        </w:tc>
        <w:tc>
          <w:tcPr>
            <w:tcW w:w="2085" w:type="dxa"/>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3.1.4</w:t>
            </w:r>
            <w:r w:rsidR="00880C11">
              <w:rPr>
                <w:rFonts w:cs="Arial"/>
              </w:rPr>
              <w:t xml:space="preserve"> – </w:t>
            </w:r>
            <w:r w:rsidRPr="00DD41A9">
              <w:rPr>
                <w:rFonts w:cs="Arial"/>
              </w:rPr>
              <w:t>Chart of Accounts</w:t>
            </w:r>
          </w:p>
        </w:tc>
        <w:tc>
          <w:tcPr>
            <w:tcW w:w="5130" w:type="dxa"/>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The CFAO or their delegate has established, maintained and distributed a Chart of Accounts, which meets the requirements of the Directions.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88.6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11.4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E96F54" w:rsidRPr="00DD41A9" w:rsidTr="00E96F54">
        <w:trPr>
          <w:trHeight w:val="1306"/>
        </w:trPr>
        <w:tc>
          <w:tcPr>
            <w:cnfStyle w:val="001000000000" w:firstRow="0" w:lastRow="0" w:firstColumn="1" w:lastColumn="0" w:oddVBand="0" w:evenVBand="0" w:oddHBand="0" w:evenHBand="0" w:firstRowFirstColumn="0" w:firstRowLastColumn="0" w:lastRowFirstColumn="0" w:lastRowLastColumn="0"/>
            <w:tcW w:w="1413" w:type="dxa"/>
            <w:hideMark/>
          </w:tcPr>
          <w:p w:rsidR="00E96F54" w:rsidRPr="00DD41A9" w:rsidRDefault="00E96F54" w:rsidP="00FB60F7">
            <w:pPr>
              <w:pStyle w:val="TableText"/>
            </w:pPr>
            <w:r w:rsidRPr="00DD41A9">
              <w:t>14</w:t>
            </w:r>
          </w:p>
        </w:tc>
        <w:tc>
          <w:tcPr>
            <w:tcW w:w="2085" w:type="dxa"/>
            <w:hideMark/>
          </w:tcPr>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3.1.5</w:t>
            </w:r>
            <w:r>
              <w:rPr>
                <w:rFonts w:cs="Arial"/>
              </w:rPr>
              <w:t xml:space="preserve"> – </w:t>
            </w:r>
            <w:r w:rsidRPr="00DD41A9">
              <w:rPr>
                <w:rFonts w:cs="Arial"/>
              </w:rPr>
              <w:t>Managing Outsourced Financial Services</w:t>
            </w:r>
          </w:p>
        </w:tc>
        <w:tc>
          <w:tcPr>
            <w:tcW w:w="5130" w:type="dxa"/>
            <w:hideMark/>
          </w:tcPr>
          <w:p w:rsidR="00E96F54" w:rsidRPr="00E96F54" w:rsidRDefault="00E96F54" w:rsidP="00FB60F7">
            <w:pPr>
              <w:pStyle w:val="TableText"/>
              <w:cnfStyle w:val="000000000000" w:firstRow="0" w:lastRow="0" w:firstColumn="0" w:lastColumn="0" w:oddVBand="0" w:evenVBand="0" w:oddHBand="0" w:evenHBand="0" w:firstRowFirstColumn="0" w:firstRowLastColumn="0" w:lastRowFirstColumn="0" w:lastRowLastColumn="0"/>
              <w:rPr>
                <w:b/>
                <w:iCs/>
              </w:rPr>
            </w:pPr>
            <w:r w:rsidRPr="00E96F54">
              <w:rPr>
                <w:rFonts w:cs="Arial"/>
                <w:b/>
                <w:iCs/>
              </w:rPr>
              <w:t xml:space="preserve">Outsourcing </w:t>
            </w:r>
            <w:r>
              <w:rPr>
                <w:rFonts w:cs="Arial"/>
                <w:b/>
                <w:iCs/>
              </w:rPr>
              <w:t>g</w:t>
            </w:r>
            <w:r w:rsidRPr="00E96F54">
              <w:rPr>
                <w:rFonts w:cs="Arial"/>
                <w:b/>
                <w:iCs/>
              </w:rPr>
              <w:t>overnance</w:t>
            </w:r>
          </w:p>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rPr>
                <w:i/>
                <w:iCs/>
              </w:rPr>
            </w:pPr>
            <w:r w:rsidRPr="00DD41A9">
              <w:rPr>
                <w:rFonts w:cs="Arial"/>
              </w:rPr>
              <w:t>All outsourced finance functions or services are governed by contracts, service level agreements or other documented arrangements, each of which has been reviewed for compliance in the past 12 months.</w:t>
            </w:r>
          </w:p>
        </w:tc>
        <w:tc>
          <w:tcPr>
            <w:tcW w:w="1440"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62.9</w:t>
            </w:r>
          </w:p>
        </w:tc>
        <w:tc>
          <w:tcPr>
            <w:tcW w:w="121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3.4</w:t>
            </w:r>
          </w:p>
        </w:tc>
        <w:tc>
          <w:tcPr>
            <w:tcW w:w="1653"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33.3</w:t>
            </w:r>
          </w:p>
        </w:tc>
      </w:tr>
      <w:tr w:rsidR="00E96F54" w:rsidRPr="00DD41A9" w:rsidTr="00E96F54">
        <w:trPr>
          <w:trHeight w:val="1794"/>
        </w:trPr>
        <w:tc>
          <w:tcPr>
            <w:cnfStyle w:val="001000000000" w:firstRow="0" w:lastRow="0" w:firstColumn="1" w:lastColumn="0" w:oddVBand="0" w:evenVBand="0" w:oddHBand="0" w:evenHBand="0" w:firstRowFirstColumn="0" w:firstRowLastColumn="0" w:lastRowFirstColumn="0" w:lastRowLastColumn="0"/>
            <w:tcW w:w="1413" w:type="dxa"/>
            <w:hideMark/>
          </w:tcPr>
          <w:p w:rsidR="00E96F54" w:rsidRPr="00DD41A9" w:rsidRDefault="00E96F54" w:rsidP="00FB60F7">
            <w:pPr>
              <w:pStyle w:val="TableText"/>
            </w:pPr>
            <w:r w:rsidRPr="00DD41A9">
              <w:t>15</w:t>
            </w:r>
          </w:p>
        </w:tc>
        <w:tc>
          <w:tcPr>
            <w:tcW w:w="2085" w:type="dxa"/>
            <w:hideMark/>
          </w:tcPr>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3.1.5</w:t>
            </w:r>
            <w:r>
              <w:rPr>
                <w:rFonts w:cs="Arial"/>
              </w:rPr>
              <w:t xml:space="preserve"> – </w:t>
            </w:r>
            <w:r w:rsidRPr="00DD41A9">
              <w:rPr>
                <w:rFonts w:cs="Arial"/>
              </w:rPr>
              <w:t>Managing Outsourced Financial Services</w:t>
            </w:r>
          </w:p>
        </w:tc>
        <w:tc>
          <w:tcPr>
            <w:tcW w:w="5130" w:type="dxa"/>
            <w:hideMark/>
          </w:tcPr>
          <w:p w:rsidR="00E96F54" w:rsidRPr="00E96F54" w:rsidRDefault="00E96F54" w:rsidP="00FB60F7">
            <w:pPr>
              <w:pStyle w:val="TableText"/>
              <w:cnfStyle w:val="000000000000" w:firstRow="0" w:lastRow="0" w:firstColumn="0" w:lastColumn="0" w:oddVBand="0" w:evenVBand="0" w:oddHBand="0" w:evenHBand="0" w:firstRowFirstColumn="0" w:firstRowLastColumn="0" w:lastRowFirstColumn="0" w:lastRowLastColumn="0"/>
              <w:rPr>
                <w:b/>
                <w:iCs/>
              </w:rPr>
            </w:pPr>
            <w:r w:rsidRPr="00E96F54">
              <w:rPr>
                <w:rFonts w:cs="Arial"/>
                <w:b/>
                <w:iCs/>
              </w:rPr>
              <w:t>Audit scrutiny</w:t>
            </w:r>
          </w:p>
          <w:p w:rsidR="00E96F54" w:rsidRPr="00DD41A9" w:rsidRDefault="00E96F54" w:rsidP="00FB60F7">
            <w:pPr>
              <w:pStyle w:val="TableText"/>
              <w:cnfStyle w:val="000000000000" w:firstRow="0" w:lastRow="0" w:firstColumn="0" w:lastColumn="0" w:oddVBand="0" w:evenVBand="0" w:oddHBand="0" w:evenHBand="0" w:firstRowFirstColumn="0" w:firstRowLastColumn="0" w:lastRowFirstColumn="0" w:lastRowLastColumn="0"/>
              <w:rPr>
                <w:i/>
                <w:iCs/>
              </w:rPr>
            </w:pPr>
            <w:r w:rsidRPr="00DD41A9">
              <w:t>All finance functions or services outsourced during the financial year (period) just ended were subjected to a cost benefit analysis, approved by the Responsible Body, and detailed in the form of a contract, service level agreement or equivalent which allows for internal and external audit scrutiny.</w:t>
            </w:r>
          </w:p>
        </w:tc>
        <w:tc>
          <w:tcPr>
            <w:tcW w:w="1440"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62.5</w:t>
            </w:r>
          </w:p>
        </w:tc>
        <w:tc>
          <w:tcPr>
            <w:tcW w:w="121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1.1</w:t>
            </w:r>
          </w:p>
        </w:tc>
        <w:tc>
          <w:tcPr>
            <w:tcW w:w="1653"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E96F54" w:rsidRPr="00DD41A9" w:rsidRDefault="00E96F54"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36.0</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16</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3.2.1</w:t>
            </w:r>
            <w:r w:rsidR="00880C11">
              <w:rPr>
                <w:rFonts w:cs="Arial"/>
              </w:rPr>
              <w:t xml:space="preserve"> – </w:t>
            </w:r>
            <w:r w:rsidRPr="00DD41A9">
              <w:rPr>
                <w:rFonts w:cs="Arial"/>
              </w:rPr>
              <w:t>Information Technology Management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Responsible Body has reviewed the use of Information Technology used for financial management in the last 12 months to assess information technology risks and their impact on financial management.</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97.3</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2.3</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17</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3.2.2</w:t>
            </w:r>
            <w:r w:rsidR="00880C11">
              <w:rPr>
                <w:rFonts w:cs="Arial"/>
              </w:rPr>
              <w:t xml:space="preserve"> – </w:t>
            </w:r>
            <w:r w:rsidRPr="00DD41A9">
              <w:rPr>
                <w:rFonts w:cs="Arial"/>
              </w:rPr>
              <w:t>Information Technology Operations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There are documented and tested back up, disaster recovery and business continuity procedures in place that are commensurate with the Public Sector Agency’s financial management needs.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84.5</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15.2</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18</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3.2.3</w:t>
            </w:r>
            <w:r w:rsidR="00880C11">
              <w:rPr>
                <w:rFonts w:cs="Arial"/>
              </w:rPr>
              <w:t xml:space="preserve"> – </w:t>
            </w:r>
            <w:r w:rsidRPr="00DD41A9">
              <w:rPr>
                <w:rFonts w:cs="Arial"/>
              </w:rPr>
              <w:t>Security</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 formal assessment has</w:t>
            </w:r>
            <w:r w:rsidR="00F53B86">
              <w:t xml:space="preserve"> been undertaken in the last 12 </w:t>
            </w:r>
            <w:r w:rsidRPr="00DD41A9">
              <w:t>months of whether financial management information that is sensitive to the Public Sector Agency and stakeholders is adequately controlled and secured.</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95.8</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3.4</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19</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3.2.4</w:t>
            </w:r>
            <w:r w:rsidR="00880C11">
              <w:rPr>
                <w:rFonts w:cs="Arial"/>
              </w:rPr>
              <w:t xml:space="preserve"> – </w:t>
            </w:r>
            <w:r w:rsidRPr="00DD41A9">
              <w:rPr>
                <w:rFonts w:cs="Arial"/>
              </w:rPr>
              <w:t>Development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 business case was prepared and approved in accordance with the Directions for the development of any proposed financial management system developments during the year.</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78.4</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1.1</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20.5</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20</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3.2.5</w:t>
            </w:r>
            <w:r w:rsidR="00880C11">
              <w:rPr>
                <w:rFonts w:cs="Arial"/>
              </w:rPr>
              <w:t xml:space="preserve"> – </w:t>
            </w:r>
            <w:r w:rsidRPr="00DD41A9">
              <w:rPr>
                <w:rFonts w:cs="Arial"/>
              </w:rPr>
              <w:t>Change Control</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 change control process was followed for changes made to financial management systems.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79.2</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1.5</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18.9</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lastRenderedPageBreak/>
              <w:t>21</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3.3</w:t>
            </w:r>
            <w:r w:rsidR="00880C11">
              <w:rPr>
                <w:rFonts w:cs="Arial"/>
              </w:rPr>
              <w:t xml:space="preserve"> – </w:t>
            </w:r>
            <w:r w:rsidRPr="00DD41A9">
              <w:rPr>
                <w:rFonts w:cs="Arial"/>
              </w:rPr>
              <w:t>Education and Training</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training and education needs for the financial management team have been reviewed by the CFAO or their delegated authority in the last 12 months, and an appropriate program developed to address the training and education needs of financial management staff.</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96.6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2.3</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1.1</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22</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4.1</w:t>
            </w:r>
            <w:r w:rsidR="00880C11">
              <w:rPr>
                <w:rFonts w:cs="Arial"/>
              </w:rPr>
              <w:t xml:space="preserve"> – </w:t>
            </w:r>
            <w:r w:rsidRPr="00DD41A9">
              <w:rPr>
                <w:rFonts w:cs="Arial"/>
              </w:rPr>
              <w:t>Internal Financial Management Reporting</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Requirements for internal financial management reports have been identified and relevant reports have been produced and distributed at regular intervals throughout the financial year.</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99.2</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0.8</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23</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4.2</w:t>
            </w:r>
            <w:r w:rsidR="00880C11">
              <w:rPr>
                <w:rFonts w:cs="Arial"/>
              </w:rPr>
              <w:t xml:space="preserve"> – </w:t>
            </w:r>
            <w:r w:rsidRPr="00DD41A9">
              <w:rPr>
                <w:rFonts w:cs="Arial"/>
              </w:rPr>
              <w:t xml:space="preserve">Reporting Requirements in terms of Part 7 of the </w:t>
            </w:r>
            <w:r w:rsidR="00DC7EE6">
              <w:rPr>
                <w:i/>
                <w:iCs/>
              </w:rPr>
              <w:t>Financial </w:t>
            </w:r>
            <w:r w:rsidRPr="00DD41A9">
              <w:rPr>
                <w:i/>
                <w:iCs/>
              </w:rPr>
              <w:t>Management Act 1994</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 xml:space="preserve">The financial statements and report of operations have been prepared in accordance with Part 7 of the </w:t>
            </w:r>
            <w:r w:rsidRPr="00DD41A9">
              <w:rPr>
                <w:i/>
                <w:iCs/>
              </w:rPr>
              <w:t>Financial Management Act 1994</w:t>
            </w:r>
            <w:r w:rsidRPr="00DD41A9">
              <w:t xml:space="preserve"> and in the required timeframes.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99.2</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24</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4.3</w:t>
            </w:r>
            <w:r w:rsidR="00880C11">
              <w:rPr>
                <w:rFonts w:cs="Arial"/>
              </w:rPr>
              <w:t xml:space="preserve"> – </w:t>
            </w:r>
            <w:r w:rsidRPr="00DD41A9">
              <w:rPr>
                <w:rFonts w:cs="Arial"/>
              </w:rPr>
              <w:t>Other External Reporting Internal Financial Management Reporting</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All external reporting requirements have been identified and relevant reports delivered completely, accurately and in a timely manner.</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100</w:t>
            </w:r>
          </w:p>
        </w:tc>
        <w:tc>
          <w:tcPr>
            <w:tcW w:w="121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25</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4.4</w:t>
            </w:r>
            <w:r w:rsidR="00880C11">
              <w:rPr>
                <w:rFonts w:cs="Arial"/>
              </w:rPr>
              <w:t xml:space="preserve"> – </w:t>
            </w:r>
            <w:r w:rsidRPr="00DD41A9">
              <w:rPr>
                <w:rFonts w:cs="Arial"/>
              </w:rPr>
              <w:t>Financial Performance Management and Evaluation</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Responsible Body has developed financial key performance indicators (KPIs) working with management, and there is monitoring and reporting of performance against these to the Responsible Body and/or the Accountable Officer.</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99.6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26</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4.5.1</w:t>
            </w:r>
            <w:r w:rsidR="00880C11">
              <w:rPr>
                <w:rFonts w:cs="Arial"/>
              </w:rPr>
              <w:t xml:space="preserve"> – </w:t>
            </w:r>
            <w:r w:rsidRPr="00DD41A9">
              <w:rPr>
                <w:rFonts w:cs="Arial"/>
              </w:rPr>
              <w:t>Compliance with Directions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Public Sector Agency has met its financial management compliance obligations including:</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rPr>
                <w:rFonts w:ascii="Symbol" w:hAnsi="Symbol"/>
              </w:rPr>
            </w:pPr>
            <w:r w:rsidRPr="00DD41A9">
              <w:t>conducting an annual review of financial management compliance; and</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identifying and rectifying financial management compliance issues.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97.7</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2.3</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lastRenderedPageBreak/>
              <w:t>27</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4.5.2</w:t>
            </w:r>
            <w:r w:rsidR="00880C11">
              <w:rPr>
                <w:rFonts w:cs="Arial"/>
              </w:rPr>
              <w:t xml:space="preserve"> – </w:t>
            </w:r>
            <w:r w:rsidRPr="00DD41A9">
              <w:rPr>
                <w:rFonts w:cs="Arial"/>
              </w:rPr>
              <w:t>Taxation Compliance Obligations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Public Sector Agency has met its taxation compliance obligations by:</w:t>
            </w:r>
          </w:p>
          <w:p w:rsidR="002A2C3B" w:rsidRPr="00DD41A9" w:rsidRDefault="00FB60F7" w:rsidP="00FB60F7">
            <w:pPr>
              <w:pStyle w:val="TableBullet"/>
              <w:cnfStyle w:val="000000000000" w:firstRow="0" w:lastRow="0" w:firstColumn="0" w:lastColumn="0" w:oddVBand="0" w:evenVBand="0" w:oddHBand="0" w:evenHBand="0" w:firstRowFirstColumn="0" w:firstRowLastColumn="0" w:lastRowFirstColumn="0" w:lastRowLastColumn="0"/>
            </w:pPr>
            <w:r w:rsidRPr="00DD41A9">
              <w:t xml:space="preserve">conducting </w:t>
            </w:r>
            <w:r w:rsidR="002A2C3B" w:rsidRPr="00DD41A9">
              <w:t>an annual review of taxation compliance;</w:t>
            </w:r>
          </w:p>
          <w:p w:rsidR="002A2C3B" w:rsidRPr="00DD41A9" w:rsidRDefault="00FB60F7" w:rsidP="00FB60F7">
            <w:pPr>
              <w:pStyle w:val="TableBullet"/>
              <w:cnfStyle w:val="000000000000" w:firstRow="0" w:lastRow="0" w:firstColumn="0" w:lastColumn="0" w:oddVBand="0" w:evenVBand="0" w:oddHBand="0" w:evenHBand="0" w:firstRowFirstColumn="0" w:firstRowLastColumn="0" w:lastRowFirstColumn="0" w:lastRowLastColumn="0"/>
            </w:pPr>
            <w:r w:rsidRPr="00DD41A9">
              <w:t xml:space="preserve">developing </w:t>
            </w:r>
            <w:r w:rsidR="002A2C3B" w:rsidRPr="00DD41A9">
              <w:t>and maintaining taxation policies and procedures;</w:t>
            </w:r>
          </w:p>
          <w:p w:rsidR="002A2C3B" w:rsidRPr="00DD41A9" w:rsidRDefault="00FB60F7" w:rsidP="00FB60F7">
            <w:pPr>
              <w:pStyle w:val="TableBullet"/>
              <w:cnfStyle w:val="000000000000" w:firstRow="0" w:lastRow="0" w:firstColumn="0" w:lastColumn="0" w:oddVBand="0" w:evenVBand="0" w:oddHBand="0" w:evenHBand="0" w:firstRowFirstColumn="0" w:firstRowLastColumn="0" w:lastRowFirstColumn="0" w:lastRowLastColumn="0"/>
            </w:pPr>
            <w:r w:rsidRPr="00DD41A9">
              <w:t xml:space="preserve">developing </w:t>
            </w:r>
            <w:r w:rsidR="002A2C3B" w:rsidRPr="00DD41A9">
              <w:t>and implementing taxation education programs; and</w:t>
            </w:r>
          </w:p>
          <w:p w:rsidR="002A2C3B" w:rsidRPr="00DD41A9" w:rsidRDefault="00FB60F7" w:rsidP="00FB60F7">
            <w:pPr>
              <w:pStyle w:val="TableBullet"/>
              <w:cnfStyle w:val="000000000000" w:firstRow="0" w:lastRow="0" w:firstColumn="0" w:lastColumn="0" w:oddVBand="0" w:evenVBand="0" w:oddHBand="0" w:evenHBand="0" w:firstRowFirstColumn="0" w:firstRowLastColumn="0" w:lastRowFirstColumn="0" w:lastRowLastColumn="0"/>
            </w:pPr>
            <w:r w:rsidRPr="00DD41A9">
              <w:t xml:space="preserve">identifying </w:t>
            </w:r>
            <w:r w:rsidR="002A2C3B" w:rsidRPr="00DD41A9">
              <w:t>and rectifying taxation compliance issues.</w:t>
            </w:r>
          </w:p>
        </w:tc>
        <w:tc>
          <w:tcPr>
            <w:tcW w:w="1440" w:type="dxa"/>
          </w:tcPr>
          <w:p w:rsidR="002A2C3B" w:rsidRPr="00DD41A9" w:rsidRDefault="00FB60F7" w:rsidP="00FB60F7">
            <w:pPr>
              <w:pStyle w:val="TableText"/>
              <w:jc w:val="center"/>
              <w:cnfStyle w:val="000000000000" w:firstRow="0" w:lastRow="0" w:firstColumn="0" w:lastColumn="0" w:oddVBand="0" w:evenVBand="0" w:oddHBand="0" w:evenHBand="0" w:firstRowFirstColumn="0" w:firstRowLastColumn="0" w:lastRowFirstColumn="0" w:lastRowLastColumn="0"/>
            </w:pPr>
            <w:r>
              <w:t>93.9</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5.7</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2A2C3B" w:rsidRDefault="002A2C3B" w:rsidP="00FB60F7">
            <w:pPr>
              <w:pStyle w:val="TableText"/>
            </w:pPr>
            <w:r w:rsidRPr="00DD41A9">
              <w:t>28</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4.5.3</w:t>
            </w:r>
            <w:r w:rsidR="00880C11">
              <w:rPr>
                <w:rFonts w:cs="Arial"/>
              </w:rPr>
              <w:t xml:space="preserve"> – </w:t>
            </w:r>
            <w:r w:rsidRPr="00DD41A9">
              <w:rPr>
                <w:rFonts w:cs="Arial"/>
              </w:rPr>
              <w:t>Purchasing Card Compliance Obligations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The Public Sector Agency’s purchasing card was operated in accordance with the requirements of Direction 4.5.3.</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84.1</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5.3</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10.6</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29</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4.5.4</w:t>
            </w:r>
            <w:r w:rsidR="00880C11">
              <w:rPr>
                <w:rFonts w:cs="Arial"/>
              </w:rPr>
              <w:t xml:space="preserve"> – </w:t>
            </w:r>
            <w:r w:rsidRPr="00DD41A9">
              <w:rPr>
                <w:rFonts w:cs="Arial"/>
              </w:rPr>
              <w:t>Thefts and Losses Compliance Obligations</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Public Sector Agency has notified the Minister for Finance and the Auditor</w:t>
            </w:r>
            <w:r w:rsidR="00880C11">
              <w:noBreakHyphen/>
            </w:r>
            <w:r w:rsidRPr="00DD41A9">
              <w:t>General of any instances of thefts and losses and provided an incident report as required by the Directions.</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78.4</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2.7</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18.9</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tcPr>
          <w:p w:rsidR="002A2C3B" w:rsidRPr="00DD41A9" w:rsidRDefault="002A2C3B" w:rsidP="00FB60F7">
            <w:pPr>
              <w:pStyle w:val="TableText"/>
            </w:pPr>
            <w:r w:rsidRPr="00DD41A9">
              <w:t>30</w:t>
            </w:r>
          </w:p>
        </w:tc>
        <w:tc>
          <w:tcPr>
            <w:tcW w:w="2085" w:type="dxa"/>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41A9">
              <w:rPr>
                <w:rFonts w:cs="Arial"/>
              </w:rPr>
              <w:t>4.5.5</w:t>
            </w:r>
            <w:r w:rsidR="00880C11">
              <w:rPr>
                <w:rFonts w:cs="Arial"/>
              </w:rPr>
              <w:t xml:space="preserve"> – </w:t>
            </w:r>
            <w:r w:rsidRPr="00DD41A9">
              <w:rPr>
                <w:rFonts w:cs="Arial"/>
              </w:rPr>
              <w:t>Risk Management Compliance</w:t>
            </w:r>
          </w:p>
        </w:tc>
        <w:tc>
          <w:tcPr>
            <w:tcW w:w="5130" w:type="dxa"/>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Public Sector Agency has:</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adopted risk management governance, systems and reporting requirements as contained in the Victorian Government Risk Management Framework;</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conducted an annual review of their obligations in complying with Direction 4.5.5, and rectified any failures or deficiencies identified; and</w:t>
            </w:r>
          </w:p>
          <w:p w:rsidR="002A2C3B" w:rsidRPr="00DD41A9" w:rsidRDefault="002A2C3B" w:rsidP="00FB60F7">
            <w:pPr>
              <w:pStyle w:val="TableBullet"/>
              <w:cnfStyle w:val="000000000000" w:firstRow="0" w:lastRow="0" w:firstColumn="0" w:lastColumn="0" w:oddVBand="0" w:evenVBand="0" w:oddHBand="0" w:evenHBand="0" w:firstRowFirstColumn="0" w:firstRowLastColumn="0" w:lastRowFirstColumn="0" w:lastRowLastColumn="0"/>
            </w:pPr>
            <w:r w:rsidRPr="00DD41A9">
              <w:t>provided an attestation that its risk identification and management plan is consistent with AS/NZS ISO 31000:2009 or equivalent.</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98.1</w:t>
            </w:r>
          </w:p>
        </w:tc>
        <w:tc>
          <w:tcPr>
            <w:tcW w:w="1212" w:type="dxa"/>
          </w:tcPr>
          <w:p w:rsidR="002A2C3B" w:rsidRPr="00DD41A9" w:rsidRDefault="00FB60F7" w:rsidP="00FB60F7">
            <w:pPr>
              <w:pStyle w:val="TableText"/>
              <w:jc w:val="center"/>
              <w:cnfStyle w:val="000000000000" w:firstRow="0" w:lastRow="0" w:firstColumn="0" w:lastColumn="0" w:oddVBand="0" w:evenVBand="0" w:oddHBand="0" w:evenHBand="0" w:firstRowFirstColumn="0" w:firstRowLastColumn="0" w:lastRowFirstColumn="0" w:lastRowLastColumn="0"/>
            </w:pPr>
            <w:r>
              <w:t>1.1</w:t>
            </w:r>
          </w:p>
        </w:tc>
        <w:tc>
          <w:tcPr>
            <w:tcW w:w="1653" w:type="dxa"/>
          </w:tcPr>
          <w:p w:rsidR="002A2C3B" w:rsidRPr="00DD41A9" w:rsidRDefault="00FB60F7" w:rsidP="00FB60F7">
            <w:pPr>
              <w:pStyle w:val="TableText"/>
              <w:jc w:val="center"/>
              <w:cnfStyle w:val="000000000000" w:firstRow="0" w:lastRow="0" w:firstColumn="0" w:lastColumn="0" w:oddVBand="0" w:evenVBand="0" w:oddHBand="0" w:evenHBand="0" w:firstRowFirstColumn="0" w:firstRowLastColumn="0" w:lastRowFirstColumn="0" w:lastRowLastColumn="0"/>
            </w:pPr>
            <w:r>
              <w:t>0.4</w:t>
            </w:r>
          </w:p>
        </w:tc>
        <w:tc>
          <w:tcPr>
            <w:tcW w:w="1262" w:type="dxa"/>
          </w:tcPr>
          <w:p w:rsidR="002A2C3B" w:rsidRPr="00DD41A9" w:rsidRDefault="00FB60F7" w:rsidP="00FB60F7">
            <w:pPr>
              <w:pStyle w:val="TableText"/>
              <w:jc w:val="center"/>
              <w:cnfStyle w:val="000000000000" w:firstRow="0" w:lastRow="0" w:firstColumn="0" w:lastColumn="0" w:oddVBand="0" w:evenVBand="0" w:oddHBand="0" w:evenHBand="0" w:firstRowFirstColumn="0" w:firstRowLastColumn="0" w:lastRowFirstColumn="0" w:lastRowLastColumn="0"/>
            </w:pPr>
            <w:r>
              <w:t>0.4</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31</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4.5.5.1</w:t>
            </w:r>
            <w:r w:rsidR="00880C11">
              <w:rPr>
                <w:rFonts w:cs="Arial"/>
              </w:rPr>
              <w:t xml:space="preserve"> – </w:t>
            </w:r>
            <w:r w:rsidRPr="00DD41A9">
              <w:rPr>
                <w:rFonts w:cs="Arial"/>
              </w:rPr>
              <w:t>Insurance</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 xml:space="preserve">An accountable officer of a </w:t>
            </w:r>
            <w:r w:rsidR="00762148" w:rsidRPr="00DD41A9">
              <w:t xml:space="preserve">Public Sector Agency </w:t>
            </w:r>
            <w:r w:rsidRPr="00DD41A9">
              <w:t xml:space="preserve">required to insure with the Victorian Managed Insurance Authority under the </w:t>
            </w:r>
            <w:r w:rsidRPr="00DD41A9">
              <w:rPr>
                <w:i/>
                <w:iCs/>
              </w:rPr>
              <w:t>Victorian Managed Insurance Authority Act 1996</w:t>
            </w:r>
            <w:r w:rsidRPr="00DD41A9">
              <w:t xml:space="preserve"> must verify that the public sector agency is insured appropriately, having regard to relevant government guidelines and Direction 4.5.5.1.</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84.5</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5.3</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10.2</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32</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4.5.6</w:t>
            </w:r>
            <w:r w:rsidR="00880C11">
              <w:rPr>
                <w:rFonts w:cs="Arial"/>
              </w:rPr>
              <w:t xml:space="preserve"> – </w:t>
            </w:r>
            <w:r w:rsidRPr="00DD41A9">
              <w:rPr>
                <w:rFonts w:cs="Arial"/>
              </w:rPr>
              <w:t>Treasury Risk Management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All borrowings, investments and financial arrangements undertaken by the Public Sector Agency conform to the requirements or exceptions outlined in Direction 4.5.6.</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84.8</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1.5</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13.3</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lastRenderedPageBreak/>
              <w:t>33</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4.5.7</w:t>
            </w:r>
            <w:r w:rsidR="00880C11">
              <w:rPr>
                <w:rFonts w:cs="Arial"/>
              </w:rPr>
              <w:t xml:space="preserve"> – </w:t>
            </w:r>
            <w:r w:rsidRPr="00DD41A9">
              <w:rPr>
                <w:rFonts w:cs="Arial"/>
              </w:rPr>
              <w:t>Foreign Exchange Risk Management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The Public Sector Agency has ensured foreign exchange risks are effectively identified, a</w:t>
            </w:r>
            <w:r w:rsidR="00F53B86">
              <w:t>ssessed, monitored, and managed </w:t>
            </w:r>
            <w:r w:rsidRPr="00DD41A9">
              <w:t>in accordance with the req</w:t>
            </w:r>
            <w:r w:rsidR="00F53B86">
              <w:t>uirements outlined in Direction </w:t>
            </w:r>
            <w:r w:rsidRPr="00DD41A9">
              <w:t>4.5.7.</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46.6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2A2C3B" w:rsidRPr="00DD41A9" w:rsidRDefault="00880C11" w:rsidP="00FB60F7">
            <w:pPr>
              <w:pStyle w:val="TableText"/>
              <w:jc w:val="center"/>
              <w:cnfStyle w:val="000000000000" w:firstRow="0" w:lastRow="0" w:firstColumn="0" w:lastColumn="0" w:oddVBand="0" w:evenVBand="0" w:oddHBand="0" w:evenHBand="0" w:firstRowFirstColumn="0" w:firstRowLastColumn="0" w:lastRowFirstColumn="0" w:lastRowLastColumn="0"/>
            </w:pPr>
            <w:r>
              <w:noBreakHyphen/>
            </w: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53.0</w:t>
            </w:r>
          </w:p>
        </w:tc>
      </w:tr>
      <w:tr w:rsidR="00FB60F7" w:rsidRPr="00DD41A9" w:rsidTr="00E96F54">
        <w:tc>
          <w:tcPr>
            <w:cnfStyle w:val="001000000000" w:firstRow="0" w:lastRow="0" w:firstColumn="1" w:lastColumn="0" w:oddVBand="0" w:evenVBand="0" w:oddHBand="0" w:evenHBand="0" w:firstRowFirstColumn="0" w:firstRowLastColumn="0" w:lastRowFirstColumn="0" w:lastRowLastColumn="0"/>
            <w:tcW w:w="1413" w:type="dxa"/>
            <w:hideMark/>
          </w:tcPr>
          <w:p w:rsidR="002A2C3B" w:rsidRPr="00DD41A9" w:rsidRDefault="002A2C3B" w:rsidP="00FB60F7">
            <w:pPr>
              <w:pStyle w:val="TableText"/>
            </w:pPr>
            <w:r w:rsidRPr="00DD41A9">
              <w:t>34</w:t>
            </w:r>
          </w:p>
        </w:tc>
        <w:tc>
          <w:tcPr>
            <w:tcW w:w="2085"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rPr>
                <w:rFonts w:cs="Arial"/>
              </w:rPr>
              <w:t>4.5.8</w:t>
            </w:r>
            <w:r w:rsidR="00880C11">
              <w:rPr>
                <w:rFonts w:cs="Arial"/>
              </w:rPr>
              <w:t xml:space="preserve"> – </w:t>
            </w:r>
            <w:r w:rsidRPr="00DD41A9">
              <w:rPr>
                <w:rFonts w:cs="Arial"/>
              </w:rPr>
              <w:t>Commodity Risk Management</w:t>
            </w:r>
          </w:p>
        </w:tc>
        <w:tc>
          <w:tcPr>
            <w:tcW w:w="5130" w:type="dxa"/>
            <w:hideMark/>
          </w:tcPr>
          <w:p w:rsidR="002A2C3B" w:rsidRPr="00DD41A9" w:rsidRDefault="002A2C3B" w:rsidP="00FB60F7">
            <w:pPr>
              <w:pStyle w:val="TableText"/>
              <w:cnfStyle w:val="000000000000" w:firstRow="0" w:lastRow="0" w:firstColumn="0" w:lastColumn="0" w:oddVBand="0" w:evenVBand="0" w:oddHBand="0" w:evenHBand="0" w:firstRowFirstColumn="0" w:firstRowLastColumn="0" w:lastRowFirstColumn="0" w:lastRowLastColumn="0"/>
            </w:pPr>
            <w:r w:rsidRPr="00DD41A9">
              <w:t xml:space="preserve">The Public Sector Agency has ensured that commodity risks are effectively identified, </w:t>
            </w:r>
            <w:r w:rsidR="00F53B86">
              <w:t>assessed, monitored and managed </w:t>
            </w:r>
            <w:r w:rsidRPr="00DD41A9">
              <w:t>in accordance with the req</w:t>
            </w:r>
            <w:r w:rsidR="00F53B86">
              <w:t>uirements outlined in Direction </w:t>
            </w:r>
            <w:r w:rsidRPr="00DD41A9">
              <w:t>4.5.8</w:t>
            </w:r>
          </w:p>
        </w:tc>
        <w:tc>
          <w:tcPr>
            <w:tcW w:w="1440"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46.6</w:t>
            </w:r>
          </w:p>
        </w:tc>
        <w:tc>
          <w:tcPr>
            <w:tcW w:w="121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0.4</w:t>
            </w:r>
          </w:p>
        </w:tc>
        <w:tc>
          <w:tcPr>
            <w:tcW w:w="1653"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262" w:type="dxa"/>
          </w:tcPr>
          <w:p w:rsidR="002A2C3B" w:rsidRPr="00DD41A9" w:rsidRDefault="002A2C3B" w:rsidP="00FB60F7">
            <w:pPr>
              <w:pStyle w:val="TableText"/>
              <w:jc w:val="center"/>
              <w:cnfStyle w:val="000000000000" w:firstRow="0" w:lastRow="0" w:firstColumn="0" w:lastColumn="0" w:oddVBand="0" w:evenVBand="0" w:oddHBand="0" w:evenHBand="0" w:firstRowFirstColumn="0" w:firstRowLastColumn="0" w:lastRowFirstColumn="0" w:lastRowLastColumn="0"/>
            </w:pPr>
            <w:r w:rsidRPr="00DD41A9">
              <w:t>53.0</w:t>
            </w:r>
          </w:p>
        </w:tc>
      </w:tr>
    </w:tbl>
    <w:p w:rsidR="00A73490" w:rsidRPr="00DD41A9" w:rsidRDefault="00A73490" w:rsidP="00A73490">
      <w:pPr>
        <w:rPr>
          <w:lang w:eastAsia="en-US"/>
        </w:rPr>
      </w:pPr>
    </w:p>
    <w:p w:rsidR="00FB60F7" w:rsidRDefault="00FB60F7" w:rsidP="00FB60F7">
      <w:pPr>
        <w:rPr>
          <w:highlight w:val="yellow"/>
          <w:lang w:eastAsia="en-US"/>
        </w:rPr>
      </w:pPr>
    </w:p>
    <w:p w:rsidR="00FB60F7" w:rsidRDefault="00FB60F7" w:rsidP="00FB60F7">
      <w:pPr>
        <w:keepNext/>
        <w:keepLines/>
        <w:widowControl w:val="0"/>
        <w:spacing w:before="280" w:after="120" w:line="216" w:lineRule="auto"/>
        <w:ind w:left="566"/>
        <w:outlineLvl w:val="1"/>
        <w:rPr>
          <w:color w:val="4D4D4D"/>
          <w:kern w:val="28"/>
          <w:sz w:val="30"/>
          <w:highlight w:val="yellow"/>
          <w:lang w:eastAsia="en-US"/>
        </w:rPr>
        <w:sectPr w:rsidR="00FB60F7" w:rsidSect="00E56F08">
          <w:footerReference w:type="even" r:id="rId21"/>
          <w:footerReference w:type="default" r:id="rId22"/>
          <w:pgSz w:w="16840" w:h="11907" w:orient="landscape" w:code="9"/>
          <w:pgMar w:top="1138" w:right="821" w:bottom="1138" w:left="1138" w:header="562" w:footer="288" w:gutter="0"/>
          <w:cols w:space="708"/>
          <w:docGrid w:linePitch="360"/>
        </w:sectPr>
      </w:pPr>
    </w:p>
    <w:p w:rsidR="00A73490" w:rsidRPr="00D52B14" w:rsidRDefault="00A73490" w:rsidP="00A73490">
      <w:pPr>
        <w:rPr>
          <w:highlight w:val="yellow"/>
          <w:lang w:eastAsia="en-US"/>
        </w:rPr>
      </w:pPr>
      <w:bookmarkStart w:id="31" w:name="_Toc407977552"/>
    </w:p>
    <w:bookmarkEnd w:id="31"/>
    <w:p w:rsidR="00A73490" w:rsidRDefault="00A73490" w:rsidP="00A73490">
      <w:r>
        <w:rPr>
          <w:noProof/>
        </w:rPr>
        <mc:AlternateContent>
          <mc:Choice Requires="wps">
            <w:drawing>
              <wp:anchor distT="0" distB="0" distL="114300" distR="114300" simplePos="0" relativeHeight="251663360" behindDoc="0" locked="0" layoutInCell="1" allowOverlap="1" wp14:anchorId="371911AD" wp14:editId="57C7FD93">
                <wp:simplePos x="0" y="0"/>
                <wp:positionH relativeFrom="column">
                  <wp:posOffset>-895985</wp:posOffset>
                </wp:positionH>
                <wp:positionV relativeFrom="paragraph">
                  <wp:posOffset>2903855</wp:posOffset>
                </wp:positionV>
                <wp:extent cx="7613015" cy="5768975"/>
                <wp:effectExtent l="0" t="0" r="6985" b="3175"/>
                <wp:wrapNone/>
                <wp:docPr id="396" name="Rectangle 396"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5768975"/>
                        </a:xfrm>
                        <a:prstGeom prst="rect">
                          <a:avLst/>
                        </a:prstGeom>
                        <a:solidFill>
                          <a:srgbClr val="1665A1"/>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alt="Description: Cover Coloured Body Section" style="position:absolute;margin-left:-70.55pt;margin-top:228.65pt;width:599.45pt;height:4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" fillcolor="#1665a1" stroked="f" strokecolor="#00557e"/>
            </w:pict>
          </mc:Fallback>
        </mc:AlternateContent>
      </w:r>
      <w:r>
        <w:rPr>
          <w:noProof/>
        </w:rPr>
        <mc:AlternateContent>
          <mc:Choice Requires="wpg">
            <w:drawing>
              <wp:anchor distT="0" distB="0" distL="114300" distR="114300" simplePos="0" relativeHeight="251665408" behindDoc="0" locked="0" layoutInCell="1" allowOverlap="1" wp14:anchorId="4B9F2108" wp14:editId="32C32013">
                <wp:simplePos x="0" y="0"/>
                <wp:positionH relativeFrom="page">
                  <wp:posOffset>4054475</wp:posOffset>
                </wp:positionH>
                <wp:positionV relativeFrom="page">
                  <wp:posOffset>9292590</wp:posOffset>
                </wp:positionV>
                <wp:extent cx="4809490" cy="1539240"/>
                <wp:effectExtent l="0" t="0" r="10160" b="2286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539240"/>
                          <a:chOff x="0" y="0"/>
                          <a:chExt cx="5543550" cy="1581150"/>
                        </a:xfrm>
                      </wpg:grpSpPr>
                      <wps:wsp>
                        <wps:cNvPr id="372"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373"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374"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375"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376"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377"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378"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379"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380"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381"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382"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383"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384"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385"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386"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387"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88"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89"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90"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91"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392"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393"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394"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371" o:spid="_x0000_s1026" style="position:absolute;margin-left:319.25pt;margin-top:731.7pt;width:378.7pt;height:121.2pt;z-index:251665408;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QKPMQAAADcAAAADwAAAGRycy9kb3ducmV2LnhtbESP3WrCQBSE7wu+w3IE7+rGiFVSVxFF&#10;UJCCP5Db0+xpkpo9G7Orxrd3CwUvh5n5hpnOW1OJGzWutKxg0I9AEGdWl5wrOB3X7xMQziNrrCyT&#10;ggc5mM86b1NMtL3znm4Hn4sAYZeggsL7OpHSZQUZdH1bEwfvxzYGfZBNLnWD9wA3lYyj6EMaLDks&#10;FFjTsqDsfLgaBd/pOP1iR26bZhe5G8W/5nRcKdXrtotPEJ5a/wr/tzdawXA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Ao8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ivp8MAAADcAAAADwAAAGRycy9kb3ducmV2LnhtbESPQYvCMBSE7wv+h/AEb2uq4irVKKII&#10;CrKwKvT6bJ5ttXmpTdT6783Cwh6HmfmGmc4bU4oH1a6wrKDXjUAQp1YXnCk4HtafYxDOI2ssLZOC&#10;FzmYz1ofU4y1ffIPPfY+EwHCLkYFufdVLKVLczLourYiDt7Z1gZ9kHUmdY3PADel7EfRlzRYcFjI&#10;saJlTul1fzcKTsko+WZHbpukN7kb9i/meFgp1Wk3iwkIT43/D/+1N1rBYDSA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Yr6fDAAAA3AAAAA8AAAAAAAAAAAAA&#10;AAAAoQIAAGRycy9kb3ducmV2LnhtbFBLBQYAAAAABAAEAPkAAACRAw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E308UAAADcAAAADwAAAGRycy9kb3ducmV2LnhtbESP3WrCQBSE7wXfYTmCd7rRtlqiq4hF&#10;sFAEfyC3p9ljEs2ejdlV49u7hYKXw8x8w0znjSnFjWpXWFYw6EcgiFOrC84UHPar3icI55E1lpZJ&#10;wYMczGft1hRjbe+8pdvOZyJA2MWoIPe+iqV0aU4GXd9WxME72tqgD7LOpK7xHuCmlMMoGkmDBYeF&#10;HCta5pSed1ej4DcZJxt25L6T9CJ/PoYnc9h/KdXtNIsJCE+Nf4X/22ut4G38D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E308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2SSMMAAADcAAAADwAAAGRycy9kb3ducmV2LnhtbESPQYvCMBSE74L/ITzBm6YqrlKNIorg&#10;giysCr0+m2dbbV5qE7X7783Cwh6HmfmGmS8bU4on1a6wrGDQj0AQp1YXnCk4Hbe9KQjnkTWWlknB&#10;DzlYLtqtOcbavvibngefiQBhF6OC3PsqltKlORl0fVsRB+9ia4M+yDqTusZXgJtSDqPoQxosOCzk&#10;WNE6p/R2eBgF52SSfLEj95mkd7kfD6/mdNwo1e00qxkIT43/D/+1d1rBaDKG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9kkjDAAAA3AAAAA8AAAAAAAAAAAAA&#10;AAAAoQIAAGRycy9kb3ducmV2LnhtbFBLBQYAAAAABAAEAPkAAACRAw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8MP8QAAADcAAAADwAAAGRycy9kb3ducmV2LnhtbESPW4vCMBSE3xf8D+EIvq2piheqUWRF&#10;WEEWvEBfj82xrTYn3Sar9d8bYcHHYWa+YWaLxpTiRrUrLCvodSMQxKnVBWcKjof15wSE88gaS8uk&#10;4EEOFvPWxwxjbe+8o9veZyJA2MWoIPe+iqV0aU4GXddWxME729qgD7LOpK7xHuCmlP0oGkmDBYeF&#10;HCv6yim97v+MglMyTn7Ykdsk6a/cDvsXczyslOq0m+UUhKfGv8P/7W+tYDAewe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7ww/xAAAANwAAAAPAAAAAAAAAAAA&#10;AAAAAKECAABkcnMvZG93bnJldi54bWxQSwUGAAAAAAQABAD5AAAAkg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ppMUAAADcAAAADwAAAGRycy9kb3ducmV2LnhtbESP3WrCQBSE7wu+w3KE3jUbFRuJWUUs&#10;Qgul4A/k9pg9JtHs2TS71fj23ULBy2FmvmGyZW8acaXO1ZYVjKIYBHFhdc2lgsN+8zID4TyyxsYy&#10;KbiTg+Vi8JRhqu2Nt3Td+VIECLsUFVTet6mUrqjIoItsSxy8k+0M+iC7UuoObwFuGjmO41dpsOaw&#10;UGFL64qKy+7HKDjmSf7FjtxHXnzLz+n4bA77N6Weh/1qDsJT7x/h//a7VjBJEvg7E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OppM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w91sIAAADcAAAADwAAAGRycy9kb3ducmV2LnhtbERPXWvCMBR9F/Yfwh34pukU5+iMMhRh&#10;gghrC329S+7abs1NbTKt/948DPZ4ON+rzWBbcaHeN44VPE0TEMTamYYrBUW+n7yA8AHZYOuYFNzI&#10;w2b9MFphatyVP+iShUrEEPYpKqhD6FIpva7Jop+6jjhyX663GCLsK2l6vMZw28pZkjxLiw3Hhho7&#10;2takf7Jfq+CzXJYn9uQPpT7L42L2bYt8p9T4cXh7BRFoCP/iP/e7UTBfxr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w91sIAAADcAAAADwAAAAAAAAAAAAAA&#10;AAChAgAAZHJzL2Rvd25yZXYueG1sUEsFBgAAAAAEAAQA+QAAAJADA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CYTcUAAADcAAAADwAAAGRycy9kb3ducmV2LnhtbESP3WrCQBSE7wXfYTmCd7rR0mqjq4hF&#10;sFAEfyC3p9ljEs2ejdlV49u7hYKXw8x8w0znjSnFjWpXWFYw6EcgiFOrC84UHPar3hiE88gaS8uk&#10;4EEO5rN2a4qxtnfe0m3nMxEg7GJUkHtfxVK6NCeDrm8r4uAdbW3QB1lnUtd4D3BTymEUfUiDBYeF&#10;HCta5pSed1ej4DcZJRt25L6T9CJ/3ocnc9h/KdXtNIsJCE+Nf4X/22ut4G30CX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CYTc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9B98IAAADcAAAADwAAAGRycy9kb3ducmV2LnhtbERPXWvCMBR9F/Yfwh34pukUN+mMMhRh&#10;gghrC329S+7abs1NbTKt/948DPZ4ON+rzWBbcaHeN44VPE0TEMTamYYrBUW+nyxB+IBssHVMCm7k&#10;YbN+GK0wNe7KH3TJQiViCPsUFdQhdKmUXtdk0U9dRxy5L9dbDBH2lTQ9XmO4beUsSZ6lxYZjQ40d&#10;bWvSP9mvVfBZvpQ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9B98IAAADcAAAADwAAAAAAAAAAAAAA&#10;AAChAgAAZHJzL2Rvd25yZXYueG1sUEsFBgAAAAAEAAQA+QAAAJA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kbMMAAADcAAAADwAAAGRycy9kb3ducmV2LnhtbESPQYvCMBSE7wv+h/AEb2uq4irVKKII&#10;CrKwKvT6bJ5ttXmpTdT6783Cwh6HmfmGmc4bU4oH1a6wrKDXjUAQp1YXnCk4HtafYxDOI2ssLZOC&#10;FzmYz1ofU4y1ffIPPfY+EwHCLkYFufdVLKVLczLourYiDt7Z1gZ9kHUmdY3PADel7EfRlzRYcFjI&#10;saJlTul1fzcKTsko+WZHbpukN7kb9i/meFgp1Wk3iwkIT43/D/+1N1rBYNy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T5GzDAAAA3AAAAA8AAAAAAAAAAAAA&#10;AAAAoQIAAGRycy9kb3ducmV2LnhtbFBLBQYAAAAABAAEAPkAAACRAw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6G8QAAADcAAAADwAAAGRycy9kb3ducmV2LnhtbESP3WrCQBSE7wu+w3IE7+rGiFVSVxFF&#10;UJCCP5Db0+xpkpo9G7Orxrd3CwUvh5n5hpnOW1OJGzWutKxg0I9AEGdWl5wrOB3X7xMQziNrrCyT&#10;ggc5mM86b1NMtL3znm4Hn4sAYZeggsL7OpHSZQUZdH1bEwfvxzYGfZBNLnWD9wA3lYyj6EMaLDks&#10;FFjTsqDsfLgaBd/pOP1iR26bZhe5G8W/5nRcKdXrtotPEJ5a/wr/tzdawXAS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XobxAAAANwAAAAPAAAAAAAAAAAA&#10;AAAAAKECAABkcnMvZG93bnJldi54bWxQSwUGAAAAAAQABAD5AAAAkgM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3fgMMAAADcAAAADwAAAGRycy9kb3ducmV2LnhtbESPQYvCMBSE7wv+h/AEb2uq4irVKKII&#10;CrKwKvT6bJ5ttXmpTdT6783Cwh6HmfmGmc4bU4oH1a6wrKDXjUAQp1YXnCk4HtafYxDOI2ssLZOC&#10;FzmYz1ofU4y1ffIPPfY+EwHCLkYFufdVLKVLczLourYiDt7Z1gZ9kHUmdY3PADel7EfRlzRYcFjI&#10;saJlTul1fzcKTsko+WZHbpukN7kb9i/meFgp1Wk3iwkIT43/D/+1N1rBYDyA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34DDAAAA3AAAAA8AAAAAAAAAAAAA&#10;AAAAoQIAAGRycy9kb3ducmV2LnhtbFBLBQYAAAAABAAEAPkAAACRAw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RH9MQAAADcAAAADwAAAGRycy9kb3ducmV2LnhtbESPQWvCQBSE74L/YXmCt7pRW5XoKqUi&#10;VJBCVcj1mX0m0ezbmF01/nu3UPA4zMw3zGzRmFLcqHaFZQX9XgSCOLW64EzBfrd6m4BwHlljaZkU&#10;PMjBYt5uzTDW9s6/dNv6TAQIuxgV5N5XsZQuzcmg69mKOHhHWxv0QdaZ1DXeA9yUchBFI2mw4LCQ&#10;Y0VfOaXn7dUoOCTj5IcduXWSXuTmY3Ay+91SqW6n+ZyC8NT4V/i//a0VDCfv8Hc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pEf0xAAAANwAAAAPAAAAAAAAAAAA&#10;AAAAAKECAABkcnMvZG93bnJldi54bWxQSwUGAAAAAAQABAD5AAAAkg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b8MAAADcAAAADwAAAGRycy9kb3ducmV2LnhtbESPQYvCMBSE74L/ITzBm6YqrlKNIorg&#10;giysCr0+m2dbbV5qE7X7783Cwh6HmfmGmS8bU4on1a6wrGDQj0AQp1YXnCk4Hbe9KQjnkTWWlknB&#10;DzlYLtqtOcbavvibngefiQBhF6OC3PsqltKlORl0fVsRB+9ia4M+yDqTusZXgJtSDqPoQxosOCzk&#10;WNE6p/R2eBgF52SSfLEj95mkd7kfD6/mdNwo1e00qxkIT43/D/+1d1rBaDqG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o4m/DAAAA3AAAAA8AAAAAAAAAAAAA&#10;AAAAoQIAAGRycy9kb3ducmV2LnhtbFBLBQYAAAAABAAEAPkAAACRAw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8GMQAAADcAAAADwAAAGRycy9kb3ducmV2LnhtbESPW4vCMBSE3xf8D+EIvq2piheqUWRF&#10;WEEWvEBfj82xrTYn3Sar9d8bYcHHYWa+YWaLxpTiRrUrLCvodSMQxKnVBWcKjof15wSE88gaS8uk&#10;4EEOFvPWxwxjbe+8o9veZyJA2MWoIPe+iqV0aU4GXddWxME729qgD7LOpK7xHuCmlP0oGkmDBYeF&#10;HCv6yim97v+MglMyTn7Ykdsk6a/cDvsXczyslOq0m+UUhKfGv8P/7W+tYDAZwe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nwYxAAAANwAAAAPAAAAAAAAAAAA&#10;AAAAAKECAABkcnMvZG93bnJldi54bWxQSwUGAAAAAAQABAD5AAAAkgM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Zg8QAAADcAAAADwAAAGRycy9kb3ducmV2LnhtbESP3YrCMBSE7xd8h3AE79ZUxVWqUWRF&#10;WEEW/IHeHptjW21Ouk1W69sbQfBymJlvmOm8MaW4Uu0Kywp63QgEcWp1wZmCw371OQbhPLLG0jIp&#10;uJOD+az1McVY2xtv6brzmQgQdjEqyL2vYildmpNB17UVcfBOtjbog6wzqWu8BbgpZT+KvqTBgsNC&#10;jhV955Redv9GwTEZJb/syK2T9E9uhv2zOeyXSnXazWICwlPj3+FX+0crGIxH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tmD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lN8cIAAADcAAAADwAAAGRycy9kb3ducmV2LnhtbERPXWvCMBR9F/Yfwh34pukUN+mMMhRh&#10;gghrC329S+7abs1NbTKt/948DPZ4ON+rzWBbcaHeN44VPE0TEMTamYYrBUW+nyxB+IBssHVMCm7k&#10;YbN+GK0wNe7KH3TJQiViCPsUFdQhdKmUXtdk0U9dRxy5L9dbDBH2lTQ9XmO4beUsSZ6lxYZjQ40d&#10;bWvSP9mvVfBZvpQn9uQPpT7L42L2bYt8p9T4cXh7BRFoCP/iP/e7UTBfxr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lN8cIAAADcAAAADwAAAAAAAAAAAAAA&#10;AAChAgAAZHJzL2Rvd25yZXYueG1sUEsFBgAAAAAEAAQA+QAAAJADA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oasUAAADcAAAADwAAAGRycy9kb3ducmV2LnhtbESP3WrCQBSE7wXfYTmCd7rR0mqjq4hF&#10;sFAEfyC3p9ljEs2ejdlV49u7hYKXw8x8w0znjSnFjWpXWFYw6EcgiFOrC84UHPar3hiE88gaS8uk&#10;4EEO5rN2a4qxtnfe0m3nMxEg7GJUkHtfxVK6NCeDrm8r4uAdbW3QB1lnUtd4D3BTymEUfUiDBYeF&#10;HCta5pSed1ej4DcZJRt25L6T9CJ/3ocnc9h/KdXtNIsJCE+Nf4X/22ut4G38CX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Xoas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XKsIAAADcAAAADwAAAGRycy9kb3ducmV2LnhtbERPXWvCMBR9F/Yfwh34NtMpuq0zylAE&#10;BRmsFfp6l9y13Zqb2kSt/948DHw8nO/5sreNOFPna8cKnkcJCGLtTM2lgkO+eXoF4QOywcYxKbiS&#10;h+XiYTDH1LgLf9E5C6WIIexTVFCF0KZSel2RRT9yLXHkflxnMUTYldJ0eInhtpHjJJlJizXHhgpb&#10;WlWk/7KTVfBdvBSf7MnvCn2U++n41x7ytVLDx/7jHUSgPtzF/+6tUTB5i/PjmXg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bXKsIAAADcAAAADwAAAAAAAAAAAAAA&#10;AAChAgAAZHJzL2Rvd25yZXYueG1sUEsFBgAAAAAEAAQA+QAAAJA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pyscUAAADcAAAADwAAAGRycy9kb3ducmV2LnhtbESP3WrCQBSE7wt9h+UUeqcbU/yLrkEs&#10;BQtFMAq5PWaPSdrs2TS71fTtu4LQy2FmvmGWaW8acaHO1ZYVjIYRCOLC6ppLBcfD22AGwnlkjY1l&#10;UvBLDtLV48MSE22vvKdL5ksRIOwSVFB53yZSuqIig25oW+LgnW1n0AfZlVJ3eA1w08g4iibSYM1h&#10;ocKWNhUVX9mPUXDKp/mOHbn3vPiWH+P40xwPr0o9P/XrBQhPvf8P39tbreBlPoL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pysc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sxsUAAADcAAAADwAAAGRycy9kb3ducmV2LnhtbESP3WrCQBSE7wu+w3KE3unGFKtGVymV&#10;ggUR/IHcHrPHJJo9G7NbTd/eLQi9HGbmG2a2aE0lbtS40rKCQT8CQZxZXXKu4LD/6o1BOI+ssbJM&#10;Cn7JwWLeeZlhou2dt3Tb+VwECLsEFRTe14mULivIoOvbmjh4J9sY9EE2udQN3gPcVDKOondpsOSw&#10;UGBNnwVll92PUXBMR+mGHbnvNLvK9TA+m8N+qdRrt/2YgvDU+v/ws73SCt4mM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jsxsUAAADcAAAADwAAAAAAAAAA&#10;AAAAAAChAgAAZHJzL2Rvd25yZXYueG1sUEsFBgAAAAAEAAQA+QAAAJMDA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JXcUAAADcAAAADwAAAGRycy9kb3ducmV2LnhtbESPQWvCQBSE7wX/w/KE3nRTRdvGrCIt&#10;BQsiGAO5vmafSWr2bZrdavrvXUHocZiZb5hk1ZtGnKlztWUFT+MIBHFhdc2lguzwMXoB4TyyxsYy&#10;KfgjB6vl4CHBWNsL7+mc+lIECLsYFVTet7GUrqjIoBvbljh4R9sZ9EF2pdQdXgLcNHISRXNpsOaw&#10;UGFLbxUVp/TXKPjKn/MdO3KfefEjt7PJt8kO70o9Dvv1AoSn3v+H7+2NVjB9ncLt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RJXcUAAADcAAAADwAAAAAAAAAA&#10;AAAAAAChAgAAZHJzL2Rvd25yZXYueG1sUEsFBgAAAAAEAAQA+QAAAJM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3RKcUAAADcAAAADwAAAGRycy9kb3ducmV2LnhtbESPQWvCQBSE74X+h+UVvNWNqbaaupFS&#10;ESqIUBVyfc0+k2j2bZpdNf33riD0OMzMN8x01planKl1lWUFg34Egji3uuJCwW67eB6DcB5ZY22Z&#10;FPyRg1n6+DDFRNsLf9N54wsRIOwSVFB63yRSurwkg65vG+Lg7W1r0AfZFlK3eAlwU8s4il6lwYrD&#10;QokNfZaUHzcno+Ane8vW7Mgts/xXrkbxwey2c6V6T93HOwhPnf8P39tfWsHLZAi3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3RKcUAAADcAAAADwAAAAAAAAAA&#10;AAAAAAChAgAAZHJzL2Rvd25yZXYueG1sUEsFBgAAAAAEAAQA+QAAAJMDAAAAAA==&#10;" strokecolor="window" strokeweight=".5pt"/>
                <w10:wrap anchorx="page" anchory="page"/>
              </v:group>
            </w:pict>
          </mc:Fallback>
        </mc:AlternateContent>
      </w:r>
      <w:r>
        <w:rPr>
          <w:noProof/>
        </w:rPr>
        <mc:AlternateContent>
          <mc:Choice Requires="wps">
            <w:drawing>
              <wp:anchor distT="0" distB="0" distL="114300" distR="114300" simplePos="0" relativeHeight="251666432" behindDoc="0" locked="0" layoutInCell="1" allowOverlap="1" wp14:anchorId="02B24F86" wp14:editId="0DA17A42">
                <wp:simplePos x="0" y="0"/>
                <wp:positionH relativeFrom="column">
                  <wp:posOffset>-588645</wp:posOffset>
                </wp:positionH>
                <wp:positionV relativeFrom="paragraph">
                  <wp:posOffset>-728980</wp:posOffset>
                </wp:positionV>
                <wp:extent cx="2749550" cy="280670"/>
                <wp:effectExtent l="2540" t="0" r="635"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F7" w:rsidRPr="00B64AED" w:rsidRDefault="00806EB3" w:rsidP="00A73490">
                            <w:pPr>
                              <w:pStyle w:val="Header"/>
                              <w:rPr>
                                <w:szCs w:val="24"/>
                              </w:rPr>
                            </w:pPr>
                            <w:hyperlink r:id="rId23" w:history="1">
                              <w:r w:rsidR="00FB60F7" w:rsidRPr="00B64AED">
                                <w:rPr>
                                  <w:rStyle w:val="Hyperlink"/>
                                  <w:szCs w:val="24"/>
                                </w:rPr>
                                <w:t>www.dtf.vic.gov.au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style="position:absolute;left:0;text-align:left;margin-left:-46.35pt;margin-top:-57.4pt;width:216.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JyuQIAAL0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" filled="f" stroked="f">
                <v:textbox inset="2.48919mm,1.2446mm,2.48919mm,1.2446mm">
                  <w:txbxContent>
                    <w:p w:rsidR="00FB60F7" w:rsidRPr="00B64AED" w:rsidRDefault="00D1078D" w:rsidP="00A73490">
                      <w:pPr>
                        <w:pStyle w:val="Header"/>
                        <w:rPr>
                          <w:szCs w:val="24"/>
                        </w:rPr>
                      </w:pPr>
                      <w:hyperlink r:id="rId24" w:history="1">
                        <w:r w:rsidR="00FB60F7" w:rsidRPr="00B64AED">
                          <w:rPr>
                            <w:rStyle w:val="Hyperlink"/>
                            <w:szCs w:val="24"/>
                          </w:rPr>
                          <w:t>www.dtf.vic.gov.au</w:t>
                        </w:r>
                      </w:hyperlink>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6DC00C3" wp14:editId="4115E798">
                <wp:simplePos x="0" y="0"/>
                <wp:positionH relativeFrom="page">
                  <wp:posOffset>5080635</wp:posOffset>
                </wp:positionH>
                <wp:positionV relativeFrom="page">
                  <wp:posOffset>2969260</wp:posOffset>
                </wp:positionV>
                <wp:extent cx="2484120" cy="2484120"/>
                <wp:effectExtent l="3810" t="6985" r="7620" b="4445"/>
                <wp:wrapNone/>
                <wp:docPr id="369" name="Right Triangle 369" descr="BackArt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4120" cy="248412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69" o:spid="_x0000_s1026" type="#_x0000_t6" alt="Description: BackArtTriangle" style="position:absolute;margin-left:400.05pt;margin-top:233.8pt;width:195.6pt;height:195.6pt;rotation:18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" stroked="f">
                <w10:wrap anchorx="page" anchory="page"/>
              </v:shape>
            </w:pict>
          </mc:Fallback>
        </mc:AlternateContent>
      </w:r>
    </w:p>
    <w:p w:rsidR="00716818" w:rsidRPr="00A73490" w:rsidRDefault="007A73A9" w:rsidP="00A73490">
      <w:r>
        <w:rPr>
          <w:noProof/>
        </w:rPr>
        <w:drawing>
          <wp:anchor distT="0" distB="0" distL="114300" distR="114300" simplePos="0" relativeHeight="251677696" behindDoc="0" locked="0" layoutInCell="1" allowOverlap="1">
            <wp:simplePos x="0" y="0"/>
            <wp:positionH relativeFrom="column">
              <wp:posOffset>-546073</wp:posOffset>
            </wp:positionH>
            <wp:positionV relativeFrom="paragraph">
              <wp:posOffset>8615680</wp:posOffset>
            </wp:positionV>
            <wp:extent cx="1673352" cy="374904"/>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reversed left align P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73352" cy="374904"/>
                    </a:xfrm>
                    <a:prstGeom prst="rect">
                      <a:avLst/>
                    </a:prstGeom>
                  </pic:spPr>
                </pic:pic>
              </a:graphicData>
            </a:graphic>
            <wp14:sizeRelH relativeFrom="margin">
              <wp14:pctWidth>0</wp14:pctWidth>
            </wp14:sizeRelH>
            <wp14:sizeRelV relativeFrom="margin">
              <wp14:pctHeight>0</wp14:pctHeight>
            </wp14:sizeRelV>
          </wp:anchor>
        </w:drawing>
      </w:r>
      <w:r w:rsidR="00630D71">
        <w:rPr>
          <w:noProof/>
        </w:rPr>
        <mc:AlternateContent>
          <mc:Choice Requires="wps">
            <w:drawing>
              <wp:anchor distT="0" distB="0" distL="114300" distR="114300" simplePos="0" relativeHeight="251664384" behindDoc="0" locked="0" layoutInCell="1" allowOverlap="1" wp14:anchorId="6ECC5430" wp14:editId="2FC6A515">
                <wp:simplePos x="0" y="0"/>
                <wp:positionH relativeFrom="column">
                  <wp:posOffset>-903605</wp:posOffset>
                </wp:positionH>
                <wp:positionV relativeFrom="paragraph">
                  <wp:posOffset>8393430</wp:posOffset>
                </wp:positionV>
                <wp:extent cx="7593330" cy="1080135"/>
                <wp:effectExtent l="0" t="0" r="7620" b="5715"/>
                <wp:wrapNone/>
                <wp:docPr id="397" name="Rectangle 397"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080135"/>
                        </a:xfrm>
                        <a:prstGeom prst="rect">
                          <a:avLst/>
                        </a:prstGeom>
                        <a:solidFill>
                          <a:srgbClr val="00557E"/>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alt="Description: Cover Coloured Footer Section" style="position:absolute;margin-left:-71.15pt;margin-top:660.9pt;width:597.9pt;height:8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" fillcolor="#00557e" stroked="f" strokecolor="#00557e"/>
            </w:pict>
          </mc:Fallback>
        </mc:AlternateContent>
      </w:r>
      <w:r w:rsidR="00FB60F7">
        <w:rPr>
          <w:noProof/>
        </w:rPr>
        <w:drawing>
          <wp:anchor distT="0" distB="0" distL="114300" distR="114300" simplePos="0" relativeHeight="251669504" behindDoc="1" locked="0" layoutInCell="1" allowOverlap="1" wp14:anchorId="08B54E2F" wp14:editId="2E850916">
            <wp:simplePos x="0" y="0"/>
            <wp:positionH relativeFrom="page">
              <wp:posOffset>0</wp:posOffset>
            </wp:positionH>
            <wp:positionV relativeFrom="page">
              <wp:posOffset>3410321</wp:posOffset>
            </wp:positionV>
            <wp:extent cx="7562850" cy="756285"/>
            <wp:effectExtent l="0" t="0" r="0" b="5715"/>
            <wp:wrapNone/>
            <wp:docPr id="370" name="Picture 370" title="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ackpageA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28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6818" w:rsidRPr="00A73490" w:rsidSect="00716818">
      <w:footerReference w:type="even" r:id="rId27"/>
      <w:footerReference w:type="default" r:id="rId28"/>
      <w:type w:val="evenPage"/>
      <w:pgSz w:w="11906" w:h="16838"/>
      <w:pgMar w:top="1584" w:right="1411" w:bottom="1138"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F7" w:rsidRDefault="00FB60F7" w:rsidP="00716818">
      <w:pPr>
        <w:spacing w:before="0" w:after="0"/>
      </w:pPr>
      <w:r>
        <w:separator/>
      </w:r>
    </w:p>
  </w:endnote>
  <w:endnote w:type="continuationSeparator" w:id="0">
    <w:p w:rsidR="00FB60F7" w:rsidRDefault="00FB60F7"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6"/>
    </w:tblGrid>
    <w:tr w:rsidR="00FB60F7">
      <w:trPr>
        <w:cantSplit/>
        <w:jc w:val="right"/>
      </w:trPr>
      <w:tc>
        <w:tcPr>
          <w:tcW w:w="803" w:type="dxa"/>
        </w:tcPr>
        <w:p w:rsidR="00FB60F7" w:rsidRDefault="00FB60F7" w:rsidP="003238E0">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806EB3">
            <w:rPr>
              <w:rStyle w:val="PageNumber"/>
            </w:rPr>
            <w:t>6</w:t>
          </w:r>
          <w:r w:rsidRPr="0018749C">
            <w:rPr>
              <w:rStyle w:val="PageNumber"/>
            </w:rPr>
            <w:fldChar w:fldCharType="end"/>
          </w:r>
        </w:p>
      </w:tc>
      <w:tc>
        <w:tcPr>
          <w:tcW w:w="8952" w:type="dxa"/>
          <w:shd w:val="clear" w:color="auto" w:fill="auto"/>
        </w:tcPr>
        <w:p w:rsidR="00FB60F7" w:rsidRPr="0018749C" w:rsidRDefault="00FB60F7" w:rsidP="003238E0">
          <w:pPr>
            <w:pStyle w:val="Footer"/>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r>
  </w:tbl>
  <w:p w:rsidR="00FB60F7" w:rsidRDefault="00FB60F7" w:rsidP="003238E0">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3"/>
      <w:gridCol w:w="806"/>
    </w:tblGrid>
    <w:tr w:rsidR="00FB60F7">
      <w:trPr>
        <w:cantSplit/>
      </w:trPr>
      <w:tc>
        <w:tcPr>
          <w:tcW w:w="8266" w:type="dxa"/>
          <w:shd w:val="clear" w:color="auto" w:fill="auto"/>
        </w:tcPr>
        <w:p w:rsidR="00FB60F7" w:rsidRPr="0018749C" w:rsidRDefault="00FB60F7" w:rsidP="003238E0">
          <w:pPr>
            <w:pStyle w:val="Footer"/>
            <w:jc w:val="right"/>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jc w:val="right"/>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c>
        <w:tcPr>
          <w:tcW w:w="794" w:type="dxa"/>
          <w:shd w:val="clear" w:color="auto" w:fill="auto"/>
        </w:tcPr>
        <w:p w:rsidR="00FB60F7" w:rsidRPr="0018749C" w:rsidRDefault="00FB60F7"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806EB3">
            <w:rPr>
              <w:rStyle w:val="PageNumber"/>
            </w:rPr>
            <w:t>i</w:t>
          </w:r>
          <w:r w:rsidRPr="0018749C">
            <w:rPr>
              <w:rStyle w:val="PageNumber"/>
            </w:rPr>
            <w:fldChar w:fldCharType="end"/>
          </w:r>
        </w:p>
      </w:tc>
    </w:tr>
  </w:tbl>
  <w:p w:rsidR="00FB60F7" w:rsidRDefault="00FB60F7" w:rsidP="00323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2"/>
      <w:gridCol w:w="806"/>
    </w:tblGrid>
    <w:tr w:rsidR="00FB60F7">
      <w:trPr>
        <w:cantSplit/>
      </w:trPr>
      <w:tc>
        <w:tcPr>
          <w:tcW w:w="8266" w:type="dxa"/>
          <w:shd w:val="clear" w:color="auto" w:fill="auto"/>
        </w:tcPr>
        <w:p w:rsidR="00FB60F7" w:rsidRPr="0018749C" w:rsidRDefault="00FB60F7" w:rsidP="003238E0">
          <w:pPr>
            <w:pStyle w:val="Footer"/>
            <w:jc w:val="right"/>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jc w:val="right"/>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c>
        <w:tcPr>
          <w:tcW w:w="794" w:type="dxa"/>
          <w:shd w:val="clear" w:color="auto" w:fill="auto"/>
        </w:tcPr>
        <w:p w:rsidR="00FB60F7" w:rsidRPr="0018749C" w:rsidRDefault="00FB60F7"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806EB3">
            <w:rPr>
              <w:rStyle w:val="PageNumber"/>
            </w:rPr>
            <w:t>5</w:t>
          </w:r>
          <w:r w:rsidRPr="0018749C">
            <w:rPr>
              <w:rStyle w:val="PageNumber"/>
            </w:rPr>
            <w:fldChar w:fldCharType="end"/>
          </w:r>
        </w:p>
      </w:tc>
    </w:tr>
  </w:tbl>
  <w:p w:rsidR="00FB60F7" w:rsidRDefault="00FB60F7" w:rsidP="003238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1235"/>
      <w:gridCol w:w="13763"/>
    </w:tblGrid>
    <w:tr w:rsidR="00FB60F7">
      <w:trPr>
        <w:cantSplit/>
        <w:jc w:val="right"/>
      </w:trPr>
      <w:tc>
        <w:tcPr>
          <w:tcW w:w="803" w:type="dxa"/>
        </w:tcPr>
        <w:p w:rsidR="00FB60F7" w:rsidRDefault="00FB60F7" w:rsidP="003238E0">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806EB3">
            <w:rPr>
              <w:rStyle w:val="PageNumber"/>
            </w:rPr>
            <w:t>12</w:t>
          </w:r>
          <w:r w:rsidRPr="0018749C">
            <w:rPr>
              <w:rStyle w:val="PageNumber"/>
            </w:rPr>
            <w:fldChar w:fldCharType="end"/>
          </w:r>
        </w:p>
      </w:tc>
      <w:tc>
        <w:tcPr>
          <w:tcW w:w="8952" w:type="dxa"/>
          <w:shd w:val="clear" w:color="auto" w:fill="auto"/>
        </w:tcPr>
        <w:p w:rsidR="00FB60F7" w:rsidRPr="0018749C" w:rsidRDefault="00FB60F7" w:rsidP="003238E0">
          <w:pPr>
            <w:pStyle w:val="Footer"/>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r>
  </w:tbl>
  <w:p w:rsidR="00FB60F7" w:rsidRDefault="00FB60F7" w:rsidP="003238E0">
    <w:pPr>
      <w:pStyle w:val="Spac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13681"/>
      <w:gridCol w:w="1314"/>
    </w:tblGrid>
    <w:tr w:rsidR="00FB60F7">
      <w:trPr>
        <w:cantSplit/>
      </w:trPr>
      <w:tc>
        <w:tcPr>
          <w:tcW w:w="8266" w:type="dxa"/>
          <w:shd w:val="clear" w:color="auto" w:fill="auto"/>
        </w:tcPr>
        <w:p w:rsidR="00FB60F7" w:rsidRPr="0018749C" w:rsidRDefault="00FB60F7" w:rsidP="003238E0">
          <w:pPr>
            <w:pStyle w:val="Footer"/>
            <w:jc w:val="right"/>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jc w:val="right"/>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c>
        <w:tcPr>
          <w:tcW w:w="794" w:type="dxa"/>
          <w:shd w:val="clear" w:color="auto" w:fill="auto"/>
        </w:tcPr>
        <w:p w:rsidR="00FB60F7" w:rsidRPr="0018749C" w:rsidRDefault="00FB60F7"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806EB3">
            <w:rPr>
              <w:rStyle w:val="PageNumber"/>
            </w:rPr>
            <w:t>13</w:t>
          </w:r>
          <w:r w:rsidRPr="0018749C">
            <w:rPr>
              <w:rStyle w:val="PageNumber"/>
            </w:rPr>
            <w:fldChar w:fldCharType="end"/>
          </w:r>
        </w:p>
      </w:tc>
    </w:tr>
  </w:tbl>
  <w:p w:rsidR="00FB60F7" w:rsidRDefault="00FB60F7" w:rsidP="003238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6"/>
    </w:tblGrid>
    <w:tr w:rsidR="00FB60F7">
      <w:trPr>
        <w:cantSplit/>
        <w:jc w:val="right"/>
      </w:trPr>
      <w:tc>
        <w:tcPr>
          <w:tcW w:w="803" w:type="dxa"/>
        </w:tcPr>
        <w:p w:rsidR="00FB60F7" w:rsidRDefault="00FB60F7" w:rsidP="003238E0">
          <w:pPr>
            <w:pStyle w:val="Footer"/>
          </w:pPr>
        </w:p>
      </w:tc>
      <w:tc>
        <w:tcPr>
          <w:tcW w:w="8952" w:type="dxa"/>
          <w:shd w:val="clear" w:color="auto" w:fill="auto"/>
        </w:tcPr>
        <w:p w:rsidR="00FB60F7" w:rsidRPr="0018749C" w:rsidRDefault="00FB60F7" w:rsidP="003238E0">
          <w:pPr>
            <w:pStyle w:val="Footer"/>
          </w:pPr>
          <w:r>
            <w:fldChar w:fldCharType="begin"/>
          </w:r>
          <w:r>
            <w:instrText xml:space="preserve"> StyleRef “Title” </w:instrText>
          </w:r>
          <w:r>
            <w:fldChar w:fldCharType="separate"/>
          </w:r>
          <w:r w:rsidR="00806EB3">
            <w:t>Annual financial management compliance and assurance report</w:t>
          </w:r>
          <w:r>
            <w:fldChar w:fldCharType="end"/>
          </w:r>
        </w:p>
        <w:p w:rsidR="00FB60F7" w:rsidRDefault="00FB60F7" w:rsidP="003238E0">
          <w:pPr>
            <w:pStyle w:val="Footer"/>
          </w:pPr>
          <w:r>
            <w:fldChar w:fldCharType="begin"/>
          </w:r>
          <w:r>
            <w:instrText xml:space="preserve"> StyleRef “Subtitle” </w:instrText>
          </w:r>
          <w:r>
            <w:fldChar w:fldCharType="separate"/>
          </w:r>
          <w:r w:rsidR="00806EB3">
            <w:t>For the year 2013-14</w:t>
          </w:r>
          <w:r>
            <w:fldChar w:fldCharType="end"/>
          </w:r>
          <w:r w:rsidRPr="0018749C">
            <w:t xml:space="preserve">, </w:t>
          </w:r>
          <w:r>
            <w:fldChar w:fldCharType="begin"/>
          </w:r>
          <w:r>
            <w:instrText xml:space="preserve"> StyleRef “Tertiary Title” </w:instrText>
          </w:r>
          <w:r>
            <w:fldChar w:fldCharType="separate"/>
          </w:r>
          <w:r w:rsidR="00806EB3">
            <w:t>February 2015</w:t>
          </w:r>
          <w:r>
            <w:fldChar w:fldCharType="end"/>
          </w:r>
        </w:p>
      </w:tc>
    </w:tr>
  </w:tbl>
  <w:p w:rsidR="00FB60F7" w:rsidRDefault="00FB60F7" w:rsidP="003238E0">
    <w:pPr>
      <w:pStyle w:val="Spac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2"/>
      <w:gridCol w:w="806"/>
    </w:tblGrid>
    <w:tr w:rsidR="00FB60F7">
      <w:trPr>
        <w:cantSplit/>
      </w:trPr>
      <w:tc>
        <w:tcPr>
          <w:tcW w:w="8266" w:type="dxa"/>
          <w:shd w:val="clear" w:color="auto" w:fill="auto"/>
        </w:tcPr>
        <w:p w:rsidR="00FB60F7" w:rsidRPr="0018749C" w:rsidRDefault="00FB60F7" w:rsidP="003238E0">
          <w:pPr>
            <w:pStyle w:val="Footer"/>
            <w:jc w:val="right"/>
          </w:pPr>
          <w:r>
            <w:fldChar w:fldCharType="begin"/>
          </w:r>
          <w:r>
            <w:instrText xml:space="preserve"> StyleRef “Title” </w:instrText>
          </w:r>
          <w:r>
            <w:fldChar w:fldCharType="separate"/>
          </w:r>
          <w:r w:rsidR="00944FC3">
            <w:t>Annual financial management compliance and assurance report</w:t>
          </w:r>
          <w:r>
            <w:fldChar w:fldCharType="end"/>
          </w:r>
        </w:p>
        <w:p w:rsidR="00FB60F7" w:rsidRDefault="00FB60F7" w:rsidP="003238E0">
          <w:pPr>
            <w:pStyle w:val="Footer"/>
            <w:jc w:val="right"/>
          </w:pPr>
          <w:r>
            <w:fldChar w:fldCharType="begin"/>
          </w:r>
          <w:r>
            <w:instrText xml:space="preserve"> StyleRef “Subtitle” </w:instrText>
          </w:r>
          <w:r>
            <w:fldChar w:fldCharType="separate"/>
          </w:r>
          <w:r w:rsidR="00944FC3">
            <w:t>For the year 2013-14</w:t>
          </w:r>
          <w:r>
            <w:fldChar w:fldCharType="end"/>
          </w:r>
          <w:r w:rsidRPr="0018749C">
            <w:t xml:space="preserve">, </w:t>
          </w:r>
          <w:r>
            <w:fldChar w:fldCharType="begin"/>
          </w:r>
          <w:r>
            <w:instrText xml:space="preserve"> StyleRef “Tertiary Title” </w:instrText>
          </w:r>
          <w:r>
            <w:fldChar w:fldCharType="separate"/>
          </w:r>
          <w:r w:rsidR="00944FC3">
            <w:t>February 2015</w:t>
          </w:r>
          <w:r>
            <w:fldChar w:fldCharType="end"/>
          </w:r>
        </w:p>
      </w:tc>
      <w:tc>
        <w:tcPr>
          <w:tcW w:w="794" w:type="dxa"/>
          <w:shd w:val="clear" w:color="auto" w:fill="auto"/>
        </w:tcPr>
        <w:p w:rsidR="00FB60F7" w:rsidRPr="0018749C" w:rsidRDefault="00FB60F7"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E56F08">
            <w:rPr>
              <w:rStyle w:val="PageNumber"/>
            </w:rPr>
            <w:t>15</w:t>
          </w:r>
          <w:r w:rsidRPr="0018749C">
            <w:rPr>
              <w:rStyle w:val="PageNumber"/>
            </w:rPr>
            <w:fldChar w:fldCharType="end"/>
          </w:r>
        </w:p>
      </w:tc>
    </w:tr>
  </w:tbl>
  <w:p w:rsidR="00FB60F7" w:rsidRDefault="00FB60F7" w:rsidP="003238E0">
    <w:pPr>
      <w:pStyle w:val="Footer"/>
    </w:pPr>
  </w:p>
  <w:p w:rsidR="00FB60F7" w:rsidRDefault="00FB60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F7" w:rsidRDefault="00FB60F7" w:rsidP="00716818">
      <w:pPr>
        <w:spacing w:before="0" w:after="0"/>
      </w:pPr>
      <w:r>
        <w:separator/>
      </w:r>
    </w:p>
  </w:footnote>
  <w:footnote w:type="continuationSeparator" w:id="0">
    <w:p w:rsidR="00FB60F7" w:rsidRDefault="00FB60F7" w:rsidP="00716818">
      <w:pPr>
        <w:spacing w:before="0" w:after="0"/>
      </w:pPr>
      <w:r>
        <w:continuationSeparator/>
      </w:r>
    </w:p>
  </w:footnote>
  <w:footnote w:id="1">
    <w:p w:rsidR="00FB60F7" w:rsidRDefault="00FB60F7">
      <w:pPr>
        <w:pStyle w:val="FootnoteText"/>
      </w:pPr>
      <w:r>
        <w:rPr>
          <w:rStyle w:val="FootnoteReference"/>
        </w:rPr>
        <w:footnoteRef/>
      </w:r>
      <w:r>
        <w:t xml:space="preserve"> </w:t>
      </w:r>
      <w:r w:rsidRPr="00A73490">
        <w:t>In 201</w:t>
      </w:r>
      <w:r>
        <w:t>3</w:t>
      </w:r>
      <w:r>
        <w:noBreakHyphen/>
      </w:r>
      <w:r w:rsidRPr="00A73490">
        <w:t>1</w:t>
      </w:r>
      <w:r>
        <w:t>4</w:t>
      </w:r>
      <w:r w:rsidRPr="00A73490">
        <w:t>, there were 2</w:t>
      </w:r>
      <w:r>
        <w:t>64</w:t>
      </w:r>
      <w:r w:rsidRPr="00A73490">
        <w:t xml:space="preserve"> certifying agencies. Only 26</w:t>
      </w:r>
      <w:r>
        <w:t>2</w:t>
      </w:r>
      <w:r w:rsidRPr="00A73490">
        <w:t xml:space="preserve"> were included in Table 2 as the Department of Parliament and the Victorian Auditor</w:t>
      </w:r>
      <w:r>
        <w:noBreakHyphen/>
      </w:r>
      <w:r w:rsidRPr="00A73490">
        <w:t>General’s Office were excluded.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F7" w:rsidRDefault="00FB60F7" w:rsidP="00716818">
    <w:pPr>
      <w:pStyle w:val="Header"/>
      <w:tabs>
        <w:tab w:val="clear" w:pos="4320"/>
        <w:tab w:val="clear" w:pos="8640"/>
      </w:tabs>
      <w:ind w:right="-456"/>
      <w:jc w:val="right"/>
    </w:pPr>
    <w:r>
      <w:rPr>
        <w:noProof/>
      </w:rPr>
      <w:drawing>
        <wp:inline distT="0" distB="0" distL="0" distR="0" wp14:anchorId="497BDF79" wp14:editId="3038FE7F">
          <wp:extent cx="2152650" cy="1333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E7378CC"/>
    <w:multiLevelType w:val="singleLevel"/>
    <w:tmpl w:val="0C090001"/>
    <w:lvl w:ilvl="0">
      <w:start w:val="1"/>
      <w:numFmt w:val="bullet"/>
      <w:lvlText w:val=""/>
      <w:lvlJc w:val="left"/>
      <w:pPr>
        <w:ind w:left="720" w:hanging="360"/>
      </w:pPr>
      <w:rPr>
        <w:rFonts w:ascii="Symbol" w:hAnsi="Symbol" w:hint="default"/>
      </w:rPr>
    </w:lvl>
  </w:abstractNum>
  <w:abstractNum w:abstractNumId="4">
    <w:nsid w:val="126274AE"/>
    <w:multiLevelType w:val="hybridMultilevel"/>
    <w:tmpl w:val="B0BE1F22"/>
    <w:lvl w:ilvl="0" w:tplc="4B42B24C">
      <w:numFmt w:val="bullet"/>
      <w:lvlText w:val="•"/>
      <w:lvlJc w:val="left"/>
      <w:pPr>
        <w:ind w:left="1439" w:hanging="645"/>
      </w:pPr>
      <w:rPr>
        <w:rFonts w:ascii="Calibri" w:eastAsia="Times New Roman" w:hAnsi="Calibri" w:cs="Calibri"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5">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6">
    <w:nsid w:val="1FCB7787"/>
    <w:multiLevelType w:val="multilevel"/>
    <w:tmpl w:val="EE5AABDA"/>
    <w:lvl w:ilvl="0">
      <w:start w:val="1"/>
      <w:numFmt w:val="decimal"/>
      <w:lvlText w:val="%1."/>
      <w:lvlJc w:val="left"/>
      <w:pPr>
        <w:tabs>
          <w:tab w:val="num" w:pos="1077"/>
        </w:tabs>
        <w:ind w:left="1077" w:hanging="283"/>
      </w:pPr>
      <w:rPr>
        <w:rFonts w:ascii="Calibri" w:hAnsi="Calibri"/>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7">
    <w:nsid w:val="24CE26AB"/>
    <w:multiLevelType w:val="multilevel"/>
    <w:tmpl w:val="21785FC0"/>
    <w:styleLink w:val="1ai1"/>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8">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9">
    <w:nsid w:val="2E040AB4"/>
    <w:multiLevelType w:val="multilevel"/>
    <w:tmpl w:val="0C09001F"/>
    <w:styleLink w:val="1111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610C8D"/>
    <w:multiLevelType w:val="singleLevel"/>
    <w:tmpl w:val="04090001"/>
    <w:lvl w:ilvl="0">
      <w:start w:val="1"/>
      <w:numFmt w:val="bullet"/>
      <w:lvlText w:val=""/>
      <w:lvlJc w:val="left"/>
      <w:pPr>
        <w:ind w:left="720" w:hanging="360"/>
      </w:pPr>
      <w:rPr>
        <w:rFonts w:ascii="Symbol" w:hAnsi="Symbol" w:hint="default"/>
      </w:rPr>
    </w:lvl>
  </w:abstractNum>
  <w:abstractNum w:abstractNumId="12">
    <w:nsid w:val="422D0141"/>
    <w:multiLevelType w:val="hybridMultilevel"/>
    <w:tmpl w:val="68ECBF7A"/>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3">
    <w:nsid w:val="446D3A6A"/>
    <w:multiLevelType w:val="multilevel"/>
    <w:tmpl w:val="A214506C"/>
    <w:styleLink w:val="ArticleSection1"/>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nsid w:val="448E3C27"/>
    <w:multiLevelType w:val="hybridMultilevel"/>
    <w:tmpl w:val="D116F8C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BC08D5"/>
    <w:multiLevelType w:val="hybridMultilevel"/>
    <w:tmpl w:val="FD0C54F6"/>
    <w:lvl w:ilvl="0" w:tplc="4B42B24C">
      <w:numFmt w:val="bullet"/>
      <w:lvlText w:val="•"/>
      <w:lvlJc w:val="left"/>
      <w:pPr>
        <w:ind w:left="1439" w:hanging="645"/>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num w:numId="1">
    <w:abstractNumId w:val="7"/>
  </w:num>
  <w:num w:numId="2">
    <w:abstractNumId w:val="13"/>
  </w:num>
  <w:num w:numId="3">
    <w:abstractNumId w:val="10"/>
  </w:num>
  <w:num w:numId="4">
    <w:abstractNumId w:val="16"/>
  </w:num>
  <w:num w:numId="5">
    <w:abstractNumId w:val="15"/>
  </w:num>
  <w:num w:numId="6">
    <w:abstractNumId w:val="8"/>
  </w:num>
  <w:num w:numId="7">
    <w:abstractNumId w:val="7"/>
  </w:num>
  <w:num w:numId="8">
    <w:abstractNumId w:val="13"/>
  </w:num>
  <w:num w:numId="9">
    <w:abstractNumId w:val="5"/>
  </w:num>
  <w:num w:numId="10">
    <w:abstractNumId w:val="2"/>
  </w:num>
  <w:num w:numId="11">
    <w:abstractNumId w:val="1"/>
  </w:num>
  <w:num w:numId="12">
    <w:abstractNumId w:val="0"/>
  </w:num>
  <w:num w:numId="13">
    <w:abstractNumId w:val="6"/>
  </w:num>
  <w:num w:numId="14">
    <w:abstractNumId w:val="18"/>
  </w:num>
  <w:num w:numId="15">
    <w:abstractNumId w:val="9"/>
  </w:num>
  <w:num w:numId="16">
    <w:abstractNumId w:val="12"/>
  </w:num>
  <w:num w:numId="17">
    <w:abstractNumId w:val="3"/>
  </w:num>
  <w:num w:numId="18">
    <w:abstractNumId w:val="14"/>
  </w:num>
  <w:num w:numId="19">
    <w:abstractNumId w:val="11"/>
  </w:num>
  <w:num w:numId="20">
    <w:abstractNumId w:val="4"/>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87"/>
    <w:rsid w:val="00011EA5"/>
    <w:rsid w:val="000123A5"/>
    <w:rsid w:val="00024900"/>
    <w:rsid w:val="000319EF"/>
    <w:rsid w:val="00031A5B"/>
    <w:rsid w:val="0004444E"/>
    <w:rsid w:val="00054D4D"/>
    <w:rsid w:val="00055B0D"/>
    <w:rsid w:val="00056022"/>
    <w:rsid w:val="00067342"/>
    <w:rsid w:val="000817D7"/>
    <w:rsid w:val="000A4BAD"/>
    <w:rsid w:val="000B0D9B"/>
    <w:rsid w:val="000B5A00"/>
    <w:rsid w:val="000D0EB7"/>
    <w:rsid w:val="000D32AC"/>
    <w:rsid w:val="0011311D"/>
    <w:rsid w:val="00153005"/>
    <w:rsid w:val="00154879"/>
    <w:rsid w:val="0016568D"/>
    <w:rsid w:val="00173BAE"/>
    <w:rsid w:val="001777B2"/>
    <w:rsid w:val="00177917"/>
    <w:rsid w:val="001A094D"/>
    <w:rsid w:val="001A30AF"/>
    <w:rsid w:val="001B09BB"/>
    <w:rsid w:val="001B67ED"/>
    <w:rsid w:val="001E3CC1"/>
    <w:rsid w:val="001E6A38"/>
    <w:rsid w:val="001E71F2"/>
    <w:rsid w:val="001F2956"/>
    <w:rsid w:val="001F49A1"/>
    <w:rsid w:val="001F5809"/>
    <w:rsid w:val="002002A2"/>
    <w:rsid w:val="00203CA1"/>
    <w:rsid w:val="00205DA0"/>
    <w:rsid w:val="00220ADD"/>
    <w:rsid w:val="00224C51"/>
    <w:rsid w:val="00234848"/>
    <w:rsid w:val="00243FF6"/>
    <w:rsid w:val="00252B88"/>
    <w:rsid w:val="002659CC"/>
    <w:rsid w:val="0027755A"/>
    <w:rsid w:val="0028716F"/>
    <w:rsid w:val="002A2C3B"/>
    <w:rsid w:val="002A3F7A"/>
    <w:rsid w:val="002B5CAE"/>
    <w:rsid w:val="002B6420"/>
    <w:rsid w:val="002C7BD1"/>
    <w:rsid w:val="002D2E12"/>
    <w:rsid w:val="002E246B"/>
    <w:rsid w:val="002F1746"/>
    <w:rsid w:val="002F5756"/>
    <w:rsid w:val="002F62A4"/>
    <w:rsid w:val="0031370E"/>
    <w:rsid w:val="00313FE4"/>
    <w:rsid w:val="0032196D"/>
    <w:rsid w:val="003238E0"/>
    <w:rsid w:val="00332174"/>
    <w:rsid w:val="0034338B"/>
    <w:rsid w:val="0034362C"/>
    <w:rsid w:val="003643EA"/>
    <w:rsid w:val="00376CAD"/>
    <w:rsid w:val="003B2203"/>
    <w:rsid w:val="003C038E"/>
    <w:rsid w:val="003D3F6E"/>
    <w:rsid w:val="003E04AD"/>
    <w:rsid w:val="003E5BD6"/>
    <w:rsid w:val="003E64B9"/>
    <w:rsid w:val="003E6D37"/>
    <w:rsid w:val="003F2A8E"/>
    <w:rsid w:val="003F3617"/>
    <w:rsid w:val="004022AD"/>
    <w:rsid w:val="0040666A"/>
    <w:rsid w:val="00407474"/>
    <w:rsid w:val="0044279B"/>
    <w:rsid w:val="00446841"/>
    <w:rsid w:val="00470026"/>
    <w:rsid w:val="00486A68"/>
    <w:rsid w:val="004A037E"/>
    <w:rsid w:val="004A0E71"/>
    <w:rsid w:val="004A34CC"/>
    <w:rsid w:val="004A4114"/>
    <w:rsid w:val="004C0283"/>
    <w:rsid w:val="004D64BE"/>
    <w:rsid w:val="004E70E2"/>
    <w:rsid w:val="004F0F5E"/>
    <w:rsid w:val="004F2243"/>
    <w:rsid w:val="004F4362"/>
    <w:rsid w:val="0051323F"/>
    <w:rsid w:val="00521728"/>
    <w:rsid w:val="00534DD4"/>
    <w:rsid w:val="00537379"/>
    <w:rsid w:val="0054454C"/>
    <w:rsid w:val="00552139"/>
    <w:rsid w:val="005535D9"/>
    <w:rsid w:val="0055783C"/>
    <w:rsid w:val="00562DA7"/>
    <w:rsid w:val="00570454"/>
    <w:rsid w:val="00585E7F"/>
    <w:rsid w:val="00591CAE"/>
    <w:rsid w:val="0059643F"/>
    <w:rsid w:val="005A003B"/>
    <w:rsid w:val="005A56FB"/>
    <w:rsid w:val="005A6957"/>
    <w:rsid w:val="005B7704"/>
    <w:rsid w:val="005D6706"/>
    <w:rsid w:val="005E62DB"/>
    <w:rsid w:val="00606A6A"/>
    <w:rsid w:val="00612DB2"/>
    <w:rsid w:val="006256CF"/>
    <w:rsid w:val="00630D71"/>
    <w:rsid w:val="00655AC5"/>
    <w:rsid w:val="006702DB"/>
    <w:rsid w:val="00673019"/>
    <w:rsid w:val="006746EE"/>
    <w:rsid w:val="006A28ED"/>
    <w:rsid w:val="006E27DC"/>
    <w:rsid w:val="006F0A1A"/>
    <w:rsid w:val="006F634F"/>
    <w:rsid w:val="00701ED1"/>
    <w:rsid w:val="00716818"/>
    <w:rsid w:val="00723FD5"/>
    <w:rsid w:val="00734B2F"/>
    <w:rsid w:val="00741413"/>
    <w:rsid w:val="007538FA"/>
    <w:rsid w:val="00753DB8"/>
    <w:rsid w:val="00757F1D"/>
    <w:rsid w:val="00762148"/>
    <w:rsid w:val="007633B5"/>
    <w:rsid w:val="00773E09"/>
    <w:rsid w:val="0078591F"/>
    <w:rsid w:val="00786E37"/>
    <w:rsid w:val="00795392"/>
    <w:rsid w:val="007A73A9"/>
    <w:rsid w:val="007C2AA3"/>
    <w:rsid w:val="007D1386"/>
    <w:rsid w:val="007D758D"/>
    <w:rsid w:val="007E5A55"/>
    <w:rsid w:val="00806EB3"/>
    <w:rsid w:val="00820178"/>
    <w:rsid w:val="008212E9"/>
    <w:rsid w:val="00824E8F"/>
    <w:rsid w:val="00832407"/>
    <w:rsid w:val="0084239A"/>
    <w:rsid w:val="0085041F"/>
    <w:rsid w:val="00877BEC"/>
    <w:rsid w:val="00880C11"/>
    <w:rsid w:val="0088241F"/>
    <w:rsid w:val="00883BAE"/>
    <w:rsid w:val="00891163"/>
    <w:rsid w:val="00893F51"/>
    <w:rsid w:val="008A432A"/>
    <w:rsid w:val="008B4AA8"/>
    <w:rsid w:val="008C149D"/>
    <w:rsid w:val="008C2A38"/>
    <w:rsid w:val="008C777D"/>
    <w:rsid w:val="008D1BD8"/>
    <w:rsid w:val="008D55B8"/>
    <w:rsid w:val="008F4940"/>
    <w:rsid w:val="008F6168"/>
    <w:rsid w:val="00917B51"/>
    <w:rsid w:val="00927887"/>
    <w:rsid w:val="009326AC"/>
    <w:rsid w:val="009339B9"/>
    <w:rsid w:val="0094333F"/>
    <w:rsid w:val="00944FC3"/>
    <w:rsid w:val="009705F5"/>
    <w:rsid w:val="00975328"/>
    <w:rsid w:val="00977325"/>
    <w:rsid w:val="009941CB"/>
    <w:rsid w:val="00996828"/>
    <w:rsid w:val="009B134C"/>
    <w:rsid w:val="009C0F28"/>
    <w:rsid w:val="009F179E"/>
    <w:rsid w:val="00A05B82"/>
    <w:rsid w:val="00A1285D"/>
    <w:rsid w:val="00A12AB9"/>
    <w:rsid w:val="00A1498F"/>
    <w:rsid w:val="00A3031A"/>
    <w:rsid w:val="00A3313F"/>
    <w:rsid w:val="00A45085"/>
    <w:rsid w:val="00A5315C"/>
    <w:rsid w:val="00A53BA1"/>
    <w:rsid w:val="00A62EEC"/>
    <w:rsid w:val="00A64C1A"/>
    <w:rsid w:val="00A65132"/>
    <w:rsid w:val="00A73490"/>
    <w:rsid w:val="00AA6CEB"/>
    <w:rsid w:val="00AB10EC"/>
    <w:rsid w:val="00AB19ED"/>
    <w:rsid w:val="00AB228E"/>
    <w:rsid w:val="00AD0010"/>
    <w:rsid w:val="00AD00E7"/>
    <w:rsid w:val="00AD745D"/>
    <w:rsid w:val="00AE0F80"/>
    <w:rsid w:val="00AF024C"/>
    <w:rsid w:val="00AF7486"/>
    <w:rsid w:val="00B03A69"/>
    <w:rsid w:val="00B11CD2"/>
    <w:rsid w:val="00B1629B"/>
    <w:rsid w:val="00B20EB6"/>
    <w:rsid w:val="00B366CD"/>
    <w:rsid w:val="00B63E7E"/>
    <w:rsid w:val="00B76420"/>
    <w:rsid w:val="00B91BB7"/>
    <w:rsid w:val="00BA2027"/>
    <w:rsid w:val="00BA660D"/>
    <w:rsid w:val="00BB3ED8"/>
    <w:rsid w:val="00BB5B22"/>
    <w:rsid w:val="00BC6E9A"/>
    <w:rsid w:val="00BE1D5E"/>
    <w:rsid w:val="00BE4942"/>
    <w:rsid w:val="00BF11C1"/>
    <w:rsid w:val="00C24801"/>
    <w:rsid w:val="00C80BDA"/>
    <w:rsid w:val="00C93471"/>
    <w:rsid w:val="00CB0A7A"/>
    <w:rsid w:val="00CB0BB1"/>
    <w:rsid w:val="00CB444E"/>
    <w:rsid w:val="00CD2787"/>
    <w:rsid w:val="00CE265F"/>
    <w:rsid w:val="00CE3D33"/>
    <w:rsid w:val="00CE4B8A"/>
    <w:rsid w:val="00CF05B1"/>
    <w:rsid w:val="00CF22CB"/>
    <w:rsid w:val="00CF5CE4"/>
    <w:rsid w:val="00D1078D"/>
    <w:rsid w:val="00D12ABF"/>
    <w:rsid w:val="00D16F0A"/>
    <w:rsid w:val="00D30886"/>
    <w:rsid w:val="00D30F18"/>
    <w:rsid w:val="00D31914"/>
    <w:rsid w:val="00D355FA"/>
    <w:rsid w:val="00D40622"/>
    <w:rsid w:val="00D55781"/>
    <w:rsid w:val="00D57774"/>
    <w:rsid w:val="00D61DEE"/>
    <w:rsid w:val="00D63950"/>
    <w:rsid w:val="00D67D62"/>
    <w:rsid w:val="00D72023"/>
    <w:rsid w:val="00D755C4"/>
    <w:rsid w:val="00D76BCE"/>
    <w:rsid w:val="00D8141A"/>
    <w:rsid w:val="00D81FE2"/>
    <w:rsid w:val="00D90652"/>
    <w:rsid w:val="00D91D70"/>
    <w:rsid w:val="00DA28DF"/>
    <w:rsid w:val="00DA29EB"/>
    <w:rsid w:val="00DA55C1"/>
    <w:rsid w:val="00DA59A2"/>
    <w:rsid w:val="00DB1A89"/>
    <w:rsid w:val="00DC7EE6"/>
    <w:rsid w:val="00DD41A9"/>
    <w:rsid w:val="00DE30E9"/>
    <w:rsid w:val="00DF74BC"/>
    <w:rsid w:val="00E15BCE"/>
    <w:rsid w:val="00E16E4C"/>
    <w:rsid w:val="00E21708"/>
    <w:rsid w:val="00E31667"/>
    <w:rsid w:val="00E347EA"/>
    <w:rsid w:val="00E35E67"/>
    <w:rsid w:val="00E56F08"/>
    <w:rsid w:val="00E57A66"/>
    <w:rsid w:val="00E65BC6"/>
    <w:rsid w:val="00E76486"/>
    <w:rsid w:val="00E77A55"/>
    <w:rsid w:val="00E95E35"/>
    <w:rsid w:val="00E96F54"/>
    <w:rsid w:val="00EA00B5"/>
    <w:rsid w:val="00EB1F84"/>
    <w:rsid w:val="00EE5289"/>
    <w:rsid w:val="00EE7176"/>
    <w:rsid w:val="00EF2CD4"/>
    <w:rsid w:val="00EF4C37"/>
    <w:rsid w:val="00EF673C"/>
    <w:rsid w:val="00EF7431"/>
    <w:rsid w:val="00F00001"/>
    <w:rsid w:val="00F263C5"/>
    <w:rsid w:val="00F3401C"/>
    <w:rsid w:val="00F532F8"/>
    <w:rsid w:val="00F53A83"/>
    <w:rsid w:val="00F53B86"/>
    <w:rsid w:val="00F82F3F"/>
    <w:rsid w:val="00F97C45"/>
    <w:rsid w:val="00FA33F0"/>
    <w:rsid w:val="00FA4969"/>
    <w:rsid w:val="00FB60F7"/>
    <w:rsid w:val="00FD57D2"/>
    <w:rsid w:val="00FD6562"/>
    <w:rsid w:val="00FF2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index heading" w:uiPriority="49"/>
    <w:lsdException w:name="caption" w:uiPriority="13"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9" w:qFormat="1"/>
  </w:latentStyles>
  <w:style w:type="paragraph" w:default="1" w:styleId="Normal">
    <w:name w:val="Normal"/>
    <w:qFormat/>
    <w:rsid w:val="004F2243"/>
    <w:pPr>
      <w:spacing w:before="100" w:after="100"/>
      <w:ind w:left="794"/>
    </w:pPr>
    <w:rPr>
      <w:rFonts w:cs="Calibri"/>
      <w:sz w:val="22"/>
      <w:szCs w:val="22"/>
    </w:rPr>
  </w:style>
  <w:style w:type="paragraph" w:styleId="Heading1">
    <w:name w:val="heading 1"/>
    <w:basedOn w:val="Normal"/>
    <w:next w:val="Normal"/>
    <w:link w:val="Heading1Char"/>
    <w:uiPriority w:val="3"/>
    <w:qFormat/>
    <w:rsid w:val="00376CAD"/>
    <w:pPr>
      <w:keepNext/>
      <w:keepLines/>
      <w:pageBreakBefore/>
      <w:numPr>
        <w:numId w:val="9"/>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semiHidden/>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99"/>
    <w:rsid w:val="00716818"/>
    <w:pPr>
      <w:tabs>
        <w:tab w:val="right" w:pos="8220"/>
      </w:tabs>
    </w:pPr>
    <w:rPr>
      <w:rFonts w:cs="Calibri"/>
      <w:noProof/>
      <w:color w:val="4C4C4C"/>
      <w:sz w:val="12"/>
      <w:szCs w:val="22"/>
    </w:rPr>
  </w:style>
  <w:style w:type="character" w:customStyle="1" w:styleId="FooterChar">
    <w:name w:val="Footer Char"/>
    <w:basedOn w:val="DefaultParagraphFont"/>
    <w:link w:val="Footer"/>
    <w:uiPriority w:val="99"/>
    <w:rsid w:val="00716818"/>
    <w:rPr>
      <w:rFonts w:cs="Calibri"/>
      <w:noProof/>
      <w:color w:val="4C4C4C"/>
      <w:sz w:val="12"/>
      <w:szCs w:val="22"/>
    </w:rPr>
  </w:style>
  <w:style w:type="paragraph" w:styleId="Title">
    <w:name w:val="Title"/>
    <w:basedOn w:val="Normal"/>
    <w:link w:val="TitleChar"/>
    <w:uiPriority w:val="28"/>
    <w:qFormat/>
    <w:rsid w:val="00716818"/>
    <w:pPr>
      <w:spacing w:before="0" w:line="560" w:lineRule="exact"/>
      <w:ind w:left="0" w:right="3402"/>
    </w:pPr>
    <w:rPr>
      <w:b/>
      <w:color w:val="000000"/>
      <w:sz w:val="60"/>
    </w:rPr>
  </w:style>
  <w:style w:type="character" w:customStyle="1" w:styleId="TitleChar">
    <w:name w:val="Title Char"/>
    <w:basedOn w:val="DefaultParagraphFont"/>
    <w:link w:val="Title"/>
    <w:uiPriority w:val="28"/>
    <w:rsid w:val="00716818"/>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7"/>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link w:val="Bullet1Char"/>
    <w:uiPriority w:val="11"/>
    <w:qFormat/>
    <w:rsid w:val="00716818"/>
    <w:pPr>
      <w:numPr>
        <w:numId w:val="8"/>
      </w:numPr>
      <w:spacing w:before="80" w:after="80"/>
    </w:pPr>
  </w:style>
  <w:style w:type="paragraph" w:customStyle="1" w:styleId="Bullet2">
    <w:name w:val="Bullet 2"/>
    <w:basedOn w:val="Bullet1"/>
    <w:uiPriority w:val="11"/>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keepLines/>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3"/>
      </w:numPr>
    </w:pPr>
  </w:style>
  <w:style w:type="numbering" w:styleId="1ai">
    <w:name w:val="Outline List 1"/>
    <w:basedOn w:val="NoList"/>
    <w:uiPriority w:val="99"/>
    <w:semiHidden/>
    <w:unhideWhenUsed/>
    <w:rsid w:val="00716818"/>
    <w:pPr>
      <w:numPr>
        <w:numId w:val="4"/>
      </w:numPr>
    </w:pPr>
  </w:style>
  <w:style w:type="character" w:customStyle="1" w:styleId="Heading1Char">
    <w:name w:val="Heading 1 Char"/>
    <w:basedOn w:val="DefaultParagraphFont"/>
    <w:link w:val="Heading1"/>
    <w:uiPriority w:val="3"/>
    <w:rsid w:val="00376CAD"/>
    <w:rPr>
      <w:rFonts w:cs="Calibri"/>
      <w:color w:val="404040"/>
      <w:sz w:val="40"/>
      <w:szCs w:val="22"/>
      <w:lang w:eastAsia="en-US"/>
    </w:rPr>
  </w:style>
  <w:style w:type="character" w:customStyle="1" w:styleId="Heading2Char">
    <w:name w:val="Heading 2 Char"/>
    <w:basedOn w:val="DefaultParagraphFont"/>
    <w:link w:val="Heading2"/>
    <w:uiPriority w:val="3"/>
    <w:rsid w:val="00716818"/>
    <w:rPr>
      <w:rFonts w:cs="Calibri"/>
      <w:color w:val="4D4D4D"/>
      <w:sz w:val="30"/>
      <w:szCs w:val="22"/>
      <w:lang w:eastAsia="en-US"/>
    </w:rPr>
  </w:style>
  <w:style w:type="character" w:customStyle="1" w:styleId="Heading3Char">
    <w:name w:val="Heading 3 Char"/>
    <w:basedOn w:val="DefaultParagraphFont"/>
    <w:link w:val="Heading3"/>
    <w:uiPriority w:val="3"/>
    <w:rsid w:val="00716818"/>
    <w:rPr>
      <w:rFonts w:cs="Calibri"/>
      <w:b/>
      <w:color w:val="4D4D4D"/>
      <w:sz w:val="26"/>
      <w:szCs w:val="22"/>
      <w:lang w:eastAsia="en-US"/>
    </w:rPr>
  </w:style>
  <w:style w:type="character" w:customStyle="1" w:styleId="Heading4Char">
    <w:name w:val="Heading 4 Char"/>
    <w:basedOn w:val="DefaultParagraphFont"/>
    <w:link w:val="Heading4"/>
    <w:uiPriority w:val="3"/>
    <w:rsid w:val="00716818"/>
    <w:rPr>
      <w:rFonts w:cs="Calibri"/>
      <w:b/>
      <w:color w:val="4D4D4D"/>
      <w:sz w:val="22"/>
      <w:szCs w:val="22"/>
      <w:lang w:eastAsia="en-US"/>
    </w:rPr>
  </w:style>
  <w:style w:type="character" w:customStyle="1" w:styleId="Heading5Char">
    <w:name w:val="Heading 5 Char"/>
    <w:basedOn w:val="DefaultParagraphFont"/>
    <w:link w:val="Heading5"/>
    <w:uiPriority w:val="3"/>
    <w:semiHidden/>
    <w:rsid w:val="004F2243"/>
    <w:rPr>
      <w:rFonts w:cs="Calibri"/>
      <w:b/>
      <w:bCs/>
      <w:i/>
      <w:color w:val="404040"/>
      <w:sz w:val="22"/>
      <w:szCs w:val="22"/>
      <w:lang w:eastAsia="en-US"/>
    </w:rPr>
  </w:style>
  <w:style w:type="character" w:customStyle="1" w:styleId="Heading6Char">
    <w:name w:val="Heading 6 Char"/>
    <w:basedOn w:val="DefaultParagraphFont"/>
    <w:link w:val="Heading6"/>
    <w:uiPriority w:val="3"/>
    <w:semiHidden/>
    <w:rsid w:val="004F2243"/>
    <w:rPr>
      <w:rFonts w:cs="Calibri"/>
      <w:b/>
      <w:bCs/>
      <w:i/>
      <w:iCs/>
      <w:color w:val="404040"/>
      <w:sz w:val="22"/>
      <w:szCs w:val="22"/>
      <w:lang w:eastAsia="en-US"/>
    </w:rPr>
  </w:style>
  <w:style w:type="character" w:customStyle="1" w:styleId="Heading7Char">
    <w:name w:val="Heading 7 Char"/>
    <w:basedOn w:val="DefaultParagraphFont"/>
    <w:link w:val="Heading7"/>
    <w:uiPriority w:val="3"/>
    <w:semiHidden/>
    <w:rsid w:val="004F2243"/>
    <w:rPr>
      <w:rFonts w:cs="Calibri"/>
      <w:b/>
      <w:bCs/>
      <w:iCs/>
      <w:color w:val="404040"/>
      <w:sz w:val="22"/>
      <w:szCs w:val="22"/>
      <w:lang w:eastAsia="en-US"/>
    </w:rPr>
  </w:style>
  <w:style w:type="character" w:customStyle="1" w:styleId="Heading8Char">
    <w:name w:val="Heading 8 Char"/>
    <w:basedOn w:val="DefaultParagraphFont"/>
    <w:link w:val="Heading8"/>
    <w:uiPriority w:val="3"/>
    <w:semiHidden/>
    <w:rsid w:val="004F2243"/>
    <w:rPr>
      <w:rFonts w:cs="Calibri"/>
      <w:bCs/>
      <w:iCs/>
      <w:color w:val="404040"/>
      <w:sz w:val="22"/>
      <w:szCs w:val="22"/>
      <w:lang w:eastAsia="en-US"/>
    </w:rPr>
  </w:style>
  <w:style w:type="character" w:customStyle="1" w:styleId="Heading9Char">
    <w:name w:val="Heading 9 Char"/>
    <w:basedOn w:val="DefaultParagraphFont"/>
    <w:link w:val="Heading9"/>
    <w:uiPriority w:val="3"/>
    <w:semiHidden/>
    <w:rsid w:val="004F2243"/>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5"/>
      </w:numPr>
    </w:pPr>
  </w:style>
  <w:style w:type="paragraph" w:customStyle="1" w:styleId="Attachment1">
    <w:name w:val="Attachment 1"/>
    <w:next w:val="Normal"/>
    <w:uiPriority w:val="19"/>
    <w:qFormat/>
    <w:rsid w:val="00376CAD"/>
    <w:pPr>
      <w:pageBreakBefore/>
      <w:numPr>
        <w:numId w:val="6"/>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basedOn w:val="DefaultParagraphFont"/>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paragraph" w:customStyle="1" w:styleId="Heading3NoNum">
    <w:name w:val="Heading 3 NoNum"/>
    <w:basedOn w:val="Heading3"/>
    <w:next w:val="Normal"/>
    <w:uiPriority w:val="4"/>
    <w:qFormat/>
    <w:rsid w:val="00716818"/>
    <w:pPr>
      <w:numPr>
        <w:ilvl w:val="0"/>
        <w:numId w:val="0"/>
      </w:numPr>
      <w:ind w:left="794"/>
    </w:pPr>
  </w:style>
  <w:style w:type="paragraph" w:customStyle="1" w:styleId="Heading4NoNum">
    <w:name w:val="Heading 4 NoNum"/>
    <w:basedOn w:val="Heading4"/>
    <w:uiPriority w:val="4"/>
    <w:qFormat/>
    <w:rsid w:val="00716818"/>
    <w:pPr>
      <w:numPr>
        <w:ilvl w:val="0"/>
        <w:numId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716818"/>
    <w:rPr>
      <w:color w:val="40404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10"/>
      </w:numPr>
      <w:contextualSpacing/>
    </w:pPr>
  </w:style>
  <w:style w:type="paragraph" w:styleId="ListBullet2">
    <w:name w:val="List Bullet 2"/>
    <w:basedOn w:val="Normal"/>
    <w:uiPriority w:val="99"/>
    <w:semiHidden/>
    <w:rsid w:val="00716818"/>
    <w:pPr>
      <w:numPr>
        <w:numId w:val="11"/>
      </w:numPr>
      <w:contextualSpacing/>
    </w:pPr>
  </w:style>
  <w:style w:type="paragraph" w:styleId="ListBullet3">
    <w:name w:val="List Bullet 3"/>
    <w:basedOn w:val="Normal"/>
    <w:uiPriority w:val="99"/>
    <w:semiHidden/>
    <w:rsid w:val="00716818"/>
    <w:pPr>
      <w:numPr>
        <w:numId w:val="12"/>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Web">
    <w:name w:val="Normal (Web)"/>
    <w:basedOn w:val="Normal"/>
    <w:uiPriority w:val="49"/>
    <w:semiHidden/>
    <w:rsid w:val="00716818"/>
    <w:rPr>
      <w:sz w:val="24"/>
      <w:szCs w:val="24"/>
    </w:rPr>
  </w:style>
  <w:style w:type="paragraph" w:styleId="NormalIndent">
    <w:name w:val="Normal Indent"/>
    <w:basedOn w:val="Normal"/>
    <w:rsid w:val="00716818"/>
    <w:pPr>
      <w:spacing w:line="240" w:lineRule="exact"/>
      <w:ind w:left="1077"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keepLines/>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qFormat/>
    <w:rsid w:val="00716818"/>
    <w:rPr>
      <w:b/>
      <w:bCs/>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14"/>
      </w:numPr>
      <w:spacing w:before="0" w:after="0"/>
    </w:pPr>
  </w:style>
  <w:style w:type="paragraph" w:customStyle="1" w:styleId="TableBulletDash">
    <w:name w:val="Table Bullet Dash"/>
    <w:basedOn w:val="Normal"/>
    <w:uiPriority w:val="10"/>
    <w:rsid w:val="00716818"/>
    <w:pPr>
      <w:numPr>
        <w:ilvl w:val="1"/>
        <w:numId w:val="14"/>
      </w:numPr>
      <w:spacing w:before="0" w:after="0"/>
    </w:pPr>
    <w:rPr>
      <w:sz w:val="20"/>
    </w:rPr>
  </w:style>
  <w:style w:type="table" w:styleId="TableGrid">
    <w:name w:val="Table Grid"/>
    <w:basedOn w:val="TableNormal"/>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880C11"/>
    <w:pPr>
      <w:tabs>
        <w:tab w:val="right" w:leader="dot" w:pos="9090"/>
      </w:tabs>
      <w:spacing w:before="240" w:line="216" w:lineRule="auto"/>
      <w:ind w:right="567" w:hanging="794"/>
    </w:pPr>
    <w:rPr>
      <w:noProof/>
      <w:color w:val="4C4C4C"/>
      <w:sz w:val="28"/>
      <w:szCs w:val="28"/>
    </w:rPr>
  </w:style>
  <w:style w:type="paragraph" w:styleId="TOC2">
    <w:name w:val="toc 2"/>
    <w:next w:val="Normal"/>
    <w:autoRedefine/>
    <w:uiPriority w:val="39"/>
    <w:rsid w:val="00880C11"/>
    <w:pPr>
      <w:tabs>
        <w:tab w:val="left" w:pos="1985"/>
        <w:tab w:val="right" w:leader="dot" w:pos="9090"/>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880C11"/>
    <w:pPr>
      <w:tabs>
        <w:tab w:val="left" w:pos="1985"/>
        <w:tab w:val="right" w:leader="dot" w:pos="9090"/>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716818"/>
    <w:pPr>
      <w:ind w:left="1589" w:right="505" w:hanging="1589"/>
    </w:pPr>
    <w:rPr>
      <w:b/>
      <w:color w:val="333333"/>
    </w:rPr>
  </w:style>
  <w:style w:type="paragraph" w:styleId="TOC6">
    <w:name w:val="toc 6"/>
    <w:basedOn w:val="Normal"/>
    <w:next w:val="Normal"/>
    <w:autoRedefine/>
    <w:uiPriority w:val="49"/>
    <w:semiHidden/>
    <w:rsid w:val="00716818"/>
    <w:pPr>
      <w:spacing w:before="40" w:after="20"/>
      <w:ind w:left="1418" w:hanging="1418"/>
    </w:pPr>
    <w:rPr>
      <w:b/>
      <w:sz w:val="16"/>
    </w:rPr>
  </w:style>
  <w:style w:type="paragraph" w:styleId="TOC7">
    <w:name w:val="toc 7"/>
    <w:basedOn w:val="Normal"/>
    <w:next w:val="Normal"/>
    <w:autoRedefine/>
    <w:uiPriority w:val="49"/>
    <w:semiHidden/>
    <w:rsid w:val="00716818"/>
    <w:pPr>
      <w:ind w:left="1440"/>
    </w:pPr>
  </w:style>
  <w:style w:type="paragraph" w:styleId="TOC8">
    <w:name w:val="toc 8"/>
    <w:basedOn w:val="Normal"/>
    <w:next w:val="Normal"/>
    <w:autoRedefine/>
    <w:uiPriority w:val="49"/>
    <w:semiHidden/>
    <w:rsid w:val="00716818"/>
    <w:pPr>
      <w:ind w:left="1680"/>
    </w:pPr>
  </w:style>
  <w:style w:type="paragraph" w:styleId="TOC9">
    <w:name w:val="toc 9"/>
    <w:basedOn w:val="Normal"/>
    <w:next w:val="Normal"/>
    <w:autoRedefine/>
    <w:uiPriority w:val="49"/>
    <w:semiHidden/>
    <w:rsid w:val="00716818"/>
    <w:pPr>
      <w:ind w:left="2835" w:right="2835"/>
    </w:pPr>
  </w:style>
  <w:style w:type="numbering" w:customStyle="1" w:styleId="NoList1">
    <w:name w:val="No List1"/>
    <w:next w:val="NoList"/>
    <w:uiPriority w:val="99"/>
    <w:semiHidden/>
    <w:unhideWhenUsed/>
    <w:rsid w:val="00CD2787"/>
  </w:style>
  <w:style w:type="table" w:customStyle="1" w:styleId="TableGrid10">
    <w:name w:val="Table Grid1"/>
    <w:basedOn w:val="TableNormal"/>
    <w:next w:val="TableGrid"/>
    <w:rsid w:val="00CD2787"/>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numbering" w:customStyle="1" w:styleId="1111111">
    <w:name w:val="1 / 1.1 / 1.1.11"/>
    <w:basedOn w:val="NoList"/>
    <w:next w:val="111111"/>
    <w:uiPriority w:val="99"/>
    <w:semiHidden/>
    <w:unhideWhenUsed/>
    <w:rsid w:val="00CD2787"/>
  </w:style>
  <w:style w:type="numbering" w:customStyle="1" w:styleId="1ai1">
    <w:name w:val="1 / a / i1"/>
    <w:basedOn w:val="NoList"/>
    <w:next w:val="1ai"/>
    <w:uiPriority w:val="99"/>
    <w:semiHidden/>
    <w:unhideWhenUsed/>
    <w:rsid w:val="00CD2787"/>
    <w:pPr>
      <w:numPr>
        <w:numId w:val="1"/>
      </w:numPr>
    </w:pPr>
  </w:style>
  <w:style w:type="character" w:customStyle="1" w:styleId="Bullet1Char">
    <w:name w:val="Bullet 1 Char"/>
    <w:link w:val="Bullet1"/>
    <w:uiPriority w:val="11"/>
    <w:rsid w:val="00CD2787"/>
    <w:rPr>
      <w:rFonts w:cs="Calibri"/>
      <w:sz w:val="22"/>
      <w:szCs w:val="22"/>
    </w:rPr>
  </w:style>
  <w:style w:type="numbering" w:customStyle="1" w:styleId="ArticleSection1">
    <w:name w:val="Article / Section1"/>
    <w:basedOn w:val="NoList"/>
    <w:next w:val="ArticleSection"/>
    <w:uiPriority w:val="99"/>
    <w:semiHidden/>
    <w:unhideWhenUsed/>
    <w:rsid w:val="00CD2787"/>
    <w:pPr>
      <w:numPr>
        <w:numId w:val="2"/>
      </w:numPr>
    </w:pPr>
  </w:style>
  <w:style w:type="table" w:customStyle="1" w:styleId="ColorfulGrid2">
    <w:name w:val="Colorful Grid2"/>
    <w:basedOn w:val="TableNormal"/>
    <w:next w:val="ColorfulGrid"/>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TableClassic11">
    <w:name w:val="Table Classic 11"/>
    <w:basedOn w:val="TableGrid"/>
    <w:next w:val="TableClassic1"/>
    <w:uiPriority w:val="99"/>
    <w:semiHidden/>
    <w:unhideWhenUsed/>
    <w:rsid w:val="00CD278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
    <w:name w:val="Table Grid 21"/>
    <w:basedOn w:val="TableGrid"/>
    <w:next w:val="TableGrid2"/>
    <w:uiPriority w:val="99"/>
    <w:unhideWhenUsed/>
    <w:rsid w:val="00CD2787"/>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customStyle="1" w:styleId="LightShading-Accent12">
    <w:name w:val="Light Shading - Accent 12"/>
    <w:basedOn w:val="TableNormal"/>
    <w:next w:val="LightShading-Accent1"/>
    <w:uiPriority w:val="60"/>
    <w:semiHidden/>
    <w:rsid w:val="00CD2787"/>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31">
    <w:name w:val="Colorful Grid - Accent 31"/>
    <w:basedOn w:val="TableNormal"/>
    <w:next w:val="ColorfulGrid-Accent3"/>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Shading2">
    <w:name w:val="Light Shading2"/>
    <w:basedOn w:val="TableNormal"/>
    <w:next w:val="LightShading"/>
    <w:uiPriority w:val="60"/>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41">
    <w:name w:val="Colorful Grid - Accent 41"/>
    <w:basedOn w:val="TableNormal"/>
    <w:next w:val="ColorfulGrid-Accent4"/>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CD2787"/>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CD2787"/>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CD2787"/>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CD2787"/>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CD2787"/>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CD2787"/>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semiHidden/>
    <w:rsid w:val="00CD2787"/>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CD2787"/>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CD2787"/>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CD2787"/>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CD2787"/>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CD2787"/>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CD2787"/>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CD2787"/>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CD2787"/>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CD2787"/>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CD2787"/>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CD2787"/>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CD2787"/>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CD2787"/>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CD2787"/>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CD2787"/>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CD2787"/>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CD2787"/>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CD2787"/>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CD2787"/>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CD2787"/>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CD2787"/>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CD2787"/>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CD2787"/>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CD2787"/>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semiHidden/>
    <w:rsid w:val="00CD2787"/>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CD2787"/>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CD2787"/>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CD2787"/>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CD2787"/>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eNormal"/>
    <w:next w:val="MediumGrid1"/>
    <w:uiPriority w:val="67"/>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CD2787"/>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CD2787"/>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CD2787"/>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CD2787"/>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CD2787"/>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CD2787"/>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CD27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CD27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CD27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CD27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CD27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CD27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CD2787"/>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CD2787"/>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CD2787"/>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CD2787"/>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CD2787"/>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CD2787"/>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CD27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CD27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CD27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CD27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CD27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CD27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CD2787"/>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CD2787"/>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CD2787"/>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CD2787"/>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CD2787"/>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CD2787"/>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CD2787"/>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CD2787"/>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CD2787"/>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CD2787"/>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CD2787"/>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CD2787"/>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CD2787"/>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CD2787"/>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CD2787"/>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CD2787"/>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CD2787"/>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CD2787"/>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CD2787"/>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CD2787"/>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CD2787"/>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CD2787"/>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Grid"/>
    <w:next w:val="TableGrid1"/>
    <w:uiPriority w:val="99"/>
    <w:rsid w:val="00CD2787"/>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customStyle="1" w:styleId="TableGrid31">
    <w:name w:val="Table Grid 31"/>
    <w:basedOn w:val="TableNormal"/>
    <w:next w:val="TableGrid3"/>
    <w:uiPriority w:val="99"/>
    <w:semiHidden/>
    <w:unhideWhenUsed/>
    <w:rsid w:val="00CD2787"/>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CD2787"/>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CD2787"/>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CD2787"/>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CD2787"/>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CD2787"/>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CD2787"/>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CD2787"/>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CD2787"/>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CD2787"/>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CD2787"/>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CD2787"/>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CD2787"/>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CD2787"/>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CD2787"/>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CD2787"/>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CD2787"/>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CD2787"/>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CD2787"/>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CD2787"/>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1">
    <w:name w:val="Colorful Grid11"/>
    <w:basedOn w:val="TableNormal"/>
    <w:semiHidden/>
    <w:rsid w:val="00CD2787"/>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1">
    <w:name w:val="Colorful List11"/>
    <w:basedOn w:val="TableNormal"/>
    <w:semiHidden/>
    <w:rsid w:val="00CD2787"/>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1">
    <w:name w:val="Colorful Shading11"/>
    <w:basedOn w:val="TableNormal"/>
    <w:semiHidden/>
    <w:rsid w:val="00CD2787"/>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1">
    <w:name w:val="Dark List11"/>
    <w:basedOn w:val="TableNormal"/>
    <w:semiHidden/>
    <w:rsid w:val="00CD2787"/>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1">
    <w:name w:val="Light Grid - Accent 111"/>
    <w:basedOn w:val="TableNormal"/>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TableNormal"/>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1">
    <w:name w:val="Light List - Accent 111"/>
    <w:basedOn w:val="TableNormal"/>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1">
    <w:name w:val="Light List11"/>
    <w:basedOn w:val="TableNormal"/>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1">
    <w:name w:val="Light Shading - Accent 111"/>
    <w:basedOn w:val="TableNormal"/>
    <w:semiHidden/>
    <w:rsid w:val="00CD2787"/>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1">
    <w:name w:val="Light Shading11"/>
    <w:basedOn w:val="TableNormal"/>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1">
    <w:name w:val="Medium Grid 111"/>
    <w:basedOn w:val="TableNormal"/>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1">
    <w:name w:val="Medium Grid 211"/>
    <w:basedOn w:val="TableNormal"/>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1">
    <w:name w:val="Medium Grid 311"/>
    <w:basedOn w:val="TableNormal"/>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1">
    <w:name w:val="Medium List 1 - Accent 111"/>
    <w:basedOn w:val="TableNormal"/>
    <w:semiHidden/>
    <w:rsid w:val="00CD2787"/>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1">
    <w:name w:val="Medium List 111"/>
    <w:basedOn w:val="TableNormal"/>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1">
    <w:name w:val="Medium List 211"/>
    <w:basedOn w:val="TableNormal"/>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1">
    <w:name w:val="Medium Shading 1 - Accent 111"/>
    <w:basedOn w:val="TableNormal"/>
    <w:semiHidden/>
    <w:rsid w:val="00CD2787"/>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1">
    <w:name w:val="Medium Shading 111"/>
    <w:basedOn w:val="TableNormal"/>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1">
    <w:name w:val="Medium Shading 2 - Accent 111"/>
    <w:basedOn w:val="TableNormal"/>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CD2787"/>
    <w:rPr>
      <w:rFonts w:cs="Calibri"/>
      <w:sz w:val="22"/>
      <w:szCs w:val="22"/>
    </w:rPr>
  </w:style>
  <w:style w:type="numbering" w:customStyle="1" w:styleId="NoList2">
    <w:name w:val="No List2"/>
    <w:next w:val="NoList"/>
    <w:uiPriority w:val="99"/>
    <w:semiHidden/>
    <w:unhideWhenUsed/>
    <w:rsid w:val="00DD41A9"/>
  </w:style>
  <w:style w:type="table" w:customStyle="1" w:styleId="TableGrid20">
    <w:name w:val="Table Grid2"/>
    <w:basedOn w:val="TableNormal"/>
    <w:next w:val="TableGrid"/>
    <w:rsid w:val="00DD41A9"/>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numbering" w:customStyle="1" w:styleId="1111112">
    <w:name w:val="1 / 1.1 / 1.1.12"/>
    <w:basedOn w:val="NoList"/>
    <w:next w:val="111111"/>
    <w:uiPriority w:val="99"/>
    <w:semiHidden/>
    <w:unhideWhenUsed/>
    <w:rsid w:val="00DD41A9"/>
    <w:pPr>
      <w:numPr>
        <w:numId w:val="15"/>
      </w:numPr>
    </w:pPr>
  </w:style>
  <w:style w:type="numbering" w:customStyle="1" w:styleId="1ai2">
    <w:name w:val="1 / a / i2"/>
    <w:basedOn w:val="NoList"/>
    <w:next w:val="1ai"/>
    <w:uiPriority w:val="99"/>
    <w:semiHidden/>
    <w:unhideWhenUsed/>
    <w:rsid w:val="00DD41A9"/>
  </w:style>
  <w:style w:type="numbering" w:customStyle="1" w:styleId="ArticleSection2">
    <w:name w:val="Article / Section2"/>
    <w:basedOn w:val="NoList"/>
    <w:next w:val="ArticleSection"/>
    <w:uiPriority w:val="99"/>
    <w:semiHidden/>
    <w:unhideWhenUsed/>
    <w:rsid w:val="00DD41A9"/>
  </w:style>
  <w:style w:type="table" w:customStyle="1" w:styleId="ColorfulGrid3">
    <w:name w:val="Colorful Grid3"/>
    <w:basedOn w:val="TableNormal"/>
    <w:next w:val="ColorfulGrid"/>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TableClassic12">
    <w:name w:val="Table Classic 12"/>
    <w:basedOn w:val="TableGrid"/>
    <w:next w:val="TableClassic1"/>
    <w:uiPriority w:val="99"/>
    <w:semiHidden/>
    <w:unhideWhenUsed/>
    <w:rsid w:val="00DD41A9"/>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
    <w:name w:val="Table Grid 22"/>
    <w:basedOn w:val="TableGrid"/>
    <w:next w:val="TableGrid2"/>
    <w:uiPriority w:val="99"/>
    <w:unhideWhenUsed/>
    <w:rsid w:val="00DD41A9"/>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customStyle="1" w:styleId="LightShading-Accent13">
    <w:name w:val="Light Shading - Accent 13"/>
    <w:basedOn w:val="TableNormal"/>
    <w:next w:val="LightShading-Accent1"/>
    <w:uiPriority w:val="60"/>
    <w:semiHidden/>
    <w:rsid w:val="00DD41A9"/>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32">
    <w:name w:val="Colorful Grid - Accent 32"/>
    <w:basedOn w:val="TableNormal"/>
    <w:next w:val="ColorfulGrid-Accent3"/>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Shading3">
    <w:name w:val="Light Shading3"/>
    <w:basedOn w:val="TableNormal"/>
    <w:next w:val="LightShading"/>
    <w:uiPriority w:val="60"/>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42">
    <w:name w:val="Colorful Grid - Accent 42"/>
    <w:basedOn w:val="TableNormal"/>
    <w:next w:val="ColorfulGrid-Accent4"/>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DD41A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DD41A9"/>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DD41A9"/>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DD41A9"/>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DD41A9"/>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DD41A9"/>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DD41A9"/>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DD41A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DD41A9"/>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DD41A9"/>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DD41A9"/>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DD41A9"/>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DD41A9"/>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DD41A9"/>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DD41A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DD41A9"/>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DD41A9"/>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DD41A9"/>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DD41A9"/>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DD41A9"/>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DD41A9"/>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DD41A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DD41A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DD41A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DD41A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DD41A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DD41A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DD41A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DD41A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DD41A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DD41A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2">
    <w:name w:val="Light Shading - Accent 22"/>
    <w:basedOn w:val="TableNormal"/>
    <w:next w:val="LightShading-Accent2"/>
    <w:uiPriority w:val="60"/>
    <w:semiHidden/>
    <w:rsid w:val="00DD41A9"/>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DD41A9"/>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DD41A9"/>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DD41A9"/>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DD41A9"/>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3">
    <w:name w:val="Medium Grid 13"/>
    <w:basedOn w:val="TableNormal"/>
    <w:next w:val="MediumGrid1"/>
    <w:uiPriority w:val="67"/>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semiHidden/>
    <w:rsid w:val="00DD41A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DD41A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DD41A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DD41A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DD41A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DD41A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DD41A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DD41A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DD41A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DD41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DD41A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DD41A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DD41A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DD41A9"/>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DD41A9"/>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DD41A9"/>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DD41A9"/>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DD41A9"/>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DD41A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DD41A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DD41A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DD41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DD41A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DD41A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DD41A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DD41A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DD41A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DD41A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DD41A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DD41A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uiPriority w:val="99"/>
    <w:semiHidden/>
    <w:unhideWhenUsed/>
    <w:rsid w:val="00DD41A9"/>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DD41A9"/>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DD41A9"/>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DD41A9"/>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DD41A9"/>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DD41A9"/>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DD41A9"/>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DD41A9"/>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DD41A9"/>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DD41A9"/>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DD41A9"/>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DD41A9"/>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DD41A9"/>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DD41A9"/>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DD41A9"/>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DD41A9"/>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Grid"/>
    <w:next w:val="TableGrid1"/>
    <w:uiPriority w:val="99"/>
    <w:rsid w:val="00DD41A9"/>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customStyle="1" w:styleId="TableGrid32">
    <w:name w:val="Table Grid 32"/>
    <w:basedOn w:val="TableNormal"/>
    <w:next w:val="TableGrid3"/>
    <w:uiPriority w:val="99"/>
    <w:semiHidden/>
    <w:unhideWhenUsed/>
    <w:rsid w:val="00DD41A9"/>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DD41A9"/>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DD41A9"/>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DD41A9"/>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semiHidden/>
    <w:unhideWhenUsed/>
    <w:rsid w:val="00DD41A9"/>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DD41A9"/>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DD41A9"/>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DD41A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DD41A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DD41A9"/>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DD41A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DD41A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DD41A9"/>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DD41A9"/>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DD41A9"/>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DD41A9"/>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DD41A9"/>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DD41A9"/>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DD41A9"/>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DD41A9"/>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2">
    <w:name w:val="Colorful Grid12"/>
    <w:basedOn w:val="TableNormal"/>
    <w:semiHidden/>
    <w:rsid w:val="00DD41A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2">
    <w:name w:val="Colorful List12"/>
    <w:basedOn w:val="TableNormal"/>
    <w:semiHidden/>
    <w:rsid w:val="00DD41A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2">
    <w:name w:val="Colorful Shading12"/>
    <w:basedOn w:val="TableNormal"/>
    <w:semiHidden/>
    <w:rsid w:val="00DD41A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2">
    <w:name w:val="Dark List12"/>
    <w:basedOn w:val="TableNormal"/>
    <w:semiHidden/>
    <w:rsid w:val="00DD41A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2">
    <w:name w:val="Light Grid - Accent 112"/>
    <w:basedOn w:val="TableNormal"/>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2">
    <w:name w:val="Light Grid12"/>
    <w:basedOn w:val="TableNormal"/>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2">
    <w:name w:val="Light List - Accent 112"/>
    <w:basedOn w:val="TableNormal"/>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2">
    <w:name w:val="Light List12"/>
    <w:basedOn w:val="TableNormal"/>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2">
    <w:name w:val="Light Shading - Accent 112"/>
    <w:basedOn w:val="TableNormal"/>
    <w:semiHidden/>
    <w:rsid w:val="00DD41A9"/>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2">
    <w:name w:val="Light Shading12"/>
    <w:basedOn w:val="TableNormal"/>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2">
    <w:name w:val="Medium Grid 112"/>
    <w:basedOn w:val="TableNormal"/>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2">
    <w:name w:val="Medium Grid 212"/>
    <w:basedOn w:val="TableNormal"/>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2">
    <w:name w:val="Medium Grid 312"/>
    <w:basedOn w:val="TableNormal"/>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2">
    <w:name w:val="Medium List 1 - Accent 112"/>
    <w:basedOn w:val="TableNormal"/>
    <w:semiHidden/>
    <w:rsid w:val="00DD41A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2">
    <w:name w:val="Medium List 112"/>
    <w:basedOn w:val="TableNormal"/>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2">
    <w:name w:val="Medium List 212"/>
    <w:basedOn w:val="TableNormal"/>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2">
    <w:name w:val="Medium Shading 1 - Accent 112"/>
    <w:basedOn w:val="TableNormal"/>
    <w:semiHidden/>
    <w:rsid w:val="00DD41A9"/>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2">
    <w:name w:val="Medium Shading 112"/>
    <w:basedOn w:val="TableNormal"/>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2">
    <w:name w:val="Medium Shading 2 - Accent 112"/>
    <w:basedOn w:val="TableNormal"/>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valuetext1">
    <w:name w:val="valuetext1"/>
    <w:basedOn w:val="DefaultParagraphFont"/>
    <w:rsid w:val="00D1078D"/>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index heading" w:uiPriority="49"/>
    <w:lsdException w:name="caption" w:uiPriority="13"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9" w:qFormat="1"/>
  </w:latentStyles>
  <w:style w:type="paragraph" w:default="1" w:styleId="Normal">
    <w:name w:val="Normal"/>
    <w:qFormat/>
    <w:rsid w:val="004F2243"/>
    <w:pPr>
      <w:spacing w:before="100" w:after="100"/>
      <w:ind w:left="794"/>
    </w:pPr>
    <w:rPr>
      <w:rFonts w:cs="Calibri"/>
      <w:sz w:val="22"/>
      <w:szCs w:val="22"/>
    </w:rPr>
  </w:style>
  <w:style w:type="paragraph" w:styleId="Heading1">
    <w:name w:val="heading 1"/>
    <w:basedOn w:val="Normal"/>
    <w:next w:val="Normal"/>
    <w:link w:val="Heading1Char"/>
    <w:uiPriority w:val="3"/>
    <w:qFormat/>
    <w:rsid w:val="00376CAD"/>
    <w:pPr>
      <w:keepNext/>
      <w:keepLines/>
      <w:pageBreakBefore/>
      <w:numPr>
        <w:numId w:val="9"/>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semiHidden/>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99"/>
    <w:rsid w:val="00716818"/>
    <w:pPr>
      <w:tabs>
        <w:tab w:val="right" w:pos="8220"/>
      </w:tabs>
    </w:pPr>
    <w:rPr>
      <w:rFonts w:cs="Calibri"/>
      <w:noProof/>
      <w:color w:val="4C4C4C"/>
      <w:sz w:val="12"/>
      <w:szCs w:val="22"/>
    </w:rPr>
  </w:style>
  <w:style w:type="character" w:customStyle="1" w:styleId="FooterChar">
    <w:name w:val="Footer Char"/>
    <w:basedOn w:val="DefaultParagraphFont"/>
    <w:link w:val="Footer"/>
    <w:uiPriority w:val="99"/>
    <w:rsid w:val="00716818"/>
    <w:rPr>
      <w:rFonts w:cs="Calibri"/>
      <w:noProof/>
      <w:color w:val="4C4C4C"/>
      <w:sz w:val="12"/>
      <w:szCs w:val="22"/>
    </w:rPr>
  </w:style>
  <w:style w:type="paragraph" w:styleId="Title">
    <w:name w:val="Title"/>
    <w:basedOn w:val="Normal"/>
    <w:link w:val="TitleChar"/>
    <w:uiPriority w:val="28"/>
    <w:qFormat/>
    <w:rsid w:val="00716818"/>
    <w:pPr>
      <w:spacing w:before="0" w:line="560" w:lineRule="exact"/>
      <w:ind w:left="0" w:right="3402"/>
    </w:pPr>
    <w:rPr>
      <w:b/>
      <w:color w:val="000000"/>
      <w:sz w:val="60"/>
    </w:rPr>
  </w:style>
  <w:style w:type="character" w:customStyle="1" w:styleId="TitleChar">
    <w:name w:val="Title Char"/>
    <w:basedOn w:val="DefaultParagraphFont"/>
    <w:link w:val="Title"/>
    <w:uiPriority w:val="28"/>
    <w:rsid w:val="00716818"/>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7"/>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link w:val="Bullet1Char"/>
    <w:uiPriority w:val="11"/>
    <w:qFormat/>
    <w:rsid w:val="00716818"/>
    <w:pPr>
      <w:numPr>
        <w:numId w:val="8"/>
      </w:numPr>
      <w:spacing w:before="80" w:after="80"/>
    </w:pPr>
  </w:style>
  <w:style w:type="paragraph" w:customStyle="1" w:styleId="Bullet2">
    <w:name w:val="Bullet 2"/>
    <w:basedOn w:val="Bullet1"/>
    <w:uiPriority w:val="11"/>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keepLines/>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3"/>
      </w:numPr>
    </w:pPr>
  </w:style>
  <w:style w:type="numbering" w:styleId="1ai">
    <w:name w:val="Outline List 1"/>
    <w:basedOn w:val="NoList"/>
    <w:uiPriority w:val="99"/>
    <w:semiHidden/>
    <w:unhideWhenUsed/>
    <w:rsid w:val="00716818"/>
    <w:pPr>
      <w:numPr>
        <w:numId w:val="4"/>
      </w:numPr>
    </w:pPr>
  </w:style>
  <w:style w:type="character" w:customStyle="1" w:styleId="Heading1Char">
    <w:name w:val="Heading 1 Char"/>
    <w:basedOn w:val="DefaultParagraphFont"/>
    <w:link w:val="Heading1"/>
    <w:uiPriority w:val="3"/>
    <w:rsid w:val="00376CAD"/>
    <w:rPr>
      <w:rFonts w:cs="Calibri"/>
      <w:color w:val="404040"/>
      <w:sz w:val="40"/>
      <w:szCs w:val="22"/>
      <w:lang w:eastAsia="en-US"/>
    </w:rPr>
  </w:style>
  <w:style w:type="character" w:customStyle="1" w:styleId="Heading2Char">
    <w:name w:val="Heading 2 Char"/>
    <w:basedOn w:val="DefaultParagraphFont"/>
    <w:link w:val="Heading2"/>
    <w:uiPriority w:val="3"/>
    <w:rsid w:val="00716818"/>
    <w:rPr>
      <w:rFonts w:cs="Calibri"/>
      <w:color w:val="4D4D4D"/>
      <w:sz w:val="30"/>
      <w:szCs w:val="22"/>
      <w:lang w:eastAsia="en-US"/>
    </w:rPr>
  </w:style>
  <w:style w:type="character" w:customStyle="1" w:styleId="Heading3Char">
    <w:name w:val="Heading 3 Char"/>
    <w:basedOn w:val="DefaultParagraphFont"/>
    <w:link w:val="Heading3"/>
    <w:uiPriority w:val="3"/>
    <w:rsid w:val="00716818"/>
    <w:rPr>
      <w:rFonts w:cs="Calibri"/>
      <w:b/>
      <w:color w:val="4D4D4D"/>
      <w:sz w:val="26"/>
      <w:szCs w:val="22"/>
      <w:lang w:eastAsia="en-US"/>
    </w:rPr>
  </w:style>
  <w:style w:type="character" w:customStyle="1" w:styleId="Heading4Char">
    <w:name w:val="Heading 4 Char"/>
    <w:basedOn w:val="DefaultParagraphFont"/>
    <w:link w:val="Heading4"/>
    <w:uiPriority w:val="3"/>
    <w:rsid w:val="00716818"/>
    <w:rPr>
      <w:rFonts w:cs="Calibri"/>
      <w:b/>
      <w:color w:val="4D4D4D"/>
      <w:sz w:val="22"/>
      <w:szCs w:val="22"/>
      <w:lang w:eastAsia="en-US"/>
    </w:rPr>
  </w:style>
  <w:style w:type="character" w:customStyle="1" w:styleId="Heading5Char">
    <w:name w:val="Heading 5 Char"/>
    <w:basedOn w:val="DefaultParagraphFont"/>
    <w:link w:val="Heading5"/>
    <w:uiPriority w:val="3"/>
    <w:semiHidden/>
    <w:rsid w:val="004F2243"/>
    <w:rPr>
      <w:rFonts w:cs="Calibri"/>
      <w:b/>
      <w:bCs/>
      <w:i/>
      <w:color w:val="404040"/>
      <w:sz w:val="22"/>
      <w:szCs w:val="22"/>
      <w:lang w:eastAsia="en-US"/>
    </w:rPr>
  </w:style>
  <w:style w:type="character" w:customStyle="1" w:styleId="Heading6Char">
    <w:name w:val="Heading 6 Char"/>
    <w:basedOn w:val="DefaultParagraphFont"/>
    <w:link w:val="Heading6"/>
    <w:uiPriority w:val="3"/>
    <w:semiHidden/>
    <w:rsid w:val="004F2243"/>
    <w:rPr>
      <w:rFonts w:cs="Calibri"/>
      <w:b/>
      <w:bCs/>
      <w:i/>
      <w:iCs/>
      <w:color w:val="404040"/>
      <w:sz w:val="22"/>
      <w:szCs w:val="22"/>
      <w:lang w:eastAsia="en-US"/>
    </w:rPr>
  </w:style>
  <w:style w:type="character" w:customStyle="1" w:styleId="Heading7Char">
    <w:name w:val="Heading 7 Char"/>
    <w:basedOn w:val="DefaultParagraphFont"/>
    <w:link w:val="Heading7"/>
    <w:uiPriority w:val="3"/>
    <w:semiHidden/>
    <w:rsid w:val="004F2243"/>
    <w:rPr>
      <w:rFonts w:cs="Calibri"/>
      <w:b/>
      <w:bCs/>
      <w:iCs/>
      <w:color w:val="404040"/>
      <w:sz w:val="22"/>
      <w:szCs w:val="22"/>
      <w:lang w:eastAsia="en-US"/>
    </w:rPr>
  </w:style>
  <w:style w:type="character" w:customStyle="1" w:styleId="Heading8Char">
    <w:name w:val="Heading 8 Char"/>
    <w:basedOn w:val="DefaultParagraphFont"/>
    <w:link w:val="Heading8"/>
    <w:uiPriority w:val="3"/>
    <w:semiHidden/>
    <w:rsid w:val="004F2243"/>
    <w:rPr>
      <w:rFonts w:cs="Calibri"/>
      <w:bCs/>
      <w:iCs/>
      <w:color w:val="404040"/>
      <w:sz w:val="22"/>
      <w:szCs w:val="22"/>
      <w:lang w:eastAsia="en-US"/>
    </w:rPr>
  </w:style>
  <w:style w:type="character" w:customStyle="1" w:styleId="Heading9Char">
    <w:name w:val="Heading 9 Char"/>
    <w:basedOn w:val="DefaultParagraphFont"/>
    <w:link w:val="Heading9"/>
    <w:uiPriority w:val="3"/>
    <w:semiHidden/>
    <w:rsid w:val="004F2243"/>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5"/>
      </w:numPr>
    </w:pPr>
  </w:style>
  <w:style w:type="paragraph" w:customStyle="1" w:styleId="Attachment1">
    <w:name w:val="Attachment 1"/>
    <w:next w:val="Normal"/>
    <w:uiPriority w:val="19"/>
    <w:qFormat/>
    <w:rsid w:val="00376CAD"/>
    <w:pPr>
      <w:pageBreakBefore/>
      <w:numPr>
        <w:numId w:val="6"/>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basedOn w:val="DefaultParagraphFont"/>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paragraph" w:customStyle="1" w:styleId="Heading3NoNum">
    <w:name w:val="Heading 3 NoNum"/>
    <w:basedOn w:val="Heading3"/>
    <w:next w:val="Normal"/>
    <w:uiPriority w:val="4"/>
    <w:qFormat/>
    <w:rsid w:val="00716818"/>
    <w:pPr>
      <w:numPr>
        <w:ilvl w:val="0"/>
        <w:numId w:val="0"/>
      </w:numPr>
      <w:ind w:left="794"/>
    </w:pPr>
  </w:style>
  <w:style w:type="paragraph" w:customStyle="1" w:styleId="Heading4NoNum">
    <w:name w:val="Heading 4 NoNum"/>
    <w:basedOn w:val="Heading4"/>
    <w:uiPriority w:val="4"/>
    <w:qFormat/>
    <w:rsid w:val="00716818"/>
    <w:pPr>
      <w:numPr>
        <w:ilvl w:val="0"/>
        <w:numId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716818"/>
    <w:rPr>
      <w:color w:val="40404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10"/>
      </w:numPr>
      <w:contextualSpacing/>
    </w:pPr>
  </w:style>
  <w:style w:type="paragraph" w:styleId="ListBullet2">
    <w:name w:val="List Bullet 2"/>
    <w:basedOn w:val="Normal"/>
    <w:uiPriority w:val="99"/>
    <w:semiHidden/>
    <w:rsid w:val="00716818"/>
    <w:pPr>
      <w:numPr>
        <w:numId w:val="11"/>
      </w:numPr>
      <w:contextualSpacing/>
    </w:pPr>
  </w:style>
  <w:style w:type="paragraph" w:styleId="ListBullet3">
    <w:name w:val="List Bullet 3"/>
    <w:basedOn w:val="Normal"/>
    <w:uiPriority w:val="99"/>
    <w:semiHidden/>
    <w:rsid w:val="00716818"/>
    <w:pPr>
      <w:numPr>
        <w:numId w:val="12"/>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Web">
    <w:name w:val="Normal (Web)"/>
    <w:basedOn w:val="Normal"/>
    <w:uiPriority w:val="49"/>
    <w:semiHidden/>
    <w:rsid w:val="00716818"/>
    <w:rPr>
      <w:sz w:val="24"/>
      <w:szCs w:val="24"/>
    </w:rPr>
  </w:style>
  <w:style w:type="paragraph" w:styleId="NormalIndent">
    <w:name w:val="Normal Indent"/>
    <w:basedOn w:val="Normal"/>
    <w:rsid w:val="00716818"/>
    <w:pPr>
      <w:spacing w:line="240" w:lineRule="exact"/>
      <w:ind w:left="1077"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keepLines/>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qFormat/>
    <w:rsid w:val="00716818"/>
    <w:rPr>
      <w:b/>
      <w:bCs/>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14"/>
      </w:numPr>
      <w:spacing w:before="0" w:after="0"/>
    </w:pPr>
  </w:style>
  <w:style w:type="paragraph" w:customStyle="1" w:styleId="TableBulletDash">
    <w:name w:val="Table Bullet Dash"/>
    <w:basedOn w:val="Normal"/>
    <w:uiPriority w:val="10"/>
    <w:rsid w:val="00716818"/>
    <w:pPr>
      <w:numPr>
        <w:ilvl w:val="1"/>
        <w:numId w:val="14"/>
      </w:numPr>
      <w:spacing w:before="0" w:after="0"/>
    </w:pPr>
    <w:rPr>
      <w:sz w:val="20"/>
    </w:rPr>
  </w:style>
  <w:style w:type="table" w:styleId="TableGrid">
    <w:name w:val="Table Grid"/>
    <w:basedOn w:val="TableNormal"/>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880C11"/>
    <w:pPr>
      <w:tabs>
        <w:tab w:val="right" w:leader="dot" w:pos="9090"/>
      </w:tabs>
      <w:spacing w:before="240" w:line="216" w:lineRule="auto"/>
      <w:ind w:right="567" w:hanging="794"/>
    </w:pPr>
    <w:rPr>
      <w:noProof/>
      <w:color w:val="4C4C4C"/>
      <w:sz w:val="28"/>
      <w:szCs w:val="28"/>
    </w:rPr>
  </w:style>
  <w:style w:type="paragraph" w:styleId="TOC2">
    <w:name w:val="toc 2"/>
    <w:next w:val="Normal"/>
    <w:autoRedefine/>
    <w:uiPriority w:val="39"/>
    <w:rsid w:val="00880C11"/>
    <w:pPr>
      <w:tabs>
        <w:tab w:val="left" w:pos="1985"/>
        <w:tab w:val="right" w:leader="dot" w:pos="9090"/>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880C11"/>
    <w:pPr>
      <w:tabs>
        <w:tab w:val="left" w:pos="1985"/>
        <w:tab w:val="right" w:leader="dot" w:pos="9090"/>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716818"/>
    <w:pPr>
      <w:ind w:left="1589" w:right="505" w:hanging="1589"/>
    </w:pPr>
    <w:rPr>
      <w:b/>
      <w:color w:val="333333"/>
    </w:rPr>
  </w:style>
  <w:style w:type="paragraph" w:styleId="TOC6">
    <w:name w:val="toc 6"/>
    <w:basedOn w:val="Normal"/>
    <w:next w:val="Normal"/>
    <w:autoRedefine/>
    <w:uiPriority w:val="49"/>
    <w:semiHidden/>
    <w:rsid w:val="00716818"/>
    <w:pPr>
      <w:spacing w:before="40" w:after="20"/>
      <w:ind w:left="1418" w:hanging="1418"/>
    </w:pPr>
    <w:rPr>
      <w:b/>
      <w:sz w:val="16"/>
    </w:rPr>
  </w:style>
  <w:style w:type="paragraph" w:styleId="TOC7">
    <w:name w:val="toc 7"/>
    <w:basedOn w:val="Normal"/>
    <w:next w:val="Normal"/>
    <w:autoRedefine/>
    <w:uiPriority w:val="49"/>
    <w:semiHidden/>
    <w:rsid w:val="00716818"/>
    <w:pPr>
      <w:ind w:left="1440"/>
    </w:pPr>
  </w:style>
  <w:style w:type="paragraph" w:styleId="TOC8">
    <w:name w:val="toc 8"/>
    <w:basedOn w:val="Normal"/>
    <w:next w:val="Normal"/>
    <w:autoRedefine/>
    <w:uiPriority w:val="49"/>
    <w:semiHidden/>
    <w:rsid w:val="00716818"/>
    <w:pPr>
      <w:ind w:left="1680"/>
    </w:pPr>
  </w:style>
  <w:style w:type="paragraph" w:styleId="TOC9">
    <w:name w:val="toc 9"/>
    <w:basedOn w:val="Normal"/>
    <w:next w:val="Normal"/>
    <w:autoRedefine/>
    <w:uiPriority w:val="49"/>
    <w:semiHidden/>
    <w:rsid w:val="00716818"/>
    <w:pPr>
      <w:ind w:left="2835" w:right="2835"/>
    </w:pPr>
  </w:style>
  <w:style w:type="numbering" w:customStyle="1" w:styleId="NoList1">
    <w:name w:val="No List1"/>
    <w:next w:val="NoList"/>
    <w:uiPriority w:val="99"/>
    <w:semiHidden/>
    <w:unhideWhenUsed/>
    <w:rsid w:val="00CD2787"/>
  </w:style>
  <w:style w:type="table" w:customStyle="1" w:styleId="TableGrid10">
    <w:name w:val="Table Grid1"/>
    <w:basedOn w:val="TableNormal"/>
    <w:next w:val="TableGrid"/>
    <w:rsid w:val="00CD2787"/>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numbering" w:customStyle="1" w:styleId="1111111">
    <w:name w:val="1 / 1.1 / 1.1.11"/>
    <w:basedOn w:val="NoList"/>
    <w:next w:val="111111"/>
    <w:uiPriority w:val="99"/>
    <w:semiHidden/>
    <w:unhideWhenUsed/>
    <w:rsid w:val="00CD2787"/>
  </w:style>
  <w:style w:type="numbering" w:customStyle="1" w:styleId="1ai1">
    <w:name w:val="1 / a / i1"/>
    <w:basedOn w:val="NoList"/>
    <w:next w:val="1ai"/>
    <w:uiPriority w:val="99"/>
    <w:semiHidden/>
    <w:unhideWhenUsed/>
    <w:rsid w:val="00CD2787"/>
    <w:pPr>
      <w:numPr>
        <w:numId w:val="1"/>
      </w:numPr>
    </w:pPr>
  </w:style>
  <w:style w:type="character" w:customStyle="1" w:styleId="Bullet1Char">
    <w:name w:val="Bullet 1 Char"/>
    <w:link w:val="Bullet1"/>
    <w:uiPriority w:val="11"/>
    <w:rsid w:val="00CD2787"/>
    <w:rPr>
      <w:rFonts w:cs="Calibri"/>
      <w:sz w:val="22"/>
      <w:szCs w:val="22"/>
    </w:rPr>
  </w:style>
  <w:style w:type="numbering" w:customStyle="1" w:styleId="ArticleSection1">
    <w:name w:val="Article / Section1"/>
    <w:basedOn w:val="NoList"/>
    <w:next w:val="ArticleSection"/>
    <w:uiPriority w:val="99"/>
    <w:semiHidden/>
    <w:unhideWhenUsed/>
    <w:rsid w:val="00CD2787"/>
    <w:pPr>
      <w:numPr>
        <w:numId w:val="2"/>
      </w:numPr>
    </w:pPr>
  </w:style>
  <w:style w:type="table" w:customStyle="1" w:styleId="ColorfulGrid2">
    <w:name w:val="Colorful Grid2"/>
    <w:basedOn w:val="TableNormal"/>
    <w:next w:val="ColorfulGrid"/>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TableClassic11">
    <w:name w:val="Table Classic 11"/>
    <w:basedOn w:val="TableGrid"/>
    <w:next w:val="TableClassic1"/>
    <w:uiPriority w:val="99"/>
    <w:semiHidden/>
    <w:unhideWhenUsed/>
    <w:rsid w:val="00CD278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
    <w:name w:val="Table Grid 21"/>
    <w:basedOn w:val="TableGrid"/>
    <w:next w:val="TableGrid2"/>
    <w:uiPriority w:val="99"/>
    <w:unhideWhenUsed/>
    <w:rsid w:val="00CD2787"/>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customStyle="1" w:styleId="LightShading-Accent12">
    <w:name w:val="Light Shading - Accent 12"/>
    <w:basedOn w:val="TableNormal"/>
    <w:next w:val="LightShading-Accent1"/>
    <w:uiPriority w:val="60"/>
    <w:semiHidden/>
    <w:rsid w:val="00CD2787"/>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31">
    <w:name w:val="Colorful Grid - Accent 31"/>
    <w:basedOn w:val="TableNormal"/>
    <w:next w:val="ColorfulGrid-Accent3"/>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Shading2">
    <w:name w:val="Light Shading2"/>
    <w:basedOn w:val="TableNormal"/>
    <w:next w:val="LightShading"/>
    <w:uiPriority w:val="60"/>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41">
    <w:name w:val="Colorful Grid - Accent 41"/>
    <w:basedOn w:val="TableNormal"/>
    <w:next w:val="ColorfulGrid-Accent4"/>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semiHidden/>
    <w:rsid w:val="00CD2787"/>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CD2787"/>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CD2787"/>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CD2787"/>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CD2787"/>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CD2787"/>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CD2787"/>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semiHidden/>
    <w:rsid w:val="00CD2787"/>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CD2787"/>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CD2787"/>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CD2787"/>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CD2787"/>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CD2787"/>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CD2787"/>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CD2787"/>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CD2787"/>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CD2787"/>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CD2787"/>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CD2787"/>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CD2787"/>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CD2787"/>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CD2787"/>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CD2787"/>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CD2787"/>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CD2787"/>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CD2787"/>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CD2787"/>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CD2787"/>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CD2787"/>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CD2787"/>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CD2787"/>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CD2787"/>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semiHidden/>
    <w:rsid w:val="00CD2787"/>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CD2787"/>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CD2787"/>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CD2787"/>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CD2787"/>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eNormal"/>
    <w:next w:val="MediumGrid1"/>
    <w:uiPriority w:val="67"/>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CD2787"/>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CD2787"/>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CD2787"/>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CD2787"/>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CD2787"/>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CD2787"/>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CD27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CD27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CD27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CD27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CD27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CD27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CD2787"/>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CD2787"/>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CD2787"/>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CD2787"/>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CD2787"/>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CD2787"/>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CD27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CD27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CD27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CD27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CD27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CD27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CD2787"/>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CD2787"/>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CD2787"/>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CD2787"/>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CD2787"/>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CD2787"/>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CD2787"/>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CD2787"/>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CD2787"/>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CD2787"/>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CD2787"/>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CD2787"/>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CD2787"/>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CD2787"/>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CD2787"/>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CD2787"/>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CD2787"/>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CD2787"/>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CD2787"/>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CD2787"/>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CD2787"/>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CD2787"/>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Grid"/>
    <w:next w:val="TableGrid1"/>
    <w:uiPriority w:val="99"/>
    <w:rsid w:val="00CD2787"/>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customStyle="1" w:styleId="TableGrid31">
    <w:name w:val="Table Grid 31"/>
    <w:basedOn w:val="TableNormal"/>
    <w:next w:val="TableGrid3"/>
    <w:uiPriority w:val="99"/>
    <w:semiHidden/>
    <w:unhideWhenUsed/>
    <w:rsid w:val="00CD2787"/>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CD2787"/>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CD2787"/>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CD2787"/>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CD2787"/>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CD2787"/>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CD2787"/>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CD2787"/>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CD2787"/>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CD2787"/>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CD2787"/>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CD2787"/>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CD2787"/>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CD2787"/>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CD2787"/>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CD2787"/>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CD2787"/>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CD2787"/>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CD2787"/>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CD2787"/>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CD2787"/>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1">
    <w:name w:val="Colorful Grid11"/>
    <w:basedOn w:val="TableNormal"/>
    <w:semiHidden/>
    <w:rsid w:val="00CD2787"/>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1">
    <w:name w:val="Colorful List11"/>
    <w:basedOn w:val="TableNormal"/>
    <w:semiHidden/>
    <w:rsid w:val="00CD2787"/>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1">
    <w:name w:val="Colorful Shading11"/>
    <w:basedOn w:val="TableNormal"/>
    <w:semiHidden/>
    <w:rsid w:val="00CD2787"/>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1">
    <w:name w:val="Dark List11"/>
    <w:basedOn w:val="TableNormal"/>
    <w:semiHidden/>
    <w:rsid w:val="00CD2787"/>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1">
    <w:name w:val="Light Grid - Accent 111"/>
    <w:basedOn w:val="TableNormal"/>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TableNormal"/>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1">
    <w:name w:val="Light List - Accent 111"/>
    <w:basedOn w:val="TableNormal"/>
    <w:semiHidden/>
    <w:rsid w:val="00CD2787"/>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1">
    <w:name w:val="Light List11"/>
    <w:basedOn w:val="TableNormal"/>
    <w:semiHidden/>
    <w:rsid w:val="00CD2787"/>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1">
    <w:name w:val="Light Shading - Accent 111"/>
    <w:basedOn w:val="TableNormal"/>
    <w:semiHidden/>
    <w:rsid w:val="00CD2787"/>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1">
    <w:name w:val="Light Shading11"/>
    <w:basedOn w:val="TableNormal"/>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1">
    <w:name w:val="Medium Grid 111"/>
    <w:basedOn w:val="TableNormal"/>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1">
    <w:name w:val="Medium Grid 211"/>
    <w:basedOn w:val="TableNormal"/>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1">
    <w:name w:val="Medium Grid 311"/>
    <w:basedOn w:val="TableNormal"/>
    <w:semiHidden/>
    <w:rsid w:val="00CD2787"/>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1">
    <w:name w:val="Medium List 1 - Accent 111"/>
    <w:basedOn w:val="TableNormal"/>
    <w:semiHidden/>
    <w:rsid w:val="00CD2787"/>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1">
    <w:name w:val="Medium List 111"/>
    <w:basedOn w:val="TableNormal"/>
    <w:semiHidden/>
    <w:rsid w:val="00CD2787"/>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1">
    <w:name w:val="Medium List 211"/>
    <w:basedOn w:val="TableNormal"/>
    <w:semiHidden/>
    <w:rsid w:val="00CD2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1">
    <w:name w:val="Medium Shading 1 - Accent 111"/>
    <w:basedOn w:val="TableNormal"/>
    <w:semiHidden/>
    <w:rsid w:val="00CD2787"/>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1">
    <w:name w:val="Medium Shading 111"/>
    <w:basedOn w:val="TableNormal"/>
    <w:semiHidden/>
    <w:rsid w:val="00CD2787"/>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1">
    <w:name w:val="Medium Shading 2 - Accent 111"/>
    <w:basedOn w:val="TableNormal"/>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semiHidden/>
    <w:rsid w:val="00CD278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CD2787"/>
    <w:rPr>
      <w:rFonts w:cs="Calibri"/>
      <w:sz w:val="22"/>
      <w:szCs w:val="22"/>
    </w:rPr>
  </w:style>
  <w:style w:type="numbering" w:customStyle="1" w:styleId="NoList2">
    <w:name w:val="No List2"/>
    <w:next w:val="NoList"/>
    <w:uiPriority w:val="99"/>
    <w:semiHidden/>
    <w:unhideWhenUsed/>
    <w:rsid w:val="00DD41A9"/>
  </w:style>
  <w:style w:type="table" w:customStyle="1" w:styleId="TableGrid20">
    <w:name w:val="Table Grid2"/>
    <w:basedOn w:val="TableNormal"/>
    <w:next w:val="TableGrid"/>
    <w:rsid w:val="00DD41A9"/>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numbering" w:customStyle="1" w:styleId="1111112">
    <w:name w:val="1 / 1.1 / 1.1.12"/>
    <w:basedOn w:val="NoList"/>
    <w:next w:val="111111"/>
    <w:uiPriority w:val="99"/>
    <w:semiHidden/>
    <w:unhideWhenUsed/>
    <w:rsid w:val="00DD41A9"/>
    <w:pPr>
      <w:numPr>
        <w:numId w:val="15"/>
      </w:numPr>
    </w:pPr>
  </w:style>
  <w:style w:type="numbering" w:customStyle="1" w:styleId="1ai2">
    <w:name w:val="1 / a / i2"/>
    <w:basedOn w:val="NoList"/>
    <w:next w:val="1ai"/>
    <w:uiPriority w:val="99"/>
    <w:semiHidden/>
    <w:unhideWhenUsed/>
    <w:rsid w:val="00DD41A9"/>
  </w:style>
  <w:style w:type="numbering" w:customStyle="1" w:styleId="ArticleSection2">
    <w:name w:val="Article / Section2"/>
    <w:basedOn w:val="NoList"/>
    <w:next w:val="ArticleSection"/>
    <w:uiPriority w:val="99"/>
    <w:semiHidden/>
    <w:unhideWhenUsed/>
    <w:rsid w:val="00DD41A9"/>
  </w:style>
  <w:style w:type="table" w:customStyle="1" w:styleId="ColorfulGrid3">
    <w:name w:val="Colorful Grid3"/>
    <w:basedOn w:val="TableNormal"/>
    <w:next w:val="ColorfulGrid"/>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TableClassic12">
    <w:name w:val="Table Classic 12"/>
    <w:basedOn w:val="TableGrid"/>
    <w:next w:val="TableClassic1"/>
    <w:uiPriority w:val="99"/>
    <w:semiHidden/>
    <w:unhideWhenUsed/>
    <w:rsid w:val="00DD41A9"/>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
    <w:name w:val="Table Grid 22"/>
    <w:basedOn w:val="TableGrid"/>
    <w:next w:val="TableGrid2"/>
    <w:uiPriority w:val="99"/>
    <w:unhideWhenUsed/>
    <w:rsid w:val="00DD41A9"/>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customStyle="1" w:styleId="LightShading-Accent13">
    <w:name w:val="Light Shading - Accent 13"/>
    <w:basedOn w:val="TableNormal"/>
    <w:next w:val="LightShading-Accent1"/>
    <w:uiPriority w:val="60"/>
    <w:semiHidden/>
    <w:rsid w:val="00DD41A9"/>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32">
    <w:name w:val="Colorful Grid - Accent 32"/>
    <w:basedOn w:val="TableNormal"/>
    <w:next w:val="ColorfulGrid-Accent3"/>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Shading3">
    <w:name w:val="Light Shading3"/>
    <w:basedOn w:val="TableNormal"/>
    <w:next w:val="LightShading"/>
    <w:uiPriority w:val="60"/>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42">
    <w:name w:val="Colorful Grid - Accent 42"/>
    <w:basedOn w:val="TableNormal"/>
    <w:next w:val="ColorfulGrid-Accent4"/>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DD41A9"/>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DD41A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DD41A9"/>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DD41A9"/>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DD41A9"/>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DD41A9"/>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DD41A9"/>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DD41A9"/>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DD41A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DD41A9"/>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DD41A9"/>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DD41A9"/>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DD41A9"/>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DD41A9"/>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DD41A9"/>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DD41A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DD41A9"/>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DD41A9"/>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DD41A9"/>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DD41A9"/>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DD41A9"/>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DD41A9"/>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DD41A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DD41A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DD41A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DD41A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DD41A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DD41A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DD41A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DD41A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DD41A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DD41A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2">
    <w:name w:val="Light Shading - Accent 22"/>
    <w:basedOn w:val="TableNormal"/>
    <w:next w:val="LightShading-Accent2"/>
    <w:uiPriority w:val="60"/>
    <w:semiHidden/>
    <w:rsid w:val="00DD41A9"/>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DD41A9"/>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DD41A9"/>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DD41A9"/>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DD41A9"/>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3">
    <w:name w:val="Medium Grid 13"/>
    <w:basedOn w:val="TableNormal"/>
    <w:next w:val="MediumGrid1"/>
    <w:uiPriority w:val="67"/>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semiHidden/>
    <w:rsid w:val="00DD41A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DD41A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DD41A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DD41A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DD41A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DD41A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DD41A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DD41A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DD41A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DD41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DD41A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DD41A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DD41A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DD41A9"/>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DD41A9"/>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DD41A9"/>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DD41A9"/>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DD41A9"/>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DD41A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DD41A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DD41A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DD41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DD41A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DD41A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DD41A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DD41A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DD41A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DD41A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DD41A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DD41A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uiPriority w:val="99"/>
    <w:semiHidden/>
    <w:unhideWhenUsed/>
    <w:rsid w:val="00DD41A9"/>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DD41A9"/>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DD41A9"/>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DD41A9"/>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DD41A9"/>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DD41A9"/>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DD41A9"/>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DD41A9"/>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DD41A9"/>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DD41A9"/>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DD41A9"/>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DD41A9"/>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DD41A9"/>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DD41A9"/>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DD41A9"/>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DD41A9"/>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Grid"/>
    <w:next w:val="TableGrid1"/>
    <w:uiPriority w:val="99"/>
    <w:rsid w:val="00DD41A9"/>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customStyle="1" w:styleId="TableGrid32">
    <w:name w:val="Table Grid 32"/>
    <w:basedOn w:val="TableNormal"/>
    <w:next w:val="TableGrid3"/>
    <w:uiPriority w:val="99"/>
    <w:semiHidden/>
    <w:unhideWhenUsed/>
    <w:rsid w:val="00DD41A9"/>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DD41A9"/>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DD41A9"/>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DD41A9"/>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semiHidden/>
    <w:unhideWhenUsed/>
    <w:rsid w:val="00DD41A9"/>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DD41A9"/>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DD41A9"/>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DD41A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DD41A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DD41A9"/>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DD41A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DD41A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DD41A9"/>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DD41A9"/>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DD41A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DD41A9"/>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DD41A9"/>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DD41A9"/>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DD41A9"/>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DD41A9"/>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DD41A9"/>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2">
    <w:name w:val="Colorful Grid12"/>
    <w:basedOn w:val="TableNormal"/>
    <w:semiHidden/>
    <w:rsid w:val="00DD41A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2">
    <w:name w:val="Colorful List12"/>
    <w:basedOn w:val="TableNormal"/>
    <w:semiHidden/>
    <w:rsid w:val="00DD41A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2">
    <w:name w:val="Colorful Shading12"/>
    <w:basedOn w:val="TableNormal"/>
    <w:semiHidden/>
    <w:rsid w:val="00DD41A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2">
    <w:name w:val="Dark List12"/>
    <w:basedOn w:val="TableNormal"/>
    <w:semiHidden/>
    <w:rsid w:val="00DD41A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2">
    <w:name w:val="Light Grid - Accent 112"/>
    <w:basedOn w:val="TableNormal"/>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2">
    <w:name w:val="Light Grid12"/>
    <w:basedOn w:val="TableNormal"/>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2">
    <w:name w:val="Light List - Accent 112"/>
    <w:basedOn w:val="TableNormal"/>
    <w:semiHidden/>
    <w:rsid w:val="00DD41A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2">
    <w:name w:val="Light List12"/>
    <w:basedOn w:val="TableNormal"/>
    <w:semiHidden/>
    <w:rsid w:val="00DD41A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2">
    <w:name w:val="Light Shading - Accent 112"/>
    <w:basedOn w:val="TableNormal"/>
    <w:semiHidden/>
    <w:rsid w:val="00DD41A9"/>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2">
    <w:name w:val="Light Shading12"/>
    <w:basedOn w:val="TableNormal"/>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2">
    <w:name w:val="Medium Grid 112"/>
    <w:basedOn w:val="TableNormal"/>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2">
    <w:name w:val="Medium Grid 212"/>
    <w:basedOn w:val="TableNormal"/>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2">
    <w:name w:val="Medium Grid 312"/>
    <w:basedOn w:val="TableNormal"/>
    <w:semiHidden/>
    <w:rsid w:val="00DD41A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2">
    <w:name w:val="Medium List 1 - Accent 112"/>
    <w:basedOn w:val="TableNormal"/>
    <w:semiHidden/>
    <w:rsid w:val="00DD41A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2">
    <w:name w:val="Medium List 112"/>
    <w:basedOn w:val="TableNormal"/>
    <w:semiHidden/>
    <w:rsid w:val="00DD41A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2">
    <w:name w:val="Medium List 212"/>
    <w:basedOn w:val="TableNormal"/>
    <w:semiHidden/>
    <w:rsid w:val="00DD41A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2">
    <w:name w:val="Medium Shading 1 - Accent 112"/>
    <w:basedOn w:val="TableNormal"/>
    <w:semiHidden/>
    <w:rsid w:val="00DD41A9"/>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2">
    <w:name w:val="Medium Shading 112"/>
    <w:basedOn w:val="TableNormal"/>
    <w:semiHidden/>
    <w:rsid w:val="00DD41A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2">
    <w:name w:val="Medium Shading 2 - Accent 112"/>
    <w:basedOn w:val="TableNormal"/>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semiHidden/>
    <w:rsid w:val="00DD41A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valuetext1">
    <w:name w:val="valuetext1"/>
    <w:basedOn w:val="DefaultParagraphFont"/>
    <w:rsid w:val="00D1078D"/>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893">
      <w:bodyDiv w:val="1"/>
      <w:marLeft w:val="0"/>
      <w:marRight w:val="0"/>
      <w:marTop w:val="0"/>
      <w:marBottom w:val="0"/>
      <w:divBdr>
        <w:top w:val="none" w:sz="0" w:space="0" w:color="auto"/>
        <w:left w:val="none" w:sz="0" w:space="0" w:color="auto"/>
        <w:bottom w:val="none" w:sz="0" w:space="0" w:color="auto"/>
        <w:right w:val="none" w:sz="0" w:space="0" w:color="auto"/>
      </w:divBdr>
    </w:div>
    <w:div w:id="417287261">
      <w:bodyDiv w:val="1"/>
      <w:marLeft w:val="0"/>
      <w:marRight w:val="0"/>
      <w:marTop w:val="0"/>
      <w:marBottom w:val="0"/>
      <w:divBdr>
        <w:top w:val="none" w:sz="0" w:space="0" w:color="auto"/>
        <w:left w:val="none" w:sz="0" w:space="0" w:color="auto"/>
        <w:bottom w:val="none" w:sz="0" w:space="0" w:color="auto"/>
        <w:right w:val="none" w:sz="0" w:space="0" w:color="auto"/>
      </w:divBdr>
    </w:div>
    <w:div w:id="578052683">
      <w:bodyDiv w:val="1"/>
      <w:marLeft w:val="0"/>
      <w:marRight w:val="0"/>
      <w:marTop w:val="0"/>
      <w:marBottom w:val="0"/>
      <w:divBdr>
        <w:top w:val="none" w:sz="0" w:space="0" w:color="auto"/>
        <w:left w:val="none" w:sz="0" w:space="0" w:color="auto"/>
        <w:bottom w:val="none" w:sz="0" w:space="0" w:color="auto"/>
        <w:right w:val="none" w:sz="0" w:space="0" w:color="auto"/>
      </w:divBdr>
    </w:div>
    <w:div w:id="686247269">
      <w:bodyDiv w:val="1"/>
      <w:marLeft w:val="0"/>
      <w:marRight w:val="0"/>
      <w:marTop w:val="0"/>
      <w:marBottom w:val="0"/>
      <w:divBdr>
        <w:top w:val="none" w:sz="0" w:space="0" w:color="auto"/>
        <w:left w:val="none" w:sz="0" w:space="0" w:color="auto"/>
        <w:bottom w:val="none" w:sz="0" w:space="0" w:color="auto"/>
        <w:right w:val="none" w:sz="0" w:space="0" w:color="auto"/>
      </w:divBdr>
    </w:div>
    <w:div w:id="1085422350">
      <w:bodyDiv w:val="1"/>
      <w:marLeft w:val="0"/>
      <w:marRight w:val="0"/>
      <w:marTop w:val="0"/>
      <w:marBottom w:val="0"/>
      <w:divBdr>
        <w:top w:val="none" w:sz="0" w:space="0" w:color="auto"/>
        <w:left w:val="none" w:sz="0" w:space="0" w:color="auto"/>
        <w:bottom w:val="none" w:sz="0" w:space="0" w:color="auto"/>
        <w:right w:val="none" w:sz="0" w:space="0" w:color="auto"/>
      </w:divBdr>
    </w:div>
    <w:div w:id="1565946565">
      <w:bodyDiv w:val="1"/>
      <w:marLeft w:val="0"/>
      <w:marRight w:val="0"/>
      <w:marTop w:val="0"/>
      <w:marBottom w:val="0"/>
      <w:divBdr>
        <w:top w:val="none" w:sz="0" w:space="0" w:color="auto"/>
        <w:left w:val="none" w:sz="0" w:space="0" w:color="auto"/>
        <w:bottom w:val="none" w:sz="0" w:space="0" w:color="auto"/>
        <w:right w:val="none" w:sz="0" w:space="0" w:color="auto"/>
      </w:divBdr>
    </w:div>
    <w:div w:id="21039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dtf.vic.gov.au"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yperlink" Target="http://www.dtf.vic.gov.au" TargetMode="External"/><Relationship Id="rId5" Type="http://schemas.openxmlformats.org/officeDocument/2006/relationships/settings" Target="settings.xml"/><Relationship Id="rId15" Type="http://schemas.openxmlformats.org/officeDocument/2006/relationships/hyperlink" Target="mailto:information@dtf.vic.gov.au" TargetMode="External"/><Relationship Id="rId23" Type="http://schemas.openxmlformats.org/officeDocument/2006/relationships/hyperlink" Target="http://www.dtf.vic.gov.au" TargetMode="Externa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Ppolicy@dtf.vic.gov.au" TargetMode="Externa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7C0D-C17E-4A09-AEA7-1AEECC0D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De Pedro</dc:creator>
  <cp:lastModifiedBy>Louise Koschmann</cp:lastModifiedBy>
  <cp:revision>2</cp:revision>
  <cp:lastPrinted>2015-03-31T22:23:00Z</cp:lastPrinted>
  <dcterms:created xsi:type="dcterms:W3CDTF">2018-01-29T00:23:00Z</dcterms:created>
  <dcterms:modified xsi:type="dcterms:W3CDTF">2018-01-29T00:23:00Z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378f605e-8fc6-496f-8073-007a67f5ed92</vt:lpwstr>
  </property>
  <property fmtid="{D5CDD505-2E9C-101B-9397-08002B2CF9AE}" pid="3" name="PSPFClassification">
    <vt:lpwstr>Do Not Mark</vt:lpwstr>
  </property>
</Properties>
</file>