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E2" w:rsidRDefault="00E306E2" w:rsidP="00783507">
      <w:pPr>
        <w:pStyle w:val="Title"/>
        <w:rPr>
          <w:lang w:eastAsia="en-US"/>
        </w:rPr>
      </w:pPr>
    </w:p>
    <w:p w:rsidR="00E306E2" w:rsidRDefault="00E306E2" w:rsidP="00783507">
      <w:pPr>
        <w:pStyle w:val="Title"/>
        <w:rPr>
          <w:lang w:eastAsia="en-US"/>
        </w:rPr>
      </w:pPr>
    </w:p>
    <w:p w:rsidR="00E306E2" w:rsidRDefault="00E306E2" w:rsidP="00783507">
      <w:pPr>
        <w:pStyle w:val="Title"/>
        <w:rPr>
          <w:lang w:eastAsia="en-US"/>
        </w:rPr>
      </w:pPr>
    </w:p>
    <w:p w:rsidR="00E306E2" w:rsidRDefault="00E306E2" w:rsidP="00783507">
      <w:pPr>
        <w:pStyle w:val="Title"/>
        <w:rPr>
          <w:lang w:eastAsia="en-US"/>
        </w:rPr>
      </w:pPr>
    </w:p>
    <w:p w:rsidR="00E306E2" w:rsidRDefault="00E306E2" w:rsidP="00783507">
      <w:pPr>
        <w:pStyle w:val="Title"/>
        <w:rPr>
          <w:lang w:eastAsia="en-US"/>
        </w:rPr>
      </w:pPr>
    </w:p>
    <w:p w:rsidR="00E306E2" w:rsidRDefault="00E306E2" w:rsidP="00783507">
      <w:pPr>
        <w:pStyle w:val="Title"/>
        <w:rPr>
          <w:lang w:eastAsia="en-US"/>
        </w:rPr>
      </w:pPr>
    </w:p>
    <w:p w:rsidR="00E8643A" w:rsidRPr="00E306E2" w:rsidRDefault="00E8643A" w:rsidP="00783507">
      <w:pPr>
        <w:pStyle w:val="Title"/>
        <w:rPr>
          <w:b/>
          <w:lang w:eastAsia="en-US"/>
        </w:rPr>
      </w:pPr>
      <w:r w:rsidRPr="00E306E2">
        <w:rPr>
          <w:b/>
          <w:lang w:eastAsia="en-US"/>
        </w:rPr>
        <w:t>Summary of changes applied to the 2014-15 Model Report</w:t>
      </w:r>
    </w:p>
    <w:p w:rsidR="00E306E2" w:rsidRDefault="00E306E2" w:rsidP="00783507">
      <w:pPr>
        <w:pStyle w:val="Title"/>
        <w:rPr>
          <w:lang w:eastAsia="en-US"/>
        </w:rPr>
      </w:pPr>
    </w:p>
    <w:p w:rsidR="00E8643A" w:rsidRDefault="00E8643A" w:rsidP="00E8643A">
      <w:pPr>
        <w:rPr>
          <w:lang w:eastAsia="en-US"/>
        </w:rPr>
      </w:pPr>
      <w:bookmarkStart w:id="0" w:name="_GoBack"/>
      <w:bookmarkEnd w:id="0"/>
    </w:p>
    <w:p w:rsidR="00E8643A" w:rsidRDefault="00E8643A">
      <w:pPr>
        <w:spacing w:before="0" w:after="0" w:line="240" w:lineRule="auto"/>
        <w:rPr>
          <w:lang w:eastAsia="en-US"/>
        </w:rPr>
      </w:pPr>
      <w:r>
        <w:rPr>
          <w:lang w:eastAsia="en-US"/>
        </w:rPr>
        <w:br w:type="page"/>
      </w:r>
    </w:p>
    <w:p w:rsidR="00E8643A" w:rsidRDefault="00E8643A" w:rsidP="00E8643A">
      <w:pPr>
        <w:pStyle w:val="Heading2NoNum"/>
      </w:pPr>
      <w:r>
        <w:lastRenderedPageBreak/>
        <w:t>Purpose and overview</w:t>
      </w:r>
    </w:p>
    <w:p w:rsidR="00E8643A" w:rsidRPr="001A46F5" w:rsidRDefault="00E8643A" w:rsidP="00E8643A">
      <w:pPr>
        <w:rPr>
          <w:sz w:val="24"/>
          <w:szCs w:val="24"/>
          <w:lang w:eastAsia="en-US"/>
        </w:rPr>
      </w:pPr>
      <w:r w:rsidRPr="001A46F5">
        <w:rPr>
          <w:sz w:val="24"/>
          <w:szCs w:val="24"/>
          <w:lang w:eastAsia="en-US"/>
        </w:rPr>
        <w:t xml:space="preserve">The purpose of this document is to provide a summary of significant changes to the 2014-15 </w:t>
      </w:r>
      <w:r w:rsidRPr="00DA358B">
        <w:rPr>
          <w:i/>
          <w:sz w:val="24"/>
          <w:szCs w:val="24"/>
          <w:lang w:eastAsia="en-US"/>
        </w:rPr>
        <w:t>Model Report</w:t>
      </w:r>
      <w:r w:rsidR="00DA358B" w:rsidRPr="00DA358B">
        <w:rPr>
          <w:i/>
          <w:sz w:val="24"/>
          <w:szCs w:val="24"/>
          <w:lang w:eastAsia="en-US"/>
        </w:rPr>
        <w:t xml:space="preserve"> for Victorian Government Departments</w:t>
      </w:r>
      <w:r w:rsidRPr="001A46F5">
        <w:rPr>
          <w:sz w:val="24"/>
          <w:szCs w:val="24"/>
          <w:lang w:eastAsia="en-US"/>
        </w:rPr>
        <w:t xml:space="preserve">, since the 2013-14 Model Report. </w:t>
      </w:r>
    </w:p>
    <w:p w:rsidR="00E8643A" w:rsidRPr="001A46F5" w:rsidRDefault="00E8643A" w:rsidP="00E306E2">
      <w:pPr>
        <w:pStyle w:val="BodyText"/>
        <w:rPr>
          <w:sz w:val="24"/>
          <w:szCs w:val="24"/>
          <w:lang w:eastAsia="en-US"/>
        </w:rPr>
      </w:pPr>
      <w:r w:rsidRPr="001A46F5">
        <w:rPr>
          <w:sz w:val="24"/>
          <w:szCs w:val="24"/>
          <w:lang w:eastAsia="en-US"/>
        </w:rPr>
        <w:t>The changes incorporate a combination of revisions, enhancements, accounting standard changes required by the standard setters and government endorsed recommendations from the Public Accounts and Estimates Committee (PAEC)</w:t>
      </w:r>
      <w:r w:rsidR="00E069B0">
        <w:rPr>
          <w:sz w:val="24"/>
          <w:szCs w:val="24"/>
          <w:lang w:eastAsia="en-US"/>
        </w:rPr>
        <w:t xml:space="preserve"> and the Victorian Auditor-General’s Office (VAGO)</w:t>
      </w:r>
      <w:r w:rsidRPr="001A46F5">
        <w:rPr>
          <w:sz w:val="24"/>
          <w:szCs w:val="24"/>
          <w:lang w:eastAsia="en-US"/>
        </w:rPr>
        <w:t>.</w:t>
      </w:r>
    </w:p>
    <w:p w:rsidR="00E8643A" w:rsidRPr="001A46F5" w:rsidRDefault="00E8643A" w:rsidP="00E8643A">
      <w:pPr>
        <w:rPr>
          <w:sz w:val="24"/>
          <w:szCs w:val="24"/>
          <w:lang w:eastAsia="en-US"/>
        </w:rPr>
      </w:pPr>
      <w:r w:rsidRPr="001A46F5">
        <w:rPr>
          <w:sz w:val="24"/>
          <w:szCs w:val="24"/>
          <w:lang w:eastAsia="en-US"/>
        </w:rPr>
        <w:t>The key substantive changes include:</w:t>
      </w:r>
    </w:p>
    <w:p w:rsidR="00E8643A" w:rsidRPr="001A46F5" w:rsidRDefault="00E8643A" w:rsidP="00E8643A">
      <w:pPr>
        <w:pStyle w:val="Bullet1"/>
        <w:rPr>
          <w:sz w:val="24"/>
          <w:szCs w:val="24"/>
          <w:lang w:eastAsia="en-US"/>
        </w:rPr>
      </w:pPr>
      <w:r w:rsidRPr="001A46F5">
        <w:rPr>
          <w:sz w:val="24"/>
          <w:szCs w:val="24"/>
          <w:lang w:eastAsia="en-US"/>
        </w:rPr>
        <w:t xml:space="preserve">Implementation of the reporting requirements of the suite of accounting standards which comprise AASB 10 </w:t>
      </w:r>
      <w:r w:rsidRPr="001A46F5">
        <w:rPr>
          <w:i/>
          <w:sz w:val="24"/>
          <w:szCs w:val="24"/>
          <w:lang w:eastAsia="en-US"/>
        </w:rPr>
        <w:t>Consolidated Financial Statements</w:t>
      </w:r>
      <w:r w:rsidRPr="001A46F5">
        <w:rPr>
          <w:sz w:val="24"/>
          <w:szCs w:val="24"/>
          <w:lang w:eastAsia="en-US"/>
        </w:rPr>
        <w:t xml:space="preserve">, AASB 11 </w:t>
      </w:r>
      <w:r w:rsidRPr="001A46F5">
        <w:rPr>
          <w:i/>
          <w:sz w:val="24"/>
          <w:szCs w:val="24"/>
          <w:lang w:eastAsia="en-US"/>
        </w:rPr>
        <w:t>Joint Arrangements</w:t>
      </w:r>
      <w:r w:rsidRPr="001A46F5">
        <w:rPr>
          <w:sz w:val="24"/>
          <w:szCs w:val="24"/>
          <w:lang w:eastAsia="en-US"/>
        </w:rPr>
        <w:t xml:space="preserve"> and AASB 12 </w:t>
      </w:r>
      <w:r w:rsidRPr="001A46F5">
        <w:rPr>
          <w:i/>
          <w:sz w:val="24"/>
          <w:szCs w:val="24"/>
          <w:lang w:eastAsia="en-US"/>
        </w:rPr>
        <w:t>Disclosure of Interests in Other Entities</w:t>
      </w:r>
      <w:r w:rsidRPr="001A46F5">
        <w:rPr>
          <w:sz w:val="24"/>
          <w:szCs w:val="24"/>
          <w:lang w:eastAsia="en-US"/>
        </w:rPr>
        <w:t>.</w:t>
      </w:r>
    </w:p>
    <w:p w:rsidR="00E8643A" w:rsidRPr="001A46F5" w:rsidRDefault="00E8643A" w:rsidP="00E8643A">
      <w:pPr>
        <w:pStyle w:val="Bullet2"/>
        <w:rPr>
          <w:sz w:val="24"/>
          <w:szCs w:val="24"/>
          <w:lang w:eastAsia="en-US"/>
        </w:rPr>
      </w:pPr>
      <w:r w:rsidRPr="001A46F5">
        <w:rPr>
          <w:sz w:val="24"/>
          <w:szCs w:val="24"/>
          <w:lang w:eastAsia="en-US"/>
        </w:rPr>
        <w:t>AASB 10 focuses on a new control approach in determining whether an entity has deemed control and needs to consolidate another entity;</w:t>
      </w:r>
    </w:p>
    <w:p w:rsidR="00E8643A" w:rsidRPr="001A46F5" w:rsidRDefault="00E8643A" w:rsidP="00E8643A">
      <w:pPr>
        <w:pStyle w:val="Bullet2"/>
        <w:rPr>
          <w:sz w:val="24"/>
          <w:szCs w:val="24"/>
          <w:lang w:eastAsia="en-US"/>
        </w:rPr>
      </w:pPr>
      <w:r w:rsidRPr="001A46F5">
        <w:rPr>
          <w:sz w:val="24"/>
          <w:szCs w:val="24"/>
          <w:lang w:eastAsia="en-US"/>
        </w:rPr>
        <w:t>AASB 11 does not permit the use of proportional consolidation method for accounting for joint ventures (which must now be equity accounted only); and</w:t>
      </w:r>
    </w:p>
    <w:p w:rsidR="00E8643A" w:rsidRPr="001A46F5" w:rsidRDefault="00E8643A" w:rsidP="00E8643A">
      <w:pPr>
        <w:pStyle w:val="Bullet2"/>
        <w:rPr>
          <w:sz w:val="24"/>
          <w:szCs w:val="24"/>
          <w:lang w:eastAsia="en-US"/>
        </w:rPr>
      </w:pPr>
      <w:r w:rsidRPr="001A46F5">
        <w:rPr>
          <w:sz w:val="24"/>
          <w:szCs w:val="24"/>
          <w:lang w:eastAsia="en-US"/>
        </w:rPr>
        <w:t>AASB 12 prescribes a more extensive disclosure of an entity’s interests in other entities.</w:t>
      </w:r>
    </w:p>
    <w:p w:rsidR="00E8643A" w:rsidRDefault="00E8643A" w:rsidP="00E8643A">
      <w:pPr>
        <w:pStyle w:val="Bullet1"/>
        <w:rPr>
          <w:sz w:val="24"/>
          <w:szCs w:val="24"/>
          <w:lang w:eastAsia="en-US"/>
        </w:rPr>
      </w:pPr>
      <w:r w:rsidRPr="001A46F5">
        <w:rPr>
          <w:sz w:val="24"/>
          <w:szCs w:val="24"/>
          <w:lang w:eastAsia="en-US"/>
        </w:rPr>
        <w:t>Implementation of PAEC recommendations and guidance in the Report of Operations in relation to performance reporting which requires a more detailed reporting on departmental objective indicators, the extent of achievement against output performance measures and more detailed explanation of variances between performance targets and actual results.</w:t>
      </w:r>
    </w:p>
    <w:p w:rsidR="008A1F74" w:rsidRPr="001A46F5" w:rsidRDefault="008A1F74" w:rsidP="00E8643A">
      <w:pPr>
        <w:pStyle w:val="Bullet1"/>
        <w:rPr>
          <w:sz w:val="24"/>
          <w:szCs w:val="24"/>
          <w:lang w:eastAsia="en-US"/>
        </w:rPr>
      </w:pPr>
      <w:r>
        <w:rPr>
          <w:sz w:val="24"/>
          <w:szCs w:val="24"/>
          <w:lang w:eastAsia="en-US"/>
        </w:rPr>
        <w:t>Implementation of agreed VAGO recommendations.</w:t>
      </w:r>
    </w:p>
    <w:p w:rsidR="00E8643A" w:rsidRDefault="00E8643A" w:rsidP="00E8643A">
      <w:pPr>
        <w:rPr>
          <w:lang w:eastAsia="en-US"/>
        </w:rPr>
      </w:pPr>
      <w:r w:rsidRPr="001A46F5">
        <w:rPr>
          <w:sz w:val="24"/>
          <w:szCs w:val="24"/>
          <w:lang w:eastAsia="en-US"/>
        </w:rPr>
        <w:t xml:space="preserve">For a comprehensive list of new or revised requirements, please refer to the source reference column of the Model where </w:t>
      </w:r>
      <w:r w:rsidRPr="001A46F5">
        <w:rPr>
          <w:color w:val="FF0000"/>
          <w:sz w:val="24"/>
          <w:szCs w:val="24"/>
          <w:lang w:eastAsia="en-US"/>
        </w:rPr>
        <w:t xml:space="preserve">New </w:t>
      </w:r>
      <w:r w:rsidRPr="001A46F5">
        <w:rPr>
          <w:sz w:val="24"/>
          <w:szCs w:val="24"/>
          <w:lang w:eastAsia="en-US"/>
        </w:rPr>
        <w:t xml:space="preserve">or </w:t>
      </w:r>
      <w:r w:rsidRPr="001A46F5">
        <w:rPr>
          <w:color w:val="FF0000"/>
          <w:sz w:val="24"/>
          <w:szCs w:val="24"/>
          <w:lang w:eastAsia="en-US"/>
        </w:rPr>
        <w:t xml:space="preserve">Revised </w:t>
      </w:r>
      <w:r w:rsidRPr="001A46F5">
        <w:rPr>
          <w:sz w:val="24"/>
          <w:szCs w:val="24"/>
          <w:lang w:eastAsia="en-US"/>
        </w:rPr>
        <w:t>is noted.</w:t>
      </w:r>
    </w:p>
    <w:p w:rsidR="00E8643A" w:rsidRDefault="00E8643A">
      <w:pPr>
        <w:spacing w:before="0" w:after="0" w:line="240" w:lineRule="auto"/>
        <w:rPr>
          <w:lang w:eastAsia="en-US"/>
        </w:rPr>
      </w:pPr>
      <w:r>
        <w:rPr>
          <w:lang w:eastAsia="en-US"/>
        </w:rPr>
        <w:br w:type="page"/>
      </w:r>
    </w:p>
    <w:p w:rsidR="00D36E94" w:rsidRPr="00AE303D" w:rsidRDefault="00D36E94" w:rsidP="00D36E94">
      <w:pPr>
        <w:tabs>
          <w:tab w:val="left" w:pos="1843"/>
          <w:tab w:val="left" w:pos="4111"/>
        </w:tabs>
        <w:spacing w:line="276" w:lineRule="auto"/>
        <w:rPr>
          <w:sz w:val="20"/>
        </w:rPr>
      </w:pPr>
    </w:p>
    <w:tbl>
      <w:tblPr>
        <w:tblStyle w:val="Summarytable"/>
        <w:tblW w:w="5000" w:type="pct"/>
        <w:tblLayout w:type="fixed"/>
        <w:tblLook w:val="04A0" w:firstRow="1" w:lastRow="0" w:firstColumn="1" w:lastColumn="0" w:noHBand="0" w:noVBand="1"/>
      </w:tblPr>
      <w:tblGrid>
        <w:gridCol w:w="1900"/>
        <w:gridCol w:w="1984"/>
        <w:gridCol w:w="5386"/>
        <w:gridCol w:w="1044"/>
      </w:tblGrid>
      <w:tr w:rsidR="00D36E94" w:rsidRPr="00AE303D" w:rsidTr="00A64D59">
        <w:trPr>
          <w:cnfStyle w:val="100000000000" w:firstRow="1" w:lastRow="0" w:firstColumn="0" w:lastColumn="0" w:oddVBand="0" w:evenVBand="0" w:oddHBand="0" w:evenHBand="0" w:firstRowFirstColumn="0" w:firstRowLastColumn="0" w:lastRowFirstColumn="0" w:lastRowLastColumn="0"/>
          <w:trHeight w:val="70"/>
        </w:trPr>
        <w:tc>
          <w:tcPr>
            <w:tcW w:w="5000" w:type="pct"/>
            <w:gridSpan w:val="4"/>
            <w:shd w:val="clear" w:color="auto" w:fill="4F0B81"/>
          </w:tcPr>
          <w:p w:rsidR="00D36E94" w:rsidRPr="00AE303D" w:rsidRDefault="00D36E94" w:rsidP="00D36E94">
            <w:pPr>
              <w:pStyle w:val="Tableheading"/>
            </w:pPr>
            <w:r w:rsidRPr="00AE303D">
              <w:t>General changes throughout the 201</w:t>
            </w:r>
            <w:r>
              <w:t>4</w:t>
            </w:r>
            <w:r w:rsidRPr="00AE303D">
              <w:t>-1</w:t>
            </w:r>
            <w:r>
              <w:t>5</w:t>
            </w:r>
            <w:r w:rsidRPr="00AE303D">
              <w:t xml:space="preserve"> Model Report </w:t>
            </w:r>
          </w:p>
        </w:tc>
      </w:tr>
      <w:tr w:rsidR="00CE66C7" w:rsidRPr="00AE303D" w:rsidTr="00AF283F">
        <w:tc>
          <w:tcPr>
            <w:tcW w:w="921" w:type="pct"/>
            <w:tcBorders>
              <w:top w:val="single" w:sz="4" w:space="0" w:color="auto"/>
              <w:bottom w:val="nil"/>
              <w:right w:val="single" w:sz="4" w:space="0" w:color="BFBFBF" w:themeColor="background1" w:themeShade="BF"/>
            </w:tcBorders>
            <w:shd w:val="clear" w:color="auto" w:fill="E0D1DB"/>
          </w:tcPr>
          <w:p w:rsidR="00D36E94" w:rsidRPr="00AE303D" w:rsidRDefault="00D36E94" w:rsidP="00D36E94">
            <w:pPr>
              <w:pStyle w:val="Tableheading"/>
            </w:pPr>
            <w:r w:rsidRPr="00AE303D">
              <w:t xml:space="preserve">Subject </w:t>
            </w:r>
            <w:r w:rsidR="00EE409A" w:rsidRPr="00AE303D">
              <w:t xml:space="preserve">matter </w:t>
            </w:r>
          </w:p>
        </w:tc>
        <w:tc>
          <w:tcPr>
            <w:tcW w:w="96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36E94" w:rsidRPr="00AE303D" w:rsidRDefault="00D36E94" w:rsidP="00D36E94">
            <w:pPr>
              <w:pStyle w:val="Tableheading"/>
            </w:pPr>
            <w:r w:rsidRPr="00AE303D">
              <w:t>Reason</w:t>
            </w:r>
          </w:p>
        </w:tc>
        <w:tc>
          <w:tcPr>
            <w:tcW w:w="261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36E94" w:rsidRPr="00AE303D" w:rsidRDefault="00D36E94" w:rsidP="00E11DBA">
            <w:pPr>
              <w:pStyle w:val="Tableheading"/>
            </w:pPr>
            <w:r w:rsidRPr="00AE303D">
              <w:t xml:space="preserve">Summary of changes </w:t>
            </w:r>
            <w:r w:rsidR="00E11DBA">
              <w:t>throughout the 2014-15 Model Report</w:t>
            </w:r>
          </w:p>
        </w:tc>
        <w:tc>
          <w:tcPr>
            <w:tcW w:w="506" w:type="pct"/>
            <w:tcBorders>
              <w:top w:val="single" w:sz="4" w:space="0" w:color="auto"/>
              <w:left w:val="single" w:sz="4" w:space="0" w:color="BFBFBF" w:themeColor="background1" w:themeShade="BF"/>
              <w:bottom w:val="single" w:sz="4" w:space="0" w:color="BFBFBF" w:themeColor="background1" w:themeShade="BF"/>
            </w:tcBorders>
            <w:shd w:val="clear" w:color="auto" w:fill="E0D1DB"/>
          </w:tcPr>
          <w:p w:rsidR="00D36E94" w:rsidRPr="00AE303D" w:rsidRDefault="00D36E94" w:rsidP="00CE1665">
            <w:pPr>
              <w:pStyle w:val="Tableheading"/>
              <w:jc w:val="center"/>
            </w:pPr>
            <w:r w:rsidRPr="00AE303D">
              <w:t>Page reference</w:t>
            </w:r>
          </w:p>
        </w:tc>
      </w:tr>
      <w:tr w:rsidR="00D36E94" w:rsidRPr="00AE303D" w:rsidTr="00DA358B">
        <w:trPr>
          <w:trHeight w:val="416"/>
        </w:trPr>
        <w:tc>
          <w:tcPr>
            <w:tcW w:w="921" w:type="pct"/>
            <w:vMerge w:val="restart"/>
            <w:tcBorders>
              <w:top w:val="nil"/>
              <w:bottom w:val="nil"/>
              <w:right w:val="single" w:sz="4" w:space="0" w:color="BFBFBF" w:themeColor="background1" w:themeShade="BF"/>
            </w:tcBorders>
          </w:tcPr>
          <w:p w:rsidR="00D36E94" w:rsidRPr="00AE303D" w:rsidRDefault="00D36E94" w:rsidP="00D36E94">
            <w:pPr>
              <w:pStyle w:val="TableText"/>
            </w:pPr>
            <w:r w:rsidRPr="00AE303D">
              <w:t>Ge</w:t>
            </w:r>
            <w:r w:rsidR="00EE409A">
              <w:t xml:space="preserve">neral improvements </w:t>
            </w:r>
            <w:r w:rsidR="00CE1665">
              <w:br/>
            </w:r>
            <w:r w:rsidR="00EE409A">
              <w:t>to the Model</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D36E94">
            <w:pPr>
              <w:pStyle w:val="TableText"/>
            </w:pPr>
            <w:r w:rsidRPr="00AE303D">
              <w:t>Roll-over dates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D36E94">
            <w:pPr>
              <w:pStyle w:val="TableText"/>
            </w:pPr>
            <w:r w:rsidRPr="00AE303D">
              <w:t>All relevant dates and years within the Model have been updated as part of the roll-over process from the previous Model.</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AE303D" w:rsidRDefault="00D36E94" w:rsidP="00CE1665">
            <w:pPr>
              <w:pStyle w:val="TableText"/>
              <w:jc w:val="center"/>
            </w:pPr>
            <w:r w:rsidRPr="00AE303D">
              <w:t>Whole Model</w:t>
            </w:r>
          </w:p>
        </w:tc>
      </w:tr>
      <w:tr w:rsidR="00D36E94" w:rsidRPr="00AE303D" w:rsidTr="00DA358B">
        <w:trPr>
          <w:trHeight w:val="910"/>
        </w:trPr>
        <w:tc>
          <w:tcPr>
            <w:tcW w:w="921" w:type="pct"/>
            <w:vMerge/>
            <w:tcBorders>
              <w:top w:val="nil"/>
              <w:bottom w:val="single" w:sz="4" w:space="0" w:color="auto"/>
              <w:right w:val="single" w:sz="4" w:space="0" w:color="BFBFBF" w:themeColor="background1" w:themeShade="BF"/>
            </w:tcBorders>
          </w:tcPr>
          <w:p w:rsidR="00D36E94" w:rsidRPr="00AE303D" w:rsidRDefault="00D36E94" w:rsidP="00D36E94">
            <w:pPr>
              <w:pStyle w:val="TableText"/>
            </w:pPr>
          </w:p>
        </w:tc>
        <w:tc>
          <w:tcPr>
            <w:tcW w:w="962"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Pr="00AE303D" w:rsidRDefault="00D36E94" w:rsidP="00D36E94">
            <w:pPr>
              <w:pStyle w:val="TableText"/>
            </w:pPr>
            <w:r w:rsidRPr="00AE303D">
              <w:t xml:space="preserve">To improve </w:t>
            </w:r>
            <w:r w:rsidRPr="00EE409A">
              <w:t>readability</w:t>
            </w:r>
          </w:p>
          <w:p w:rsidR="00D36E94" w:rsidRPr="00AE303D" w:rsidRDefault="00D36E94" w:rsidP="00D36E94">
            <w:pPr>
              <w:pStyle w:val="TableText"/>
            </w:pPr>
            <w:r w:rsidRPr="00AE303D">
              <w:t>To update source references</w:t>
            </w:r>
          </w:p>
        </w:tc>
        <w:tc>
          <w:tcPr>
            <w:tcW w:w="261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Pr="00AE303D" w:rsidRDefault="00D36E94" w:rsidP="00D36E94">
            <w:pPr>
              <w:pStyle w:val="TableText"/>
            </w:pPr>
            <w:r w:rsidRPr="00AE303D">
              <w:t>Minor editorial updates/changes to wordings, plac</w:t>
            </w:r>
            <w:r w:rsidR="00CE66C7">
              <w:t>ements of sentences/paragraphs.</w:t>
            </w:r>
          </w:p>
          <w:p w:rsidR="00D36E94" w:rsidRPr="00AE303D" w:rsidRDefault="00D36E94" w:rsidP="00D36E94">
            <w:pPr>
              <w:pStyle w:val="TableText"/>
            </w:pPr>
            <w:r w:rsidRPr="00AE303D">
              <w:t>Changes to source references result</w:t>
            </w:r>
            <w:r>
              <w:t>ing</w:t>
            </w:r>
            <w:r w:rsidRPr="00AE303D">
              <w:t xml:space="preserve"> from changes in reporting requirement</w:t>
            </w:r>
            <w:r>
              <w:t>s effective since 1 July 2014</w:t>
            </w:r>
            <w:r w:rsidRPr="00AE303D">
              <w:t>, as well as an overall update of the relevant AASB/FRD source referencing.</w:t>
            </w:r>
          </w:p>
        </w:tc>
        <w:tc>
          <w:tcPr>
            <w:tcW w:w="506" w:type="pct"/>
            <w:tcBorders>
              <w:top w:val="single" w:sz="4" w:space="0" w:color="BFBFBF" w:themeColor="background1" w:themeShade="BF"/>
              <w:left w:val="single" w:sz="4" w:space="0" w:color="BFBFBF" w:themeColor="background1" w:themeShade="BF"/>
              <w:bottom w:val="single" w:sz="4" w:space="0" w:color="auto"/>
            </w:tcBorders>
          </w:tcPr>
          <w:p w:rsidR="00D36E94" w:rsidRPr="00AE303D" w:rsidRDefault="00D36E94" w:rsidP="00CE1665">
            <w:pPr>
              <w:pStyle w:val="TableText"/>
              <w:jc w:val="center"/>
            </w:pPr>
            <w:r w:rsidRPr="00AE303D">
              <w:t>Whole Model</w:t>
            </w:r>
          </w:p>
        </w:tc>
      </w:tr>
    </w:tbl>
    <w:p w:rsidR="00D36E94" w:rsidRPr="00AE303D" w:rsidRDefault="00D36E94" w:rsidP="00D36E94"/>
    <w:tbl>
      <w:tblPr>
        <w:tblStyle w:val="Summarytable"/>
        <w:tblW w:w="5000" w:type="pct"/>
        <w:tblLayout w:type="fixed"/>
        <w:tblLook w:val="01E0" w:firstRow="1" w:lastRow="1" w:firstColumn="1" w:lastColumn="1" w:noHBand="0" w:noVBand="0"/>
      </w:tblPr>
      <w:tblGrid>
        <w:gridCol w:w="1900"/>
        <w:gridCol w:w="1984"/>
        <w:gridCol w:w="5386"/>
        <w:gridCol w:w="1044"/>
      </w:tblGrid>
      <w:tr w:rsidR="00D36E94" w:rsidRPr="00D36E94" w:rsidTr="001A46F5">
        <w:trPr>
          <w:cnfStyle w:val="100000000000" w:firstRow="1" w:lastRow="0" w:firstColumn="0" w:lastColumn="0" w:oddVBand="0" w:evenVBand="0" w:oddHBand="0" w:evenHBand="0" w:firstRowFirstColumn="0" w:firstRowLastColumn="0" w:lastRowFirstColumn="0" w:lastRowLastColumn="0"/>
        </w:trPr>
        <w:tc>
          <w:tcPr>
            <w:tcW w:w="5000" w:type="pct"/>
            <w:gridSpan w:val="4"/>
            <w:tcBorders>
              <w:bottom w:val="single" w:sz="4" w:space="0" w:color="BFBFBF" w:themeColor="background1" w:themeShade="BF"/>
            </w:tcBorders>
          </w:tcPr>
          <w:p w:rsidR="00D36E94" w:rsidRPr="00D36E94" w:rsidRDefault="00D36E94" w:rsidP="00D36E94">
            <w:pPr>
              <w:pStyle w:val="Tableheading"/>
            </w:pPr>
            <w:r w:rsidRPr="00D36E94">
              <w:t>Summary of changes –</w:t>
            </w:r>
            <w:r w:rsidR="00EE409A">
              <w:t xml:space="preserve"> </w:t>
            </w:r>
            <w:r w:rsidRPr="00D36E94">
              <w:t xml:space="preserve">Introduction </w:t>
            </w:r>
          </w:p>
        </w:tc>
      </w:tr>
      <w:tr w:rsidR="006E434E" w:rsidRPr="00AE303D" w:rsidTr="001A46F5">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36E94" w:rsidRPr="00AE303D" w:rsidRDefault="00D36E94" w:rsidP="00D36E94">
            <w:pPr>
              <w:pStyle w:val="Tableheading"/>
            </w:pPr>
            <w:r w:rsidRPr="00AE303D">
              <w:t xml:space="preserve">Subject </w:t>
            </w:r>
            <w:r w:rsidR="00EE409A" w:rsidRPr="00AE303D">
              <w:t xml:space="preserve">matter </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36E94" w:rsidRPr="00AE303D" w:rsidRDefault="00D36E94" w:rsidP="00D36E94">
            <w:pPr>
              <w:pStyle w:val="Tableheading"/>
            </w:pPr>
            <w:r w:rsidRPr="00AE303D">
              <w:t>Reason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36E94" w:rsidRPr="00AE303D" w:rsidRDefault="00D36E94" w:rsidP="00E11DBA">
            <w:pPr>
              <w:pStyle w:val="Tableheading"/>
            </w:pPr>
            <w:r w:rsidRPr="00AE303D">
              <w:t xml:space="preserve">Summary of changes applied to the relevant sections in the </w:t>
            </w:r>
            <w:r w:rsidR="006E434E">
              <w:br/>
            </w:r>
            <w:r w:rsidR="00E11DBA">
              <w:t>Introduction</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E0D1DB"/>
          </w:tcPr>
          <w:p w:rsidR="00D36E94" w:rsidRPr="00AE303D" w:rsidRDefault="00D36E94" w:rsidP="00CE1665">
            <w:pPr>
              <w:pStyle w:val="Tableheading"/>
              <w:jc w:val="center"/>
            </w:pPr>
            <w:r w:rsidRPr="00AE303D">
              <w:t>Page reference</w:t>
            </w:r>
          </w:p>
        </w:tc>
      </w:tr>
      <w:tr w:rsidR="00D36E94" w:rsidRPr="00AE303D" w:rsidTr="001A46F5">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D36E94">
            <w:pPr>
              <w:pStyle w:val="TableText"/>
            </w:pPr>
            <w:r w:rsidRPr="00AE303D">
              <w:t>Diagram 3: Publication coverage and project indicative timelines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D36E94">
            <w:pPr>
              <w:pStyle w:val="TableText"/>
            </w:pPr>
            <w:r w:rsidRPr="00AE303D">
              <w:t>Annual update</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D36E94">
            <w:pPr>
              <w:pStyle w:val="TableText"/>
            </w:pPr>
            <w:r w:rsidRPr="00AE303D">
              <w:t>Annual update</w:t>
            </w:r>
            <w:r w:rsidR="00EE409A">
              <w:t>.</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AE303D" w:rsidRDefault="00D36E94" w:rsidP="00CE1665">
            <w:pPr>
              <w:pStyle w:val="TableText"/>
              <w:jc w:val="center"/>
            </w:pPr>
            <w:r>
              <w:t>4</w:t>
            </w:r>
          </w:p>
        </w:tc>
      </w:tr>
      <w:tr w:rsidR="00D36E94" w:rsidRPr="00AE303D" w:rsidTr="001A46F5">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D36E94">
            <w:pPr>
              <w:pStyle w:val="TableText"/>
            </w:pPr>
            <w:r w:rsidRPr="00531D19">
              <w:t>The Model Report – purpose and scope</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D36E94">
            <w:pPr>
              <w:pStyle w:val="TableText"/>
            </w:pPr>
            <w:r w:rsidRPr="00531D19">
              <w:t>To update references to departments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D36E94">
            <w:pPr>
              <w:pStyle w:val="TableText"/>
            </w:pPr>
            <w:r w:rsidRPr="00531D19">
              <w:t xml:space="preserve">Names of departments </w:t>
            </w:r>
            <w:r>
              <w:t>have been</w:t>
            </w:r>
            <w:r w:rsidRPr="00531D19">
              <w:t xml:space="preserve"> updated to reflect the Machinery of Government changes.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531D19" w:rsidRDefault="00D36E94" w:rsidP="00CE1665">
            <w:pPr>
              <w:pStyle w:val="TableText"/>
              <w:jc w:val="center"/>
            </w:pPr>
            <w:r w:rsidRPr="00531D19">
              <w:t>5</w:t>
            </w:r>
          </w:p>
        </w:tc>
      </w:tr>
      <w:tr w:rsidR="00D36E94" w:rsidRPr="00AE303D" w:rsidTr="001A46F5">
        <w:tc>
          <w:tcPr>
            <w:tcW w:w="921" w:type="pct"/>
            <w:tcBorders>
              <w:top w:val="single" w:sz="4" w:space="0" w:color="BFBFBF" w:themeColor="background1" w:themeShade="BF"/>
              <w:bottom w:val="single" w:sz="4" w:space="0" w:color="auto"/>
              <w:right w:val="single" w:sz="4" w:space="0" w:color="BFBFBF" w:themeColor="background1" w:themeShade="BF"/>
            </w:tcBorders>
          </w:tcPr>
          <w:p w:rsidR="00D36E94" w:rsidRPr="00531D19" w:rsidRDefault="00D36E94" w:rsidP="00D36E94">
            <w:pPr>
              <w:pStyle w:val="TableText"/>
            </w:pPr>
            <w:r w:rsidRPr="00531D19">
              <w:t>Structure of the Model Report and disclosure requirements</w:t>
            </w:r>
          </w:p>
        </w:tc>
        <w:tc>
          <w:tcPr>
            <w:tcW w:w="962"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Pr="00531D19" w:rsidRDefault="00D36E94" w:rsidP="00D36E94">
            <w:pPr>
              <w:pStyle w:val="TableText"/>
            </w:pPr>
            <w:r w:rsidRPr="00531D19">
              <w:t>To update references to the new appendices</w:t>
            </w:r>
          </w:p>
        </w:tc>
        <w:tc>
          <w:tcPr>
            <w:tcW w:w="261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Pr="00531D19" w:rsidRDefault="00D36E94" w:rsidP="00D36E94">
            <w:pPr>
              <w:pStyle w:val="TableText"/>
            </w:pPr>
            <w:r w:rsidRPr="00531D19">
              <w:t>References to appendices 5-8 have been included.</w:t>
            </w:r>
          </w:p>
        </w:tc>
        <w:tc>
          <w:tcPr>
            <w:tcW w:w="506" w:type="pct"/>
            <w:tcBorders>
              <w:top w:val="single" w:sz="4" w:space="0" w:color="BFBFBF" w:themeColor="background1" w:themeShade="BF"/>
              <w:left w:val="single" w:sz="4" w:space="0" w:color="BFBFBF" w:themeColor="background1" w:themeShade="BF"/>
              <w:bottom w:val="single" w:sz="4" w:space="0" w:color="auto"/>
            </w:tcBorders>
          </w:tcPr>
          <w:p w:rsidR="00D36E94" w:rsidRPr="00531D19" w:rsidRDefault="00D36E94" w:rsidP="00CE1665">
            <w:pPr>
              <w:pStyle w:val="TableText"/>
              <w:jc w:val="center"/>
            </w:pPr>
            <w:r w:rsidRPr="00531D19">
              <w:t>6</w:t>
            </w:r>
          </w:p>
        </w:tc>
      </w:tr>
    </w:tbl>
    <w:p w:rsidR="00D36E94" w:rsidRPr="00AE303D" w:rsidRDefault="00D36E94" w:rsidP="00D36E94"/>
    <w:p w:rsidR="00D36E94" w:rsidRPr="00AE303D" w:rsidRDefault="00D36E94" w:rsidP="00D36E94"/>
    <w:p w:rsidR="006E434E" w:rsidRDefault="006E434E">
      <w:r>
        <w:br w:type="page"/>
      </w:r>
    </w:p>
    <w:tbl>
      <w:tblPr>
        <w:tblStyle w:val="Summarytable"/>
        <w:tblW w:w="5000" w:type="pct"/>
        <w:tblLook w:val="01E0" w:firstRow="1" w:lastRow="1" w:firstColumn="1" w:lastColumn="1" w:noHBand="0" w:noVBand="0"/>
      </w:tblPr>
      <w:tblGrid>
        <w:gridCol w:w="1900"/>
        <w:gridCol w:w="1984"/>
        <w:gridCol w:w="5386"/>
        <w:gridCol w:w="1044"/>
      </w:tblGrid>
      <w:tr w:rsidR="00237365" w:rsidRPr="00237365" w:rsidTr="001A46F5">
        <w:trPr>
          <w:cnfStyle w:val="100000000000" w:firstRow="1" w:lastRow="0" w:firstColumn="0" w:lastColumn="0" w:oddVBand="0" w:evenVBand="0" w:oddHBand="0" w:evenHBand="0" w:firstRowFirstColumn="0" w:firstRowLastColumn="0" w:lastRowFirstColumn="0" w:lastRowLastColumn="0"/>
        </w:trPr>
        <w:tc>
          <w:tcPr>
            <w:tcW w:w="5000" w:type="pct"/>
            <w:gridSpan w:val="4"/>
            <w:tcBorders>
              <w:bottom w:val="single" w:sz="4" w:space="0" w:color="BFBFBF" w:themeColor="background1" w:themeShade="BF"/>
            </w:tcBorders>
          </w:tcPr>
          <w:p w:rsidR="00237365" w:rsidRPr="00237365" w:rsidRDefault="00237365" w:rsidP="00237365">
            <w:pPr>
              <w:pStyle w:val="TableText"/>
              <w:rPr>
                <w:b/>
              </w:rPr>
            </w:pPr>
            <w:r w:rsidRPr="00237365">
              <w:rPr>
                <w:b/>
              </w:rPr>
              <w:lastRenderedPageBreak/>
              <w:t>Summary of changes – Model Report of Operations</w:t>
            </w:r>
          </w:p>
        </w:tc>
      </w:tr>
      <w:tr w:rsidR="00237365" w:rsidRPr="00237365" w:rsidTr="00E11DBA">
        <w:tc>
          <w:tcPr>
            <w:tcW w:w="921" w:type="pct"/>
            <w:tcBorders>
              <w:top w:val="single" w:sz="4" w:space="0" w:color="BFBFBF" w:themeColor="background1" w:themeShade="BF"/>
              <w:bottom w:val="nil"/>
              <w:right w:val="single" w:sz="4" w:space="0" w:color="BFBFBF" w:themeColor="background1" w:themeShade="BF"/>
            </w:tcBorders>
            <w:shd w:val="clear" w:color="auto" w:fill="E0D1DB"/>
          </w:tcPr>
          <w:p w:rsidR="00D36E94" w:rsidRPr="00237365" w:rsidRDefault="00D36E94" w:rsidP="00237365">
            <w:pPr>
              <w:pStyle w:val="TableText"/>
              <w:rPr>
                <w:b/>
              </w:rPr>
            </w:pPr>
            <w:r w:rsidRPr="00237365">
              <w:rPr>
                <w:b/>
              </w:rPr>
              <w:t xml:space="preserve">Subject </w:t>
            </w:r>
            <w:r w:rsidR="00237365" w:rsidRPr="00237365">
              <w:rPr>
                <w:b/>
              </w:rPr>
              <w:t>matter</w:t>
            </w:r>
          </w:p>
        </w:tc>
        <w:tc>
          <w:tcPr>
            <w:tcW w:w="962"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0D1DB"/>
          </w:tcPr>
          <w:p w:rsidR="00D36E94" w:rsidRPr="00237365" w:rsidRDefault="00D36E94" w:rsidP="00237365">
            <w:pPr>
              <w:pStyle w:val="TableText"/>
              <w:rPr>
                <w:b/>
              </w:rPr>
            </w:pPr>
            <w:r w:rsidRPr="00237365">
              <w:rPr>
                <w:b/>
              </w:rPr>
              <w:t>Source of change</w:t>
            </w:r>
          </w:p>
        </w:tc>
        <w:tc>
          <w:tcPr>
            <w:tcW w:w="2611"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0D1DB"/>
          </w:tcPr>
          <w:p w:rsidR="00D36E94" w:rsidRPr="00237365" w:rsidRDefault="00D36E94" w:rsidP="00237365">
            <w:pPr>
              <w:pStyle w:val="TableText"/>
              <w:rPr>
                <w:b/>
              </w:rPr>
            </w:pPr>
            <w:r w:rsidRPr="00237365">
              <w:rPr>
                <w:b/>
              </w:rPr>
              <w:t xml:space="preserve">Summary of changes applied to the relevant sections in the </w:t>
            </w:r>
            <w:r w:rsidR="006E434E">
              <w:rPr>
                <w:b/>
              </w:rPr>
              <w:br/>
            </w:r>
            <w:r w:rsidRPr="00237365">
              <w:rPr>
                <w:b/>
              </w:rPr>
              <w:t>Model Report of Operations</w:t>
            </w:r>
          </w:p>
        </w:tc>
        <w:tc>
          <w:tcPr>
            <w:tcW w:w="506" w:type="pct"/>
            <w:tcBorders>
              <w:top w:val="single" w:sz="4" w:space="0" w:color="BFBFBF" w:themeColor="background1" w:themeShade="BF"/>
              <w:left w:val="single" w:sz="4" w:space="0" w:color="BFBFBF" w:themeColor="background1" w:themeShade="BF"/>
              <w:bottom w:val="nil"/>
            </w:tcBorders>
            <w:shd w:val="clear" w:color="auto" w:fill="E0D1DB"/>
          </w:tcPr>
          <w:p w:rsidR="00D36E94" w:rsidRPr="00237365" w:rsidRDefault="00D36E94" w:rsidP="00CE1665">
            <w:pPr>
              <w:pStyle w:val="TableText"/>
              <w:jc w:val="center"/>
              <w:rPr>
                <w:b/>
              </w:rPr>
            </w:pPr>
            <w:r w:rsidRPr="00237365">
              <w:rPr>
                <w:b/>
              </w:rPr>
              <w:t>Page reference</w:t>
            </w:r>
          </w:p>
        </w:tc>
      </w:tr>
      <w:tr w:rsidR="006E434E" w:rsidRPr="00AE303D" w:rsidTr="00E11DBA">
        <w:tc>
          <w:tcPr>
            <w:tcW w:w="921" w:type="pct"/>
            <w:tcBorders>
              <w:top w:val="nil"/>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rPr>
                <w:color w:val="FF0000"/>
              </w:rPr>
            </w:pPr>
            <w:r w:rsidRPr="00531D19">
              <w:rPr>
                <w:color w:val="FF0000"/>
              </w:rPr>
              <w:t xml:space="preserve">[Revised] </w:t>
            </w:r>
            <w:r w:rsidRPr="008C4C75">
              <w:t>Change</w:t>
            </w:r>
            <w:r w:rsidR="00237365">
              <w:t>s to the Department during 2014</w:t>
            </w:r>
            <w:r w:rsidR="00237365">
              <w:noBreakHyphen/>
            </w:r>
            <w:r w:rsidRPr="008C4C75">
              <w:t>15</w:t>
            </w:r>
          </w:p>
        </w:tc>
        <w:tc>
          <w:tcPr>
            <w:tcW w:w="962"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pPr>
            <w:r w:rsidRPr="00531D19">
              <w:t>To provide additional guidance</w:t>
            </w:r>
          </w:p>
        </w:tc>
        <w:tc>
          <w:tcPr>
            <w:tcW w:w="261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pPr>
            <w:r>
              <w:t>Additional g</w:t>
            </w:r>
            <w:r w:rsidRPr="00531D19">
              <w:t xml:space="preserve">uidance </w:t>
            </w:r>
            <w:r>
              <w:t>has been added to explain a</w:t>
            </w:r>
            <w:r w:rsidRPr="00531D19">
              <w:t xml:space="preserve"> department’s reporting requirements on departmental objectives and output performance</w:t>
            </w:r>
            <w:r>
              <w:t xml:space="preserve"> in the event of </w:t>
            </w:r>
            <w:r w:rsidR="00237365">
              <w:t xml:space="preserve">machinery of government </w:t>
            </w:r>
            <w:r>
              <w:t>changes</w:t>
            </w:r>
            <w:r w:rsidRPr="00531D19">
              <w:t>.</w:t>
            </w:r>
          </w:p>
        </w:tc>
        <w:tc>
          <w:tcPr>
            <w:tcW w:w="506" w:type="pct"/>
            <w:tcBorders>
              <w:top w:val="nil"/>
              <w:left w:val="single" w:sz="4" w:space="0" w:color="BFBFBF" w:themeColor="background1" w:themeShade="BF"/>
              <w:bottom w:val="single" w:sz="4" w:space="0" w:color="BFBFBF" w:themeColor="background1" w:themeShade="BF"/>
            </w:tcBorders>
          </w:tcPr>
          <w:p w:rsidR="00D36E94" w:rsidRPr="00531D19" w:rsidRDefault="00D36E94" w:rsidP="00CE1665">
            <w:pPr>
              <w:pStyle w:val="TableText"/>
              <w:jc w:val="center"/>
            </w:pPr>
            <w:r w:rsidRPr="00531D19">
              <w:t>1</w:t>
            </w:r>
            <w:r>
              <w:t>4</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sidRPr="00AE303D">
              <w:rPr>
                <w:color w:val="FF0000"/>
              </w:rPr>
              <w:t>[</w:t>
            </w:r>
            <w:r>
              <w:rPr>
                <w:color w:val="FF0000"/>
              </w:rPr>
              <w:t>New]</w:t>
            </w:r>
            <w:r w:rsidRPr="00AE303D">
              <w:rPr>
                <w:color w:val="FF0000"/>
              </w:rPr>
              <w:t xml:space="preserve"> </w:t>
            </w:r>
            <w:r>
              <w:t>Departmental objectives, indicators and outputs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Del="000B3FB9" w:rsidRDefault="00D36E94" w:rsidP="00CE66C7">
            <w:pPr>
              <w:pStyle w:val="TableText"/>
            </w:pPr>
            <w:r>
              <w:t>Recommendation 15, PAEC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Illustration has been updated to enhance the level of detail when reporting on departmental objective indicators, and progress towards achieving department objectives.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8C4C75" w:rsidDel="000B3FB9" w:rsidRDefault="00D36E94" w:rsidP="00CE1665">
            <w:pPr>
              <w:pStyle w:val="TableText"/>
              <w:jc w:val="center"/>
            </w:pPr>
            <w:r>
              <w:t>15-16</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Pr>
                <w:color w:val="FF0000"/>
              </w:rPr>
              <w:t xml:space="preserve">[New] </w:t>
            </w:r>
            <w:r w:rsidRPr="00F01D9F">
              <w:t>Initiatives and key achievements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CE66C7">
            <w:pPr>
              <w:pStyle w:val="TableText"/>
            </w:pPr>
            <w:r>
              <w:t>Recommendation 17, PAEC Report 107</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An illustration has been added to demonstrate the disclosure requirement on an entity’s key initiatives during the year, including any changes in those initiatives from previous years if applicable.</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Default="00CF3CA3" w:rsidP="00CE1665">
            <w:pPr>
              <w:pStyle w:val="TableText"/>
              <w:jc w:val="center"/>
            </w:pPr>
            <w:r>
              <w:t>17</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sidRPr="00AE303D">
              <w:rPr>
                <w:color w:val="FF0000"/>
              </w:rPr>
              <w:t>[</w:t>
            </w:r>
            <w:r>
              <w:rPr>
                <w:color w:val="FF0000"/>
              </w:rPr>
              <w:t>Revised]</w:t>
            </w:r>
            <w:r w:rsidRPr="00AE303D">
              <w:rPr>
                <w:color w:val="FF0000"/>
              </w:rPr>
              <w:t xml:space="preserve"> </w:t>
            </w:r>
            <w:r>
              <w:t>Performance against output performance measures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Del="000B3FB9" w:rsidRDefault="00D36E94" w:rsidP="00CE66C7">
            <w:pPr>
              <w:pStyle w:val="TableText"/>
            </w:pPr>
            <w:r>
              <w:t>Recommendation 19, PAEC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Illustration and guidance has been updated to require departments to adopt a system which indicates the extent of underachievement or overachievement of targets when reporting on their performance.</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8C4C75" w:rsidDel="000B3FB9" w:rsidRDefault="00CF3CA3" w:rsidP="00CE1665">
            <w:pPr>
              <w:pStyle w:val="TableText"/>
              <w:jc w:val="center"/>
            </w:pPr>
            <w:r>
              <w:t>18-20, 22</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sidRPr="00AE303D">
              <w:rPr>
                <w:color w:val="FF0000"/>
              </w:rPr>
              <w:t>[</w:t>
            </w:r>
            <w:r>
              <w:rPr>
                <w:color w:val="FF0000"/>
              </w:rPr>
              <w:t>Revised]</w:t>
            </w:r>
            <w:r w:rsidRPr="00AE303D">
              <w:rPr>
                <w:color w:val="FF0000"/>
              </w:rPr>
              <w:t xml:space="preserve"> </w:t>
            </w:r>
            <w:r w:rsidR="00237365">
              <w:t>Performance measures –</w:t>
            </w:r>
            <w:r>
              <w:t xml:space="preserve"> explanation of variances </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pPr>
            <w:r>
              <w:t>Recommendation</w:t>
            </w:r>
            <w:r w:rsidR="00CE66C7">
              <w:t>s</w:t>
            </w:r>
            <w:r>
              <w:t xml:space="preserve"> </w:t>
            </w:r>
            <w:r w:rsidR="00CE66C7">
              <w:br/>
            </w:r>
            <w:r>
              <w:t xml:space="preserve">36 and 39, </w:t>
            </w:r>
            <w:r w:rsidR="006E434E">
              <w:br/>
            </w:r>
            <w:r>
              <w:t>PAEC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72765E" w:rsidRDefault="00D36E94" w:rsidP="0072765E">
            <w:pPr>
              <w:pStyle w:val="TableText"/>
            </w:pPr>
            <w:r w:rsidRPr="0072765E">
              <w:t>Commentary has been added to require disclosures that:</w:t>
            </w:r>
          </w:p>
          <w:p w:rsidR="00D36E94" w:rsidRPr="0072765E" w:rsidRDefault="00D36E94" w:rsidP="0072765E">
            <w:pPr>
              <w:pStyle w:val="Tablebullet"/>
            </w:pPr>
            <w:r w:rsidRPr="0072765E">
              <w:t>explain the variances between targets and actual results,</w:t>
            </w:r>
          </w:p>
          <w:p w:rsidR="00D36E94" w:rsidRPr="0072765E" w:rsidRDefault="00D36E94" w:rsidP="0072765E">
            <w:pPr>
              <w:pStyle w:val="Tablebullet"/>
            </w:pPr>
            <w:r w:rsidRPr="0072765E">
              <w:t>indicate whether the causes of the variances are internal or external factors; and</w:t>
            </w:r>
          </w:p>
          <w:p w:rsidR="00D36E94" w:rsidRPr="008C4C75" w:rsidRDefault="00D36E94" w:rsidP="0072765E">
            <w:pPr>
              <w:pStyle w:val="Tablebullet"/>
            </w:pPr>
            <w:r w:rsidRPr="0072765E">
              <w:t>explain positive outcomes as well as negative outcomes.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2902DF" w:rsidRDefault="00CF3CA3" w:rsidP="00CE1665">
            <w:pPr>
              <w:pStyle w:val="TableText"/>
              <w:jc w:val="center"/>
            </w:pPr>
            <w:r>
              <w:t>21</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sidRPr="00AE303D">
              <w:rPr>
                <w:color w:val="FF0000"/>
              </w:rPr>
              <w:t>[</w:t>
            </w:r>
            <w:r>
              <w:rPr>
                <w:color w:val="FF0000"/>
              </w:rPr>
              <w:t>New]</w:t>
            </w:r>
            <w:r w:rsidRPr="00AE303D">
              <w:rPr>
                <w:color w:val="FF0000"/>
              </w:rPr>
              <w:t xml:space="preserve"> </w:t>
            </w:r>
            <w:r>
              <w:t xml:space="preserve">Variance threshold </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CE66C7">
            <w:pPr>
              <w:pStyle w:val="TableText"/>
            </w:pPr>
            <w:r>
              <w:t>Recommendation 38, PA</w:t>
            </w:r>
            <w:r w:rsidR="006E434E">
              <w:t>E</w:t>
            </w:r>
            <w:r>
              <w:t>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pPr>
            <w:r>
              <w:t>Guidance has been updated to</w:t>
            </w:r>
            <w:r w:rsidRPr="00C13B3A">
              <w:t xml:space="preserve"> explain the difference between</w:t>
            </w:r>
            <w:r>
              <w:t xml:space="preserve"> per cent and percentage point.</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2902DF" w:rsidRDefault="00CF3CA3" w:rsidP="00CE1665">
            <w:pPr>
              <w:pStyle w:val="TableText"/>
              <w:jc w:val="center"/>
            </w:pPr>
            <w:r>
              <w:t>21</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rPr>
                <w:color w:val="FF0000"/>
              </w:rPr>
            </w:pPr>
            <w:r w:rsidRPr="00AE303D">
              <w:rPr>
                <w:color w:val="FF0000"/>
              </w:rPr>
              <w:t>[</w:t>
            </w:r>
            <w:r>
              <w:rPr>
                <w:color w:val="FF0000"/>
              </w:rPr>
              <w:t>Relocated]</w:t>
            </w:r>
            <w:r w:rsidRPr="00AE303D">
              <w:rPr>
                <w:color w:val="FF0000"/>
              </w:rPr>
              <w:t xml:space="preserve"> </w:t>
            </w:r>
            <w:r w:rsidRPr="00531D19">
              <w:t>Budget portfolio outcomes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pPr>
            <w:r w:rsidRPr="00531D19">
              <w:t>To improve logical sequence of information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531D19" w:rsidRDefault="00D36E94" w:rsidP="00237365">
            <w:pPr>
              <w:pStyle w:val="TableText"/>
            </w:pPr>
            <w:r>
              <w:t>Illustration on b</w:t>
            </w:r>
            <w:r w:rsidRPr="00531D19">
              <w:t>udget portfolio outcomes</w:t>
            </w:r>
            <w:r>
              <w:t xml:space="preserve"> </w:t>
            </w:r>
            <w:r w:rsidRPr="00531D19">
              <w:t xml:space="preserve">(financial portfolio performance reporting) </w:t>
            </w:r>
            <w:r>
              <w:t xml:space="preserve">has been relocated </w:t>
            </w:r>
            <w:r w:rsidRPr="00531D19">
              <w:t>after the non-financial portfolio performance reporting section.</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531D19" w:rsidDel="000B3B1F" w:rsidRDefault="00CF3CA3" w:rsidP="00CE1665">
            <w:pPr>
              <w:pStyle w:val="TableText"/>
              <w:jc w:val="center"/>
            </w:pPr>
            <w:r>
              <w:t>23</w:t>
            </w:r>
            <w:r w:rsidR="00D36E94" w:rsidRPr="00531D19">
              <w:t>-2</w:t>
            </w:r>
            <w:r>
              <w:t>4</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Pr>
                <w:color w:val="FF0000"/>
              </w:rPr>
              <w:t xml:space="preserve">[Revised] </w:t>
            </w:r>
            <w:r w:rsidRPr="00CE7274">
              <w:t>Department’s performance against OH&amp;S management measures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CE66C7">
            <w:pPr>
              <w:pStyle w:val="TableText"/>
            </w:pPr>
            <w:r w:rsidRPr="00CE7274">
              <w:t>Recommendation 24,</w:t>
            </w:r>
            <w:r w:rsidR="00CE66C7">
              <w:t xml:space="preserve"> </w:t>
            </w:r>
            <w:r w:rsidRPr="00CE7274">
              <w:t>PAEC Report 107</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 xml:space="preserve">A footnote has been added to require an explanation of the </w:t>
            </w:r>
            <w:r w:rsidRPr="00040E6C">
              <w:t xml:space="preserve">circumstances contributing to the fatality and the preventive measures </w:t>
            </w:r>
            <w:r w:rsidR="00237365">
              <w:t>implemented</w:t>
            </w:r>
            <w:r w:rsidRPr="00040E6C">
              <w:t>. However, in circumstances where the fatality is under investigation or subject to an inquiry, a statement to that effect should be included.</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Default="00CF3CA3" w:rsidP="00CE1665">
            <w:pPr>
              <w:pStyle w:val="TableText"/>
              <w:jc w:val="center"/>
            </w:pPr>
            <w:r>
              <w:t>36</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rPr>
                <w:color w:val="FF0000"/>
              </w:rPr>
            </w:pPr>
            <w:r>
              <w:rPr>
                <w:color w:val="FF0000"/>
              </w:rPr>
              <w:t xml:space="preserve">[New] </w:t>
            </w:r>
            <w:r w:rsidRPr="00DA2A83">
              <w:t>Workforce inclusion policy</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CE7274" w:rsidRDefault="00D36E94" w:rsidP="00CE66C7">
            <w:pPr>
              <w:pStyle w:val="TableText"/>
            </w:pPr>
            <w:r>
              <w:t>Recommendation 20,</w:t>
            </w:r>
            <w:r w:rsidR="006E434E">
              <w:t xml:space="preserve"> </w:t>
            </w:r>
            <w:r>
              <w:t>PAEC Report 107</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An illustration has been added to demonstrate the disclosure requirement on workforce inclusion policy.</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Default="00CF3CA3" w:rsidP="00CE1665">
            <w:pPr>
              <w:pStyle w:val="TableText"/>
              <w:jc w:val="center"/>
            </w:pPr>
            <w:r>
              <w:t>40</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237365">
            <w:pPr>
              <w:pStyle w:val="TableText"/>
              <w:rPr>
                <w:color w:val="FF0000"/>
              </w:rPr>
            </w:pPr>
            <w:r w:rsidRPr="00AE303D">
              <w:rPr>
                <w:color w:val="FF0000"/>
              </w:rPr>
              <w:t>[</w:t>
            </w:r>
            <w:r>
              <w:rPr>
                <w:color w:val="FF0000"/>
              </w:rPr>
              <w:t>New]</w:t>
            </w:r>
            <w:r w:rsidRPr="00AE303D">
              <w:rPr>
                <w:color w:val="FF0000"/>
              </w:rPr>
              <w:t xml:space="preserve"> </w:t>
            </w:r>
            <w:r>
              <w:t xml:space="preserve">Government </w:t>
            </w:r>
            <w:r w:rsidR="00237365">
              <w:t xml:space="preserve">advertising </w:t>
            </w:r>
            <w:r>
              <w:t>expenditure</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CE66C7">
            <w:pPr>
              <w:pStyle w:val="TableText"/>
            </w:pPr>
            <w:r>
              <w:t>Recommendation 50, PAEC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Illustration has been added to reflect the disclosure of adver</w:t>
            </w:r>
            <w:r w:rsidR="00EC07D5">
              <w:t>tising expenditure required by FRD 22F</w:t>
            </w:r>
            <w:r>
              <w:t>.</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8C4C75" w:rsidRDefault="00CF3CA3" w:rsidP="00CE1665">
            <w:pPr>
              <w:pStyle w:val="TableText"/>
              <w:jc w:val="center"/>
            </w:pPr>
            <w:r>
              <w:t>47</w:t>
            </w:r>
          </w:p>
        </w:tc>
      </w:tr>
      <w:tr w:rsidR="006E434E" w:rsidRPr="00AE303D" w:rsidTr="00E11DBA">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36E94" w:rsidRPr="00AE303D" w:rsidRDefault="00D36E94" w:rsidP="00A64D59">
            <w:pPr>
              <w:pStyle w:val="TableText"/>
              <w:rPr>
                <w:color w:val="FF0000"/>
              </w:rPr>
            </w:pPr>
            <w:r w:rsidRPr="00AE303D">
              <w:rPr>
                <w:color w:val="FF0000"/>
              </w:rPr>
              <w:t>[</w:t>
            </w:r>
            <w:r>
              <w:rPr>
                <w:color w:val="FF0000"/>
              </w:rPr>
              <w:t>New]</w:t>
            </w:r>
            <w:r w:rsidRPr="00AE303D">
              <w:rPr>
                <w:color w:val="FF0000"/>
              </w:rPr>
              <w:t xml:space="preserve"> </w:t>
            </w:r>
            <w:r>
              <w:t>Commentary</w:t>
            </w:r>
            <w:r w:rsidR="00A64D59">
              <w:t xml:space="preserve"> </w:t>
            </w:r>
            <w:r w:rsidR="00237365">
              <w:t>–</w:t>
            </w:r>
            <w:r>
              <w:t xml:space="preserve"> Government </w:t>
            </w:r>
            <w:r w:rsidR="00237365">
              <w:t xml:space="preserve">advertising </w:t>
            </w:r>
            <w:r>
              <w:t>expenditure</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CE66C7">
            <w:pPr>
              <w:pStyle w:val="TableText"/>
            </w:pPr>
            <w:r>
              <w:t>Recommendation 49, PAEC Report 118</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36E94" w:rsidRDefault="00D36E94" w:rsidP="00237365">
            <w:pPr>
              <w:pStyle w:val="TableText"/>
            </w:pPr>
            <w:r>
              <w:t>Entities are required to explicitly disclose a ‘nil report’ when their activities or circumstances do not trigger the specified disclosure requirements and thresholds of relevant Financial Reporting Directions.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36E94" w:rsidRPr="008C4C75" w:rsidRDefault="00CF3CA3" w:rsidP="00CE1665">
            <w:pPr>
              <w:pStyle w:val="TableText"/>
              <w:jc w:val="center"/>
            </w:pPr>
            <w:r>
              <w:t>47</w:t>
            </w:r>
          </w:p>
        </w:tc>
      </w:tr>
      <w:tr w:rsidR="006E434E" w:rsidRPr="00AE303D" w:rsidTr="00E11DBA">
        <w:tc>
          <w:tcPr>
            <w:tcW w:w="921" w:type="pct"/>
            <w:tcBorders>
              <w:top w:val="single" w:sz="4" w:space="0" w:color="BFBFBF" w:themeColor="background1" w:themeShade="BF"/>
              <w:bottom w:val="single" w:sz="4" w:space="0" w:color="auto"/>
              <w:right w:val="single" w:sz="4" w:space="0" w:color="BFBFBF" w:themeColor="background1" w:themeShade="BF"/>
            </w:tcBorders>
          </w:tcPr>
          <w:p w:rsidR="00D36E94" w:rsidRPr="00AE303D" w:rsidRDefault="00D36E94" w:rsidP="00A64D59">
            <w:pPr>
              <w:pStyle w:val="TableText"/>
              <w:rPr>
                <w:color w:val="FF0000"/>
              </w:rPr>
            </w:pPr>
            <w:r w:rsidRPr="00AE303D">
              <w:rPr>
                <w:color w:val="FF0000"/>
              </w:rPr>
              <w:t xml:space="preserve">[Revised] </w:t>
            </w:r>
            <w:r>
              <w:t>Consultancy expenditure disclosure</w:t>
            </w:r>
          </w:p>
        </w:tc>
        <w:tc>
          <w:tcPr>
            <w:tcW w:w="962"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Default="00D36E94" w:rsidP="00237365">
            <w:pPr>
              <w:pStyle w:val="TableText"/>
            </w:pPr>
            <w:r>
              <w:t xml:space="preserve">General </w:t>
            </w:r>
            <w:r w:rsidR="00237365">
              <w:t>improvements</w:t>
            </w:r>
          </w:p>
        </w:tc>
        <w:tc>
          <w:tcPr>
            <w:tcW w:w="261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36E94" w:rsidRDefault="00D36E94" w:rsidP="00237365">
            <w:pPr>
              <w:pStyle w:val="TableText"/>
            </w:pPr>
            <w:r>
              <w:t xml:space="preserve">Clarity has been provided to confirm that the disclosure of the start and end dates of a consultancy is not a mandatory requirement. </w:t>
            </w:r>
          </w:p>
        </w:tc>
        <w:tc>
          <w:tcPr>
            <w:tcW w:w="506" w:type="pct"/>
            <w:tcBorders>
              <w:top w:val="single" w:sz="4" w:space="0" w:color="BFBFBF" w:themeColor="background1" w:themeShade="BF"/>
              <w:left w:val="single" w:sz="4" w:space="0" w:color="BFBFBF" w:themeColor="background1" w:themeShade="BF"/>
              <w:bottom w:val="single" w:sz="4" w:space="0" w:color="auto"/>
            </w:tcBorders>
          </w:tcPr>
          <w:p w:rsidR="00D36E94" w:rsidRPr="008C4C75" w:rsidRDefault="00CF3CA3" w:rsidP="00CE1665">
            <w:pPr>
              <w:pStyle w:val="TableText"/>
              <w:jc w:val="center"/>
            </w:pPr>
            <w:r>
              <w:t>48</w:t>
            </w:r>
          </w:p>
        </w:tc>
      </w:tr>
    </w:tbl>
    <w:p w:rsidR="00D36E94" w:rsidRPr="006E434E" w:rsidRDefault="00D36E94" w:rsidP="006E434E">
      <w:pPr>
        <w:pStyle w:val="BodyText"/>
        <w:spacing w:before="0" w:after="0"/>
        <w:rPr>
          <w:sz w:val="22"/>
        </w:rPr>
      </w:pPr>
    </w:p>
    <w:p w:rsidR="00CE66C7" w:rsidRDefault="00CE66C7">
      <w:r>
        <w:br w:type="page"/>
      </w:r>
    </w:p>
    <w:tbl>
      <w:tblPr>
        <w:tblStyle w:val="Summarytable"/>
        <w:tblW w:w="5000" w:type="pct"/>
        <w:tblLook w:val="01E0" w:firstRow="1" w:lastRow="1" w:firstColumn="1" w:lastColumn="1" w:noHBand="0" w:noVBand="0"/>
      </w:tblPr>
      <w:tblGrid>
        <w:gridCol w:w="1900"/>
        <w:gridCol w:w="1984"/>
        <w:gridCol w:w="5386"/>
        <w:gridCol w:w="1044"/>
      </w:tblGrid>
      <w:tr w:rsidR="00CE1665" w:rsidRPr="006E434E" w:rsidTr="000B7A5C">
        <w:trPr>
          <w:cnfStyle w:val="100000000000" w:firstRow="1" w:lastRow="0" w:firstColumn="0" w:lastColumn="0" w:oddVBand="0" w:evenVBand="0" w:oddHBand="0" w:evenHBand="0" w:firstRowFirstColumn="0" w:firstRowLastColumn="0" w:lastRowFirstColumn="0" w:lastRowLastColumn="0"/>
        </w:trPr>
        <w:tc>
          <w:tcPr>
            <w:tcW w:w="5000" w:type="pct"/>
            <w:gridSpan w:val="4"/>
            <w:tcBorders>
              <w:bottom w:val="single" w:sz="4" w:space="0" w:color="BFBFBF" w:themeColor="background1" w:themeShade="BF"/>
            </w:tcBorders>
          </w:tcPr>
          <w:p w:rsidR="00CE1665" w:rsidRPr="006E434E" w:rsidRDefault="001A46F5" w:rsidP="006E434E">
            <w:pPr>
              <w:pStyle w:val="TableText"/>
              <w:rPr>
                <w:b/>
              </w:rPr>
            </w:pPr>
            <w:r>
              <w:rPr>
                <w:b/>
              </w:rPr>
              <w:lastRenderedPageBreak/>
              <w:br w:type="page"/>
              <w:t>Summary of changes – Model F</w:t>
            </w:r>
            <w:r w:rsidR="00CE1665" w:rsidRPr="006E434E">
              <w:rPr>
                <w:b/>
              </w:rPr>
              <w:t xml:space="preserve">inancial </w:t>
            </w:r>
            <w:r>
              <w:rPr>
                <w:b/>
              </w:rPr>
              <w:t>S</w:t>
            </w:r>
            <w:r w:rsidR="00CE1665" w:rsidRPr="006E434E">
              <w:rPr>
                <w:b/>
              </w:rPr>
              <w:t>tatements</w:t>
            </w:r>
          </w:p>
        </w:tc>
      </w:tr>
      <w:tr w:rsidR="006E434E" w:rsidRPr="006E434E" w:rsidTr="000B7A5C">
        <w:tc>
          <w:tcPr>
            <w:tcW w:w="921" w:type="pct"/>
            <w:tcBorders>
              <w:top w:val="single" w:sz="4" w:space="0" w:color="BFBFBF" w:themeColor="background1" w:themeShade="BF"/>
              <w:right w:val="single" w:sz="4" w:space="0" w:color="BFBFBF" w:themeColor="background1" w:themeShade="BF"/>
            </w:tcBorders>
            <w:shd w:val="clear" w:color="auto" w:fill="E0D1DB"/>
          </w:tcPr>
          <w:p w:rsidR="00D36E94" w:rsidRPr="006E434E" w:rsidRDefault="00D36E94" w:rsidP="006E434E">
            <w:pPr>
              <w:pStyle w:val="TableText"/>
              <w:rPr>
                <w:b/>
              </w:rPr>
            </w:pPr>
            <w:r w:rsidRPr="006E434E">
              <w:rPr>
                <w:b/>
              </w:rPr>
              <w:t xml:space="preserve">Subject </w:t>
            </w:r>
            <w:r w:rsidR="00CE66C7" w:rsidRPr="006E434E">
              <w:rPr>
                <w:b/>
              </w:rPr>
              <w:t xml:space="preserve">matter </w:t>
            </w:r>
          </w:p>
        </w:tc>
        <w:tc>
          <w:tcPr>
            <w:tcW w:w="962"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E0D1DB"/>
          </w:tcPr>
          <w:p w:rsidR="00D36E94" w:rsidRPr="006E434E" w:rsidRDefault="00D36E94" w:rsidP="006E434E">
            <w:pPr>
              <w:pStyle w:val="TableText"/>
              <w:rPr>
                <w:b/>
              </w:rPr>
            </w:pPr>
            <w:r w:rsidRPr="006E434E">
              <w:rPr>
                <w:b/>
              </w:rPr>
              <w:t>Source of change</w:t>
            </w:r>
          </w:p>
        </w:tc>
        <w:tc>
          <w:tcPr>
            <w:tcW w:w="2611"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E0D1DB"/>
          </w:tcPr>
          <w:p w:rsidR="00D36E94" w:rsidRPr="006E434E" w:rsidRDefault="00D36E94" w:rsidP="001A46F5">
            <w:pPr>
              <w:pStyle w:val="TableText"/>
              <w:rPr>
                <w:b/>
              </w:rPr>
            </w:pPr>
            <w:r w:rsidRPr="006E434E">
              <w:rPr>
                <w:b/>
              </w:rPr>
              <w:t xml:space="preserve">Summary of changes applied to the relevant sections in the </w:t>
            </w:r>
            <w:r w:rsidR="006E434E">
              <w:rPr>
                <w:b/>
              </w:rPr>
              <w:br/>
            </w:r>
            <w:r w:rsidRPr="006E434E">
              <w:rPr>
                <w:b/>
              </w:rPr>
              <w:t xml:space="preserve">Model </w:t>
            </w:r>
            <w:r w:rsidR="001A46F5">
              <w:rPr>
                <w:b/>
              </w:rPr>
              <w:t>Financial Statement</w:t>
            </w:r>
          </w:p>
        </w:tc>
        <w:tc>
          <w:tcPr>
            <w:tcW w:w="506" w:type="pct"/>
            <w:tcBorders>
              <w:top w:val="single" w:sz="4" w:space="0" w:color="BFBFBF" w:themeColor="background1" w:themeShade="BF"/>
              <w:left w:val="single" w:sz="4" w:space="0" w:color="BFBFBF" w:themeColor="background1" w:themeShade="BF"/>
            </w:tcBorders>
            <w:shd w:val="clear" w:color="auto" w:fill="E0D1DB"/>
          </w:tcPr>
          <w:p w:rsidR="00D36E94" w:rsidRPr="006E434E" w:rsidRDefault="00D36E94" w:rsidP="00CE1665">
            <w:pPr>
              <w:pStyle w:val="TableText"/>
              <w:jc w:val="center"/>
              <w:rPr>
                <w:b/>
              </w:rPr>
            </w:pPr>
            <w:r w:rsidRPr="006E434E">
              <w:rPr>
                <w:b/>
              </w:rPr>
              <w:t>Page reference</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[New]</w:t>
            </w:r>
            <w:r w:rsidRPr="00AE303D">
              <w:t xml:space="preserve"> </w:t>
            </w:r>
            <w:r>
              <w:t>Commentary – Accountable Officer’s and Chief Finance and Accounting Officer’s (CFAO) declaration</w:t>
            </w:r>
          </w:p>
        </w:tc>
        <w:tc>
          <w:tcPr>
            <w:tcW w:w="962" w:type="pct"/>
            <w:tcBorders>
              <w:left w:val="single" w:sz="4" w:space="0" w:color="BFBFBF" w:themeColor="background1" w:themeShade="BF"/>
              <w:right w:val="single" w:sz="4" w:space="0" w:color="BFBFBF" w:themeColor="background1" w:themeShade="BF"/>
            </w:tcBorders>
          </w:tcPr>
          <w:p w:rsidR="00D36E94" w:rsidRPr="00AE303D" w:rsidRDefault="00D36E94" w:rsidP="006E434E">
            <w:pPr>
              <w:pStyle w:val="TableText"/>
            </w:pPr>
            <w:r>
              <w:t>VAGO recommendation</w:t>
            </w:r>
          </w:p>
        </w:tc>
        <w:tc>
          <w:tcPr>
            <w:tcW w:w="2611" w:type="pct"/>
            <w:tcBorders>
              <w:left w:val="single" w:sz="4" w:space="0" w:color="BFBFBF" w:themeColor="background1" w:themeShade="BF"/>
              <w:right w:val="single" w:sz="4" w:space="0" w:color="BFBFBF" w:themeColor="background1" w:themeShade="BF"/>
            </w:tcBorders>
          </w:tcPr>
          <w:p w:rsidR="00D36E94" w:rsidRPr="00AE303D" w:rsidDel="00802E5F" w:rsidRDefault="00D36E94" w:rsidP="006E434E">
            <w:pPr>
              <w:pStyle w:val="TableText"/>
            </w:pPr>
            <w:r>
              <w:t>Additional guidance has been included on the authorisation of financial statements for entities being wound up, and further clarification has been included to outline the qualifications of a CFAO.</w:t>
            </w:r>
          </w:p>
        </w:tc>
        <w:tc>
          <w:tcPr>
            <w:tcW w:w="506" w:type="pct"/>
            <w:tcBorders>
              <w:left w:val="single" w:sz="4" w:space="0" w:color="BFBFBF" w:themeColor="background1" w:themeShade="BF"/>
            </w:tcBorders>
          </w:tcPr>
          <w:p w:rsidR="00D36E94" w:rsidDel="00802E5F" w:rsidRDefault="00CF3CA3" w:rsidP="00CE1665">
            <w:pPr>
              <w:pStyle w:val="TableText"/>
              <w:jc w:val="center"/>
            </w:pPr>
            <w:r>
              <w:t>83</w:t>
            </w:r>
          </w:p>
        </w:tc>
      </w:tr>
      <w:tr w:rsidR="006E434E" w:rsidRPr="00AE303D" w:rsidTr="000B7A5C">
        <w:tc>
          <w:tcPr>
            <w:tcW w:w="921" w:type="pct"/>
            <w:tcBorders>
              <w:right w:val="single" w:sz="4" w:space="0" w:color="BFBFBF" w:themeColor="background1" w:themeShade="BF"/>
            </w:tcBorders>
          </w:tcPr>
          <w:p w:rsidR="00D36E94" w:rsidRPr="008C4C75" w:rsidRDefault="00D36E94" w:rsidP="006E434E">
            <w:pPr>
              <w:pStyle w:val="TableText"/>
            </w:pPr>
            <w:r>
              <w:rPr>
                <w:color w:val="FF0000"/>
              </w:rPr>
              <w:t xml:space="preserve">[Revised] </w:t>
            </w:r>
            <w:r>
              <w:t>Commentary – Summary of significant accounting policies</w:t>
            </w:r>
          </w:p>
        </w:tc>
        <w:tc>
          <w:tcPr>
            <w:tcW w:w="962"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 xml:space="preserve">AASB 1031 </w:t>
            </w:r>
            <w:r w:rsidRPr="008C4C75">
              <w:rPr>
                <w:i/>
              </w:rPr>
              <w:t>Materiality</w:t>
            </w:r>
          </w:p>
        </w:tc>
        <w:tc>
          <w:tcPr>
            <w:tcW w:w="2611"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 xml:space="preserve">Reference to AASB 1031 has been withdrawn and the guidance on materiality has been relocated to ‘Commentary </w:t>
            </w:r>
            <w:r>
              <w:noBreakHyphen/>
              <w:t xml:space="preserve"> Comprehensive Operating Statement’.</w:t>
            </w:r>
          </w:p>
        </w:tc>
        <w:tc>
          <w:tcPr>
            <w:tcW w:w="506" w:type="pct"/>
            <w:tcBorders>
              <w:left w:val="single" w:sz="4" w:space="0" w:color="BFBFBF" w:themeColor="background1" w:themeShade="BF"/>
            </w:tcBorders>
          </w:tcPr>
          <w:p w:rsidR="00D36E94" w:rsidRDefault="00CF3CA3" w:rsidP="00CE1665">
            <w:pPr>
              <w:pStyle w:val="TableText"/>
              <w:jc w:val="center"/>
            </w:pPr>
            <w:r>
              <w:t>87</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i/>
              </w:rPr>
            </w:pPr>
            <w:r w:rsidRPr="00AE303D">
              <w:rPr>
                <w:color w:val="FF0000"/>
              </w:rPr>
              <w:t>[</w:t>
            </w:r>
            <w:r>
              <w:rPr>
                <w:color w:val="FF0000"/>
              </w:rPr>
              <w:t>Revised</w:t>
            </w:r>
            <w:r w:rsidRPr="00AE303D">
              <w:rPr>
                <w:color w:val="FF0000"/>
              </w:rPr>
              <w:t>]</w:t>
            </w:r>
            <w:r w:rsidRPr="00AE303D">
              <w:t xml:space="preserve"> </w:t>
            </w:r>
            <w:r w:rsidR="00A64D59">
              <w:br/>
            </w:r>
            <w:r>
              <w:t xml:space="preserve">Cash flow statement </w:t>
            </w:r>
          </w:p>
        </w:tc>
        <w:tc>
          <w:tcPr>
            <w:tcW w:w="962" w:type="pct"/>
            <w:tcBorders>
              <w:left w:val="single" w:sz="4" w:space="0" w:color="BFBFBF" w:themeColor="background1" w:themeShade="BF"/>
              <w:right w:val="single" w:sz="4" w:space="0" w:color="BFBFBF" w:themeColor="background1" w:themeShade="BF"/>
            </w:tcBorders>
          </w:tcPr>
          <w:p w:rsidR="00D36E94" w:rsidRPr="00AE303D" w:rsidRDefault="00D36E94" w:rsidP="006E434E">
            <w:pPr>
              <w:pStyle w:val="TableText"/>
            </w:pPr>
            <w:r>
              <w:t>VAGO recommendation</w:t>
            </w:r>
          </w:p>
        </w:tc>
        <w:tc>
          <w:tcPr>
            <w:tcW w:w="2611" w:type="pct"/>
            <w:tcBorders>
              <w:left w:val="single" w:sz="4" w:space="0" w:color="BFBFBF" w:themeColor="background1" w:themeShade="BF"/>
              <w:right w:val="single" w:sz="4" w:space="0" w:color="BFBFBF" w:themeColor="background1" w:themeShade="BF"/>
            </w:tcBorders>
          </w:tcPr>
          <w:p w:rsidR="00D36E94" w:rsidRPr="00AE303D" w:rsidRDefault="00D36E94" w:rsidP="006E434E">
            <w:pPr>
              <w:pStyle w:val="TableText"/>
            </w:pPr>
            <w:r>
              <w:t>Illustration has been updated. ‘Cash received from activity transferred in’ and ‘Cash transferred on activity transferred out’ have been reclassified under financing activities from the department’s perspective.</w:t>
            </w:r>
          </w:p>
        </w:tc>
        <w:tc>
          <w:tcPr>
            <w:tcW w:w="506" w:type="pct"/>
            <w:tcBorders>
              <w:left w:val="single" w:sz="4" w:space="0" w:color="BFBFBF" w:themeColor="background1" w:themeShade="BF"/>
            </w:tcBorders>
          </w:tcPr>
          <w:p w:rsidR="00D36E94" w:rsidRPr="00AE303D" w:rsidRDefault="00CF3CA3" w:rsidP="00CE1665">
            <w:pPr>
              <w:pStyle w:val="TableText"/>
              <w:jc w:val="center"/>
            </w:pPr>
            <w:r>
              <w:t>97</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New</w:t>
            </w:r>
            <w:r w:rsidRPr="00AE303D">
              <w:rPr>
                <w:color w:val="FF0000"/>
              </w:rPr>
              <w:t>]</w:t>
            </w:r>
            <w:r w:rsidRPr="00AE303D">
              <w:t xml:space="preserve"> </w:t>
            </w:r>
            <w:r w:rsidR="006E434E">
              <w:t>Commentary –</w:t>
            </w:r>
            <w:r>
              <w:t xml:space="preserve"> Cash flow statement</w:t>
            </w:r>
          </w:p>
        </w:tc>
        <w:tc>
          <w:tcPr>
            <w:tcW w:w="962" w:type="pct"/>
            <w:tcBorders>
              <w:left w:val="single" w:sz="4" w:space="0" w:color="BFBFBF" w:themeColor="background1" w:themeShade="BF"/>
              <w:right w:val="single" w:sz="4" w:space="0" w:color="BFBFBF" w:themeColor="background1" w:themeShade="BF"/>
            </w:tcBorders>
          </w:tcPr>
          <w:p w:rsidR="00D36E94" w:rsidRPr="00AE303D" w:rsidRDefault="00D36E94" w:rsidP="006E434E">
            <w:pPr>
              <w:pStyle w:val="TableText"/>
            </w:pPr>
            <w:r w:rsidRPr="00441719">
              <w:t>VAGO recommendation</w:t>
            </w:r>
          </w:p>
        </w:tc>
        <w:tc>
          <w:tcPr>
            <w:tcW w:w="2611"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Additional guidance has also been added in ‘Financing activities’ section to reflect the updated classification of ‘</w:t>
            </w:r>
            <w:r w:rsidR="006E434E">
              <w:t xml:space="preserve">Cash </w:t>
            </w:r>
            <w:r>
              <w:t>received transferred out due to machinery of government changes</w:t>
            </w:r>
            <w:r w:rsidR="006E434E">
              <w:t>’</w:t>
            </w:r>
            <w:r>
              <w:t>.</w:t>
            </w:r>
          </w:p>
        </w:tc>
        <w:tc>
          <w:tcPr>
            <w:tcW w:w="506" w:type="pct"/>
            <w:tcBorders>
              <w:left w:val="single" w:sz="4" w:space="0" w:color="BFBFBF" w:themeColor="background1" w:themeShade="BF"/>
            </w:tcBorders>
          </w:tcPr>
          <w:p w:rsidR="00D36E94" w:rsidRDefault="00CF3CA3" w:rsidP="00CE1665">
            <w:pPr>
              <w:pStyle w:val="TableText"/>
              <w:jc w:val="center"/>
            </w:pPr>
            <w:r>
              <w:t>99</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rsidR="006E434E">
              <w:t>Commentary –</w:t>
            </w:r>
            <w:r>
              <w:t xml:space="preserve"> </w:t>
            </w:r>
            <w:r w:rsidR="00A64D59">
              <w:br/>
            </w:r>
            <w:r>
              <w:t>Cash flow statement</w:t>
            </w:r>
          </w:p>
        </w:tc>
        <w:tc>
          <w:tcPr>
            <w:tcW w:w="962" w:type="pct"/>
            <w:tcBorders>
              <w:left w:val="single" w:sz="4" w:space="0" w:color="BFBFBF" w:themeColor="background1" w:themeShade="BF"/>
              <w:right w:val="single" w:sz="4" w:space="0" w:color="BFBFBF" w:themeColor="background1" w:themeShade="BF"/>
            </w:tcBorders>
          </w:tcPr>
          <w:p w:rsidR="00D36E94" w:rsidRPr="00685C7A" w:rsidRDefault="00D36E94" w:rsidP="006E434E">
            <w:pPr>
              <w:pStyle w:val="TableText"/>
            </w:pPr>
            <w:r w:rsidRPr="00AE303D">
              <w:t>AASB 1</w:t>
            </w:r>
            <w:r>
              <w:t>1</w:t>
            </w:r>
            <w:r w:rsidRPr="00AE303D">
              <w:t xml:space="preserve"> </w:t>
            </w:r>
            <w:r>
              <w:rPr>
                <w:i/>
              </w:rPr>
              <w:t>Joint Arrangements</w:t>
            </w:r>
          </w:p>
        </w:tc>
        <w:tc>
          <w:tcPr>
            <w:tcW w:w="2611" w:type="pct"/>
            <w:tcBorders>
              <w:left w:val="single" w:sz="4" w:space="0" w:color="BFBFBF" w:themeColor="background1" w:themeShade="BF"/>
              <w:right w:val="single" w:sz="4" w:space="0" w:color="BFBFBF" w:themeColor="background1" w:themeShade="BF"/>
            </w:tcBorders>
          </w:tcPr>
          <w:p w:rsidR="00D36E94" w:rsidRPr="00AE303D" w:rsidDel="00802E5F" w:rsidRDefault="00D36E94" w:rsidP="006E434E">
            <w:pPr>
              <w:pStyle w:val="TableText"/>
            </w:pPr>
            <w:r>
              <w:t>Terminology for ‘jointly controlled entity’ has been revised to reflect the new requirements of AASB 11 and the arrangement was assessed as a ‘joint venture’.</w:t>
            </w:r>
          </w:p>
        </w:tc>
        <w:tc>
          <w:tcPr>
            <w:tcW w:w="506" w:type="pct"/>
            <w:tcBorders>
              <w:left w:val="single" w:sz="4" w:space="0" w:color="BFBFBF" w:themeColor="background1" w:themeShade="BF"/>
            </w:tcBorders>
          </w:tcPr>
          <w:p w:rsidR="00D36E94" w:rsidRDefault="00CF3CA3" w:rsidP="00CE1665">
            <w:pPr>
              <w:pStyle w:val="TableText"/>
              <w:jc w:val="center"/>
            </w:pPr>
            <w:r>
              <w:t>100</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Pr>
                <w:color w:val="FF0000"/>
              </w:rPr>
              <w:t xml:space="preserve">[New] </w:t>
            </w:r>
            <w:r w:rsidRPr="008C4C75">
              <w:t>Note 1(B)</w:t>
            </w:r>
            <w:r>
              <w:t xml:space="preserve"> </w:t>
            </w:r>
            <w:r w:rsidR="00A64D59">
              <w:br/>
            </w:r>
            <w:r w:rsidRPr="008C4C75">
              <w:rPr>
                <w:i/>
              </w:rPr>
              <w:t>Basis of accounting preparation and measurement</w:t>
            </w:r>
          </w:p>
        </w:tc>
        <w:tc>
          <w:tcPr>
            <w:tcW w:w="962" w:type="pct"/>
            <w:tcBorders>
              <w:left w:val="single" w:sz="4" w:space="0" w:color="BFBFBF" w:themeColor="background1" w:themeShade="BF"/>
              <w:right w:val="single" w:sz="4" w:space="0" w:color="BFBFBF" w:themeColor="background1" w:themeShade="BF"/>
            </w:tcBorders>
          </w:tcPr>
          <w:p w:rsidR="00D36E94" w:rsidRPr="00441719" w:rsidRDefault="00D36E94" w:rsidP="006E434E">
            <w:pPr>
              <w:pStyle w:val="TableText"/>
            </w:pPr>
            <w:r>
              <w:t xml:space="preserve">AASB 12 </w:t>
            </w:r>
            <w:r w:rsidRPr="008C4C75">
              <w:rPr>
                <w:i/>
              </w:rPr>
              <w:t>Disclosures of interests in other entities</w:t>
            </w:r>
          </w:p>
        </w:tc>
        <w:tc>
          <w:tcPr>
            <w:tcW w:w="2611" w:type="pct"/>
            <w:tcBorders>
              <w:left w:val="single" w:sz="4" w:space="0" w:color="BFBFBF" w:themeColor="background1" w:themeShade="BF"/>
              <w:right w:val="single" w:sz="4" w:space="0" w:color="BFBFBF" w:themeColor="background1" w:themeShade="BF"/>
            </w:tcBorders>
          </w:tcPr>
          <w:p w:rsidR="00D36E94" w:rsidRDefault="00CF3CA3" w:rsidP="006E434E">
            <w:pPr>
              <w:pStyle w:val="TableText"/>
            </w:pPr>
            <w:r>
              <w:t>G</w:t>
            </w:r>
            <w:r w:rsidR="00D36E94">
              <w:t>uidance has been added to require information to be disclosed when entities need to exercise significant judgements and assumptions in determining if they have either control, joint control or significant influences of another entity.</w:t>
            </w:r>
          </w:p>
        </w:tc>
        <w:tc>
          <w:tcPr>
            <w:tcW w:w="506" w:type="pct"/>
            <w:tcBorders>
              <w:left w:val="single" w:sz="4" w:space="0" w:color="BFBFBF" w:themeColor="background1" w:themeShade="BF"/>
            </w:tcBorders>
          </w:tcPr>
          <w:p w:rsidR="00D36E94" w:rsidRDefault="00CF3CA3" w:rsidP="00CE1665">
            <w:pPr>
              <w:pStyle w:val="TableText"/>
              <w:jc w:val="center"/>
            </w:pPr>
            <w:r>
              <w:t>103-104</w:t>
            </w:r>
          </w:p>
        </w:tc>
      </w:tr>
      <w:tr w:rsidR="006E434E" w:rsidRPr="00AE303D" w:rsidTr="000B7A5C">
        <w:tc>
          <w:tcPr>
            <w:tcW w:w="921" w:type="pct"/>
            <w:tcBorders>
              <w:right w:val="single" w:sz="4" w:space="0" w:color="BFBFBF" w:themeColor="background1" w:themeShade="BF"/>
            </w:tcBorders>
          </w:tcPr>
          <w:p w:rsidR="00D36E94" w:rsidRPr="008D0307" w:rsidRDefault="00D36E94" w:rsidP="006E434E">
            <w:pPr>
              <w:pStyle w:val="TableText"/>
              <w:rPr>
                <w:color w:val="FF0000"/>
              </w:rPr>
            </w:pPr>
            <w:r w:rsidRPr="00AE303D">
              <w:rPr>
                <w:color w:val="FF0000"/>
              </w:rPr>
              <w:t>[</w:t>
            </w:r>
            <w:r>
              <w:rPr>
                <w:color w:val="FF0000"/>
              </w:rPr>
              <w:t>New</w:t>
            </w:r>
            <w:r w:rsidRPr="00AE303D">
              <w:rPr>
                <w:color w:val="FF0000"/>
              </w:rPr>
              <w:t>]</w:t>
            </w:r>
            <w:r w:rsidRPr="00AE303D">
              <w:t xml:space="preserve"> </w:t>
            </w:r>
            <w:r>
              <w:t xml:space="preserve">Note 1(F) </w:t>
            </w:r>
            <w:r w:rsidRPr="008C4C75">
              <w:rPr>
                <w:i/>
              </w:rPr>
              <w:t>Changes in accounting policies</w:t>
            </w:r>
          </w:p>
        </w:tc>
        <w:tc>
          <w:tcPr>
            <w:tcW w:w="962" w:type="pct"/>
            <w:tcBorders>
              <w:left w:val="single" w:sz="4" w:space="0" w:color="BFBFBF" w:themeColor="background1" w:themeShade="BF"/>
              <w:right w:val="single" w:sz="4" w:space="0" w:color="BFBFBF" w:themeColor="background1" w:themeShade="BF"/>
            </w:tcBorders>
          </w:tcPr>
          <w:p w:rsidR="00D36E94" w:rsidRPr="008C4C75" w:rsidRDefault="00D36E94" w:rsidP="006E434E">
            <w:pPr>
              <w:pStyle w:val="TableText"/>
            </w:pPr>
            <w:r w:rsidRPr="008C4C75">
              <w:t>AASB 10</w:t>
            </w:r>
            <w:r>
              <w:t xml:space="preserve"> </w:t>
            </w:r>
            <w:r w:rsidRPr="00ED7CF1">
              <w:rPr>
                <w:i/>
              </w:rPr>
              <w:t>Consolidated Financial Statements</w:t>
            </w:r>
            <w:r w:rsidRPr="008C4C75">
              <w:t>, AASB</w:t>
            </w:r>
            <w:r w:rsidR="006E434E">
              <w:t> </w:t>
            </w:r>
            <w:r w:rsidRPr="008C4C75">
              <w:t>11 and AASB</w:t>
            </w:r>
            <w:r w:rsidR="006E434E">
              <w:t> </w:t>
            </w:r>
            <w:r w:rsidRPr="008C4C75">
              <w:t>12</w:t>
            </w:r>
          </w:p>
        </w:tc>
        <w:tc>
          <w:tcPr>
            <w:tcW w:w="2611" w:type="pct"/>
            <w:tcBorders>
              <w:left w:val="single" w:sz="4" w:space="0" w:color="BFBFBF" w:themeColor="background1" w:themeShade="BF"/>
              <w:right w:val="single" w:sz="4" w:space="0" w:color="BFBFBF" w:themeColor="background1" w:themeShade="BF"/>
            </w:tcBorders>
          </w:tcPr>
          <w:p w:rsidR="00D36E94" w:rsidRPr="008C4C75" w:rsidRDefault="00D36E94" w:rsidP="006E434E">
            <w:pPr>
              <w:pStyle w:val="TableText"/>
            </w:pPr>
            <w:r w:rsidRPr="008C4C75">
              <w:t>Illustration</w:t>
            </w:r>
            <w:r>
              <w:t>s</w:t>
            </w:r>
            <w:r w:rsidRPr="008C4C75">
              <w:t xml:space="preserve"> </w:t>
            </w:r>
            <w:r>
              <w:t>on the</w:t>
            </w:r>
            <w:r w:rsidRPr="008C4C75">
              <w:t xml:space="preserve"> disclosures o</w:t>
            </w:r>
            <w:r>
              <w:t>f</w:t>
            </w:r>
            <w:r w:rsidRPr="008C4C75">
              <w:t xml:space="preserve"> changes </w:t>
            </w:r>
            <w:r>
              <w:t>in</w:t>
            </w:r>
            <w:r w:rsidRPr="008C4C75">
              <w:t xml:space="preserve"> accounting policies </w:t>
            </w:r>
            <w:r>
              <w:t>have been included to reflect the new requirements of</w:t>
            </w:r>
            <w:r w:rsidRPr="008C4C75">
              <w:t xml:space="preserve"> </w:t>
            </w:r>
            <w:r>
              <w:t>AASB 10, AASB 11 and AASB 12.</w:t>
            </w:r>
          </w:p>
        </w:tc>
        <w:tc>
          <w:tcPr>
            <w:tcW w:w="506" w:type="pct"/>
            <w:tcBorders>
              <w:left w:val="single" w:sz="4" w:space="0" w:color="BFBFBF" w:themeColor="background1" w:themeShade="BF"/>
            </w:tcBorders>
          </w:tcPr>
          <w:p w:rsidR="00D36E94" w:rsidRDefault="00E7205F" w:rsidP="00CE1665">
            <w:pPr>
              <w:pStyle w:val="TableText"/>
              <w:jc w:val="center"/>
            </w:pPr>
            <w:r>
              <w:t>108-110</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New</w:t>
            </w:r>
            <w:r w:rsidRPr="00AE303D">
              <w:rPr>
                <w:color w:val="FF0000"/>
              </w:rPr>
              <w:t>]</w:t>
            </w:r>
            <w:r w:rsidRPr="00AE303D">
              <w:t xml:space="preserve"> </w:t>
            </w:r>
            <w:r>
              <w:t xml:space="preserve">Note 1(G) </w:t>
            </w:r>
            <w:r w:rsidRPr="008C4C75">
              <w:rPr>
                <w:i/>
              </w:rPr>
              <w:t>Other Income</w:t>
            </w:r>
          </w:p>
        </w:tc>
        <w:tc>
          <w:tcPr>
            <w:tcW w:w="962" w:type="pct"/>
            <w:tcBorders>
              <w:left w:val="single" w:sz="4" w:space="0" w:color="BFBFBF" w:themeColor="background1" w:themeShade="BF"/>
              <w:right w:val="single" w:sz="4" w:space="0" w:color="BFBFBF" w:themeColor="background1" w:themeShade="BF"/>
            </w:tcBorders>
          </w:tcPr>
          <w:p w:rsidR="00D36E94" w:rsidRPr="00930F56" w:rsidRDefault="00D36E94" w:rsidP="006E434E">
            <w:pPr>
              <w:pStyle w:val="TableText"/>
            </w:pPr>
            <w:r>
              <w:t xml:space="preserve">General </w:t>
            </w:r>
            <w:r w:rsidR="006E434E">
              <w:t>improvements</w:t>
            </w:r>
          </w:p>
        </w:tc>
        <w:tc>
          <w:tcPr>
            <w:tcW w:w="2611" w:type="pct"/>
            <w:tcBorders>
              <w:left w:val="single" w:sz="4" w:space="0" w:color="BFBFBF" w:themeColor="background1" w:themeShade="BF"/>
              <w:right w:val="single" w:sz="4" w:space="0" w:color="BFBFBF" w:themeColor="background1" w:themeShade="BF"/>
            </w:tcBorders>
          </w:tcPr>
          <w:p w:rsidR="00D36E94" w:rsidRPr="00930F56" w:rsidRDefault="00D36E94" w:rsidP="006E434E">
            <w:pPr>
              <w:pStyle w:val="TableText"/>
            </w:pPr>
            <w:r>
              <w:t>To clarify that dividends received or receivable from associates and joint ventures should be adjusted directly against the carrying amount of the investments.</w:t>
            </w:r>
          </w:p>
        </w:tc>
        <w:tc>
          <w:tcPr>
            <w:tcW w:w="506" w:type="pct"/>
            <w:tcBorders>
              <w:left w:val="single" w:sz="4" w:space="0" w:color="BFBFBF" w:themeColor="background1" w:themeShade="BF"/>
            </w:tcBorders>
          </w:tcPr>
          <w:p w:rsidR="00D36E94" w:rsidRDefault="00E7205F" w:rsidP="00CE1665">
            <w:pPr>
              <w:pStyle w:val="TableText"/>
              <w:jc w:val="center"/>
            </w:pPr>
            <w:r>
              <w:t>111</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Note 1(H) </w:t>
            </w:r>
            <w:r w:rsidRPr="008C4C75">
              <w:rPr>
                <w:i/>
              </w:rPr>
              <w:t>Expenses from transactions</w:t>
            </w:r>
          </w:p>
        </w:tc>
        <w:tc>
          <w:tcPr>
            <w:tcW w:w="962" w:type="pct"/>
            <w:tcBorders>
              <w:left w:val="single" w:sz="4" w:space="0" w:color="BFBFBF" w:themeColor="background1" w:themeShade="BF"/>
              <w:right w:val="single" w:sz="4" w:space="0" w:color="BFBFBF" w:themeColor="background1" w:themeShade="BF"/>
            </w:tcBorders>
          </w:tcPr>
          <w:p w:rsidR="00D36E94" w:rsidRPr="00930F56" w:rsidRDefault="00D36E94" w:rsidP="006E434E">
            <w:pPr>
              <w:pStyle w:val="TableText"/>
            </w:pPr>
            <w:r>
              <w:t xml:space="preserve">General </w:t>
            </w:r>
            <w:r w:rsidR="006E434E">
              <w:t>improvements</w:t>
            </w:r>
          </w:p>
        </w:tc>
        <w:tc>
          <w:tcPr>
            <w:tcW w:w="2611" w:type="pct"/>
            <w:tcBorders>
              <w:left w:val="single" w:sz="4" w:space="0" w:color="BFBFBF" w:themeColor="background1" w:themeShade="BF"/>
              <w:right w:val="single" w:sz="4" w:space="0" w:color="BFBFBF" w:themeColor="background1" w:themeShade="BF"/>
            </w:tcBorders>
          </w:tcPr>
          <w:p w:rsidR="00D36E94" w:rsidRPr="008D0307" w:rsidRDefault="00D36E94" w:rsidP="006E434E">
            <w:pPr>
              <w:pStyle w:val="TableText"/>
            </w:pPr>
            <w:r>
              <w:t xml:space="preserve">Sentence has been reworded to specify what is included under interest expense. </w:t>
            </w:r>
          </w:p>
        </w:tc>
        <w:tc>
          <w:tcPr>
            <w:tcW w:w="506" w:type="pct"/>
            <w:tcBorders>
              <w:left w:val="single" w:sz="4" w:space="0" w:color="BFBFBF" w:themeColor="background1" w:themeShade="BF"/>
            </w:tcBorders>
          </w:tcPr>
          <w:p w:rsidR="00D36E94" w:rsidRDefault="00E7205F" w:rsidP="00CE1665">
            <w:pPr>
              <w:pStyle w:val="TableText"/>
              <w:jc w:val="center"/>
            </w:pPr>
            <w:r>
              <w:t>113</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Note 1(L) </w:t>
            </w:r>
            <w:r w:rsidRPr="008C4C75">
              <w:rPr>
                <w:i/>
              </w:rPr>
              <w:t>Financial assets – Investments accounted for using the equity market</w:t>
            </w:r>
          </w:p>
        </w:tc>
        <w:tc>
          <w:tcPr>
            <w:tcW w:w="962" w:type="pct"/>
            <w:tcBorders>
              <w:left w:val="single" w:sz="4" w:space="0" w:color="BFBFBF" w:themeColor="background1" w:themeShade="BF"/>
              <w:right w:val="single" w:sz="4" w:space="0" w:color="BFBFBF" w:themeColor="background1" w:themeShade="BF"/>
            </w:tcBorders>
          </w:tcPr>
          <w:p w:rsidR="00D36E94" w:rsidRDefault="006E434E" w:rsidP="006E434E">
            <w:pPr>
              <w:pStyle w:val="TableText"/>
            </w:pPr>
            <w:r>
              <w:t>AASB 11 and</w:t>
            </w:r>
            <w:r w:rsidR="00D36E94">
              <w:t xml:space="preserve"> AASB</w:t>
            </w:r>
            <w:r>
              <w:t> </w:t>
            </w:r>
            <w:r w:rsidR="00D36E94">
              <w:t xml:space="preserve">128 </w:t>
            </w:r>
            <w:r w:rsidR="00D36E94" w:rsidRPr="008C4C75">
              <w:rPr>
                <w:i/>
              </w:rPr>
              <w:t>Investments in Associates and Joint Ventures</w:t>
            </w:r>
          </w:p>
        </w:tc>
        <w:tc>
          <w:tcPr>
            <w:tcW w:w="2611"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Additional information has been provided to reflect the accounting for joint ventures and joint operations.</w:t>
            </w:r>
          </w:p>
        </w:tc>
        <w:tc>
          <w:tcPr>
            <w:tcW w:w="506" w:type="pct"/>
            <w:tcBorders>
              <w:left w:val="single" w:sz="4" w:space="0" w:color="BFBFBF" w:themeColor="background1" w:themeShade="BF"/>
            </w:tcBorders>
          </w:tcPr>
          <w:p w:rsidR="00D36E94" w:rsidRDefault="00E7205F" w:rsidP="00CE1665">
            <w:pPr>
              <w:pStyle w:val="TableText"/>
              <w:jc w:val="center"/>
            </w:pPr>
            <w:r>
              <w:t>119</w:t>
            </w:r>
          </w:p>
        </w:tc>
      </w:tr>
      <w:tr w:rsidR="006E434E" w:rsidRPr="00AE303D" w:rsidTr="000B7A5C">
        <w:tc>
          <w:tcPr>
            <w:tcW w:w="921" w:type="pct"/>
            <w:tcBorders>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New</w:t>
            </w:r>
            <w:r w:rsidRPr="00AE303D">
              <w:rPr>
                <w:color w:val="FF0000"/>
              </w:rPr>
              <w:t>]</w:t>
            </w:r>
            <w:r w:rsidRPr="00AE303D">
              <w:t xml:space="preserve"> </w:t>
            </w:r>
            <w:r>
              <w:t xml:space="preserve">Note 1(M) </w:t>
            </w:r>
            <w:r w:rsidRPr="008C4C75">
              <w:rPr>
                <w:i/>
              </w:rPr>
              <w:t>Non-financial assets – Restrictive nature of cultural and heritage assets, Crown land and infrastructures</w:t>
            </w:r>
          </w:p>
        </w:tc>
        <w:tc>
          <w:tcPr>
            <w:tcW w:w="962"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VAGO recommendation</w:t>
            </w:r>
          </w:p>
        </w:tc>
        <w:tc>
          <w:tcPr>
            <w:tcW w:w="2611" w:type="pct"/>
            <w:tcBorders>
              <w:left w:val="single" w:sz="4" w:space="0" w:color="BFBFBF" w:themeColor="background1" w:themeShade="BF"/>
              <w:right w:val="single" w:sz="4" w:space="0" w:color="BFBFBF" w:themeColor="background1" w:themeShade="BF"/>
            </w:tcBorders>
          </w:tcPr>
          <w:p w:rsidR="00D36E94" w:rsidRDefault="00D36E94" w:rsidP="006E434E">
            <w:pPr>
              <w:pStyle w:val="TableText"/>
            </w:pPr>
            <w:r>
              <w:t>Previous policy on the restrictive nature of cultural and heritage assets has been reinstated.</w:t>
            </w:r>
          </w:p>
        </w:tc>
        <w:tc>
          <w:tcPr>
            <w:tcW w:w="506" w:type="pct"/>
            <w:tcBorders>
              <w:left w:val="single" w:sz="4" w:space="0" w:color="BFBFBF" w:themeColor="background1" w:themeShade="BF"/>
            </w:tcBorders>
          </w:tcPr>
          <w:p w:rsidR="00D36E94" w:rsidRDefault="00E7205F" w:rsidP="00CE1665">
            <w:pPr>
              <w:pStyle w:val="TableText"/>
              <w:jc w:val="center"/>
            </w:pPr>
            <w:r>
              <w:t>122</w:t>
            </w:r>
          </w:p>
        </w:tc>
      </w:tr>
      <w:tr w:rsidR="006E434E" w:rsidRPr="00AE303D" w:rsidTr="000B7A5C">
        <w:tc>
          <w:tcPr>
            <w:tcW w:w="921" w:type="pct"/>
            <w:tcBorders>
              <w:bottom w:val="nil"/>
              <w:right w:val="single" w:sz="4" w:space="0" w:color="BFBFBF" w:themeColor="background1" w:themeShade="BF"/>
            </w:tcBorders>
          </w:tcPr>
          <w:p w:rsidR="00D36E94" w:rsidRPr="00AE303D" w:rsidRDefault="00D36E94"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Note 1(W) </w:t>
            </w:r>
            <w:r w:rsidRPr="008C4C75">
              <w:rPr>
                <w:i/>
              </w:rPr>
              <w:t>Australian Accounting Standards issued that are not yet effective</w:t>
            </w:r>
          </w:p>
        </w:tc>
        <w:tc>
          <w:tcPr>
            <w:tcW w:w="962" w:type="pct"/>
            <w:tcBorders>
              <w:left w:val="single" w:sz="4" w:space="0" w:color="BFBFBF" w:themeColor="background1" w:themeShade="BF"/>
              <w:bottom w:val="nil"/>
              <w:right w:val="single" w:sz="4" w:space="0" w:color="BFBFBF" w:themeColor="background1" w:themeShade="BF"/>
            </w:tcBorders>
          </w:tcPr>
          <w:p w:rsidR="00D36E94" w:rsidRPr="00930F56" w:rsidRDefault="00D36E94" w:rsidP="006E434E">
            <w:pPr>
              <w:pStyle w:val="TableText"/>
            </w:pPr>
            <w:r>
              <w:t xml:space="preserve">General </w:t>
            </w:r>
            <w:r w:rsidR="006E434E">
              <w:t>improvements</w:t>
            </w:r>
          </w:p>
        </w:tc>
        <w:tc>
          <w:tcPr>
            <w:tcW w:w="2611" w:type="pct"/>
            <w:tcBorders>
              <w:left w:val="single" w:sz="4" w:space="0" w:color="BFBFBF" w:themeColor="background1" w:themeShade="BF"/>
              <w:bottom w:val="nil"/>
              <w:right w:val="single" w:sz="4" w:space="0" w:color="BFBFBF" w:themeColor="background1" w:themeShade="BF"/>
            </w:tcBorders>
          </w:tcPr>
          <w:p w:rsidR="00D36E94" w:rsidRDefault="00E7205F" w:rsidP="006E434E">
            <w:pPr>
              <w:pStyle w:val="TableText"/>
            </w:pPr>
            <w:r>
              <w:t>Reference to Appendix 5</w:t>
            </w:r>
            <w:r w:rsidR="00D36E94">
              <w:t xml:space="preserve"> has been included for a detailed list of Australian Accounting Standards effective for current and future reporting periods.</w:t>
            </w:r>
          </w:p>
        </w:tc>
        <w:tc>
          <w:tcPr>
            <w:tcW w:w="506" w:type="pct"/>
            <w:tcBorders>
              <w:left w:val="single" w:sz="4" w:space="0" w:color="BFBFBF" w:themeColor="background1" w:themeShade="BF"/>
              <w:bottom w:val="nil"/>
            </w:tcBorders>
          </w:tcPr>
          <w:p w:rsidR="00D36E94" w:rsidRDefault="00E7205F" w:rsidP="00CE1665">
            <w:pPr>
              <w:pStyle w:val="TableText"/>
              <w:jc w:val="center"/>
            </w:pPr>
            <w:r>
              <w:t>129</w:t>
            </w:r>
          </w:p>
        </w:tc>
      </w:tr>
      <w:tr w:rsidR="006E434E" w:rsidRPr="00AE303D" w:rsidTr="000B7A5C">
        <w:tc>
          <w:tcPr>
            <w:tcW w:w="921" w:type="pct"/>
            <w:tcBorders>
              <w:top w:val="nil"/>
              <w:bottom w:val="single" w:sz="4" w:space="0" w:color="auto"/>
              <w:right w:val="single" w:sz="4" w:space="0" w:color="BFBFBF" w:themeColor="background1" w:themeShade="BF"/>
            </w:tcBorders>
          </w:tcPr>
          <w:p w:rsidR="00D36E94" w:rsidRDefault="00D36E94" w:rsidP="006E434E">
            <w:pPr>
              <w:pStyle w:val="TableText"/>
              <w:rPr>
                <w:color w:val="FF0000"/>
              </w:rPr>
            </w:pPr>
          </w:p>
        </w:tc>
        <w:tc>
          <w:tcPr>
            <w:tcW w:w="962" w:type="pct"/>
            <w:tcBorders>
              <w:top w:val="nil"/>
              <w:left w:val="single" w:sz="4" w:space="0" w:color="BFBFBF" w:themeColor="background1" w:themeShade="BF"/>
              <w:bottom w:val="single" w:sz="4" w:space="0" w:color="auto"/>
              <w:right w:val="single" w:sz="4" w:space="0" w:color="BFBFBF" w:themeColor="background1" w:themeShade="BF"/>
            </w:tcBorders>
          </w:tcPr>
          <w:p w:rsidR="00D36E94" w:rsidRDefault="00D36E94" w:rsidP="006E434E">
            <w:pPr>
              <w:pStyle w:val="TableText"/>
            </w:pPr>
          </w:p>
        </w:tc>
        <w:tc>
          <w:tcPr>
            <w:tcW w:w="2611" w:type="pct"/>
            <w:tcBorders>
              <w:top w:val="nil"/>
              <w:left w:val="single" w:sz="4" w:space="0" w:color="BFBFBF" w:themeColor="background1" w:themeShade="BF"/>
              <w:bottom w:val="single" w:sz="4" w:space="0" w:color="auto"/>
              <w:right w:val="single" w:sz="4" w:space="0" w:color="BFBFBF" w:themeColor="background1" w:themeShade="BF"/>
            </w:tcBorders>
          </w:tcPr>
          <w:p w:rsidR="00D36E94" w:rsidRDefault="00D36E94" w:rsidP="006E434E">
            <w:pPr>
              <w:pStyle w:val="TableText"/>
            </w:pPr>
          </w:p>
        </w:tc>
        <w:tc>
          <w:tcPr>
            <w:tcW w:w="506" w:type="pct"/>
            <w:tcBorders>
              <w:top w:val="nil"/>
              <w:left w:val="single" w:sz="4" w:space="0" w:color="BFBFBF" w:themeColor="background1" w:themeShade="BF"/>
              <w:bottom w:val="single" w:sz="4" w:space="0" w:color="auto"/>
            </w:tcBorders>
          </w:tcPr>
          <w:p w:rsidR="00D36E94" w:rsidRDefault="00D36E94" w:rsidP="00CE1665">
            <w:pPr>
              <w:pStyle w:val="TableText"/>
              <w:jc w:val="center"/>
            </w:pPr>
          </w:p>
        </w:tc>
      </w:tr>
      <w:tr w:rsidR="001A46F5" w:rsidRPr="006E434E" w:rsidTr="000B7A5C">
        <w:tc>
          <w:tcPr>
            <w:tcW w:w="921" w:type="pct"/>
            <w:tcBorders>
              <w:top w:val="single" w:sz="4" w:space="0" w:color="auto"/>
              <w:bottom w:val="single" w:sz="4" w:space="0" w:color="BFBFBF" w:themeColor="background1" w:themeShade="BF"/>
              <w:right w:val="single" w:sz="4" w:space="0" w:color="BFBFBF" w:themeColor="background1" w:themeShade="BF"/>
            </w:tcBorders>
            <w:shd w:val="clear" w:color="auto" w:fill="E0D1DB"/>
          </w:tcPr>
          <w:p w:rsidR="001A46F5" w:rsidRPr="006E434E" w:rsidRDefault="001A46F5" w:rsidP="002617E0">
            <w:pPr>
              <w:pStyle w:val="TableText"/>
              <w:rPr>
                <w:b/>
              </w:rPr>
            </w:pPr>
            <w:r w:rsidRPr="006E434E">
              <w:rPr>
                <w:b/>
              </w:rPr>
              <w:lastRenderedPageBreak/>
              <w:t xml:space="preserve">Subject matter </w:t>
            </w:r>
          </w:p>
        </w:tc>
        <w:tc>
          <w:tcPr>
            <w:tcW w:w="96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1A46F5" w:rsidRPr="006E434E" w:rsidRDefault="001A46F5" w:rsidP="002617E0">
            <w:pPr>
              <w:pStyle w:val="TableText"/>
              <w:rPr>
                <w:b/>
              </w:rPr>
            </w:pPr>
            <w:r w:rsidRPr="006E434E">
              <w:rPr>
                <w:b/>
              </w:rPr>
              <w:t>Source of change</w:t>
            </w:r>
          </w:p>
        </w:tc>
        <w:tc>
          <w:tcPr>
            <w:tcW w:w="261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1A46F5" w:rsidRPr="006E434E" w:rsidRDefault="001A46F5" w:rsidP="002617E0">
            <w:pPr>
              <w:pStyle w:val="TableText"/>
              <w:rPr>
                <w:b/>
              </w:rPr>
            </w:pPr>
            <w:r w:rsidRPr="006E434E">
              <w:rPr>
                <w:b/>
              </w:rPr>
              <w:t xml:space="preserve">Summary of changes applied to the relevant sections in the </w:t>
            </w:r>
            <w:r>
              <w:rPr>
                <w:b/>
              </w:rPr>
              <w:br/>
            </w:r>
            <w:r w:rsidRPr="006E434E">
              <w:rPr>
                <w:b/>
              </w:rPr>
              <w:t xml:space="preserve">Model </w:t>
            </w:r>
            <w:r>
              <w:rPr>
                <w:b/>
              </w:rPr>
              <w:t>Financial Statement</w:t>
            </w:r>
          </w:p>
        </w:tc>
        <w:tc>
          <w:tcPr>
            <w:tcW w:w="506" w:type="pct"/>
            <w:tcBorders>
              <w:top w:val="single" w:sz="4" w:space="0" w:color="auto"/>
              <w:left w:val="single" w:sz="4" w:space="0" w:color="BFBFBF" w:themeColor="background1" w:themeShade="BF"/>
              <w:bottom w:val="single" w:sz="4" w:space="0" w:color="BFBFBF" w:themeColor="background1" w:themeShade="BF"/>
            </w:tcBorders>
            <w:shd w:val="clear" w:color="auto" w:fill="E0D1DB"/>
          </w:tcPr>
          <w:p w:rsidR="001A46F5" w:rsidRPr="006E434E" w:rsidRDefault="001A46F5" w:rsidP="002617E0">
            <w:pPr>
              <w:pStyle w:val="TableText"/>
              <w:jc w:val="center"/>
              <w:rPr>
                <w:b/>
              </w:rPr>
            </w:pPr>
            <w:r w:rsidRPr="006E434E">
              <w:rPr>
                <w:b/>
              </w:rPr>
              <w:t>Page reference</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823D13">
            <w:pPr>
              <w:pStyle w:val="TableText"/>
              <w:rPr>
                <w:color w:val="FF0000"/>
              </w:rPr>
            </w:pPr>
            <w:r w:rsidRPr="00D63E53">
              <w:rPr>
                <w:color w:val="FF0000"/>
              </w:rPr>
              <w:t>[New]</w:t>
            </w:r>
            <w:r w:rsidRPr="00D63E53">
              <w:t xml:space="preserve"> </w:t>
            </w:r>
            <w:r>
              <w:t xml:space="preserve">Note 2 – Schedule B </w:t>
            </w:r>
            <w:r>
              <w:br/>
            </w:r>
            <w:r w:rsidRPr="00A64D59">
              <w:rPr>
                <w:i/>
              </w:rPr>
              <w:t>Controlled assets and liabilities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823D13">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823D13">
            <w:pPr>
              <w:pStyle w:val="TableText"/>
            </w:pPr>
            <w:r>
              <w:t>Guidance has been included as best practice to encourage entities to consider a further disaggregation of material assets and liabilities in relation to the allocated outputs.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823D13">
            <w:pPr>
              <w:pStyle w:val="TableText"/>
              <w:jc w:val="center"/>
            </w:pPr>
            <w:r>
              <w:t>146</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D63E53" w:rsidRDefault="001A46F5"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Note 4 </w:t>
            </w:r>
            <w:r w:rsidRPr="008C4C75">
              <w:rPr>
                <w:i/>
              </w:rPr>
              <w:t>Income from transactions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General improvements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Removal of dividends arising from associates and joint ventures. This aligns with the accounting treatment of dividends under the equity method.</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153</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Note 8 </w:t>
            </w:r>
            <w:r>
              <w:rPr>
                <w:i/>
              </w:rPr>
              <w:t>Correction of error</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General improvements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A reminder has been included to remind entities to include the note on correction of error, if applicable, in the note to the financial statements. A reference to the illustration for such disclosure has been included.</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161</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A64D59">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Commentary – </w:t>
            </w:r>
            <w:r>
              <w:br/>
              <w:t xml:space="preserve">Note 8 </w:t>
            </w:r>
            <w:r>
              <w:br/>
            </w:r>
            <w:r>
              <w:rPr>
                <w:i/>
              </w:rPr>
              <w:t>Correction of error</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The example has been revised on the disclosure of correction of errors to illustrate the disclosure the cause of an error.</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162</w:t>
            </w:r>
          </w:p>
        </w:tc>
      </w:tr>
      <w:tr w:rsidR="001A46F5" w:rsidRPr="00AE303D" w:rsidTr="000B7A5C">
        <w:tc>
          <w:tcPr>
            <w:tcW w:w="921" w:type="pct"/>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6E434E">
            <w:pPr>
              <w:pStyle w:val="TableText"/>
              <w:rPr>
                <w:color w:val="FF0000"/>
              </w:rPr>
            </w:pPr>
            <w:r w:rsidRPr="00AE303D">
              <w:rPr>
                <w:color w:val="FF0000"/>
              </w:rPr>
              <w:t>[</w:t>
            </w:r>
            <w:r>
              <w:rPr>
                <w:color w:val="FF0000"/>
              </w:rPr>
              <w:t>Revised</w:t>
            </w:r>
            <w:r w:rsidRPr="00AE303D">
              <w:rPr>
                <w:color w:val="FF0000"/>
              </w:rPr>
              <w:t>]</w:t>
            </w:r>
            <w:r w:rsidRPr="00AE303D">
              <w:t xml:space="preserve"> </w:t>
            </w:r>
            <w:r>
              <w:t xml:space="preserve">Commentary – </w:t>
            </w:r>
            <w:r>
              <w:br/>
              <w:t xml:space="preserve">Note 9 </w:t>
            </w:r>
            <w:r>
              <w:br/>
            </w:r>
            <w:r w:rsidRPr="008C4C75">
              <w:rPr>
                <w:i/>
              </w:rPr>
              <w:t>Restructuring of administrative arrangement</w:t>
            </w:r>
            <w:r>
              <w:t xml:space="preserve"> </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General improvements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Guidance has been included to align with the requirements of FRD 119A in relation to:</w:t>
            </w:r>
          </w:p>
          <w:p w:rsidR="001A46F5" w:rsidRDefault="001A46F5" w:rsidP="006E434E">
            <w:pPr>
              <w:pStyle w:val="Tablebullet"/>
            </w:pPr>
            <w:r>
              <w:t>Parliamentary appropriations;</w:t>
            </w:r>
          </w:p>
          <w:p w:rsidR="001A46F5" w:rsidRDefault="001A46F5" w:rsidP="006E434E">
            <w:pPr>
              <w:pStyle w:val="Tablebullet"/>
            </w:pPr>
            <w:r>
              <w:t>restructures of administrative restructures;</w:t>
            </w:r>
          </w:p>
          <w:p w:rsidR="001A46F5" w:rsidRDefault="001A46F5" w:rsidP="006E434E">
            <w:pPr>
              <w:pStyle w:val="Tablebullet"/>
            </w:pPr>
            <w:r>
              <w:t>formal designation for ‘other transfers’; and</w:t>
            </w:r>
          </w:p>
          <w:p w:rsidR="001A46F5" w:rsidRPr="008C4C75" w:rsidRDefault="001A46F5" w:rsidP="006E434E">
            <w:pPr>
              <w:pStyle w:val="Tablebullet"/>
            </w:pPr>
            <w:r>
              <w:t>reclassification of equity.</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164-165</w:t>
            </w:r>
          </w:p>
        </w:tc>
      </w:tr>
      <w:tr w:rsidR="001A46F5" w:rsidRPr="00AE303D" w:rsidTr="000B7A5C">
        <w:tc>
          <w:tcPr>
            <w:tcW w:w="921" w:type="pct"/>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6E434E">
            <w:pPr>
              <w:pStyle w:val="TableText"/>
              <w:rPr>
                <w:color w:val="FF0000"/>
              </w:rPr>
            </w:pP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rsidRPr="00366AEE">
              <w:t xml:space="preserve">Illustration </w:t>
            </w:r>
            <w:r>
              <w:t>has been</w:t>
            </w:r>
            <w:r w:rsidRPr="00366AEE">
              <w:t xml:space="preserve"> updated with a </w:t>
            </w:r>
            <w:r>
              <w:t xml:space="preserve">more </w:t>
            </w:r>
            <w:r w:rsidRPr="00366AEE">
              <w:t xml:space="preserve">recent </w:t>
            </w:r>
            <w:r>
              <w:t>administrative order reflecting a machinery of government change</w:t>
            </w:r>
            <w:r w:rsidRPr="00366AEE">
              <w:t>.</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166</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6E434E">
            <w:pPr>
              <w:pStyle w:val="TableText"/>
              <w:rPr>
                <w:color w:val="FF0000"/>
              </w:rPr>
            </w:pPr>
            <w:r w:rsidRPr="00AE303D">
              <w:rPr>
                <w:color w:val="FF0000"/>
              </w:rPr>
              <w:t>[</w:t>
            </w:r>
            <w:r>
              <w:rPr>
                <w:color w:val="FF0000"/>
              </w:rPr>
              <w:t>New</w:t>
            </w:r>
            <w:r w:rsidRPr="00AE303D">
              <w:rPr>
                <w:color w:val="FF0000"/>
              </w:rPr>
              <w:t>]</w:t>
            </w:r>
            <w:r w:rsidRPr="00AE303D">
              <w:t xml:space="preserve"> </w:t>
            </w:r>
            <w:r>
              <w:t xml:space="preserve">Note 11 </w:t>
            </w:r>
            <w:r>
              <w:rPr>
                <w:i/>
              </w:rPr>
              <w:t>Receivables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366AEE" w:rsidRDefault="001A46F5" w:rsidP="006E434E">
            <w:pPr>
              <w:pStyle w:val="TableText"/>
            </w:pPr>
            <w:r>
              <w:t>A line item has been included for ‘fines and regulatory fees’ under current statutory receivables.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171</w:t>
            </w:r>
          </w:p>
        </w:tc>
      </w:tr>
      <w:tr w:rsidR="001A46F5" w:rsidRPr="00AE303D"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RDefault="001A46F5" w:rsidP="006E434E">
            <w:pPr>
              <w:pStyle w:val="TableText"/>
              <w:rPr>
                <w:color w:val="FF0000"/>
              </w:rPr>
            </w:pPr>
            <w:r w:rsidRPr="00AE303D">
              <w:rPr>
                <w:color w:val="FF0000"/>
              </w:rPr>
              <w:t>[</w:t>
            </w:r>
            <w:r>
              <w:rPr>
                <w:color w:val="FF0000"/>
              </w:rPr>
              <w:t>Revised</w:t>
            </w:r>
            <w:r w:rsidRPr="00AE303D">
              <w:rPr>
                <w:color w:val="FF0000"/>
              </w:rPr>
              <w:t xml:space="preserve">] </w:t>
            </w:r>
            <w:r>
              <w:t xml:space="preserve">Note 13 </w:t>
            </w:r>
            <w:r w:rsidRPr="008C4C75">
              <w:rPr>
                <w:i/>
              </w:rPr>
              <w:t>Investments accounted for using the equity method</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F731FE">
            <w:pPr>
              <w:pStyle w:val="TableText"/>
            </w:pPr>
            <w:r>
              <w:t>AASB 11 and AASB 12</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Guidance has been provided on:</w:t>
            </w:r>
          </w:p>
          <w:p w:rsidR="001A46F5" w:rsidRDefault="001A46F5" w:rsidP="006E434E">
            <w:pPr>
              <w:pStyle w:val="Tablebullet"/>
            </w:pPr>
            <w:r>
              <w:t>the disclosure requirements for an entity’s interests in joint ventures and associates; and</w:t>
            </w:r>
          </w:p>
          <w:p w:rsidR="001A46F5" w:rsidRPr="008C4C75" w:rsidRDefault="001A46F5" w:rsidP="006E434E">
            <w:pPr>
              <w:pStyle w:val="Tablebullet"/>
            </w:pPr>
            <w:r>
              <w:t>additional guidance on accounting for investments.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175-181</w:t>
            </w:r>
          </w:p>
        </w:tc>
      </w:tr>
      <w:tr w:rsidR="001A46F5" w:rsidRPr="00AE303D" w:rsidTr="00946118">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930F56" w:rsidRDefault="001A46F5" w:rsidP="006E434E">
            <w:pPr>
              <w:pStyle w:val="TableText"/>
              <w:rPr>
                <w:color w:val="FF0000"/>
              </w:rPr>
            </w:pPr>
            <w:r w:rsidRPr="00930F56">
              <w:rPr>
                <w:color w:val="FF0000"/>
              </w:rPr>
              <w:t>[New]</w:t>
            </w:r>
            <w:r w:rsidRPr="00930F56">
              <w:t xml:space="preserve"> </w:t>
            </w:r>
            <w:r>
              <w:t xml:space="preserve">Commentary – </w:t>
            </w:r>
            <w:r w:rsidRPr="0083321C">
              <w:t xml:space="preserve">Note 14 </w:t>
            </w:r>
            <w:r>
              <w:br/>
            </w:r>
            <w:r w:rsidRPr="008C4C75">
              <w:rPr>
                <w:i/>
              </w:rPr>
              <w:t>Interests in subsidiary and unconsolidated structured entities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83321C" w:rsidRDefault="001A46F5" w:rsidP="006E434E">
            <w:pPr>
              <w:pStyle w:val="TableText"/>
            </w:pPr>
            <w:r>
              <w:t>AASB 10 and AASB 12</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930F56" w:rsidRDefault="001A46F5" w:rsidP="006E434E">
            <w:pPr>
              <w:pStyle w:val="TableText"/>
            </w:pPr>
            <w:r w:rsidRPr="008C4C75">
              <w:t xml:space="preserve">Additional disclosure requirements </w:t>
            </w:r>
            <w:r>
              <w:t xml:space="preserve">in relation to AASB 12 </w:t>
            </w:r>
            <w:r w:rsidRPr="008C4C75">
              <w:t>have been included in relation to an entity’s interests in subsidiaries and unconsolidated structured entities.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Pr="008C4C75" w:rsidRDefault="001A46F5" w:rsidP="00CE1665">
            <w:pPr>
              <w:pStyle w:val="TableText"/>
              <w:jc w:val="center"/>
              <w:rPr>
                <w:highlight w:val="yellow"/>
              </w:rPr>
            </w:pPr>
            <w:r>
              <w:t>182</w:t>
            </w:r>
            <w:r w:rsidRPr="008C4C75">
              <w:t>-1</w:t>
            </w:r>
            <w:r>
              <w:t>85</w:t>
            </w:r>
          </w:p>
        </w:tc>
      </w:tr>
      <w:tr w:rsidR="00D138DD" w:rsidRPr="00AE303D" w:rsidTr="00946118">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138DD" w:rsidRPr="00930F56" w:rsidRDefault="00D138DD" w:rsidP="006E434E">
            <w:pPr>
              <w:pStyle w:val="TableText"/>
              <w:rPr>
                <w:color w:val="FF0000"/>
              </w:rPr>
            </w:pPr>
            <w:r>
              <w:rPr>
                <w:color w:val="FF0000"/>
              </w:rPr>
              <w:t xml:space="preserve">[New] </w:t>
            </w:r>
            <w:r w:rsidRPr="00D138DD">
              <w:t xml:space="preserve">Note 15 </w:t>
            </w:r>
            <w:r w:rsidRPr="00D138DD">
              <w:rPr>
                <w:i/>
              </w:rPr>
              <w:t>Non</w:t>
            </w:r>
            <w:r w:rsidRPr="00D138DD">
              <w:rPr>
                <w:i/>
              </w:rPr>
              <w:noBreakHyphen/>
              <w:t>financial physical assets and disposal group assets classified as held for sale</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138DD" w:rsidRDefault="00D138DD" w:rsidP="006E434E">
            <w:pPr>
              <w:pStyle w:val="TableText"/>
            </w:pPr>
            <w:r>
              <w:t>AASB 13</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138DD" w:rsidRPr="008C4C75" w:rsidRDefault="00D138DD" w:rsidP="00D138DD">
            <w:pPr>
              <w:pStyle w:val="TableText"/>
            </w:pPr>
            <w:r>
              <w:t>A reminder has been included to emphasis the disclosure required for comparative period in relation to fair value measurement of non-financial physical assets held for sale.</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138DD" w:rsidRDefault="00D138DD" w:rsidP="00CE1665">
            <w:pPr>
              <w:pStyle w:val="TableText"/>
              <w:jc w:val="center"/>
            </w:pPr>
            <w:r>
              <w:t>186</w:t>
            </w:r>
          </w:p>
        </w:tc>
      </w:tr>
      <w:tr w:rsidR="001A46F5" w:rsidRPr="00AE303D" w:rsidDel="007D7B44" w:rsidTr="00946118">
        <w:tc>
          <w:tcPr>
            <w:tcW w:w="921" w:type="pct"/>
            <w:tcBorders>
              <w:top w:val="single" w:sz="4" w:space="0" w:color="BFBFBF" w:themeColor="background1" w:themeShade="BF"/>
              <w:bottom w:val="nil"/>
              <w:right w:val="single" w:sz="4" w:space="0" w:color="BFBFBF" w:themeColor="background1" w:themeShade="BF"/>
            </w:tcBorders>
          </w:tcPr>
          <w:p w:rsidR="001A46F5" w:rsidRPr="00AE303D" w:rsidDel="007D7B44" w:rsidRDefault="001A46F5" w:rsidP="006E434E">
            <w:pPr>
              <w:pStyle w:val="TableText"/>
              <w:rPr>
                <w:color w:val="FF0000"/>
              </w:rPr>
            </w:pPr>
            <w:r>
              <w:rPr>
                <w:color w:val="FF0000"/>
              </w:rPr>
              <w:t xml:space="preserve">[New] </w:t>
            </w:r>
            <w:r w:rsidRPr="008C4C75">
              <w:t xml:space="preserve">Note 17 </w:t>
            </w:r>
            <w:r w:rsidRPr="008C4C75">
              <w:rPr>
                <w:i/>
              </w:rPr>
              <w:t>Property, plant, and equipment</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AE303D" w:rsidDel="007D7B44" w:rsidRDefault="001A46F5" w:rsidP="006E434E">
            <w:pPr>
              <w:pStyle w:val="TableText"/>
            </w:pPr>
            <w:r>
              <w:t>A footnote has been added to clarify that for some heritage and iconic assets, cost may be the reproduction cost if their service potential could only be replaced by reproducing them with the same materials.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Del="007D7B44" w:rsidRDefault="001A46F5" w:rsidP="00CE1665">
            <w:pPr>
              <w:pStyle w:val="TableText"/>
              <w:jc w:val="center"/>
            </w:pPr>
            <w:r>
              <w:t>198</w:t>
            </w:r>
          </w:p>
        </w:tc>
      </w:tr>
      <w:tr w:rsidR="000B7A5C" w:rsidRPr="00AE303D" w:rsidDel="007D7B44" w:rsidTr="00946118">
        <w:tc>
          <w:tcPr>
            <w:tcW w:w="921" w:type="pct"/>
            <w:tcBorders>
              <w:top w:val="nil"/>
              <w:bottom w:val="single" w:sz="4" w:space="0" w:color="BFBFBF" w:themeColor="background1" w:themeShade="BF"/>
              <w:right w:val="single" w:sz="4" w:space="0" w:color="BFBFBF" w:themeColor="background1" w:themeShade="BF"/>
            </w:tcBorders>
          </w:tcPr>
          <w:p w:rsidR="000B7A5C" w:rsidRDefault="000B7A5C" w:rsidP="006E434E">
            <w:pPr>
              <w:pStyle w:val="TableText"/>
              <w:rPr>
                <w:color w:val="FF0000"/>
              </w:rPr>
            </w:pP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7A5C" w:rsidRDefault="000B7A5C" w:rsidP="006E434E">
            <w:pPr>
              <w:pStyle w:val="TableText"/>
            </w:pPr>
            <w:r>
              <w:t>AASB 13</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B7A5C" w:rsidRDefault="000B7A5C" w:rsidP="000B7A5C">
            <w:pPr>
              <w:pStyle w:val="TableText"/>
            </w:pPr>
            <w:r>
              <w:t xml:space="preserve">A reminder has been included to emphasis the disclosure required for comparative period in relation to fair value measurement of PPEs. </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0B7A5C" w:rsidRDefault="000B7A5C" w:rsidP="00CE1665">
            <w:pPr>
              <w:pStyle w:val="TableText"/>
              <w:jc w:val="center"/>
            </w:pPr>
            <w:r>
              <w:t>195</w:t>
            </w:r>
          </w:p>
        </w:tc>
      </w:tr>
      <w:tr w:rsidR="001A46F5"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Pr="00930F56" w:rsidRDefault="001A46F5" w:rsidP="00D138DD">
            <w:pPr>
              <w:pStyle w:val="TableText"/>
              <w:rPr>
                <w:color w:val="FF0000"/>
              </w:rPr>
            </w:pPr>
            <w:r w:rsidRPr="00930F56">
              <w:rPr>
                <w:color w:val="FF0000"/>
              </w:rPr>
              <w:t>[New]</w:t>
            </w:r>
            <w:r w:rsidRPr="00930F56">
              <w:t xml:space="preserve"> </w:t>
            </w:r>
            <w:r w:rsidR="00D138DD">
              <w:t>Commentary</w:t>
            </w:r>
            <w:r w:rsidR="00D138DD" w:rsidRPr="008C4C75">
              <w:t xml:space="preserve"> Note 17 </w:t>
            </w:r>
            <w:r>
              <w:t>–</w:t>
            </w:r>
            <w:r>
              <w:br/>
            </w:r>
            <w:r w:rsidRPr="008C4C75">
              <w:rPr>
                <w:i/>
              </w:rPr>
              <w:t>Property, plant, and equipment</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 xml:space="preserve">AASB 136 </w:t>
            </w:r>
            <w:r w:rsidRPr="004F41B5">
              <w:rPr>
                <w:i/>
              </w:rPr>
              <w:t>Impairment of Assets</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Additional disclosure requirements on fair value of an impaired asset where the recoverable amount is measured at fair value less cost of disposal.</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203</w:t>
            </w:r>
          </w:p>
        </w:tc>
      </w:tr>
      <w:tr w:rsidR="001B47A6" w:rsidRPr="006E434E" w:rsidTr="002617E0">
        <w:tc>
          <w:tcPr>
            <w:tcW w:w="921" w:type="pct"/>
            <w:tcBorders>
              <w:top w:val="single" w:sz="4" w:space="0" w:color="auto"/>
              <w:bottom w:val="single" w:sz="4" w:space="0" w:color="BFBFBF" w:themeColor="background1" w:themeShade="BF"/>
              <w:right w:val="single" w:sz="4" w:space="0" w:color="D9D9D9" w:themeColor="background1" w:themeShade="D9"/>
            </w:tcBorders>
            <w:shd w:val="clear" w:color="auto" w:fill="E0D1DB"/>
          </w:tcPr>
          <w:p w:rsidR="001B47A6" w:rsidRPr="006E434E" w:rsidRDefault="001B47A6" w:rsidP="002617E0">
            <w:pPr>
              <w:pStyle w:val="TableText"/>
              <w:rPr>
                <w:b/>
              </w:rPr>
            </w:pPr>
            <w:r w:rsidRPr="006E434E">
              <w:rPr>
                <w:b/>
              </w:rPr>
              <w:lastRenderedPageBreak/>
              <w:t xml:space="preserve">Subject matter </w:t>
            </w:r>
          </w:p>
        </w:tc>
        <w:tc>
          <w:tcPr>
            <w:tcW w:w="962" w:type="pct"/>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E0D1DB"/>
          </w:tcPr>
          <w:p w:rsidR="001B47A6" w:rsidRPr="006E434E" w:rsidRDefault="001B47A6" w:rsidP="002617E0">
            <w:pPr>
              <w:pStyle w:val="TableText"/>
              <w:rPr>
                <w:b/>
              </w:rPr>
            </w:pPr>
            <w:r w:rsidRPr="006E434E">
              <w:rPr>
                <w:b/>
              </w:rPr>
              <w:t>Source of change</w:t>
            </w:r>
          </w:p>
        </w:tc>
        <w:tc>
          <w:tcPr>
            <w:tcW w:w="2611" w:type="pct"/>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E0D1DB"/>
          </w:tcPr>
          <w:p w:rsidR="001B47A6" w:rsidRPr="006E434E" w:rsidRDefault="001B47A6" w:rsidP="002617E0">
            <w:pPr>
              <w:pStyle w:val="TableText"/>
              <w:rPr>
                <w:b/>
              </w:rPr>
            </w:pPr>
            <w:r w:rsidRPr="006E434E">
              <w:rPr>
                <w:b/>
              </w:rPr>
              <w:t xml:space="preserve">Summary of changes applied to the relevant sections in the </w:t>
            </w:r>
            <w:r>
              <w:rPr>
                <w:b/>
              </w:rPr>
              <w:br/>
            </w:r>
            <w:r w:rsidRPr="006E434E">
              <w:rPr>
                <w:b/>
              </w:rPr>
              <w:t xml:space="preserve">Model </w:t>
            </w:r>
            <w:r>
              <w:rPr>
                <w:b/>
              </w:rPr>
              <w:t>financial statement</w:t>
            </w:r>
          </w:p>
        </w:tc>
        <w:tc>
          <w:tcPr>
            <w:tcW w:w="506" w:type="pct"/>
            <w:tcBorders>
              <w:top w:val="single" w:sz="4" w:space="0" w:color="auto"/>
              <w:left w:val="single" w:sz="4" w:space="0" w:color="D9D9D9" w:themeColor="background1" w:themeShade="D9"/>
              <w:bottom w:val="single" w:sz="4" w:space="0" w:color="BFBFBF" w:themeColor="background1" w:themeShade="BF"/>
            </w:tcBorders>
            <w:shd w:val="clear" w:color="auto" w:fill="E0D1DB"/>
          </w:tcPr>
          <w:p w:rsidR="001B47A6" w:rsidRPr="006E434E" w:rsidRDefault="001B47A6" w:rsidP="002617E0">
            <w:pPr>
              <w:pStyle w:val="TableText"/>
              <w:jc w:val="center"/>
              <w:rPr>
                <w:b/>
              </w:rPr>
            </w:pPr>
            <w:r w:rsidRPr="006E434E">
              <w:rPr>
                <w:b/>
              </w:rPr>
              <w:t>Page reference</w:t>
            </w:r>
          </w:p>
        </w:tc>
      </w:tr>
      <w:tr w:rsidR="00B158A8" w:rsidRPr="00AE303D" w:rsidDel="007D7B44" w:rsidTr="002617E0">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B158A8" w:rsidRPr="00930F56" w:rsidRDefault="00B158A8" w:rsidP="00B158A8">
            <w:pPr>
              <w:pStyle w:val="TableText"/>
              <w:rPr>
                <w:color w:val="FF0000"/>
              </w:rPr>
            </w:pPr>
            <w:r>
              <w:rPr>
                <w:color w:val="FF0000"/>
              </w:rPr>
              <w:t xml:space="preserve">[New] </w:t>
            </w:r>
            <w:r>
              <w:t>Note 18</w:t>
            </w:r>
            <w:r w:rsidRPr="001B47A6">
              <w:t>-</w:t>
            </w:r>
            <w:r>
              <w:t>Biological assets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58A8" w:rsidRDefault="00B158A8" w:rsidP="002617E0">
            <w:pPr>
              <w:pStyle w:val="TableText"/>
            </w:pPr>
            <w:r>
              <w:t>AASB 13</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158A8" w:rsidRDefault="00B158A8" w:rsidP="00B158A8">
            <w:pPr>
              <w:pStyle w:val="TableText"/>
            </w:pPr>
            <w:r>
              <w:t>A reminder has been included to emphasis the disclosure required for comparative period in relation to fair value measurement of biological assets.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B158A8" w:rsidRDefault="00B158A8" w:rsidP="002617E0">
            <w:pPr>
              <w:pStyle w:val="TableText"/>
              <w:jc w:val="center"/>
            </w:pPr>
            <w:r>
              <w:t>206</w:t>
            </w:r>
          </w:p>
        </w:tc>
      </w:tr>
      <w:tr w:rsidR="001974AF"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974AF" w:rsidRPr="00930F56" w:rsidRDefault="001B47A6" w:rsidP="00D138DD">
            <w:pPr>
              <w:pStyle w:val="TableText"/>
              <w:rPr>
                <w:color w:val="FF0000"/>
              </w:rPr>
            </w:pPr>
            <w:r>
              <w:rPr>
                <w:color w:val="FF0000"/>
              </w:rPr>
              <w:t xml:space="preserve">[New] </w:t>
            </w:r>
            <w:r w:rsidRPr="001B47A6">
              <w:t>Note 19-Investment properties</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974AF" w:rsidRDefault="001B47A6" w:rsidP="006E434E">
            <w:pPr>
              <w:pStyle w:val="TableText"/>
            </w:pPr>
            <w:r>
              <w:t>AASB 13</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974AF" w:rsidRDefault="001B47A6" w:rsidP="001B47A6">
            <w:pPr>
              <w:pStyle w:val="TableText"/>
            </w:pPr>
            <w:r>
              <w:t>A reminder has been included to emphasis the disclosure required for comparative period in relation to fair value measurement of investment properties.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974AF" w:rsidRDefault="001B47A6" w:rsidP="00CE1665">
            <w:pPr>
              <w:pStyle w:val="TableText"/>
              <w:jc w:val="center"/>
            </w:pPr>
            <w:r>
              <w:t>209</w:t>
            </w:r>
          </w:p>
        </w:tc>
      </w:tr>
      <w:tr w:rsidR="001A46F5"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rPr>
                <w:color w:val="FF0000"/>
              </w:rPr>
            </w:pPr>
            <w:r>
              <w:rPr>
                <w:color w:val="FF0000"/>
              </w:rPr>
              <w:t xml:space="preserve">[New] </w:t>
            </w:r>
            <w:r w:rsidRPr="008C4C75">
              <w:t xml:space="preserve">Note 25 </w:t>
            </w:r>
            <w:r>
              <w:br/>
            </w:r>
            <w:r>
              <w:rPr>
                <w:i/>
              </w:rPr>
              <w:t>Assets received as collateral</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Additional guidance has been included on the accounting treatment for assets received as collaterals.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225</w:t>
            </w:r>
          </w:p>
        </w:tc>
      </w:tr>
      <w:tr w:rsidR="001A46F5"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rPr>
                <w:color w:val="FF0000"/>
              </w:rPr>
            </w:pPr>
            <w:r>
              <w:rPr>
                <w:color w:val="FF0000"/>
              </w:rPr>
              <w:t xml:space="preserve">[New] </w:t>
            </w:r>
            <w:r w:rsidRPr="004C597A">
              <w:t xml:space="preserve">Note </w:t>
            </w:r>
            <w:r>
              <w:t>26</w:t>
            </w:r>
            <w:r w:rsidRPr="004C597A">
              <w:t xml:space="preserve"> </w:t>
            </w:r>
            <w:r>
              <w:br/>
            </w:r>
            <w:r>
              <w:rPr>
                <w:i/>
              </w:rPr>
              <w:t>Assets pledged as security</w:t>
            </w:r>
          </w:p>
        </w:tc>
        <w:tc>
          <w:tcPr>
            <w:tcW w:w="9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46F5" w:rsidRDefault="001A46F5" w:rsidP="006E434E">
            <w:pPr>
              <w:pStyle w:val="TableText"/>
            </w:pPr>
            <w:r>
              <w:t>Additional guidance has been included to illustrate an example of assets pledged as security.</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46F5" w:rsidRDefault="001A46F5" w:rsidP="00CE1665">
            <w:pPr>
              <w:pStyle w:val="TableText"/>
              <w:jc w:val="center"/>
            </w:pPr>
            <w:r>
              <w:t>225</w:t>
            </w:r>
          </w:p>
        </w:tc>
      </w:tr>
      <w:tr w:rsidR="001A46F5"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D9D9D9" w:themeColor="background1" w:themeShade="D9"/>
            </w:tcBorders>
          </w:tcPr>
          <w:p w:rsidR="001A46F5" w:rsidRDefault="001A46F5" w:rsidP="00C56CCA">
            <w:pPr>
              <w:pStyle w:val="TableText"/>
              <w:rPr>
                <w:color w:val="FF0000"/>
              </w:rPr>
            </w:pPr>
            <w:r>
              <w:rPr>
                <w:color w:val="FF0000"/>
              </w:rPr>
              <w:t xml:space="preserve">[New] </w:t>
            </w:r>
            <w:r w:rsidRPr="004C597A">
              <w:t xml:space="preserve">Note </w:t>
            </w:r>
            <w:r>
              <w:t>27</w:t>
            </w:r>
            <w:r w:rsidRPr="004C597A">
              <w:t xml:space="preserve"> </w:t>
            </w:r>
            <w:r>
              <w:rPr>
                <w:i/>
              </w:rPr>
              <w:t>Derecognition of financial assets</w:t>
            </w:r>
          </w:p>
        </w:tc>
        <w:tc>
          <w:tcPr>
            <w:tcW w:w="9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A46F5" w:rsidRDefault="001A46F5" w:rsidP="00C56CCA">
            <w:pPr>
              <w:pStyle w:val="TableText"/>
            </w:pPr>
            <w:r>
              <w:t>VAGO recommendation</w:t>
            </w:r>
          </w:p>
        </w:tc>
        <w:tc>
          <w:tcPr>
            <w:tcW w:w="2611"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A46F5" w:rsidRDefault="001A46F5" w:rsidP="00C56CCA">
            <w:pPr>
              <w:pStyle w:val="TableText"/>
            </w:pPr>
            <w:r>
              <w:t>A flowchart has been included to assist with the evaluation of whether and to what extent a financial asset can be derecognised.</w:t>
            </w:r>
          </w:p>
        </w:tc>
        <w:tc>
          <w:tcPr>
            <w:tcW w:w="506" w:type="pct"/>
            <w:tcBorders>
              <w:top w:val="single" w:sz="4" w:space="0" w:color="BFBFBF" w:themeColor="background1" w:themeShade="BF"/>
              <w:left w:val="single" w:sz="4" w:space="0" w:color="D9D9D9" w:themeColor="background1" w:themeShade="D9"/>
              <w:bottom w:val="single" w:sz="4" w:space="0" w:color="BFBFBF" w:themeColor="background1" w:themeShade="BF"/>
            </w:tcBorders>
          </w:tcPr>
          <w:p w:rsidR="001A46F5" w:rsidRDefault="001A46F5" w:rsidP="00C56CCA">
            <w:pPr>
              <w:pStyle w:val="TableText"/>
              <w:jc w:val="center"/>
            </w:pPr>
            <w:r>
              <w:t>226</w:t>
            </w:r>
          </w:p>
        </w:tc>
      </w:tr>
      <w:tr w:rsidR="001A46F5" w:rsidRPr="00AE303D" w:rsidDel="007D7B44" w:rsidTr="000B7A5C">
        <w:tc>
          <w:tcPr>
            <w:tcW w:w="921" w:type="pct"/>
            <w:tcBorders>
              <w:top w:val="single" w:sz="4" w:space="0" w:color="BFBFBF" w:themeColor="background1" w:themeShade="BF"/>
              <w:bottom w:val="single" w:sz="4" w:space="0" w:color="BFBFBF" w:themeColor="background1" w:themeShade="BF"/>
              <w:right w:val="single" w:sz="4" w:space="0" w:color="D9D9D9" w:themeColor="background1" w:themeShade="D9"/>
            </w:tcBorders>
          </w:tcPr>
          <w:p w:rsidR="001A46F5" w:rsidRDefault="001A46F5" w:rsidP="006E434E">
            <w:pPr>
              <w:pStyle w:val="TableText"/>
              <w:rPr>
                <w:color w:val="FF0000"/>
              </w:rPr>
            </w:pPr>
            <w:r w:rsidRPr="00AE303D">
              <w:rPr>
                <w:color w:val="FF0000"/>
              </w:rPr>
              <w:t>[</w:t>
            </w:r>
            <w:r>
              <w:rPr>
                <w:color w:val="FF0000"/>
              </w:rPr>
              <w:t>Revised</w:t>
            </w:r>
            <w:r w:rsidRPr="00AE303D">
              <w:rPr>
                <w:color w:val="FF0000"/>
              </w:rPr>
              <w:t xml:space="preserve">] </w:t>
            </w:r>
            <w:r>
              <w:t xml:space="preserve">Note 33(e) </w:t>
            </w:r>
            <w:r w:rsidRPr="009F5DB0">
              <w:rPr>
                <w:i/>
              </w:rPr>
              <w:t>Financial Instruments</w:t>
            </w:r>
          </w:p>
        </w:tc>
        <w:tc>
          <w:tcPr>
            <w:tcW w:w="9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A46F5" w:rsidRDefault="001A46F5" w:rsidP="006E434E">
            <w:pPr>
              <w:pStyle w:val="TableText"/>
            </w:pPr>
            <w:r>
              <w:t xml:space="preserve">General </w:t>
            </w:r>
            <w:r w:rsidRPr="00D07C4D">
              <w:t>improvements</w:t>
            </w:r>
          </w:p>
        </w:tc>
        <w:tc>
          <w:tcPr>
            <w:tcW w:w="2611"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A46F5" w:rsidRDefault="001A46F5" w:rsidP="006E434E">
            <w:pPr>
              <w:pStyle w:val="TableText"/>
            </w:pPr>
            <w:r>
              <w:t xml:space="preserve">The presentation has been revised for the fair value of financial assets and financial liabilities measured at amortised cost. </w:t>
            </w:r>
          </w:p>
        </w:tc>
        <w:tc>
          <w:tcPr>
            <w:tcW w:w="506" w:type="pct"/>
            <w:tcBorders>
              <w:top w:val="single" w:sz="4" w:space="0" w:color="BFBFBF" w:themeColor="background1" w:themeShade="BF"/>
              <w:left w:val="single" w:sz="4" w:space="0" w:color="D9D9D9" w:themeColor="background1" w:themeShade="D9"/>
              <w:bottom w:val="single" w:sz="4" w:space="0" w:color="BFBFBF" w:themeColor="background1" w:themeShade="BF"/>
            </w:tcBorders>
          </w:tcPr>
          <w:p w:rsidR="001A46F5" w:rsidRDefault="001A46F5" w:rsidP="00CE1665">
            <w:pPr>
              <w:pStyle w:val="TableText"/>
              <w:jc w:val="center"/>
            </w:pPr>
            <w:r>
              <w:t>268</w:t>
            </w:r>
          </w:p>
        </w:tc>
      </w:tr>
      <w:tr w:rsidR="001611D3" w:rsidRPr="00AE303D" w:rsidDel="007D7B44" w:rsidTr="001611D3">
        <w:tc>
          <w:tcPr>
            <w:tcW w:w="921" w:type="pct"/>
            <w:tcBorders>
              <w:bottom w:val="single" w:sz="4" w:space="0" w:color="BFBFBF" w:themeColor="background1" w:themeShade="BF"/>
              <w:right w:val="single" w:sz="4" w:space="0" w:color="D9D9D9" w:themeColor="background1" w:themeShade="D9"/>
            </w:tcBorders>
          </w:tcPr>
          <w:p w:rsidR="001611D3" w:rsidRPr="00AE303D" w:rsidRDefault="001611D3" w:rsidP="001611D3">
            <w:pPr>
              <w:pStyle w:val="TableText"/>
              <w:rPr>
                <w:color w:val="FF0000"/>
              </w:rPr>
            </w:pPr>
            <w:r w:rsidRPr="00AE303D">
              <w:rPr>
                <w:color w:val="FF0000"/>
              </w:rPr>
              <w:t>[New]</w:t>
            </w:r>
            <w:r w:rsidRPr="00AE303D">
              <w:t xml:space="preserve"> </w:t>
            </w:r>
            <w:r>
              <w:t xml:space="preserve">Note 37 </w:t>
            </w:r>
            <w:r>
              <w:br/>
            </w:r>
            <w:r w:rsidRPr="009F5DB0">
              <w:rPr>
                <w:i/>
              </w:rPr>
              <w:t>Ex gratia expenses</w:t>
            </w:r>
          </w:p>
        </w:tc>
        <w:tc>
          <w:tcPr>
            <w:tcW w:w="9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611D3" w:rsidRPr="004F41B5" w:rsidRDefault="001611D3" w:rsidP="006E434E">
            <w:pPr>
              <w:pStyle w:val="TableText"/>
              <w:rPr>
                <w:highlight w:val="yellow"/>
              </w:rPr>
            </w:pPr>
            <w:r>
              <w:t>VAGO recommendation</w:t>
            </w:r>
          </w:p>
        </w:tc>
        <w:tc>
          <w:tcPr>
            <w:tcW w:w="2611"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rsidR="001611D3" w:rsidRPr="00F2351C" w:rsidRDefault="001611D3" w:rsidP="006E434E">
            <w:pPr>
              <w:pStyle w:val="TableText"/>
            </w:pPr>
            <w:r w:rsidRPr="00F2351C">
              <w:t xml:space="preserve">A </w:t>
            </w:r>
            <w:r>
              <w:t xml:space="preserve">cross-reference footnote </w:t>
            </w:r>
            <w:r w:rsidRPr="00F2351C">
              <w:t xml:space="preserve">has been added to Note 5 </w:t>
            </w:r>
            <w:r w:rsidRPr="001611D3">
              <w:rPr>
                <w:i/>
              </w:rPr>
              <w:t>Expenses from transactions</w:t>
            </w:r>
            <w:r w:rsidRPr="00F2351C">
              <w:t xml:space="preserve"> for ex gratia expenses.</w:t>
            </w:r>
          </w:p>
        </w:tc>
        <w:tc>
          <w:tcPr>
            <w:tcW w:w="506" w:type="pct"/>
            <w:tcBorders>
              <w:top w:val="single" w:sz="4" w:space="0" w:color="BFBFBF" w:themeColor="background1" w:themeShade="BF"/>
              <w:left w:val="single" w:sz="4" w:space="0" w:color="D9D9D9" w:themeColor="background1" w:themeShade="D9"/>
              <w:bottom w:val="single" w:sz="4" w:space="0" w:color="BFBFBF" w:themeColor="background1" w:themeShade="BF"/>
            </w:tcBorders>
          </w:tcPr>
          <w:p w:rsidR="001611D3" w:rsidRDefault="001611D3" w:rsidP="00CE1665">
            <w:pPr>
              <w:pStyle w:val="TableText"/>
              <w:jc w:val="center"/>
            </w:pPr>
            <w:r>
              <w:t xml:space="preserve">287 </w:t>
            </w:r>
          </w:p>
        </w:tc>
      </w:tr>
      <w:tr w:rsidR="001611D3" w:rsidRPr="00AE303D" w:rsidDel="007D7B44" w:rsidTr="001611D3">
        <w:tc>
          <w:tcPr>
            <w:tcW w:w="921" w:type="pct"/>
            <w:tcBorders>
              <w:top w:val="single" w:sz="4" w:space="0" w:color="BFBFBF" w:themeColor="background1" w:themeShade="BF"/>
              <w:bottom w:val="single" w:sz="4" w:space="0" w:color="auto"/>
              <w:right w:val="single" w:sz="4" w:space="0" w:color="D9D9D9" w:themeColor="background1" w:themeShade="D9"/>
            </w:tcBorders>
          </w:tcPr>
          <w:p w:rsidR="001611D3" w:rsidRDefault="001611D3" w:rsidP="002617E0">
            <w:pPr>
              <w:pStyle w:val="TableText"/>
              <w:rPr>
                <w:color w:val="FF0000"/>
              </w:rPr>
            </w:pPr>
            <w:r w:rsidRPr="00AE303D">
              <w:rPr>
                <w:color w:val="FF0000"/>
              </w:rPr>
              <w:t>[New]</w:t>
            </w:r>
            <w:r w:rsidRPr="00AE303D">
              <w:t xml:space="preserve"> </w:t>
            </w:r>
            <w:r>
              <w:t xml:space="preserve">Commentary –Note 37 </w:t>
            </w:r>
            <w:r>
              <w:br/>
            </w:r>
            <w:r w:rsidRPr="009F5DB0">
              <w:rPr>
                <w:i/>
              </w:rPr>
              <w:t>Ex gratia expenses</w:t>
            </w:r>
          </w:p>
        </w:tc>
        <w:tc>
          <w:tcPr>
            <w:tcW w:w="962" w:type="pct"/>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tcPr>
          <w:p w:rsidR="001611D3" w:rsidRDefault="001611D3" w:rsidP="002617E0">
            <w:pPr>
              <w:pStyle w:val="TableText"/>
            </w:pPr>
            <w:r>
              <w:t>General improvements</w:t>
            </w:r>
          </w:p>
        </w:tc>
        <w:tc>
          <w:tcPr>
            <w:tcW w:w="2611" w:type="pct"/>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tcPr>
          <w:p w:rsidR="001611D3" w:rsidRDefault="001611D3" w:rsidP="002617E0">
            <w:pPr>
              <w:pStyle w:val="TableText"/>
            </w:pPr>
            <w:r>
              <w:t xml:space="preserve">Footnotes have been added to clarify that the ex gratia materiality threshold apply to both individual items and in aggregate. Guidance has also been added on when a write-off meets the scope of ‘ex gratia’ under FRD 11A. </w:t>
            </w:r>
          </w:p>
        </w:tc>
        <w:tc>
          <w:tcPr>
            <w:tcW w:w="506" w:type="pct"/>
            <w:tcBorders>
              <w:top w:val="single" w:sz="4" w:space="0" w:color="BFBFBF" w:themeColor="background1" w:themeShade="BF"/>
              <w:left w:val="single" w:sz="4" w:space="0" w:color="D9D9D9" w:themeColor="background1" w:themeShade="D9"/>
              <w:bottom w:val="single" w:sz="4" w:space="0" w:color="auto"/>
            </w:tcBorders>
          </w:tcPr>
          <w:p w:rsidR="001611D3" w:rsidRDefault="001611D3" w:rsidP="002617E0">
            <w:pPr>
              <w:pStyle w:val="TableText"/>
              <w:jc w:val="center"/>
            </w:pPr>
            <w:r>
              <w:t>287-288</w:t>
            </w:r>
          </w:p>
        </w:tc>
      </w:tr>
    </w:tbl>
    <w:p w:rsidR="00D36E94" w:rsidRDefault="00D36E94" w:rsidP="00D36E94"/>
    <w:tbl>
      <w:tblPr>
        <w:tblStyle w:val="Summarytable"/>
        <w:tblW w:w="5000" w:type="pct"/>
        <w:tblLook w:val="01E0" w:firstRow="1" w:lastRow="1" w:firstColumn="1" w:lastColumn="1" w:noHBand="0" w:noVBand="0"/>
      </w:tblPr>
      <w:tblGrid>
        <w:gridCol w:w="2042"/>
        <w:gridCol w:w="1842"/>
        <w:gridCol w:w="5386"/>
        <w:gridCol w:w="1044"/>
      </w:tblGrid>
      <w:tr w:rsidR="00D85CD8" w:rsidRPr="00CE66C7" w:rsidTr="000B7A5C">
        <w:trPr>
          <w:cnfStyle w:val="100000000000" w:firstRow="1" w:lastRow="0" w:firstColumn="0" w:lastColumn="0" w:oddVBand="0" w:evenVBand="0" w:oddHBand="0" w:evenHBand="0" w:firstRowFirstColumn="0" w:firstRowLastColumn="0" w:lastRowFirstColumn="0" w:lastRowLastColumn="0"/>
        </w:trPr>
        <w:tc>
          <w:tcPr>
            <w:tcW w:w="4494" w:type="pct"/>
            <w:gridSpan w:val="3"/>
            <w:tcBorders>
              <w:bottom w:val="single" w:sz="4" w:space="0" w:color="BFBFBF" w:themeColor="background1" w:themeShade="BF"/>
            </w:tcBorders>
          </w:tcPr>
          <w:p w:rsidR="00D85CD8" w:rsidRPr="00CE66C7" w:rsidRDefault="00D85CD8" w:rsidP="00CE66C7">
            <w:pPr>
              <w:pStyle w:val="TableText"/>
              <w:rPr>
                <w:b/>
              </w:rPr>
            </w:pPr>
            <w:r w:rsidRPr="00CE66C7">
              <w:rPr>
                <w:b/>
              </w:rPr>
              <w:t>Summary of changes – Appendices</w:t>
            </w:r>
          </w:p>
        </w:tc>
        <w:tc>
          <w:tcPr>
            <w:tcW w:w="506" w:type="pct"/>
            <w:tcBorders>
              <w:bottom w:val="single" w:sz="4" w:space="0" w:color="BFBFBF" w:themeColor="background1" w:themeShade="BF"/>
            </w:tcBorders>
          </w:tcPr>
          <w:p w:rsidR="00D85CD8" w:rsidRPr="00CE66C7" w:rsidRDefault="00D85CD8" w:rsidP="00CE66C7">
            <w:pPr>
              <w:pStyle w:val="TableText"/>
              <w:rPr>
                <w:b/>
              </w:rPr>
            </w:pPr>
          </w:p>
        </w:tc>
      </w:tr>
      <w:tr w:rsidR="00D85CD8" w:rsidRPr="00CE66C7" w:rsidTr="000B7A5C">
        <w:tc>
          <w:tcPr>
            <w:tcW w:w="990"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85CD8" w:rsidRPr="00CE66C7" w:rsidRDefault="00D85CD8" w:rsidP="00CE66C7">
            <w:pPr>
              <w:pStyle w:val="TableText"/>
              <w:rPr>
                <w:b/>
              </w:rPr>
            </w:pPr>
            <w:r w:rsidRPr="00CE66C7">
              <w:rPr>
                <w:b/>
              </w:rPr>
              <w:t>Subject matter</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85CD8" w:rsidRPr="00CE66C7" w:rsidRDefault="00D85CD8" w:rsidP="00CE66C7">
            <w:pPr>
              <w:pStyle w:val="TableText"/>
              <w:rPr>
                <w:b/>
              </w:rPr>
            </w:pPr>
            <w:r w:rsidRPr="00CE66C7">
              <w:rPr>
                <w:b/>
              </w:rPr>
              <w:t>Source of change</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D85CD8" w:rsidRPr="00CE66C7" w:rsidRDefault="00D85CD8" w:rsidP="001001E0">
            <w:pPr>
              <w:pStyle w:val="TableText"/>
              <w:rPr>
                <w:b/>
              </w:rPr>
            </w:pPr>
            <w:r w:rsidRPr="00CE66C7">
              <w:rPr>
                <w:b/>
              </w:rPr>
              <w:t xml:space="preserve">Summary of changes applied to the relevant sections in the </w:t>
            </w:r>
            <w:r>
              <w:rPr>
                <w:b/>
              </w:rPr>
              <w:t>Appendices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E0D1DB"/>
          </w:tcPr>
          <w:p w:rsidR="00D85CD8" w:rsidRPr="00CE66C7" w:rsidRDefault="00D85CD8" w:rsidP="001001E0">
            <w:pPr>
              <w:pStyle w:val="TableText"/>
              <w:rPr>
                <w:b/>
              </w:rPr>
            </w:pPr>
            <w:r w:rsidRPr="006E434E">
              <w:rPr>
                <w:b/>
              </w:rPr>
              <w:t>Page reference</w:t>
            </w:r>
          </w:p>
        </w:tc>
      </w:tr>
      <w:tr w:rsidR="00D85CD8" w:rsidRPr="00AE303D" w:rsidTr="000B7A5C">
        <w:tc>
          <w:tcPr>
            <w:tcW w:w="990"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CE66C7">
            <w:pPr>
              <w:pStyle w:val="TableText"/>
            </w:pPr>
            <w:r w:rsidRPr="00AE303D">
              <w:rPr>
                <w:color w:val="FF0000"/>
              </w:rPr>
              <w:t>[</w:t>
            </w:r>
            <w:r>
              <w:rPr>
                <w:color w:val="FF0000"/>
              </w:rPr>
              <w:t>Revised</w:t>
            </w:r>
            <w:r w:rsidRPr="00AE303D">
              <w:rPr>
                <w:color w:val="FF0000"/>
              </w:rPr>
              <w:t xml:space="preserve">] </w:t>
            </w:r>
            <w:r>
              <w:t xml:space="preserve">Appendix 1 – </w:t>
            </w:r>
            <w:r>
              <w:br/>
            </w:r>
            <w:r w:rsidRPr="001456BD">
              <w:rPr>
                <w:i/>
              </w:rPr>
              <w:t>Extracts of whole of government financial statements and analysis of disclosures</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CE66C7">
            <w:pPr>
              <w:pStyle w:val="TableText"/>
            </w:pPr>
            <w:r>
              <w:t>General update</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D85CD8">
            <w:pPr>
              <w:pStyle w:val="TableText"/>
            </w:pPr>
            <w:r>
              <w:t>Extracts of whole of government financial statements and analysis of disclosures have been updated to the latest version</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85CD8" w:rsidRDefault="00D85CD8" w:rsidP="00CE66C7">
            <w:pPr>
              <w:pStyle w:val="TableText"/>
            </w:pPr>
            <w:r>
              <w:t>311-328</w:t>
            </w:r>
          </w:p>
        </w:tc>
      </w:tr>
      <w:tr w:rsidR="00D85CD8" w:rsidRPr="00AE303D" w:rsidTr="000B7A5C">
        <w:tc>
          <w:tcPr>
            <w:tcW w:w="990"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531D19" w:rsidRDefault="00D85CD8" w:rsidP="00CE66C7">
            <w:pPr>
              <w:pStyle w:val="TableText"/>
              <w:rPr>
                <w:color w:val="FF0000"/>
              </w:rPr>
            </w:pPr>
            <w:r>
              <w:rPr>
                <w:color w:val="FF0000"/>
              </w:rPr>
              <w:t>[Revised]</w:t>
            </w:r>
            <w:r w:rsidRPr="00531D19">
              <w:t xml:space="preserve"> Appendix 3 – </w:t>
            </w:r>
            <w:r>
              <w:br/>
            </w:r>
            <w:r w:rsidRPr="001456BD">
              <w:rPr>
                <w:i/>
              </w:rPr>
              <w:t>Fair value measurement indicative expectations</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531D19" w:rsidRDefault="00D85CD8" w:rsidP="00CE66C7">
            <w:pPr>
              <w:pStyle w:val="TableText"/>
            </w:pPr>
            <w:r>
              <w:t xml:space="preserve">To provide additional </w:t>
            </w:r>
            <w:r w:rsidRPr="008C4C75">
              <w:t>guidance</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531D19" w:rsidRDefault="00D85CD8" w:rsidP="00CE66C7">
            <w:pPr>
              <w:pStyle w:val="TableText"/>
            </w:pPr>
            <w:r>
              <w:t>A footnote has been added to clarify that for some heritage and iconic assets, cost may be the reproduction cost if their service potential could only be replaced by reproducing them with the same materials.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85CD8" w:rsidRDefault="00F14DBB" w:rsidP="00CE66C7">
            <w:pPr>
              <w:pStyle w:val="TableText"/>
            </w:pPr>
            <w:r>
              <w:t>330</w:t>
            </w:r>
          </w:p>
        </w:tc>
      </w:tr>
      <w:tr w:rsidR="00D85CD8" w:rsidRPr="00AE303D" w:rsidTr="000B7A5C">
        <w:tc>
          <w:tcPr>
            <w:tcW w:w="990"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4017C3" w:rsidRDefault="00D85CD8" w:rsidP="00CE66C7">
            <w:pPr>
              <w:pStyle w:val="TableText"/>
            </w:pPr>
            <w:r w:rsidRPr="00AE303D">
              <w:rPr>
                <w:color w:val="FF0000"/>
              </w:rPr>
              <w:t>[New]</w:t>
            </w:r>
            <w:r w:rsidRPr="00AE303D">
              <w:t xml:space="preserve"> </w:t>
            </w:r>
            <w:r>
              <w:t xml:space="preserve">Appendix 5 – </w:t>
            </w:r>
            <w:r>
              <w:br/>
            </w:r>
            <w:r w:rsidRPr="001456BD">
              <w:rPr>
                <w:i/>
              </w:rPr>
              <w:t>Summary of new/revised accounting standards effective for current and future reporting periods</w:t>
            </w:r>
            <w:r w:rsidR="00F14DBB" w:rsidRPr="001456BD">
              <w:rPr>
                <w:i/>
              </w:rPr>
              <w:t xml:space="preserve"> [as at 1 March 2015]</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CE66C7">
            <w:pPr>
              <w:pStyle w:val="TableText"/>
            </w:pPr>
            <w:r>
              <w:t>VAGO recommendation</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F14DBB">
            <w:pPr>
              <w:pStyle w:val="TableText"/>
            </w:pPr>
            <w:r>
              <w:t>A summary of accounting standards for current and future reporting periods has been included. It lists and describes the key requirements</w:t>
            </w:r>
            <w:r w:rsidR="00F14DBB">
              <w:t xml:space="preserve"> and the</w:t>
            </w:r>
            <w:r>
              <w:t xml:space="preserve"> effective dates </w:t>
            </w:r>
            <w:r w:rsidR="00F14DBB">
              <w:t>of the accounting standards</w:t>
            </w:r>
            <w:r>
              <w:t>.</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85CD8" w:rsidRDefault="00F14DBB" w:rsidP="00CE66C7">
            <w:pPr>
              <w:pStyle w:val="TableText"/>
            </w:pPr>
            <w:r>
              <w:t>334-338</w:t>
            </w:r>
          </w:p>
        </w:tc>
      </w:tr>
      <w:tr w:rsidR="00D85CD8" w:rsidRPr="00AE303D" w:rsidTr="002E2546">
        <w:tc>
          <w:tcPr>
            <w:tcW w:w="990" w:type="pct"/>
            <w:tcBorders>
              <w:top w:val="single" w:sz="4" w:space="0" w:color="BFBFBF" w:themeColor="background1" w:themeShade="BF"/>
              <w:bottom w:val="nil"/>
              <w:right w:val="single" w:sz="4" w:space="0" w:color="BFBFBF" w:themeColor="background1" w:themeShade="BF"/>
            </w:tcBorders>
          </w:tcPr>
          <w:p w:rsidR="00D85CD8" w:rsidRPr="00AE303D" w:rsidRDefault="00D85CD8" w:rsidP="00CE66C7">
            <w:pPr>
              <w:pStyle w:val="TableText"/>
              <w:rPr>
                <w:color w:val="FF0000"/>
              </w:rPr>
            </w:pPr>
            <w:r w:rsidRPr="00AE303D">
              <w:rPr>
                <w:color w:val="FF0000"/>
              </w:rPr>
              <w:t>[New]</w:t>
            </w:r>
            <w:r w:rsidRPr="00AE303D">
              <w:t xml:space="preserve"> </w:t>
            </w:r>
            <w:r>
              <w:t xml:space="preserve">Appendix 6 – </w:t>
            </w:r>
            <w:r>
              <w:br/>
            </w:r>
            <w:r w:rsidRPr="001456BD">
              <w:rPr>
                <w:i/>
              </w:rPr>
              <w:t>Budgetary reporting</w:t>
            </w:r>
          </w:p>
        </w:tc>
        <w:tc>
          <w:tcPr>
            <w:tcW w:w="893"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D85CD8" w:rsidRPr="00AE303D" w:rsidRDefault="00D85CD8" w:rsidP="00CE66C7">
            <w:pPr>
              <w:pStyle w:val="TableText"/>
            </w:pPr>
            <w:r>
              <w:t xml:space="preserve">AASB 1055 </w:t>
            </w:r>
            <w:r w:rsidRPr="008C4C75">
              <w:rPr>
                <w:i/>
              </w:rPr>
              <w:t>Budgetary Reporting</w:t>
            </w:r>
          </w:p>
        </w:tc>
        <w:tc>
          <w:tcPr>
            <w:tcW w:w="2611"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D85CD8" w:rsidRPr="00AE303D" w:rsidRDefault="00D85CD8" w:rsidP="00CE66C7">
            <w:pPr>
              <w:pStyle w:val="TableText"/>
            </w:pPr>
            <w:r>
              <w:t>Guidance on the budgetary</w:t>
            </w:r>
            <w:r w:rsidR="00F14DBB">
              <w:t xml:space="preserve"> reporting requirements of AASB </w:t>
            </w:r>
            <w:r>
              <w:t>1055 has been included, necessitated by the new accounting standard requirements.</w:t>
            </w:r>
          </w:p>
        </w:tc>
        <w:tc>
          <w:tcPr>
            <w:tcW w:w="506" w:type="pct"/>
            <w:tcBorders>
              <w:top w:val="single" w:sz="4" w:space="0" w:color="BFBFBF" w:themeColor="background1" w:themeShade="BF"/>
              <w:left w:val="single" w:sz="4" w:space="0" w:color="BFBFBF" w:themeColor="background1" w:themeShade="BF"/>
              <w:bottom w:val="nil"/>
            </w:tcBorders>
          </w:tcPr>
          <w:p w:rsidR="00D85CD8" w:rsidRDefault="00F14DBB" w:rsidP="00CE66C7">
            <w:pPr>
              <w:pStyle w:val="TableText"/>
            </w:pPr>
            <w:r>
              <w:t>339</w:t>
            </w:r>
          </w:p>
        </w:tc>
      </w:tr>
      <w:tr w:rsidR="002E2546" w:rsidRPr="00AE303D" w:rsidTr="002E2546">
        <w:tc>
          <w:tcPr>
            <w:tcW w:w="990" w:type="pct"/>
            <w:tcBorders>
              <w:top w:val="nil"/>
              <w:bottom w:val="single" w:sz="4" w:space="0" w:color="auto"/>
              <w:right w:val="single" w:sz="4" w:space="0" w:color="BFBFBF" w:themeColor="background1" w:themeShade="BF"/>
            </w:tcBorders>
          </w:tcPr>
          <w:p w:rsidR="002E2546" w:rsidRPr="00AE303D" w:rsidRDefault="002E2546" w:rsidP="00CE66C7">
            <w:pPr>
              <w:pStyle w:val="TableText"/>
              <w:rPr>
                <w:color w:val="FF0000"/>
              </w:rPr>
            </w:pPr>
          </w:p>
        </w:tc>
        <w:tc>
          <w:tcPr>
            <w:tcW w:w="893" w:type="pct"/>
            <w:tcBorders>
              <w:top w:val="nil"/>
              <w:left w:val="single" w:sz="4" w:space="0" w:color="BFBFBF" w:themeColor="background1" w:themeShade="BF"/>
              <w:bottom w:val="single" w:sz="4" w:space="0" w:color="auto"/>
              <w:right w:val="single" w:sz="4" w:space="0" w:color="BFBFBF" w:themeColor="background1" w:themeShade="BF"/>
            </w:tcBorders>
          </w:tcPr>
          <w:p w:rsidR="002E2546" w:rsidRDefault="002E2546" w:rsidP="00CE66C7">
            <w:pPr>
              <w:pStyle w:val="TableText"/>
            </w:pPr>
          </w:p>
        </w:tc>
        <w:tc>
          <w:tcPr>
            <w:tcW w:w="2611" w:type="pct"/>
            <w:tcBorders>
              <w:top w:val="nil"/>
              <w:left w:val="single" w:sz="4" w:space="0" w:color="BFBFBF" w:themeColor="background1" w:themeShade="BF"/>
              <w:bottom w:val="single" w:sz="4" w:space="0" w:color="auto"/>
              <w:right w:val="single" w:sz="4" w:space="0" w:color="BFBFBF" w:themeColor="background1" w:themeShade="BF"/>
            </w:tcBorders>
          </w:tcPr>
          <w:p w:rsidR="002E2546" w:rsidRDefault="002E2546" w:rsidP="00CE66C7">
            <w:pPr>
              <w:pStyle w:val="TableText"/>
            </w:pPr>
          </w:p>
        </w:tc>
        <w:tc>
          <w:tcPr>
            <w:tcW w:w="506" w:type="pct"/>
            <w:tcBorders>
              <w:top w:val="nil"/>
              <w:left w:val="single" w:sz="4" w:space="0" w:color="BFBFBF" w:themeColor="background1" w:themeShade="BF"/>
              <w:bottom w:val="single" w:sz="4" w:space="0" w:color="auto"/>
            </w:tcBorders>
          </w:tcPr>
          <w:p w:rsidR="002E2546" w:rsidRDefault="002E2546" w:rsidP="00CE66C7">
            <w:pPr>
              <w:pStyle w:val="TableText"/>
            </w:pPr>
          </w:p>
        </w:tc>
      </w:tr>
      <w:tr w:rsidR="002E2546" w:rsidRPr="00CE66C7" w:rsidTr="002E2546">
        <w:tc>
          <w:tcPr>
            <w:tcW w:w="990" w:type="pct"/>
            <w:tcBorders>
              <w:top w:val="single" w:sz="4" w:space="0" w:color="auto"/>
              <w:bottom w:val="single" w:sz="4" w:space="0" w:color="BFBFBF" w:themeColor="background1" w:themeShade="BF"/>
              <w:right w:val="single" w:sz="4" w:space="0" w:color="BFBFBF" w:themeColor="background1" w:themeShade="BF"/>
            </w:tcBorders>
            <w:shd w:val="clear" w:color="auto" w:fill="E0D1DB"/>
          </w:tcPr>
          <w:p w:rsidR="002E2546" w:rsidRPr="00CE66C7" w:rsidRDefault="002E2546" w:rsidP="002617E0">
            <w:pPr>
              <w:pStyle w:val="TableText"/>
              <w:rPr>
                <w:b/>
              </w:rPr>
            </w:pPr>
            <w:r w:rsidRPr="00CE66C7">
              <w:rPr>
                <w:b/>
              </w:rPr>
              <w:lastRenderedPageBreak/>
              <w:t>Subject matter</w:t>
            </w:r>
          </w:p>
        </w:tc>
        <w:tc>
          <w:tcPr>
            <w:tcW w:w="893"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2E2546" w:rsidRPr="00CE66C7" w:rsidRDefault="002E2546" w:rsidP="002617E0">
            <w:pPr>
              <w:pStyle w:val="TableText"/>
              <w:rPr>
                <w:b/>
              </w:rPr>
            </w:pPr>
            <w:r w:rsidRPr="00CE66C7">
              <w:rPr>
                <w:b/>
              </w:rPr>
              <w:t>Source of change</w:t>
            </w:r>
          </w:p>
        </w:tc>
        <w:tc>
          <w:tcPr>
            <w:tcW w:w="261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0D1DB"/>
          </w:tcPr>
          <w:p w:rsidR="002E2546" w:rsidRPr="00CE66C7" w:rsidRDefault="002E2546" w:rsidP="002617E0">
            <w:pPr>
              <w:pStyle w:val="TableText"/>
              <w:rPr>
                <w:b/>
              </w:rPr>
            </w:pPr>
            <w:r w:rsidRPr="00CE66C7">
              <w:rPr>
                <w:b/>
              </w:rPr>
              <w:t xml:space="preserve">Summary of changes applied to the relevant sections in the </w:t>
            </w:r>
            <w:r>
              <w:rPr>
                <w:b/>
              </w:rPr>
              <w:t>Appendices</w:t>
            </w:r>
          </w:p>
        </w:tc>
        <w:tc>
          <w:tcPr>
            <w:tcW w:w="506" w:type="pct"/>
            <w:tcBorders>
              <w:top w:val="single" w:sz="4" w:space="0" w:color="auto"/>
              <w:left w:val="single" w:sz="4" w:space="0" w:color="BFBFBF" w:themeColor="background1" w:themeShade="BF"/>
              <w:bottom w:val="single" w:sz="4" w:space="0" w:color="BFBFBF" w:themeColor="background1" w:themeShade="BF"/>
            </w:tcBorders>
            <w:shd w:val="clear" w:color="auto" w:fill="E0D1DB"/>
          </w:tcPr>
          <w:p w:rsidR="002E2546" w:rsidRPr="00CE66C7" w:rsidRDefault="002E2546" w:rsidP="002617E0">
            <w:pPr>
              <w:pStyle w:val="TableText"/>
              <w:rPr>
                <w:b/>
              </w:rPr>
            </w:pPr>
            <w:r w:rsidRPr="006E434E">
              <w:rPr>
                <w:b/>
              </w:rPr>
              <w:t>Page reference</w:t>
            </w:r>
          </w:p>
        </w:tc>
      </w:tr>
      <w:tr w:rsidR="00D85CD8" w:rsidRPr="00AE303D" w:rsidTr="000B7A5C">
        <w:tc>
          <w:tcPr>
            <w:tcW w:w="990"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RDefault="00D85CD8" w:rsidP="00CE66C7">
            <w:pPr>
              <w:pStyle w:val="TableText"/>
              <w:rPr>
                <w:color w:val="FF0000"/>
              </w:rPr>
            </w:pPr>
            <w:r w:rsidRPr="00AE303D">
              <w:rPr>
                <w:color w:val="FF0000"/>
              </w:rPr>
              <w:t>[New]</w:t>
            </w:r>
            <w:r w:rsidRPr="00AE303D">
              <w:t xml:space="preserve"> </w:t>
            </w:r>
            <w:r>
              <w:t xml:space="preserve">Appendix 7 – </w:t>
            </w:r>
            <w:r>
              <w:br/>
            </w:r>
            <w:r w:rsidRPr="001456BD">
              <w:rPr>
                <w:i/>
              </w:rPr>
              <w:t>Changes in accounting policies and disclosures</w:t>
            </w:r>
          </w:p>
        </w:tc>
        <w:tc>
          <w:tcPr>
            <w:tcW w:w="8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AE303D" w:rsidDel="00C13B3A" w:rsidRDefault="00F14DBB" w:rsidP="00CE66C7">
            <w:pPr>
              <w:pStyle w:val="TableText"/>
            </w:pPr>
            <w:r>
              <w:t>AASB 11 and AASB </w:t>
            </w:r>
            <w:r w:rsidR="00D85CD8">
              <w:t>12</w:t>
            </w:r>
          </w:p>
        </w:tc>
        <w:tc>
          <w:tcPr>
            <w:tcW w:w="26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85CD8" w:rsidRPr="004B2A5F" w:rsidRDefault="00D85CD8" w:rsidP="00CE66C7">
            <w:pPr>
              <w:pStyle w:val="TableText"/>
              <w:rPr>
                <w:color w:val="FF0000"/>
              </w:rPr>
            </w:pPr>
            <w:r w:rsidRPr="008C4C75">
              <w:t xml:space="preserve">Illustrations </w:t>
            </w:r>
            <w:r>
              <w:t>have been</w:t>
            </w:r>
            <w:r w:rsidRPr="008C4C75">
              <w:t xml:space="preserve"> added to </w:t>
            </w:r>
            <w:r>
              <w:t>show</w:t>
            </w:r>
            <w:r w:rsidRPr="008C4C75">
              <w:t xml:space="preserve"> the </w:t>
            </w:r>
            <w:r>
              <w:t>impact on a Department’s financial statements arising from changes in accounting policies.</w:t>
            </w:r>
          </w:p>
        </w:tc>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D85CD8" w:rsidRPr="008C4C75" w:rsidRDefault="00F14DBB" w:rsidP="00CE66C7">
            <w:pPr>
              <w:pStyle w:val="TableText"/>
            </w:pPr>
            <w:r>
              <w:t>347-350</w:t>
            </w:r>
          </w:p>
        </w:tc>
      </w:tr>
      <w:tr w:rsidR="00D85CD8" w:rsidRPr="00AE303D" w:rsidTr="000B7A5C">
        <w:tc>
          <w:tcPr>
            <w:tcW w:w="990" w:type="pct"/>
            <w:tcBorders>
              <w:top w:val="single" w:sz="4" w:space="0" w:color="BFBFBF" w:themeColor="background1" w:themeShade="BF"/>
              <w:bottom w:val="single" w:sz="4" w:space="0" w:color="auto"/>
              <w:right w:val="single" w:sz="4" w:space="0" w:color="BFBFBF" w:themeColor="background1" w:themeShade="BF"/>
            </w:tcBorders>
          </w:tcPr>
          <w:p w:rsidR="00D85CD8" w:rsidRPr="00531D19" w:rsidRDefault="00D85CD8" w:rsidP="00CE66C7">
            <w:pPr>
              <w:pStyle w:val="TableText"/>
              <w:rPr>
                <w:color w:val="FF0000"/>
              </w:rPr>
            </w:pPr>
            <w:r w:rsidRPr="00531D19">
              <w:rPr>
                <w:color w:val="FF0000"/>
              </w:rPr>
              <w:t>[New]</w:t>
            </w:r>
            <w:r w:rsidRPr="00531D19">
              <w:t xml:space="preserve"> </w:t>
            </w:r>
            <w:r w:rsidRPr="008C4C75">
              <w:t>Appendix 8</w:t>
            </w:r>
            <w:r w:rsidRPr="00531D19">
              <w:t xml:space="preserve"> –</w:t>
            </w:r>
            <w:r w:rsidRPr="008C4C75">
              <w:t xml:space="preserve"> </w:t>
            </w:r>
            <w:r>
              <w:br/>
            </w:r>
            <w:r w:rsidRPr="001456BD">
              <w:rPr>
                <w:i/>
              </w:rPr>
              <w:t>AASB 10 Consolidated Financial Statements Checklist – Control analysis for Victorian public sector entities</w:t>
            </w:r>
          </w:p>
        </w:tc>
        <w:tc>
          <w:tcPr>
            <w:tcW w:w="893"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85CD8" w:rsidRPr="00531D19" w:rsidRDefault="00D85CD8" w:rsidP="00CE66C7">
            <w:pPr>
              <w:pStyle w:val="TableText"/>
            </w:pPr>
            <w:r w:rsidRPr="00531D19">
              <w:t>AASB 10</w:t>
            </w:r>
          </w:p>
        </w:tc>
        <w:tc>
          <w:tcPr>
            <w:tcW w:w="2611"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D85CD8" w:rsidRPr="00531D19" w:rsidRDefault="00D85CD8" w:rsidP="00CE66C7">
            <w:pPr>
              <w:pStyle w:val="TableText"/>
            </w:pPr>
            <w:r>
              <w:t xml:space="preserve">The AASB 10 </w:t>
            </w:r>
            <w:r w:rsidR="00F14DBB">
              <w:t xml:space="preserve">control </w:t>
            </w:r>
            <w:r>
              <w:t xml:space="preserve">checklist </w:t>
            </w:r>
            <w:r w:rsidR="001456BD">
              <w:t xml:space="preserve">and additional implementation guidance </w:t>
            </w:r>
            <w:r>
              <w:t>has been included to p</w:t>
            </w:r>
            <w:r w:rsidRPr="00531D19">
              <w:t>rovide guidance on assessing ‘control’ for the purposes of consolidated financial statements.</w:t>
            </w:r>
          </w:p>
        </w:tc>
        <w:tc>
          <w:tcPr>
            <w:tcW w:w="506" w:type="pct"/>
            <w:tcBorders>
              <w:top w:val="single" w:sz="4" w:space="0" w:color="BFBFBF" w:themeColor="background1" w:themeShade="BF"/>
              <w:left w:val="single" w:sz="4" w:space="0" w:color="BFBFBF" w:themeColor="background1" w:themeShade="BF"/>
              <w:bottom w:val="single" w:sz="4" w:space="0" w:color="auto"/>
            </w:tcBorders>
          </w:tcPr>
          <w:p w:rsidR="00D85CD8" w:rsidRDefault="001456BD" w:rsidP="00CE66C7">
            <w:pPr>
              <w:pStyle w:val="TableText"/>
            </w:pPr>
            <w:r>
              <w:t>351-358</w:t>
            </w:r>
          </w:p>
        </w:tc>
      </w:tr>
    </w:tbl>
    <w:p w:rsidR="001A7B19" w:rsidRPr="001A7B19" w:rsidRDefault="001A7B19" w:rsidP="00E8643A">
      <w:pPr>
        <w:rPr>
          <w:lang w:eastAsia="en-US"/>
        </w:rPr>
      </w:pPr>
    </w:p>
    <w:sectPr w:rsidR="001A7B19" w:rsidRPr="001A7B19" w:rsidSect="00CE66C7">
      <w:headerReference w:type="default" r:id="rId8"/>
      <w:footerReference w:type="default" r:id="rId9"/>
      <w:pgSz w:w="11901" w:h="16840" w:code="9"/>
      <w:pgMar w:top="680" w:right="567" w:bottom="1134" w:left="1134" w:header="28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7F" w:rsidRDefault="0064437F">
      <w:r>
        <w:separator/>
      </w:r>
    </w:p>
    <w:p w:rsidR="0064437F" w:rsidRDefault="0064437F"/>
  </w:endnote>
  <w:endnote w:type="continuationSeparator" w:id="0">
    <w:p w:rsidR="0064437F" w:rsidRDefault="0064437F">
      <w:r>
        <w:continuationSeparator/>
      </w:r>
    </w:p>
    <w:p w:rsidR="0064437F" w:rsidRDefault="0064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77" w:rsidRDefault="00E069B0" w:rsidP="00E8643A">
    <w:pPr>
      <w:pStyle w:val="Footer"/>
      <w:tabs>
        <w:tab w:val="clear" w:pos="8220"/>
        <w:tab w:val="right" w:pos="9923"/>
      </w:tabs>
    </w:pPr>
    <w:r>
      <w:t>April</w:t>
    </w:r>
    <w:r w:rsidR="00E8643A">
      <w:t xml:space="preserve"> 2015</w:t>
    </w:r>
    <w:r w:rsidR="00E8643A">
      <w:tab/>
      <w:t xml:space="preserve">Page </w:t>
    </w:r>
    <w:r w:rsidR="00E8643A">
      <w:fldChar w:fldCharType="begin"/>
    </w:r>
    <w:r w:rsidR="00E8643A">
      <w:instrText xml:space="preserve"> PAGE  \* Arabic  \* MERGEFORMAT </w:instrText>
    </w:r>
    <w:r w:rsidR="00E8643A">
      <w:fldChar w:fldCharType="separate"/>
    </w:r>
    <w:r w:rsidR="001A5F2E">
      <w:t>1</w:t>
    </w:r>
    <w:r w:rsidR="00E864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7F" w:rsidRDefault="0064437F">
      <w:r>
        <w:separator/>
      </w:r>
    </w:p>
    <w:p w:rsidR="0064437F" w:rsidRDefault="0064437F"/>
  </w:footnote>
  <w:footnote w:type="continuationSeparator" w:id="0">
    <w:p w:rsidR="0064437F" w:rsidRDefault="0064437F">
      <w:r>
        <w:continuationSeparator/>
      </w:r>
    </w:p>
    <w:p w:rsidR="0064437F" w:rsidRDefault="006443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19" w:rsidRDefault="00DD3DC2" w:rsidP="001A7B19">
    <w:pPr>
      <w:pStyle w:val="Header"/>
      <w:tabs>
        <w:tab w:val="clear" w:pos="4320"/>
        <w:tab w:val="clear" w:pos="8640"/>
      </w:tabs>
      <w:ind w:right="-6"/>
      <w:jc w:val="right"/>
      <w:rPr>
        <w:noProof/>
      </w:rPr>
    </w:pPr>
    <w:r>
      <w:rPr>
        <w:noProof/>
      </w:rPr>
      <w:drawing>
        <wp:anchor distT="0" distB="0" distL="114300" distR="114300" simplePos="0" relativeHeight="251659264" behindDoc="0" locked="0" layoutInCell="1" allowOverlap="1" wp14:anchorId="5842ABEB" wp14:editId="10CA28DF">
          <wp:simplePos x="0" y="0"/>
          <wp:positionH relativeFrom="page">
            <wp:posOffset>-19049</wp:posOffset>
          </wp:positionH>
          <wp:positionV relativeFrom="page">
            <wp:posOffset>0</wp:posOffset>
          </wp:positionV>
          <wp:extent cx="3352800" cy="382657"/>
          <wp:effectExtent l="0" t="0" r="0" b="0"/>
          <wp:wrapNone/>
          <wp:docPr id="7" name="Picture 1" descr="Landscape_Purple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_Purple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5405" cy="382954"/>
                  </a:xfrm>
                  <a:prstGeom prst="rect">
                    <a:avLst/>
                  </a:prstGeom>
                  <a:noFill/>
                  <a:ln>
                    <a:noFill/>
                  </a:ln>
                </pic:spPr>
              </pic:pic>
            </a:graphicData>
          </a:graphic>
          <wp14:sizeRelH relativeFrom="page">
            <wp14:pctWidth>0</wp14:pctWidth>
          </wp14:sizeRelH>
          <wp14:sizeRelV relativeFrom="page">
            <wp14:pctHeight>0</wp14:pctHeight>
          </wp14:sizeRelV>
        </wp:anchor>
      </w:drawing>
    </w:r>
    <w:r w:rsidR="001A7B19">
      <w:rPr>
        <w:noProof/>
      </w:rPr>
      <w:drawing>
        <wp:inline distT="0" distB="0" distL="0" distR="0" wp14:anchorId="368EA5F7" wp14:editId="1981BBFD">
          <wp:extent cx="2162175" cy="1333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p w:rsidR="001A7B19" w:rsidRDefault="001A7B19" w:rsidP="001A7B19">
    <w:pPr>
      <w:pStyle w:val="Header"/>
      <w:tabs>
        <w:tab w:val="clear" w:pos="4320"/>
        <w:tab w:val="clear" w:pos="8640"/>
      </w:tabs>
      <w:ind w:right="-6"/>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DA5ECC"/>
    <w:lvl w:ilvl="0">
      <w:start w:val="1"/>
      <w:numFmt w:val="decimal"/>
      <w:lvlText w:val="%1."/>
      <w:lvlJc w:val="left"/>
      <w:pPr>
        <w:tabs>
          <w:tab w:val="num" w:pos="1209"/>
        </w:tabs>
        <w:ind w:left="1209" w:hanging="360"/>
      </w:pPr>
    </w:lvl>
  </w:abstractNum>
  <w:abstractNum w:abstractNumId="1">
    <w:nsid w:val="FFFFFF7E"/>
    <w:multiLevelType w:val="singleLevel"/>
    <w:tmpl w:val="6930DFA2"/>
    <w:lvl w:ilvl="0">
      <w:start w:val="1"/>
      <w:numFmt w:val="decimal"/>
      <w:lvlText w:val="%1."/>
      <w:lvlJc w:val="left"/>
      <w:pPr>
        <w:tabs>
          <w:tab w:val="num" w:pos="926"/>
        </w:tabs>
        <w:ind w:left="926" w:hanging="360"/>
      </w:pPr>
    </w:lvl>
  </w:abstractNum>
  <w:abstractNum w:abstractNumId="2">
    <w:nsid w:val="FFFFFF7F"/>
    <w:multiLevelType w:val="singleLevel"/>
    <w:tmpl w:val="820EF10E"/>
    <w:lvl w:ilvl="0">
      <w:start w:val="1"/>
      <w:numFmt w:val="decimal"/>
      <w:lvlText w:val="%1."/>
      <w:lvlJc w:val="left"/>
      <w:pPr>
        <w:tabs>
          <w:tab w:val="num" w:pos="643"/>
        </w:tabs>
        <w:ind w:left="643" w:hanging="360"/>
      </w:pPr>
    </w:lvl>
  </w:abstractNum>
  <w:abstractNum w:abstractNumId="3">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46A01F5"/>
    <w:multiLevelType w:val="hybridMultilevel"/>
    <w:tmpl w:val="9B882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nsid w:val="128E7D58"/>
    <w:multiLevelType w:val="hybridMultilevel"/>
    <w:tmpl w:val="31224E6E"/>
    <w:lvl w:ilvl="0" w:tplc="66FE83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nsid w:val="161C752B"/>
    <w:multiLevelType w:val="multilevel"/>
    <w:tmpl w:val="C076253E"/>
    <w:name w:val="Headings5"/>
    <w:lvl w:ilvl="0">
      <w:start w:val="1"/>
      <w:numFmt w:val="decimal"/>
      <w:pStyle w:val="Heading1"/>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nsid w:val="541A4364"/>
    <w:multiLevelType w:val="hybridMultilevel"/>
    <w:tmpl w:val="4E489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F07743"/>
    <w:multiLevelType w:val="multilevel"/>
    <w:tmpl w:val="D81C2E08"/>
    <w:lvl w:ilvl="0">
      <w:start w:val="1"/>
      <w:numFmt w:val="decimal"/>
      <w:lvlRestart w:val="0"/>
      <w:pStyle w:val="TableTextNumbered"/>
      <w:suff w:val="nothing"/>
      <w:lvlText w:val="%1"/>
      <w:lvlJc w:val="left"/>
      <w:pPr>
        <w:ind w:left="0" w:firstLine="227"/>
      </w:pPr>
      <w:rPr>
        <w:rFonts w:hint="default"/>
      </w:rPr>
    </w:lvl>
    <w:lvl w:ilvl="1">
      <w:start w:val="1"/>
      <w:numFmt w:val="decimal"/>
      <w:pStyle w:val="Heading2"/>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nsid w:val="6F7C2B7E"/>
    <w:multiLevelType w:val="hybridMultilevel"/>
    <w:tmpl w:val="54663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4">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5">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8"/>
  </w:num>
  <w:num w:numId="4">
    <w:abstractNumId w:val="19"/>
  </w:num>
  <w:num w:numId="5">
    <w:abstractNumId w:val="6"/>
  </w:num>
  <w:num w:numId="6">
    <w:abstractNumId w:val="5"/>
  </w:num>
  <w:num w:numId="7">
    <w:abstractNumId w:val="4"/>
  </w:num>
  <w:num w:numId="8">
    <w:abstractNumId w:val="34"/>
  </w:num>
  <w:num w:numId="9">
    <w:abstractNumId w:val="21"/>
  </w:num>
  <w:num w:numId="10">
    <w:abstractNumId w:val="12"/>
  </w:num>
  <w:num w:numId="11">
    <w:abstractNumId w:val="14"/>
  </w:num>
  <w:num w:numId="12">
    <w:abstractNumId w:val="33"/>
  </w:num>
  <w:num w:numId="13">
    <w:abstractNumId w:val="15"/>
  </w:num>
  <w:num w:numId="14">
    <w:abstractNumId w:val="25"/>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3"/>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7"/>
  </w:num>
  <w:num w:numId="29">
    <w:abstractNumId w:val="24"/>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7F"/>
    <w:rsid w:val="00006544"/>
    <w:rsid w:val="00010BD3"/>
    <w:rsid w:val="0001144C"/>
    <w:rsid w:val="00016492"/>
    <w:rsid w:val="0004698A"/>
    <w:rsid w:val="00063BFD"/>
    <w:rsid w:val="00086691"/>
    <w:rsid w:val="000949CB"/>
    <w:rsid w:val="000A6705"/>
    <w:rsid w:val="000B7A5C"/>
    <w:rsid w:val="000C141A"/>
    <w:rsid w:val="000C1C01"/>
    <w:rsid w:val="000C3368"/>
    <w:rsid w:val="000C3814"/>
    <w:rsid w:val="000E5B4E"/>
    <w:rsid w:val="000F54E7"/>
    <w:rsid w:val="001001E0"/>
    <w:rsid w:val="00104077"/>
    <w:rsid w:val="001213BE"/>
    <w:rsid w:val="001251C4"/>
    <w:rsid w:val="00126C86"/>
    <w:rsid w:val="00135230"/>
    <w:rsid w:val="00143A23"/>
    <w:rsid w:val="001456BD"/>
    <w:rsid w:val="00157448"/>
    <w:rsid w:val="001611D3"/>
    <w:rsid w:val="00164424"/>
    <w:rsid w:val="00181844"/>
    <w:rsid w:val="00184E1A"/>
    <w:rsid w:val="0018749C"/>
    <w:rsid w:val="001974AF"/>
    <w:rsid w:val="001A46F5"/>
    <w:rsid w:val="001A5F2E"/>
    <w:rsid w:val="001A7B19"/>
    <w:rsid w:val="001B0B3F"/>
    <w:rsid w:val="001B47A6"/>
    <w:rsid w:val="001C0319"/>
    <w:rsid w:val="001C351D"/>
    <w:rsid w:val="001C6970"/>
    <w:rsid w:val="001D5F38"/>
    <w:rsid w:val="001D60E6"/>
    <w:rsid w:val="001E0A43"/>
    <w:rsid w:val="001E67A9"/>
    <w:rsid w:val="00205B35"/>
    <w:rsid w:val="002063AC"/>
    <w:rsid w:val="00225175"/>
    <w:rsid w:val="002344F7"/>
    <w:rsid w:val="00237365"/>
    <w:rsid w:val="00252F44"/>
    <w:rsid w:val="002578C1"/>
    <w:rsid w:val="00260106"/>
    <w:rsid w:val="00267317"/>
    <w:rsid w:val="00267638"/>
    <w:rsid w:val="002A18C2"/>
    <w:rsid w:val="002C4EC9"/>
    <w:rsid w:val="002C6424"/>
    <w:rsid w:val="002E2546"/>
    <w:rsid w:val="002E7EFC"/>
    <w:rsid w:val="002F2549"/>
    <w:rsid w:val="002F7AEB"/>
    <w:rsid w:val="00307CC0"/>
    <w:rsid w:val="00322500"/>
    <w:rsid w:val="00351035"/>
    <w:rsid w:val="0035331C"/>
    <w:rsid w:val="00386859"/>
    <w:rsid w:val="00391977"/>
    <w:rsid w:val="00392E0C"/>
    <w:rsid w:val="00394D1C"/>
    <w:rsid w:val="00394EA9"/>
    <w:rsid w:val="003A32E0"/>
    <w:rsid w:val="003A4A87"/>
    <w:rsid w:val="003B0731"/>
    <w:rsid w:val="003B5700"/>
    <w:rsid w:val="003B5EDB"/>
    <w:rsid w:val="003B6A2C"/>
    <w:rsid w:val="003D01BD"/>
    <w:rsid w:val="003E230C"/>
    <w:rsid w:val="003E66B9"/>
    <w:rsid w:val="003F016E"/>
    <w:rsid w:val="003F45D9"/>
    <w:rsid w:val="003F4E27"/>
    <w:rsid w:val="004113E1"/>
    <w:rsid w:val="00422FAB"/>
    <w:rsid w:val="00427659"/>
    <w:rsid w:val="00430A03"/>
    <w:rsid w:val="004455A7"/>
    <w:rsid w:val="00462DB3"/>
    <w:rsid w:val="00467979"/>
    <w:rsid w:val="00480708"/>
    <w:rsid w:val="004907E5"/>
    <w:rsid w:val="004A2DD7"/>
    <w:rsid w:val="004A460D"/>
    <w:rsid w:val="004C7E27"/>
    <w:rsid w:val="004D7D40"/>
    <w:rsid w:val="004F1A9B"/>
    <w:rsid w:val="005013B3"/>
    <w:rsid w:val="00501904"/>
    <w:rsid w:val="00505FD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A2294"/>
    <w:rsid w:val="005A51DC"/>
    <w:rsid w:val="005B7317"/>
    <w:rsid w:val="005C69CC"/>
    <w:rsid w:val="005D3801"/>
    <w:rsid w:val="005D502E"/>
    <w:rsid w:val="005E006C"/>
    <w:rsid w:val="005E034F"/>
    <w:rsid w:val="005E32AE"/>
    <w:rsid w:val="005F6958"/>
    <w:rsid w:val="00610AFF"/>
    <w:rsid w:val="00617002"/>
    <w:rsid w:val="0064437F"/>
    <w:rsid w:val="00645ADA"/>
    <w:rsid w:val="00647E27"/>
    <w:rsid w:val="00662658"/>
    <w:rsid w:val="00662F3F"/>
    <w:rsid w:val="0066682B"/>
    <w:rsid w:val="00670B66"/>
    <w:rsid w:val="00677AD1"/>
    <w:rsid w:val="0068495A"/>
    <w:rsid w:val="00692CFF"/>
    <w:rsid w:val="00694E47"/>
    <w:rsid w:val="006A627F"/>
    <w:rsid w:val="006A7D93"/>
    <w:rsid w:val="006A7ED6"/>
    <w:rsid w:val="006B074A"/>
    <w:rsid w:val="006B11CE"/>
    <w:rsid w:val="006B7B88"/>
    <w:rsid w:val="006C23AC"/>
    <w:rsid w:val="006D53EF"/>
    <w:rsid w:val="006E376A"/>
    <w:rsid w:val="006E434E"/>
    <w:rsid w:val="006E6398"/>
    <w:rsid w:val="006E6C70"/>
    <w:rsid w:val="007003BC"/>
    <w:rsid w:val="00704015"/>
    <w:rsid w:val="0070452F"/>
    <w:rsid w:val="00706BFC"/>
    <w:rsid w:val="00715221"/>
    <w:rsid w:val="0071554E"/>
    <w:rsid w:val="00721AE2"/>
    <w:rsid w:val="0072437E"/>
    <w:rsid w:val="0072765E"/>
    <w:rsid w:val="0073778D"/>
    <w:rsid w:val="00745F07"/>
    <w:rsid w:val="00747EAA"/>
    <w:rsid w:val="00752AD5"/>
    <w:rsid w:val="0075637D"/>
    <w:rsid w:val="00771EC3"/>
    <w:rsid w:val="0077373E"/>
    <w:rsid w:val="00773ACE"/>
    <w:rsid w:val="0077512D"/>
    <w:rsid w:val="007809B7"/>
    <w:rsid w:val="00782E8F"/>
    <w:rsid w:val="00782F61"/>
    <w:rsid w:val="00783507"/>
    <w:rsid w:val="00784401"/>
    <w:rsid w:val="00785D5A"/>
    <w:rsid w:val="00785F89"/>
    <w:rsid w:val="0078774E"/>
    <w:rsid w:val="007A6388"/>
    <w:rsid w:val="007B0E7B"/>
    <w:rsid w:val="007B511D"/>
    <w:rsid w:val="007B546A"/>
    <w:rsid w:val="007C0F87"/>
    <w:rsid w:val="007C35C1"/>
    <w:rsid w:val="007C7C80"/>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1F74"/>
    <w:rsid w:val="008A3BC9"/>
    <w:rsid w:val="008B00A2"/>
    <w:rsid w:val="008B7C35"/>
    <w:rsid w:val="008C5DD9"/>
    <w:rsid w:val="008D2825"/>
    <w:rsid w:val="008D74B1"/>
    <w:rsid w:val="008E5070"/>
    <w:rsid w:val="008E7403"/>
    <w:rsid w:val="008F1C0C"/>
    <w:rsid w:val="00900A09"/>
    <w:rsid w:val="00915450"/>
    <w:rsid w:val="00925CAA"/>
    <w:rsid w:val="00933996"/>
    <w:rsid w:val="009342B3"/>
    <w:rsid w:val="00946118"/>
    <w:rsid w:val="00951F3D"/>
    <w:rsid w:val="00956416"/>
    <w:rsid w:val="009572B6"/>
    <w:rsid w:val="009647C8"/>
    <w:rsid w:val="00967F9A"/>
    <w:rsid w:val="0098017E"/>
    <w:rsid w:val="00993D1E"/>
    <w:rsid w:val="009A419F"/>
    <w:rsid w:val="009A6A13"/>
    <w:rsid w:val="009C2652"/>
    <w:rsid w:val="009C2923"/>
    <w:rsid w:val="009C3719"/>
    <w:rsid w:val="009C51C5"/>
    <w:rsid w:val="009C759C"/>
    <w:rsid w:val="009C781B"/>
    <w:rsid w:val="009D19FA"/>
    <w:rsid w:val="009D34EB"/>
    <w:rsid w:val="009E5467"/>
    <w:rsid w:val="009E5F72"/>
    <w:rsid w:val="00A135CF"/>
    <w:rsid w:val="00A23384"/>
    <w:rsid w:val="00A26015"/>
    <w:rsid w:val="00A37A4F"/>
    <w:rsid w:val="00A40F98"/>
    <w:rsid w:val="00A5202A"/>
    <w:rsid w:val="00A6456E"/>
    <w:rsid w:val="00A64D59"/>
    <w:rsid w:val="00A67EEB"/>
    <w:rsid w:val="00A8571E"/>
    <w:rsid w:val="00A87845"/>
    <w:rsid w:val="00A90F14"/>
    <w:rsid w:val="00AC27DA"/>
    <w:rsid w:val="00AC476E"/>
    <w:rsid w:val="00AD2349"/>
    <w:rsid w:val="00AE6C2E"/>
    <w:rsid w:val="00AE7BC6"/>
    <w:rsid w:val="00AF283F"/>
    <w:rsid w:val="00AF3197"/>
    <w:rsid w:val="00AF63CF"/>
    <w:rsid w:val="00AF7E39"/>
    <w:rsid w:val="00B10361"/>
    <w:rsid w:val="00B158A8"/>
    <w:rsid w:val="00B217D9"/>
    <w:rsid w:val="00B3351E"/>
    <w:rsid w:val="00B44C41"/>
    <w:rsid w:val="00B57C72"/>
    <w:rsid w:val="00B60925"/>
    <w:rsid w:val="00B82136"/>
    <w:rsid w:val="00B96F20"/>
    <w:rsid w:val="00BA277B"/>
    <w:rsid w:val="00BA7830"/>
    <w:rsid w:val="00BC0888"/>
    <w:rsid w:val="00BC60A9"/>
    <w:rsid w:val="00BD45AA"/>
    <w:rsid w:val="00BE1393"/>
    <w:rsid w:val="00C01977"/>
    <w:rsid w:val="00C16FF3"/>
    <w:rsid w:val="00C252AE"/>
    <w:rsid w:val="00C3191D"/>
    <w:rsid w:val="00C71D9D"/>
    <w:rsid w:val="00C81316"/>
    <w:rsid w:val="00C850E0"/>
    <w:rsid w:val="00CA4310"/>
    <w:rsid w:val="00CB793A"/>
    <w:rsid w:val="00CE1665"/>
    <w:rsid w:val="00CE2166"/>
    <w:rsid w:val="00CE66C7"/>
    <w:rsid w:val="00CF3CA3"/>
    <w:rsid w:val="00D06C25"/>
    <w:rsid w:val="00D07C4D"/>
    <w:rsid w:val="00D138DD"/>
    <w:rsid w:val="00D31E02"/>
    <w:rsid w:val="00D355EE"/>
    <w:rsid w:val="00D36E94"/>
    <w:rsid w:val="00D40B9E"/>
    <w:rsid w:val="00D456E5"/>
    <w:rsid w:val="00D57AA5"/>
    <w:rsid w:val="00D75112"/>
    <w:rsid w:val="00D75501"/>
    <w:rsid w:val="00D80AEE"/>
    <w:rsid w:val="00D85CD8"/>
    <w:rsid w:val="00DA358B"/>
    <w:rsid w:val="00DA4453"/>
    <w:rsid w:val="00DB464D"/>
    <w:rsid w:val="00DB4C5B"/>
    <w:rsid w:val="00DB5A6E"/>
    <w:rsid w:val="00DB74A7"/>
    <w:rsid w:val="00DC3EAB"/>
    <w:rsid w:val="00DD2C1F"/>
    <w:rsid w:val="00DD3DC2"/>
    <w:rsid w:val="00DD4AC6"/>
    <w:rsid w:val="00DD6206"/>
    <w:rsid w:val="00DE3260"/>
    <w:rsid w:val="00DE7990"/>
    <w:rsid w:val="00E03C3C"/>
    <w:rsid w:val="00E05F22"/>
    <w:rsid w:val="00E069B0"/>
    <w:rsid w:val="00E11DBA"/>
    <w:rsid w:val="00E12836"/>
    <w:rsid w:val="00E20BB5"/>
    <w:rsid w:val="00E23EC0"/>
    <w:rsid w:val="00E306E2"/>
    <w:rsid w:val="00E3726E"/>
    <w:rsid w:val="00E46801"/>
    <w:rsid w:val="00E500D1"/>
    <w:rsid w:val="00E5224A"/>
    <w:rsid w:val="00E557E9"/>
    <w:rsid w:val="00E7205F"/>
    <w:rsid w:val="00E7585E"/>
    <w:rsid w:val="00E8643A"/>
    <w:rsid w:val="00E96026"/>
    <w:rsid w:val="00E97E50"/>
    <w:rsid w:val="00EB2189"/>
    <w:rsid w:val="00EC07D5"/>
    <w:rsid w:val="00EC1C00"/>
    <w:rsid w:val="00EC708F"/>
    <w:rsid w:val="00ED45BB"/>
    <w:rsid w:val="00EE409A"/>
    <w:rsid w:val="00EE7442"/>
    <w:rsid w:val="00EF03B9"/>
    <w:rsid w:val="00EF17FB"/>
    <w:rsid w:val="00EF637C"/>
    <w:rsid w:val="00F00827"/>
    <w:rsid w:val="00F031EB"/>
    <w:rsid w:val="00F14DBB"/>
    <w:rsid w:val="00F15703"/>
    <w:rsid w:val="00F23661"/>
    <w:rsid w:val="00F2435D"/>
    <w:rsid w:val="00F2502B"/>
    <w:rsid w:val="00F26F35"/>
    <w:rsid w:val="00F355BA"/>
    <w:rsid w:val="00F42424"/>
    <w:rsid w:val="00F42854"/>
    <w:rsid w:val="00F52F0F"/>
    <w:rsid w:val="00F57633"/>
    <w:rsid w:val="00F67E0A"/>
    <w:rsid w:val="00F731FE"/>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qFormat="1"/>
    <w:lsdException w:name="Title" w:semiHidden="0" w:uiPriority="28" w:unhideWhenUsed="0" w:qFormat="1"/>
    <w:lsdException w:name="Default Paragraph Font" w:uiPriority="1"/>
    <w:lsdException w:name="List Continue" w:qFormat="1"/>
    <w:lsdException w:name="Subtitle" w:semiHidden="0" w:uiPriority="11" w:unhideWhenUsed="0" w:qFormat="1"/>
    <w:lsdException w:name="Note Heading" w:uiPriority="49"/>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306E2"/>
    <w:pPr>
      <w:spacing w:before="80" w:after="160" w:line="220" w:lineRule="atLeast"/>
      <w:ind w:right="567"/>
    </w:pPr>
    <w:rPr>
      <w:rFonts w:ascii="Calibri" w:hAnsi="Calibri" w:cs="Calibri"/>
      <w:sz w:val="28"/>
      <w:szCs w:val="22"/>
    </w:rPr>
  </w:style>
  <w:style w:type="paragraph" w:styleId="Heading1">
    <w:name w:val="heading 1"/>
    <w:basedOn w:val="Normal"/>
    <w:next w:val="Normal"/>
    <w:uiPriority w:val="3"/>
    <w:qFormat/>
    <w:rsid w:val="0070452F"/>
    <w:pPr>
      <w:keepNext/>
      <w:keepLines/>
      <w:numPr>
        <w:numId w:val="10"/>
      </w:numPr>
      <w:pBdr>
        <w:bottom w:val="single" w:sz="4" w:space="31" w:color="404040"/>
      </w:pBdr>
      <w:spacing w:before="400" w:after="1200" w:line="240" w:lineRule="auto"/>
      <w:outlineLvl w:val="0"/>
    </w:pPr>
    <w:rPr>
      <w:color w:val="404040"/>
      <w:sz w:val="40"/>
      <w:lang w:eastAsia="en-US"/>
    </w:rPr>
  </w:style>
  <w:style w:type="paragraph" w:styleId="Heading2">
    <w:name w:val="heading 2"/>
    <w:basedOn w:val="Heading1"/>
    <w:next w:val="Normal"/>
    <w:uiPriority w:val="3"/>
    <w:qFormat/>
    <w:rsid w:val="00803B4C"/>
    <w:pPr>
      <w:widowControl w:val="0"/>
      <w:numPr>
        <w:ilvl w:val="1"/>
        <w:numId w:val="22"/>
      </w:numPr>
      <w:pBdr>
        <w:bottom w:val="none" w:sz="0" w:space="0" w:color="auto"/>
      </w:pBdr>
      <w:spacing w:before="240" w:after="120"/>
      <w:outlineLvl w:val="1"/>
    </w:pPr>
    <w:rPr>
      <w:sz w:val="28"/>
    </w:rPr>
  </w:style>
  <w:style w:type="paragraph" w:styleId="Heading3">
    <w:name w:val="heading 3"/>
    <w:basedOn w:val="Heading2"/>
    <w:next w:val="Normal"/>
    <w:uiPriority w:val="3"/>
    <w:qFormat/>
    <w:rsid w:val="001A7B19"/>
    <w:pPr>
      <w:numPr>
        <w:ilvl w:val="0"/>
        <w:numId w:val="0"/>
      </w:numPr>
      <w:spacing w:before="200"/>
      <w:outlineLvl w:val="2"/>
    </w:pPr>
    <w:rPr>
      <w:color w:val="4D4D4D"/>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val="0"/>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E306E2"/>
    <w:pPr>
      <w:numPr>
        <w:numId w:val="4"/>
      </w:numPr>
      <w:spacing w:before="60" w:after="60"/>
      <w:ind w:left="357" w:hanging="357"/>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aliases w:val="small line"/>
    <w:uiPriority w:val="24"/>
    <w:semiHidden/>
    <w:rsid w:val="00E8643A"/>
    <w:pPr>
      <w:tabs>
        <w:tab w:val="right" w:pos="8220"/>
      </w:tabs>
    </w:pPr>
    <w:rPr>
      <w:rFonts w:ascii="Calibri" w:hAnsi="Calibri" w:cs="Calibri"/>
      <w:noProof/>
      <w:color w:val="4C4C4C"/>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ED45BB"/>
    <w:rPr>
      <w:color w:val="404040"/>
      <w:u w:val="singl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customStyle="1" w:styleId="Tableheading">
    <w:name w:val="Table heading"/>
    <w:basedOn w:val="TableText"/>
    <w:qFormat/>
    <w:rsid w:val="00D36E94"/>
    <w:pPr>
      <w:spacing w:before="60"/>
    </w:pPr>
    <w:rPr>
      <w:b/>
    </w:rPr>
  </w:style>
  <w:style w:type="table" w:styleId="TableGrid">
    <w:name w:val="Table Grid"/>
    <w:basedOn w:val="TableNormal"/>
    <w:semiHidden/>
    <w:rsid w:val="001A7B19"/>
    <w:rPr>
      <w:rFonts w:ascii="Calibri" w:hAnsi="Calibri"/>
    </w:rPr>
    <w:tblPr>
      <w:tblStyleRowBandSize w:val="1"/>
      <w:tblStyleColBandSize w:val="1"/>
      <w:tblBorders>
        <w:top w:val="single" w:sz="4" w:space="0" w:color="auto"/>
        <w:bottom w:val="single" w:sz="4" w:space="0" w:color="auto"/>
        <w:insideH w:val="single" w:sz="4" w:space="0" w:color="auto"/>
      </w:tblBorders>
      <w:tblCellMar>
        <w:left w:w="57" w:type="dxa"/>
        <w:right w:w="57"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shd w:val="clear" w:color="auto" w:fill="D9D9D9"/>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306E2"/>
    <w:pPr>
      <w:spacing w:before="0" w:after="120" w:line="240" w:lineRule="auto"/>
      <w:ind w:right="1134"/>
    </w:pPr>
    <w:rPr>
      <w:color w:val="4F0B81"/>
      <w:sz w:val="60"/>
    </w:rPr>
  </w:style>
  <w:style w:type="paragraph" w:styleId="TOC1">
    <w:name w:val="toc 1"/>
    <w:basedOn w:val="Normal"/>
    <w:next w:val="Normal"/>
    <w:autoRedefine/>
    <w:uiPriority w:val="39"/>
    <w:semiHidden/>
    <w:rsid w:val="001D60E6"/>
    <w:pPr>
      <w:tabs>
        <w:tab w:val="right" w:leader="dot" w:pos="9639"/>
      </w:tabs>
      <w:spacing w:before="240" w:line="240" w:lineRule="auto"/>
      <w:ind w:hanging="794"/>
    </w:pPr>
    <w:rPr>
      <w:noProof/>
      <w:color w:val="4C4C4C"/>
      <w:sz w:val="24"/>
      <w:szCs w:val="28"/>
    </w:rPr>
  </w:style>
  <w:style w:type="paragraph" w:styleId="TOC2">
    <w:name w:val="toc 2"/>
    <w:next w:val="Normal"/>
    <w:autoRedefine/>
    <w:uiPriority w:val="39"/>
    <w:semiHidden/>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0">
    <w:name w:val="Table Bullet"/>
    <w:basedOn w:val="TableText"/>
    <w:uiPriority w:val="10"/>
    <w:semiHidden/>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016492"/>
    <w:pPr>
      <w:tabs>
        <w:tab w:val="center" w:pos="4320"/>
        <w:tab w:val="right" w:pos="8640"/>
      </w:tabs>
      <w:spacing w:before="0" w:after="0" w:line="240" w:lineRule="auto"/>
      <w:ind w:right="-567"/>
    </w:p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BulletDash">
    <w:name w:val="Table Bullet Dash"/>
    <w:basedOn w:val="Normal"/>
    <w:uiPriority w:val="10"/>
    <w:semiHidden/>
    <w:rsid w:val="001D60E6"/>
    <w:pPr>
      <w:numPr>
        <w:ilvl w:val="1"/>
        <w:numId w:val="17"/>
      </w:numPr>
      <w:spacing w:before="0" w:after="0"/>
    </w:p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semiHidden/>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EE409A"/>
    <w:pPr>
      <w:spacing w:before="20" w:after="60" w:line="240" w:lineRule="auto"/>
      <w:ind w:right="0"/>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F031EB"/>
    <w:pPr>
      <w:keepNext/>
      <w:spacing w:before="40" w:after="40"/>
    </w:pPr>
    <w:rPr>
      <w:color w:val="404040"/>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306E2"/>
    <w:pPr>
      <w:numPr>
        <w:ilvl w:val="1"/>
      </w:numPr>
      <w:spacing w:before="40" w:after="40"/>
      <w:ind w:left="714" w:hanging="357"/>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Heading1NoNum">
    <w:name w:val="Heading 1 NoNum"/>
    <w:basedOn w:val="Heading1"/>
    <w:next w:val="Normal"/>
    <w:uiPriority w:val="4"/>
    <w:qFormat/>
    <w:rsid w:val="00E500D1"/>
    <w:pPr>
      <w:numPr>
        <w:numId w:val="0"/>
      </w:numPr>
      <w:pBdr>
        <w:bottom w:val="none" w:sz="0" w:space="0" w:color="auto"/>
      </w:pBdr>
      <w:spacing w:before="200" w:after="80"/>
    </w:pPr>
    <w:rPr>
      <w:color w:val="4D4D4D"/>
      <w:sz w:val="30"/>
    </w:rPr>
  </w:style>
  <w:style w:type="paragraph" w:customStyle="1" w:styleId="Heading2NoNum">
    <w:name w:val="Heading 2 NoNum"/>
    <w:basedOn w:val="Heading2"/>
    <w:next w:val="Normal"/>
    <w:uiPriority w:val="4"/>
    <w:qFormat/>
    <w:rsid w:val="00E306E2"/>
    <w:pPr>
      <w:numPr>
        <w:ilvl w:val="0"/>
        <w:numId w:val="0"/>
      </w:numPr>
    </w:pPr>
    <w:rPr>
      <w:b/>
      <w:color w:val="4D4D4D"/>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TableTextNumbered">
    <w:name w:val="Table Text Numbered"/>
    <w:basedOn w:val="TableText"/>
    <w:rsid w:val="0073778D"/>
    <w:pPr>
      <w:numPr>
        <w:numId w:val="22"/>
      </w:numPr>
    </w:pPr>
  </w:style>
  <w:style w:type="paragraph" w:customStyle="1" w:styleId="RuledLines">
    <w:name w:val="Ruled Lines"/>
    <w:basedOn w:val="Normal"/>
    <w:rsid w:val="00C71D9D"/>
    <w:pPr>
      <w:pBdr>
        <w:bottom w:val="single" w:sz="4" w:space="1" w:color="auto"/>
        <w:between w:val="single" w:sz="4" w:space="1" w:color="auto"/>
      </w:pBdr>
      <w:spacing w:line="360" w:lineRule="auto"/>
    </w:pPr>
  </w:style>
  <w:style w:type="paragraph" w:customStyle="1" w:styleId="Agendaitem">
    <w:name w:val="Agenda item"/>
    <w:basedOn w:val="Normal"/>
    <w:rsid w:val="001A7B19"/>
    <w:pPr>
      <w:keepNext/>
      <w:keepLines/>
      <w:spacing w:before="240" w:after="240" w:line="240" w:lineRule="auto"/>
      <w:outlineLvl w:val="0"/>
    </w:pPr>
    <w:rPr>
      <w:b/>
      <w:color w:val="4D4D4D"/>
      <w:sz w:val="32"/>
      <w:lang w:eastAsia="en-US"/>
    </w:rPr>
  </w:style>
  <w:style w:type="table" w:customStyle="1" w:styleId="Summarytable">
    <w:name w:val="Summary table"/>
    <w:basedOn w:val="TableNormal"/>
    <w:uiPriority w:val="99"/>
    <w:rsid w:val="00A64D59"/>
    <w:rPr>
      <w:rFonts w:ascii="Calibri" w:hAnsi="Calibri"/>
    </w:rPr>
    <w:tblPr>
      <w:tblBorders>
        <w:top w:val="single" w:sz="4" w:space="0" w:color="auto"/>
        <w:left w:val="single" w:sz="4" w:space="0" w:color="auto"/>
        <w:bottom w:val="single" w:sz="4" w:space="0" w:color="auto"/>
        <w:right w:val="single" w:sz="4" w:space="0" w:color="auto"/>
        <w:insideH w:val="single" w:sz="4" w:space="0" w:color="BFBFBF" w:themeColor="background1" w:themeShade="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paragraph" w:customStyle="1" w:styleId="Tablebullet">
    <w:name w:val="Table bullet"/>
    <w:basedOn w:val="TableText"/>
    <w:qFormat/>
    <w:rsid w:val="006E434E"/>
    <w:pPr>
      <w:numPr>
        <w:numId w:val="30"/>
      </w:numPr>
      <w:spacing w:after="20"/>
      <w:ind w:left="227" w:hanging="22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qFormat="1"/>
    <w:lsdException w:name="Title" w:semiHidden="0" w:uiPriority="28" w:unhideWhenUsed="0" w:qFormat="1"/>
    <w:lsdException w:name="Default Paragraph Font" w:uiPriority="1"/>
    <w:lsdException w:name="List Continue" w:qFormat="1"/>
    <w:lsdException w:name="Subtitle" w:semiHidden="0" w:uiPriority="11" w:unhideWhenUsed="0" w:qFormat="1"/>
    <w:lsdException w:name="Note Heading" w:uiPriority="49"/>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306E2"/>
    <w:pPr>
      <w:spacing w:before="80" w:after="160" w:line="220" w:lineRule="atLeast"/>
      <w:ind w:right="567"/>
    </w:pPr>
    <w:rPr>
      <w:rFonts w:ascii="Calibri" w:hAnsi="Calibri" w:cs="Calibri"/>
      <w:sz w:val="28"/>
      <w:szCs w:val="22"/>
    </w:rPr>
  </w:style>
  <w:style w:type="paragraph" w:styleId="Heading1">
    <w:name w:val="heading 1"/>
    <w:basedOn w:val="Normal"/>
    <w:next w:val="Normal"/>
    <w:uiPriority w:val="3"/>
    <w:qFormat/>
    <w:rsid w:val="0070452F"/>
    <w:pPr>
      <w:keepNext/>
      <w:keepLines/>
      <w:numPr>
        <w:numId w:val="10"/>
      </w:numPr>
      <w:pBdr>
        <w:bottom w:val="single" w:sz="4" w:space="31" w:color="404040"/>
      </w:pBdr>
      <w:spacing w:before="400" w:after="1200" w:line="240" w:lineRule="auto"/>
      <w:outlineLvl w:val="0"/>
    </w:pPr>
    <w:rPr>
      <w:color w:val="404040"/>
      <w:sz w:val="40"/>
      <w:lang w:eastAsia="en-US"/>
    </w:rPr>
  </w:style>
  <w:style w:type="paragraph" w:styleId="Heading2">
    <w:name w:val="heading 2"/>
    <w:basedOn w:val="Heading1"/>
    <w:next w:val="Normal"/>
    <w:uiPriority w:val="3"/>
    <w:qFormat/>
    <w:rsid w:val="00803B4C"/>
    <w:pPr>
      <w:widowControl w:val="0"/>
      <w:numPr>
        <w:ilvl w:val="1"/>
        <w:numId w:val="22"/>
      </w:numPr>
      <w:pBdr>
        <w:bottom w:val="none" w:sz="0" w:space="0" w:color="auto"/>
      </w:pBdr>
      <w:spacing w:before="240" w:after="120"/>
      <w:outlineLvl w:val="1"/>
    </w:pPr>
    <w:rPr>
      <w:sz w:val="28"/>
    </w:rPr>
  </w:style>
  <w:style w:type="paragraph" w:styleId="Heading3">
    <w:name w:val="heading 3"/>
    <w:basedOn w:val="Heading2"/>
    <w:next w:val="Normal"/>
    <w:uiPriority w:val="3"/>
    <w:qFormat/>
    <w:rsid w:val="001A7B19"/>
    <w:pPr>
      <w:numPr>
        <w:ilvl w:val="0"/>
        <w:numId w:val="0"/>
      </w:numPr>
      <w:spacing w:before="200"/>
      <w:outlineLvl w:val="2"/>
    </w:pPr>
    <w:rPr>
      <w:color w:val="4D4D4D"/>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val="0"/>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E306E2"/>
    <w:pPr>
      <w:numPr>
        <w:numId w:val="4"/>
      </w:numPr>
      <w:spacing w:before="60" w:after="60"/>
      <w:ind w:left="357" w:hanging="357"/>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aliases w:val="small line"/>
    <w:uiPriority w:val="24"/>
    <w:semiHidden/>
    <w:rsid w:val="00E8643A"/>
    <w:pPr>
      <w:tabs>
        <w:tab w:val="right" w:pos="8220"/>
      </w:tabs>
    </w:pPr>
    <w:rPr>
      <w:rFonts w:ascii="Calibri" w:hAnsi="Calibri" w:cs="Calibri"/>
      <w:noProof/>
      <w:color w:val="4C4C4C"/>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ED45BB"/>
    <w:rPr>
      <w:color w:val="404040"/>
      <w:u w:val="singl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customStyle="1" w:styleId="Tableheading">
    <w:name w:val="Table heading"/>
    <w:basedOn w:val="TableText"/>
    <w:qFormat/>
    <w:rsid w:val="00D36E94"/>
    <w:pPr>
      <w:spacing w:before="60"/>
    </w:pPr>
    <w:rPr>
      <w:b/>
    </w:rPr>
  </w:style>
  <w:style w:type="table" w:styleId="TableGrid">
    <w:name w:val="Table Grid"/>
    <w:basedOn w:val="TableNormal"/>
    <w:semiHidden/>
    <w:rsid w:val="001A7B19"/>
    <w:rPr>
      <w:rFonts w:ascii="Calibri" w:hAnsi="Calibri"/>
    </w:rPr>
    <w:tblPr>
      <w:tblStyleRowBandSize w:val="1"/>
      <w:tblStyleColBandSize w:val="1"/>
      <w:tblBorders>
        <w:top w:val="single" w:sz="4" w:space="0" w:color="auto"/>
        <w:bottom w:val="single" w:sz="4" w:space="0" w:color="auto"/>
        <w:insideH w:val="single" w:sz="4" w:space="0" w:color="auto"/>
      </w:tblBorders>
      <w:tblCellMar>
        <w:left w:w="57" w:type="dxa"/>
        <w:right w:w="57"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shd w:val="clear" w:color="auto" w:fill="D9D9D9"/>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306E2"/>
    <w:pPr>
      <w:spacing w:before="0" w:after="120" w:line="240" w:lineRule="auto"/>
      <w:ind w:right="1134"/>
    </w:pPr>
    <w:rPr>
      <w:color w:val="4F0B81"/>
      <w:sz w:val="60"/>
    </w:rPr>
  </w:style>
  <w:style w:type="paragraph" w:styleId="TOC1">
    <w:name w:val="toc 1"/>
    <w:basedOn w:val="Normal"/>
    <w:next w:val="Normal"/>
    <w:autoRedefine/>
    <w:uiPriority w:val="39"/>
    <w:semiHidden/>
    <w:rsid w:val="001D60E6"/>
    <w:pPr>
      <w:tabs>
        <w:tab w:val="right" w:leader="dot" w:pos="9639"/>
      </w:tabs>
      <w:spacing w:before="240" w:line="240" w:lineRule="auto"/>
      <w:ind w:hanging="794"/>
    </w:pPr>
    <w:rPr>
      <w:noProof/>
      <w:color w:val="4C4C4C"/>
      <w:sz w:val="24"/>
      <w:szCs w:val="28"/>
    </w:rPr>
  </w:style>
  <w:style w:type="paragraph" w:styleId="TOC2">
    <w:name w:val="toc 2"/>
    <w:next w:val="Normal"/>
    <w:autoRedefine/>
    <w:uiPriority w:val="39"/>
    <w:semiHidden/>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0">
    <w:name w:val="Table Bullet"/>
    <w:basedOn w:val="TableText"/>
    <w:uiPriority w:val="10"/>
    <w:semiHidden/>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016492"/>
    <w:pPr>
      <w:tabs>
        <w:tab w:val="center" w:pos="4320"/>
        <w:tab w:val="right" w:pos="8640"/>
      </w:tabs>
      <w:spacing w:before="0" w:after="0" w:line="240" w:lineRule="auto"/>
      <w:ind w:right="-567"/>
    </w:p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BulletDash">
    <w:name w:val="Table Bullet Dash"/>
    <w:basedOn w:val="Normal"/>
    <w:uiPriority w:val="10"/>
    <w:semiHidden/>
    <w:rsid w:val="001D60E6"/>
    <w:pPr>
      <w:numPr>
        <w:ilvl w:val="1"/>
        <w:numId w:val="17"/>
      </w:numPr>
      <w:spacing w:before="0" w:after="0"/>
    </w:p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semiHidden/>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EE409A"/>
    <w:pPr>
      <w:spacing w:before="20" w:after="60" w:line="240" w:lineRule="auto"/>
      <w:ind w:right="0"/>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F031EB"/>
    <w:pPr>
      <w:keepNext/>
      <w:spacing w:before="40" w:after="40"/>
    </w:pPr>
    <w:rPr>
      <w:color w:val="404040"/>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306E2"/>
    <w:pPr>
      <w:numPr>
        <w:ilvl w:val="1"/>
      </w:numPr>
      <w:spacing w:before="40" w:after="40"/>
      <w:ind w:left="714" w:hanging="357"/>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Heading1NoNum">
    <w:name w:val="Heading 1 NoNum"/>
    <w:basedOn w:val="Heading1"/>
    <w:next w:val="Normal"/>
    <w:uiPriority w:val="4"/>
    <w:qFormat/>
    <w:rsid w:val="00E500D1"/>
    <w:pPr>
      <w:numPr>
        <w:numId w:val="0"/>
      </w:numPr>
      <w:pBdr>
        <w:bottom w:val="none" w:sz="0" w:space="0" w:color="auto"/>
      </w:pBdr>
      <w:spacing w:before="200" w:after="80"/>
    </w:pPr>
    <w:rPr>
      <w:color w:val="4D4D4D"/>
      <w:sz w:val="30"/>
    </w:rPr>
  </w:style>
  <w:style w:type="paragraph" w:customStyle="1" w:styleId="Heading2NoNum">
    <w:name w:val="Heading 2 NoNum"/>
    <w:basedOn w:val="Heading2"/>
    <w:next w:val="Normal"/>
    <w:uiPriority w:val="4"/>
    <w:qFormat/>
    <w:rsid w:val="00E306E2"/>
    <w:pPr>
      <w:numPr>
        <w:ilvl w:val="0"/>
        <w:numId w:val="0"/>
      </w:numPr>
    </w:pPr>
    <w:rPr>
      <w:b/>
      <w:color w:val="4D4D4D"/>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TableTextNumbered">
    <w:name w:val="Table Text Numbered"/>
    <w:basedOn w:val="TableText"/>
    <w:rsid w:val="0073778D"/>
    <w:pPr>
      <w:numPr>
        <w:numId w:val="22"/>
      </w:numPr>
    </w:pPr>
  </w:style>
  <w:style w:type="paragraph" w:customStyle="1" w:styleId="RuledLines">
    <w:name w:val="Ruled Lines"/>
    <w:basedOn w:val="Normal"/>
    <w:rsid w:val="00C71D9D"/>
    <w:pPr>
      <w:pBdr>
        <w:bottom w:val="single" w:sz="4" w:space="1" w:color="auto"/>
        <w:between w:val="single" w:sz="4" w:space="1" w:color="auto"/>
      </w:pBdr>
      <w:spacing w:line="360" w:lineRule="auto"/>
    </w:pPr>
  </w:style>
  <w:style w:type="paragraph" w:customStyle="1" w:styleId="Agendaitem">
    <w:name w:val="Agenda item"/>
    <w:basedOn w:val="Normal"/>
    <w:rsid w:val="001A7B19"/>
    <w:pPr>
      <w:keepNext/>
      <w:keepLines/>
      <w:spacing w:before="240" w:after="240" w:line="240" w:lineRule="auto"/>
      <w:outlineLvl w:val="0"/>
    </w:pPr>
    <w:rPr>
      <w:b/>
      <w:color w:val="4D4D4D"/>
      <w:sz w:val="32"/>
      <w:lang w:eastAsia="en-US"/>
    </w:rPr>
  </w:style>
  <w:style w:type="table" w:customStyle="1" w:styleId="Summarytable">
    <w:name w:val="Summary table"/>
    <w:basedOn w:val="TableNormal"/>
    <w:uiPriority w:val="99"/>
    <w:rsid w:val="00A64D59"/>
    <w:rPr>
      <w:rFonts w:ascii="Calibri" w:hAnsi="Calibri"/>
    </w:rPr>
    <w:tblPr>
      <w:tblBorders>
        <w:top w:val="single" w:sz="4" w:space="0" w:color="auto"/>
        <w:left w:val="single" w:sz="4" w:space="0" w:color="auto"/>
        <w:bottom w:val="single" w:sz="4" w:space="0" w:color="auto"/>
        <w:right w:val="single" w:sz="4" w:space="0" w:color="auto"/>
        <w:insideH w:val="single" w:sz="4" w:space="0" w:color="BFBFBF" w:themeColor="background1" w:themeShade="BF"/>
      </w:tblBorders>
      <w:tblCellMar>
        <w:left w:w="57" w:type="dxa"/>
        <w:right w:w="57" w:type="dxa"/>
      </w:tblCellMar>
    </w:tblPr>
    <w:trPr>
      <w:cantSplit/>
    </w:trPr>
    <w:tblStylePr w:type="firstRow">
      <w:rPr>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9DD6"/>
      </w:tcPr>
    </w:tblStylePr>
  </w:style>
  <w:style w:type="paragraph" w:customStyle="1" w:styleId="Tablebullet">
    <w:name w:val="Table bullet"/>
    <w:basedOn w:val="TableText"/>
    <w:qFormat/>
    <w:rsid w:val="006E434E"/>
    <w:pPr>
      <w:numPr>
        <w:numId w:val="30"/>
      </w:numPr>
      <w:spacing w:after="20"/>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Leigh Anlezark</dc:creator>
  <dc:description>TRIM Record Number: in TRIM database:PT</dc:description>
  <cp:lastModifiedBy>Louise Koschmann</cp:lastModifiedBy>
  <cp:revision>2</cp:revision>
  <cp:lastPrinted>2015-04-15T02:07:00Z</cp:lastPrinted>
  <dcterms:created xsi:type="dcterms:W3CDTF">2018-01-25T04:51:00Z</dcterms:created>
  <dcterms:modified xsi:type="dcterms:W3CDTF">2018-01-25T04:51:00Z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ies>
</file>